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0C3F" w14:textId="1D048271" w:rsidR="00922FEB" w:rsidRPr="003B7DC9" w:rsidRDefault="002E0F10" w:rsidP="00036F88">
      <w:pPr>
        <w:pStyle w:val="BodyText"/>
        <w:jc w:val="center"/>
        <w:rPr>
          <w:rFonts w:ascii="Times New Roman" w:hAnsi="Times New Roman" w:cs="Times New Roman"/>
          <w:sz w:val="18"/>
          <w:szCs w:val="18"/>
          <w:lang w:val="en-US"/>
        </w:rPr>
      </w:pPr>
      <w:r w:rsidRPr="002E0F10">
        <w:rPr>
          <w:rFonts w:ascii="Times New Roman" w:hAnsi="Times New Roman" w:cs="Times New Roman"/>
          <w:sz w:val="18"/>
          <w:szCs w:val="18"/>
          <w:lang w:val="en-US"/>
        </w:rPr>
        <w:t>TABELA E TRANSPOZIMIT (PËRPUTHSHMËRISË)</w:t>
      </w:r>
    </w:p>
    <w:p w14:paraId="34DF4CE6" w14:textId="77777777" w:rsidR="00922FEB" w:rsidRPr="003B7DC9" w:rsidRDefault="00922FEB" w:rsidP="00036F88">
      <w:pPr>
        <w:spacing w:after="0" w:line="240" w:lineRule="auto"/>
        <w:rPr>
          <w:rFonts w:ascii="Times New Roman" w:eastAsia="Times New Roman" w:hAnsi="Times New Roman" w:cs="Times New Roman"/>
          <w:kern w:val="0"/>
          <w:sz w:val="18"/>
          <w:szCs w:val="18"/>
          <w14:ligatures w14:val="none"/>
        </w:rPr>
      </w:pPr>
    </w:p>
    <w:tbl>
      <w:tblPr>
        <w:tblStyle w:val="TableGrid"/>
        <w:tblW w:w="16200" w:type="dxa"/>
        <w:tblInd w:w="-1085" w:type="dxa"/>
        <w:tblLayout w:type="fixed"/>
        <w:tblLook w:val="04A0" w:firstRow="1" w:lastRow="0" w:firstColumn="1" w:lastColumn="0" w:noHBand="0" w:noVBand="1"/>
      </w:tblPr>
      <w:tblGrid>
        <w:gridCol w:w="630"/>
        <w:gridCol w:w="5220"/>
        <w:gridCol w:w="1170"/>
        <w:gridCol w:w="720"/>
        <w:gridCol w:w="4320"/>
        <w:gridCol w:w="1080"/>
        <w:gridCol w:w="3060"/>
      </w:tblGrid>
      <w:tr w:rsidR="00260632" w:rsidRPr="003B7DC9" w14:paraId="61092F5B" w14:textId="77777777" w:rsidTr="00B75638">
        <w:trPr>
          <w:tblHeader/>
        </w:trPr>
        <w:tc>
          <w:tcPr>
            <w:tcW w:w="5850" w:type="dxa"/>
            <w:gridSpan w:val="2"/>
          </w:tcPr>
          <w:p w14:paraId="3398C8A9" w14:textId="1DEBE3BB" w:rsidR="00CD102E" w:rsidRPr="003B7DC9" w:rsidRDefault="00CD102E" w:rsidP="00CD102E">
            <w:pPr>
              <w:pBdr>
                <w:top w:val="nil"/>
                <w:left w:val="nil"/>
                <w:bottom w:val="nil"/>
                <w:right w:val="nil"/>
                <w:between w:val="nil"/>
              </w:pBdr>
              <w:spacing w:before="120"/>
              <w:jc w:val="both"/>
              <w:rPr>
                <w:rFonts w:ascii="Times New Roman" w:hAnsi="Times New Roman" w:cs="Times New Roman"/>
                <w:color w:val="333333"/>
                <w:sz w:val="18"/>
                <w:szCs w:val="18"/>
                <w:shd w:val="clear" w:color="auto" w:fill="FFFFFF"/>
              </w:rPr>
            </w:pPr>
            <w:r w:rsidRPr="003B7DC9">
              <w:rPr>
                <w:rFonts w:ascii="Times New Roman" w:hAnsi="Times New Roman" w:cs="Times New Roman"/>
                <w:color w:val="333333"/>
                <w:sz w:val="18"/>
                <w:szCs w:val="18"/>
                <w:shd w:val="clear" w:color="auto" w:fill="FFFFFF"/>
              </w:rPr>
              <w:t>Legjislacioni i Bashkimit Evropian:</w:t>
            </w:r>
          </w:p>
          <w:p w14:paraId="7595DA82" w14:textId="4320F5DC" w:rsidR="009D0B38" w:rsidRPr="004A5803" w:rsidRDefault="00CD102E" w:rsidP="004A5803">
            <w:pPr>
              <w:pBdr>
                <w:top w:val="nil"/>
                <w:left w:val="nil"/>
                <w:bottom w:val="nil"/>
                <w:right w:val="nil"/>
                <w:between w:val="nil"/>
              </w:pBdr>
              <w:spacing w:before="120"/>
              <w:jc w:val="both"/>
              <w:rPr>
                <w:rFonts w:ascii="Times New Roman" w:eastAsia="Calibri" w:hAnsi="Times New Roman" w:cs="Times New Roman"/>
                <w:sz w:val="18"/>
                <w:szCs w:val="18"/>
              </w:rPr>
            </w:pPr>
            <w:r w:rsidRPr="003B7DC9">
              <w:rPr>
                <w:rFonts w:ascii="Times New Roman" w:hAnsi="Times New Roman" w:cs="Times New Roman"/>
                <w:color w:val="333333"/>
                <w:sz w:val="18"/>
                <w:szCs w:val="18"/>
                <w:shd w:val="clear" w:color="auto" w:fill="FFFFFF"/>
              </w:rPr>
              <w:t xml:space="preserve">Direktiva e Këshillit </w:t>
            </w:r>
            <w:r w:rsidR="00D85267" w:rsidRPr="004A5803">
              <w:rPr>
                <w:rFonts w:ascii="Times New Roman" w:hAnsi="Times New Roman" w:cs="Times New Roman"/>
                <w:color w:val="333333"/>
                <w:kern w:val="2"/>
                <w:sz w:val="18"/>
                <w:szCs w:val="18"/>
                <w:shd w:val="clear" w:color="auto" w:fill="FFFFFF"/>
                <w:lang w:val="en-US"/>
                <w14:ligatures w14:val="standardContextual"/>
              </w:rPr>
              <w:t>2011/16/BE</w:t>
            </w:r>
            <w:r w:rsidRPr="003B7DC9">
              <w:rPr>
                <w:rFonts w:ascii="Times New Roman" w:hAnsi="Times New Roman" w:cs="Times New Roman"/>
                <w:color w:val="333333"/>
                <w:sz w:val="18"/>
                <w:szCs w:val="18"/>
                <w:shd w:val="clear" w:color="auto" w:fill="FFFFFF"/>
              </w:rPr>
              <w:t>,</w:t>
            </w:r>
            <w:r w:rsidR="00D85267" w:rsidRPr="004A5803">
              <w:rPr>
                <w:rFonts w:ascii="Times New Roman" w:hAnsi="Times New Roman" w:cs="Times New Roman"/>
                <w:color w:val="333333"/>
                <w:kern w:val="2"/>
                <w:sz w:val="18"/>
                <w:szCs w:val="18"/>
                <w:shd w:val="clear" w:color="auto" w:fill="FFFFFF"/>
                <w:lang w:val="en-US"/>
                <w14:ligatures w14:val="standardContextual"/>
              </w:rPr>
              <w:t xml:space="preserve"> e datës 15 shkurt 2011</w:t>
            </w:r>
            <w:r w:rsidRPr="003B7DC9">
              <w:rPr>
                <w:rFonts w:ascii="Times New Roman" w:hAnsi="Times New Roman" w:cs="Times New Roman"/>
                <w:color w:val="333333"/>
                <w:sz w:val="18"/>
                <w:szCs w:val="18"/>
                <w:shd w:val="clear" w:color="auto" w:fill="FFFFFF"/>
              </w:rPr>
              <w:t>,</w:t>
            </w:r>
            <w:r w:rsidR="00D85267" w:rsidRPr="004A5803">
              <w:rPr>
                <w:rFonts w:ascii="Times New Roman" w:hAnsi="Times New Roman" w:cs="Times New Roman"/>
                <w:color w:val="333333"/>
                <w:kern w:val="2"/>
                <w:sz w:val="18"/>
                <w:szCs w:val="18"/>
                <w:shd w:val="clear" w:color="auto" w:fill="FFFFFF"/>
                <w:lang w:val="en-US"/>
                <w14:ligatures w14:val="standardContextual"/>
              </w:rPr>
              <w:t xml:space="preserve"> për bashkëpunimin administrativ në fushën e tatimeve</w:t>
            </w:r>
            <w:r w:rsidRPr="003B7DC9">
              <w:rPr>
                <w:rFonts w:ascii="Times New Roman" w:hAnsi="Times New Roman" w:cs="Times New Roman"/>
                <w:color w:val="333333"/>
                <w:sz w:val="18"/>
                <w:szCs w:val="18"/>
                <w:shd w:val="clear" w:color="auto" w:fill="FFFFFF"/>
              </w:rPr>
              <w:t xml:space="preserve"> (DAC 1)</w:t>
            </w:r>
          </w:p>
        </w:tc>
        <w:tc>
          <w:tcPr>
            <w:tcW w:w="10350" w:type="dxa"/>
            <w:gridSpan w:val="5"/>
            <w:vAlign w:val="center"/>
          </w:tcPr>
          <w:p w14:paraId="3F8EDE76" w14:textId="77777777" w:rsidR="00B75638" w:rsidRDefault="00B75638" w:rsidP="00D85267">
            <w:pPr>
              <w:rPr>
                <w:rFonts w:ascii="Times New Roman" w:eastAsia="Calibri" w:hAnsi="Times New Roman" w:cs="Times New Roman"/>
                <w:sz w:val="18"/>
                <w:szCs w:val="18"/>
              </w:rPr>
            </w:pPr>
          </w:p>
          <w:p w14:paraId="47BF3160" w14:textId="7F0D62A9" w:rsidR="00D85267" w:rsidRPr="003B7DC9" w:rsidRDefault="00D85267" w:rsidP="00D85267">
            <w:pPr>
              <w:rPr>
                <w:rFonts w:ascii="Times New Roman" w:eastAsia="Calibri" w:hAnsi="Times New Roman" w:cs="Times New Roman"/>
                <w:sz w:val="18"/>
                <w:szCs w:val="18"/>
              </w:rPr>
            </w:pPr>
            <w:r w:rsidRPr="003B7DC9">
              <w:rPr>
                <w:rFonts w:ascii="Times New Roman" w:eastAsia="Calibri" w:hAnsi="Times New Roman" w:cs="Times New Roman"/>
                <w:sz w:val="18"/>
                <w:szCs w:val="18"/>
              </w:rPr>
              <w:t>Legjislacioni shqiptar</w:t>
            </w:r>
            <w:r w:rsidR="00CD102E" w:rsidRPr="003B7DC9">
              <w:rPr>
                <w:rFonts w:ascii="Times New Roman" w:eastAsia="Calibri" w:hAnsi="Times New Roman" w:cs="Times New Roman"/>
                <w:sz w:val="18"/>
                <w:szCs w:val="18"/>
              </w:rPr>
              <w:t xml:space="preserve"> i propozuar</w:t>
            </w:r>
            <w:r w:rsidRPr="003B7DC9">
              <w:rPr>
                <w:rFonts w:ascii="Times New Roman" w:eastAsia="Calibri" w:hAnsi="Times New Roman" w:cs="Times New Roman"/>
                <w:sz w:val="18"/>
                <w:szCs w:val="18"/>
              </w:rPr>
              <w:t>:</w:t>
            </w:r>
          </w:p>
          <w:p w14:paraId="5FC71A10" w14:textId="77777777" w:rsidR="00CD102E" w:rsidRPr="003B7DC9" w:rsidRDefault="00CD102E" w:rsidP="00D85267">
            <w:pPr>
              <w:rPr>
                <w:rFonts w:ascii="Times New Roman" w:eastAsia="Calibri" w:hAnsi="Times New Roman" w:cs="Times New Roman"/>
                <w:sz w:val="18"/>
                <w:szCs w:val="18"/>
              </w:rPr>
            </w:pPr>
          </w:p>
          <w:p w14:paraId="0CD60DB0" w14:textId="6284E08C" w:rsidR="00D85267" w:rsidRPr="003B7DC9" w:rsidRDefault="00CD102E" w:rsidP="00D85267">
            <w:pP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r w:rsidR="00D85267" w:rsidRPr="003B7DC9">
              <w:rPr>
                <w:rFonts w:ascii="Times New Roman" w:eastAsia="Calibri" w:hAnsi="Times New Roman" w:cs="Times New Roman"/>
                <w:sz w:val="18"/>
                <w:szCs w:val="18"/>
              </w:rPr>
              <w:t xml:space="preserve">. </w:t>
            </w:r>
            <w:r w:rsidR="00314559" w:rsidRPr="003B7DC9">
              <w:rPr>
                <w:rFonts w:ascii="Times New Roman" w:eastAsia="Calibri" w:hAnsi="Times New Roman" w:cs="Times New Roman"/>
                <w:sz w:val="18"/>
                <w:szCs w:val="18"/>
              </w:rPr>
              <w:t xml:space="preserve">Projektligji </w:t>
            </w:r>
            <w:r w:rsidR="00314559" w:rsidRPr="003B7DC9">
              <w:rPr>
                <w:rFonts w:ascii="Times New Roman" w:hAnsi="Times New Roman" w:cs="Times New Roman"/>
                <w:bCs/>
                <w:color w:val="242424"/>
                <w:sz w:val="18"/>
                <w:szCs w:val="18"/>
                <w:shd w:val="clear" w:color="auto" w:fill="FFFFFF"/>
                <w:lang w:val="en-US"/>
              </w:rPr>
              <w:t>“</w:t>
            </w:r>
            <w:r w:rsidR="00D85267" w:rsidRPr="003B7DC9">
              <w:rPr>
                <w:rFonts w:ascii="Times New Roman" w:eastAsia="Calibri" w:hAnsi="Times New Roman" w:cs="Times New Roman"/>
                <w:sz w:val="18"/>
                <w:szCs w:val="18"/>
              </w:rPr>
              <w:t>Për bashkëpunimin administrativ në fushën e tatimeve dhe shkëmbimin e informacionit tatimor</w:t>
            </w:r>
            <w:r w:rsidR="00314559" w:rsidRPr="003B7DC9">
              <w:rPr>
                <w:rFonts w:ascii="Times New Roman" w:eastAsia="Calibri" w:hAnsi="Times New Roman" w:cs="Times New Roman"/>
                <w:sz w:val="18"/>
                <w:szCs w:val="18"/>
              </w:rPr>
              <w:t>”</w:t>
            </w:r>
          </w:p>
          <w:p w14:paraId="6B7F059A" w14:textId="77777777" w:rsidR="00314559" w:rsidRPr="003B7DC9" w:rsidRDefault="00314559" w:rsidP="00D85267">
            <w:pPr>
              <w:rPr>
                <w:rFonts w:ascii="Times New Roman" w:eastAsia="Calibri" w:hAnsi="Times New Roman" w:cs="Times New Roman"/>
                <w:sz w:val="18"/>
                <w:szCs w:val="18"/>
              </w:rPr>
            </w:pPr>
          </w:p>
          <w:p w14:paraId="2D7E4974" w14:textId="483D75A7" w:rsidR="000D2737" w:rsidRDefault="00A11B44" w:rsidP="00D85267">
            <w:pPr>
              <w:rPr>
                <w:rFonts w:ascii="Times New Roman" w:eastAsia="Calibri" w:hAnsi="Times New Roman" w:cs="Times New Roman"/>
                <w:sz w:val="18"/>
                <w:szCs w:val="18"/>
              </w:rPr>
            </w:pPr>
            <w:r w:rsidRPr="00A11B44">
              <w:rPr>
                <w:rFonts w:ascii="Times New Roman" w:eastAsia="Calibri" w:hAnsi="Times New Roman" w:cs="Times New Roman"/>
                <w:sz w:val="18"/>
                <w:szCs w:val="18"/>
              </w:rPr>
              <w:t>Shkalla e përafrimit në total e projektaktit:</w:t>
            </w:r>
          </w:p>
          <w:p w14:paraId="79B06ACD" w14:textId="77777777" w:rsidR="00A11B44" w:rsidRPr="003B7DC9" w:rsidRDefault="00A11B44" w:rsidP="00D85267">
            <w:pPr>
              <w:rPr>
                <w:rFonts w:ascii="Times New Roman" w:eastAsia="Calibri" w:hAnsi="Times New Roman" w:cs="Times New Roman"/>
                <w:sz w:val="18"/>
                <w:szCs w:val="18"/>
              </w:rPr>
            </w:pPr>
          </w:p>
          <w:p w14:paraId="162B34C4" w14:textId="7A210EDC" w:rsidR="00D85267" w:rsidRPr="003B7DC9" w:rsidRDefault="00D85267" w:rsidP="00D85267">
            <w:pPr>
              <w:rPr>
                <w:rFonts w:ascii="Times New Roman" w:eastAsia="Calibri" w:hAnsi="Times New Roman" w:cs="Times New Roman"/>
                <w:sz w:val="18"/>
                <w:szCs w:val="18"/>
              </w:rPr>
            </w:pPr>
            <w:r w:rsidRPr="004A5803">
              <w:rPr>
                <w:rFonts w:ascii="Segoe UI Symbol" w:eastAsia="Calibri" w:hAnsi="Segoe UI Symbol" w:cs="Segoe UI Symbol"/>
                <w:sz w:val="18"/>
                <w:szCs w:val="18"/>
              </w:rPr>
              <w:t>✔</w:t>
            </w:r>
            <w:r w:rsidR="00E80EDB">
              <w:rPr>
                <w:rFonts w:ascii="Segoe UI Symbol" w:eastAsia="Calibri" w:hAnsi="Segoe UI Symbol" w:cs="Segoe UI Symbol"/>
                <w:sz w:val="18"/>
                <w:szCs w:val="18"/>
              </w:rPr>
              <w:t xml:space="preserve">  </w:t>
            </w:r>
            <w:r w:rsidRPr="003B7DC9">
              <w:rPr>
                <w:rFonts w:ascii="Times New Roman" w:eastAsia="Calibri" w:hAnsi="Times New Roman" w:cs="Times New Roman"/>
                <w:sz w:val="18"/>
                <w:szCs w:val="18"/>
              </w:rPr>
              <w:t xml:space="preserve"> F – </w:t>
            </w:r>
            <w:r w:rsidR="00CD102E" w:rsidRPr="003B7DC9">
              <w:rPr>
                <w:rFonts w:ascii="Times New Roman" w:eastAsia="Calibri" w:hAnsi="Times New Roman" w:cs="Times New Roman"/>
                <w:sz w:val="18"/>
                <w:szCs w:val="18"/>
              </w:rPr>
              <w:t>P</w:t>
            </w:r>
            <w:r w:rsidRPr="003B7DC9">
              <w:rPr>
                <w:rFonts w:ascii="Times New Roman" w:eastAsia="Calibri" w:hAnsi="Times New Roman" w:cs="Times New Roman"/>
                <w:sz w:val="18"/>
                <w:szCs w:val="18"/>
              </w:rPr>
              <w:t>ërputh</w:t>
            </w:r>
            <w:r w:rsidR="00CD102E" w:rsidRPr="003B7DC9">
              <w:rPr>
                <w:rFonts w:ascii="Times New Roman" w:eastAsia="Calibri" w:hAnsi="Times New Roman" w:cs="Times New Roman"/>
                <w:sz w:val="18"/>
                <w:szCs w:val="18"/>
              </w:rPr>
              <w:t>shmëri</w:t>
            </w:r>
            <w:r w:rsidRPr="003B7DC9">
              <w:rPr>
                <w:rFonts w:ascii="Times New Roman" w:eastAsia="Calibri" w:hAnsi="Times New Roman" w:cs="Times New Roman"/>
                <w:sz w:val="18"/>
                <w:szCs w:val="18"/>
              </w:rPr>
              <w:t xml:space="preserve"> e plotë</w:t>
            </w:r>
          </w:p>
          <w:p w14:paraId="1293FEED" w14:textId="450BA0CB" w:rsidR="00D85267" w:rsidRPr="003B7DC9" w:rsidRDefault="00CD102E" w:rsidP="00D85267">
            <w:pP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      </w:t>
            </w:r>
            <w:r w:rsidR="00D85267" w:rsidRPr="003B7DC9">
              <w:rPr>
                <w:rFonts w:ascii="Times New Roman" w:eastAsia="Calibri" w:hAnsi="Times New Roman" w:cs="Times New Roman"/>
                <w:sz w:val="18"/>
                <w:szCs w:val="18"/>
              </w:rPr>
              <w:t xml:space="preserve">P – </w:t>
            </w:r>
            <w:r w:rsidRPr="003B7DC9">
              <w:rPr>
                <w:rFonts w:ascii="Times New Roman" w:eastAsia="Calibri" w:hAnsi="Times New Roman" w:cs="Times New Roman"/>
                <w:sz w:val="18"/>
                <w:szCs w:val="18"/>
              </w:rPr>
              <w:t>P</w:t>
            </w:r>
            <w:r w:rsidR="00D85267" w:rsidRPr="003B7DC9">
              <w:rPr>
                <w:rFonts w:ascii="Times New Roman" w:eastAsia="Calibri" w:hAnsi="Times New Roman" w:cs="Times New Roman"/>
                <w:sz w:val="18"/>
                <w:szCs w:val="18"/>
              </w:rPr>
              <w:t>ërputh</w:t>
            </w:r>
            <w:r w:rsidRPr="003B7DC9">
              <w:rPr>
                <w:rFonts w:ascii="Times New Roman" w:eastAsia="Calibri" w:hAnsi="Times New Roman" w:cs="Times New Roman"/>
                <w:sz w:val="18"/>
                <w:szCs w:val="18"/>
              </w:rPr>
              <w:t>shmëri</w:t>
            </w:r>
            <w:r w:rsidR="00D85267" w:rsidRPr="003B7DC9">
              <w:rPr>
                <w:rFonts w:ascii="Times New Roman" w:eastAsia="Calibri" w:hAnsi="Times New Roman" w:cs="Times New Roman"/>
                <w:sz w:val="18"/>
                <w:szCs w:val="18"/>
              </w:rPr>
              <w:t xml:space="preserve"> e pjesshme</w:t>
            </w:r>
          </w:p>
          <w:p w14:paraId="6BC4DEF2" w14:textId="6A245E51" w:rsidR="00922FEB" w:rsidRPr="003B7DC9" w:rsidRDefault="00CD102E" w:rsidP="00D85267">
            <w:pP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      </w:t>
            </w:r>
            <w:r w:rsidR="00D85267" w:rsidRPr="003B7DC9">
              <w:rPr>
                <w:rFonts w:ascii="Times New Roman" w:eastAsia="Calibri" w:hAnsi="Times New Roman" w:cs="Times New Roman"/>
                <w:sz w:val="18"/>
                <w:szCs w:val="18"/>
              </w:rPr>
              <w:t xml:space="preserve">N – </w:t>
            </w:r>
            <w:r w:rsidRPr="003B7DC9">
              <w:rPr>
                <w:rFonts w:ascii="Times New Roman" w:eastAsia="Calibri" w:hAnsi="Times New Roman" w:cs="Times New Roman"/>
                <w:sz w:val="18"/>
                <w:szCs w:val="18"/>
              </w:rPr>
              <w:t>I papërputhur</w:t>
            </w:r>
          </w:p>
          <w:p w14:paraId="7AA9D97B" w14:textId="77777777" w:rsidR="00922FEB" w:rsidRPr="003B7DC9" w:rsidRDefault="00922FEB" w:rsidP="00036F88">
            <w:pP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 </w:t>
            </w:r>
          </w:p>
        </w:tc>
      </w:tr>
      <w:tr w:rsidR="00260632" w:rsidRPr="003B7DC9" w14:paraId="01827783" w14:textId="77777777" w:rsidTr="00B75638">
        <w:trPr>
          <w:tblHeader/>
        </w:trPr>
        <w:tc>
          <w:tcPr>
            <w:tcW w:w="630" w:type="dxa"/>
            <w:shd w:val="clear" w:color="auto" w:fill="BFBFBF"/>
          </w:tcPr>
          <w:p w14:paraId="52A84D2B" w14:textId="721D3075" w:rsidR="004F619A" w:rsidRPr="003B7DC9" w:rsidRDefault="004F619A" w:rsidP="00036F88">
            <w:pPr>
              <w:jc w:val="center"/>
              <w:rPr>
                <w:rFonts w:ascii="Times New Roman" w:eastAsia="Times New Roman" w:hAnsi="Times New Roman" w:cs="Times New Roman"/>
                <w:sz w:val="18"/>
                <w:szCs w:val="18"/>
              </w:rPr>
            </w:pPr>
            <w:r w:rsidRPr="003B7DC9">
              <w:rPr>
                <w:rFonts w:ascii="Times New Roman" w:hAnsi="Times New Roman" w:cs="Times New Roman"/>
                <w:sz w:val="18"/>
                <w:szCs w:val="18"/>
              </w:rPr>
              <w:t>1</w:t>
            </w:r>
          </w:p>
        </w:tc>
        <w:tc>
          <w:tcPr>
            <w:tcW w:w="5220" w:type="dxa"/>
            <w:shd w:val="clear" w:color="auto" w:fill="BFBFBF"/>
          </w:tcPr>
          <w:p w14:paraId="1DA553D3" w14:textId="64D8F57B" w:rsidR="004F619A" w:rsidRPr="003B7DC9" w:rsidRDefault="004F619A" w:rsidP="00036F88">
            <w:pPr>
              <w:jc w:val="center"/>
              <w:rPr>
                <w:rFonts w:ascii="Times New Roman" w:eastAsia="Times New Roman" w:hAnsi="Times New Roman" w:cs="Times New Roman"/>
                <w:i/>
                <w:sz w:val="18"/>
                <w:szCs w:val="18"/>
              </w:rPr>
            </w:pPr>
            <w:r w:rsidRPr="003B7DC9">
              <w:rPr>
                <w:rFonts w:ascii="Times New Roman" w:hAnsi="Times New Roman" w:cs="Times New Roman"/>
                <w:sz w:val="18"/>
                <w:szCs w:val="18"/>
              </w:rPr>
              <w:t>2</w:t>
            </w:r>
          </w:p>
        </w:tc>
        <w:tc>
          <w:tcPr>
            <w:tcW w:w="1170" w:type="dxa"/>
            <w:shd w:val="clear" w:color="auto" w:fill="BFBFBF"/>
          </w:tcPr>
          <w:p w14:paraId="6A8D7A06" w14:textId="724E6EFC" w:rsidR="004F619A" w:rsidRPr="003B7DC9" w:rsidRDefault="004F619A" w:rsidP="00036F88">
            <w:pPr>
              <w:jc w:val="center"/>
              <w:rPr>
                <w:rFonts w:ascii="Times New Roman" w:eastAsia="Times New Roman" w:hAnsi="Times New Roman" w:cs="Times New Roman"/>
                <w:i/>
                <w:sz w:val="18"/>
                <w:szCs w:val="18"/>
              </w:rPr>
            </w:pPr>
            <w:r w:rsidRPr="003B7DC9">
              <w:rPr>
                <w:rFonts w:ascii="Times New Roman" w:hAnsi="Times New Roman" w:cs="Times New Roman"/>
                <w:sz w:val="18"/>
                <w:szCs w:val="18"/>
              </w:rPr>
              <w:t>3</w:t>
            </w:r>
          </w:p>
        </w:tc>
        <w:tc>
          <w:tcPr>
            <w:tcW w:w="720" w:type="dxa"/>
            <w:shd w:val="clear" w:color="auto" w:fill="BFBFBF"/>
          </w:tcPr>
          <w:p w14:paraId="508F371C" w14:textId="4604AAB0" w:rsidR="004F619A" w:rsidRPr="003B7DC9" w:rsidRDefault="004F619A" w:rsidP="00036F88">
            <w:pPr>
              <w:jc w:val="center"/>
              <w:rPr>
                <w:rFonts w:ascii="Times New Roman" w:eastAsia="Times New Roman" w:hAnsi="Times New Roman" w:cs="Times New Roman"/>
                <w:i/>
                <w:sz w:val="18"/>
                <w:szCs w:val="18"/>
              </w:rPr>
            </w:pPr>
            <w:r w:rsidRPr="003B7DC9">
              <w:rPr>
                <w:rFonts w:ascii="Times New Roman" w:hAnsi="Times New Roman" w:cs="Times New Roman"/>
                <w:sz w:val="18"/>
                <w:szCs w:val="18"/>
              </w:rPr>
              <w:t>4</w:t>
            </w:r>
          </w:p>
        </w:tc>
        <w:tc>
          <w:tcPr>
            <w:tcW w:w="4320" w:type="dxa"/>
            <w:shd w:val="clear" w:color="auto" w:fill="BFBFBF"/>
          </w:tcPr>
          <w:p w14:paraId="2141FB79" w14:textId="3C150691" w:rsidR="004F619A" w:rsidRPr="003B7DC9" w:rsidRDefault="004F619A" w:rsidP="00036F88">
            <w:pPr>
              <w:jc w:val="center"/>
              <w:rPr>
                <w:rFonts w:ascii="Times New Roman" w:eastAsia="Times New Roman" w:hAnsi="Times New Roman" w:cs="Times New Roman"/>
                <w:i/>
                <w:sz w:val="18"/>
                <w:szCs w:val="18"/>
              </w:rPr>
            </w:pPr>
            <w:r w:rsidRPr="003B7DC9">
              <w:rPr>
                <w:rFonts w:ascii="Times New Roman" w:hAnsi="Times New Roman" w:cs="Times New Roman"/>
                <w:sz w:val="18"/>
                <w:szCs w:val="18"/>
              </w:rPr>
              <w:t>5</w:t>
            </w:r>
          </w:p>
        </w:tc>
        <w:tc>
          <w:tcPr>
            <w:tcW w:w="1080" w:type="dxa"/>
            <w:shd w:val="clear" w:color="auto" w:fill="BFBFBF"/>
          </w:tcPr>
          <w:p w14:paraId="7B5923AD" w14:textId="0DA9C058" w:rsidR="004F619A" w:rsidRPr="003B7DC9" w:rsidRDefault="004F619A" w:rsidP="00036F88">
            <w:pPr>
              <w:jc w:val="center"/>
              <w:rPr>
                <w:rFonts w:ascii="Times New Roman" w:eastAsia="Times New Roman" w:hAnsi="Times New Roman" w:cs="Times New Roman"/>
                <w:i/>
                <w:sz w:val="18"/>
                <w:szCs w:val="18"/>
              </w:rPr>
            </w:pPr>
            <w:r w:rsidRPr="003B7DC9">
              <w:rPr>
                <w:rFonts w:ascii="Times New Roman" w:hAnsi="Times New Roman" w:cs="Times New Roman"/>
                <w:sz w:val="18"/>
                <w:szCs w:val="18"/>
              </w:rPr>
              <w:t>6</w:t>
            </w:r>
          </w:p>
        </w:tc>
        <w:tc>
          <w:tcPr>
            <w:tcW w:w="3060" w:type="dxa"/>
            <w:shd w:val="clear" w:color="auto" w:fill="BFBFBF"/>
          </w:tcPr>
          <w:p w14:paraId="25BA9212" w14:textId="4444B760" w:rsidR="004F619A" w:rsidRPr="003B7DC9" w:rsidRDefault="004F619A" w:rsidP="00036F88">
            <w:pPr>
              <w:jc w:val="center"/>
              <w:rPr>
                <w:rFonts w:ascii="Times New Roman" w:eastAsia="Times New Roman" w:hAnsi="Times New Roman" w:cs="Times New Roman"/>
                <w:i/>
                <w:sz w:val="18"/>
                <w:szCs w:val="18"/>
              </w:rPr>
            </w:pPr>
            <w:r w:rsidRPr="003B7DC9">
              <w:rPr>
                <w:rFonts w:ascii="Times New Roman" w:hAnsi="Times New Roman" w:cs="Times New Roman"/>
                <w:sz w:val="18"/>
                <w:szCs w:val="18"/>
              </w:rPr>
              <w:t>7</w:t>
            </w:r>
          </w:p>
        </w:tc>
      </w:tr>
      <w:tr w:rsidR="00260632" w:rsidRPr="003B7DC9" w14:paraId="405531F1" w14:textId="77777777" w:rsidTr="00B75638">
        <w:trPr>
          <w:tblHeader/>
        </w:trPr>
        <w:tc>
          <w:tcPr>
            <w:tcW w:w="630" w:type="dxa"/>
            <w:shd w:val="clear" w:color="auto" w:fill="BFBFBF"/>
            <w:vAlign w:val="center"/>
          </w:tcPr>
          <w:p w14:paraId="1E9FDE14" w14:textId="104329B6" w:rsidR="004F619A" w:rsidRPr="003B7DC9" w:rsidRDefault="00CD102E" w:rsidP="00036F88">
            <w:pPr>
              <w:jc w:val="center"/>
              <w:rPr>
                <w:rFonts w:ascii="Times New Roman" w:eastAsia="Times New Roman" w:hAnsi="Times New Roman" w:cs="Times New Roman"/>
                <w:sz w:val="18"/>
                <w:szCs w:val="18"/>
                <w:lang w:val="en-US"/>
              </w:rPr>
            </w:pPr>
            <w:r w:rsidRPr="003B7DC9">
              <w:rPr>
                <w:rFonts w:ascii="Times New Roman" w:eastAsia="Times New Roman" w:hAnsi="Times New Roman" w:cs="Times New Roman"/>
                <w:sz w:val="18"/>
                <w:szCs w:val="18"/>
                <w:lang w:val="en-US"/>
              </w:rPr>
              <w:t xml:space="preserve">Neni </w:t>
            </w:r>
          </w:p>
        </w:tc>
        <w:tc>
          <w:tcPr>
            <w:tcW w:w="5220" w:type="dxa"/>
            <w:shd w:val="clear" w:color="auto" w:fill="BFBFBF"/>
            <w:vAlign w:val="center"/>
          </w:tcPr>
          <w:p w14:paraId="76176853" w14:textId="76F3F67F" w:rsidR="004F619A" w:rsidRPr="004A5803" w:rsidRDefault="00D85267" w:rsidP="00036F88">
            <w:pPr>
              <w:jc w:val="center"/>
              <w:rPr>
                <w:rFonts w:ascii="Times New Roman" w:eastAsia="Times New Roman" w:hAnsi="Times New Roman" w:cs="Times New Roman"/>
                <w:sz w:val="18"/>
                <w:szCs w:val="18"/>
                <w:lang w:val="en-US"/>
              </w:rPr>
            </w:pPr>
            <w:r w:rsidRPr="004A5803">
              <w:rPr>
                <w:rFonts w:ascii="Times New Roman" w:eastAsia="Times New Roman" w:hAnsi="Times New Roman" w:cs="Times New Roman"/>
                <w:sz w:val="18"/>
                <w:szCs w:val="18"/>
              </w:rPr>
              <w:t>Teksti</w:t>
            </w:r>
          </w:p>
        </w:tc>
        <w:tc>
          <w:tcPr>
            <w:tcW w:w="1170" w:type="dxa"/>
            <w:shd w:val="clear" w:color="auto" w:fill="BFBFBF"/>
            <w:vAlign w:val="center"/>
          </w:tcPr>
          <w:p w14:paraId="7B0A27CB" w14:textId="725D9169" w:rsidR="004F619A" w:rsidRPr="004A5803" w:rsidRDefault="004F619A" w:rsidP="00036F88">
            <w:pPr>
              <w:jc w:val="center"/>
              <w:rPr>
                <w:rFonts w:ascii="Times New Roman" w:eastAsia="Times New Roman" w:hAnsi="Times New Roman" w:cs="Times New Roman"/>
                <w:sz w:val="18"/>
                <w:szCs w:val="18"/>
                <w:lang w:val="en-US"/>
              </w:rPr>
            </w:pPr>
            <w:r w:rsidRPr="004A5803">
              <w:rPr>
                <w:rFonts w:ascii="Times New Roman" w:eastAsia="Times New Roman" w:hAnsi="Times New Roman" w:cs="Times New Roman"/>
                <w:sz w:val="18"/>
                <w:szCs w:val="18"/>
              </w:rPr>
              <w:t>Referenc</w:t>
            </w:r>
            <w:r w:rsidR="00261F33" w:rsidRPr="004A5803">
              <w:rPr>
                <w:rFonts w:ascii="Times New Roman" w:eastAsia="Times New Roman" w:hAnsi="Times New Roman" w:cs="Times New Roman"/>
                <w:sz w:val="18"/>
                <w:szCs w:val="18"/>
              </w:rPr>
              <w:t>a</w:t>
            </w:r>
          </w:p>
        </w:tc>
        <w:tc>
          <w:tcPr>
            <w:tcW w:w="720" w:type="dxa"/>
            <w:shd w:val="clear" w:color="auto" w:fill="BFBFBF"/>
            <w:vAlign w:val="center"/>
          </w:tcPr>
          <w:p w14:paraId="4FA58976" w14:textId="7BA3EE40" w:rsidR="004F619A" w:rsidRPr="004A5803" w:rsidRDefault="006F56F7" w:rsidP="00036F88">
            <w:pPr>
              <w:jc w:val="center"/>
              <w:rPr>
                <w:rFonts w:ascii="Times New Roman" w:eastAsia="Times New Roman" w:hAnsi="Times New Roman" w:cs="Times New Roman"/>
                <w:sz w:val="18"/>
                <w:szCs w:val="18"/>
                <w:lang w:val="en-US"/>
              </w:rPr>
            </w:pPr>
            <w:r w:rsidRPr="003B7DC9">
              <w:rPr>
                <w:rFonts w:ascii="Times New Roman" w:eastAsia="Times New Roman" w:hAnsi="Times New Roman" w:cs="Times New Roman"/>
                <w:sz w:val="18"/>
                <w:szCs w:val="18"/>
                <w:lang w:val="en-US"/>
              </w:rPr>
              <w:t>Neni</w:t>
            </w:r>
          </w:p>
        </w:tc>
        <w:tc>
          <w:tcPr>
            <w:tcW w:w="4320" w:type="dxa"/>
            <w:shd w:val="clear" w:color="auto" w:fill="BFBFBF"/>
            <w:vAlign w:val="center"/>
          </w:tcPr>
          <w:p w14:paraId="1C97514E" w14:textId="2C9E708D" w:rsidR="004F619A" w:rsidRPr="004A5803" w:rsidRDefault="004F619A" w:rsidP="00036F88">
            <w:pPr>
              <w:jc w:val="center"/>
              <w:rPr>
                <w:rFonts w:ascii="Times New Roman" w:eastAsia="Times New Roman" w:hAnsi="Times New Roman" w:cs="Times New Roman"/>
                <w:sz w:val="18"/>
                <w:szCs w:val="18"/>
                <w:lang w:val="en-US"/>
              </w:rPr>
            </w:pPr>
            <w:r w:rsidRPr="004A5803">
              <w:rPr>
                <w:rFonts w:ascii="Times New Roman" w:eastAsia="Times New Roman" w:hAnsi="Times New Roman" w:cs="Times New Roman"/>
                <w:sz w:val="18"/>
                <w:szCs w:val="18"/>
              </w:rPr>
              <w:t>Te</w:t>
            </w:r>
            <w:r w:rsidR="00261F33" w:rsidRPr="004A5803">
              <w:rPr>
                <w:rFonts w:ascii="Times New Roman" w:eastAsia="Times New Roman" w:hAnsi="Times New Roman" w:cs="Times New Roman"/>
                <w:sz w:val="18"/>
                <w:szCs w:val="18"/>
              </w:rPr>
              <w:t>ksti</w:t>
            </w:r>
          </w:p>
        </w:tc>
        <w:tc>
          <w:tcPr>
            <w:tcW w:w="1080" w:type="dxa"/>
            <w:shd w:val="clear" w:color="auto" w:fill="BFBFBF"/>
            <w:vAlign w:val="center"/>
          </w:tcPr>
          <w:p w14:paraId="7416E437" w14:textId="0F2CB300" w:rsidR="004F619A" w:rsidRPr="004A5803" w:rsidRDefault="00261F33" w:rsidP="00036F88">
            <w:pPr>
              <w:jc w:val="center"/>
              <w:rPr>
                <w:rFonts w:ascii="Times New Roman" w:eastAsia="Times New Roman" w:hAnsi="Times New Roman" w:cs="Times New Roman"/>
                <w:sz w:val="18"/>
                <w:szCs w:val="18"/>
                <w:lang w:val="en-US"/>
              </w:rPr>
            </w:pPr>
            <w:r w:rsidRPr="004A5803">
              <w:rPr>
                <w:rFonts w:ascii="Times New Roman" w:eastAsia="Times New Roman" w:hAnsi="Times New Roman" w:cs="Times New Roman"/>
                <w:sz w:val="18"/>
                <w:szCs w:val="18"/>
              </w:rPr>
              <w:t>Përputhshmëria</w:t>
            </w:r>
          </w:p>
        </w:tc>
        <w:tc>
          <w:tcPr>
            <w:tcW w:w="3060" w:type="dxa"/>
            <w:shd w:val="clear" w:color="auto" w:fill="BFBFBF"/>
            <w:vAlign w:val="center"/>
          </w:tcPr>
          <w:p w14:paraId="2D3E0BBE" w14:textId="63F5DB26" w:rsidR="004F619A" w:rsidRPr="004A5803" w:rsidRDefault="00261F33" w:rsidP="00036F88">
            <w:pPr>
              <w:jc w:val="center"/>
              <w:rPr>
                <w:rFonts w:ascii="Times New Roman" w:eastAsia="Times New Roman" w:hAnsi="Times New Roman" w:cs="Times New Roman"/>
                <w:sz w:val="18"/>
                <w:szCs w:val="18"/>
                <w:lang w:val="en-US"/>
              </w:rPr>
            </w:pPr>
            <w:r w:rsidRPr="004A5803">
              <w:rPr>
                <w:rFonts w:ascii="Times New Roman" w:eastAsia="Times New Roman" w:hAnsi="Times New Roman" w:cs="Times New Roman"/>
                <w:sz w:val="18"/>
                <w:szCs w:val="18"/>
              </w:rPr>
              <w:t>Shënime</w:t>
            </w:r>
          </w:p>
        </w:tc>
      </w:tr>
    </w:tbl>
    <w:p w14:paraId="1F69D40D" w14:textId="3855042B" w:rsidR="00922FEB" w:rsidRPr="003B7DC9" w:rsidRDefault="00922FEB" w:rsidP="00036F88">
      <w:pPr>
        <w:spacing w:after="200" w:line="240" w:lineRule="auto"/>
        <w:rPr>
          <w:rFonts w:ascii="Times New Roman" w:eastAsia="Calibri" w:hAnsi="Times New Roman" w:cs="Times New Roman"/>
          <w:kern w:val="0"/>
          <w:sz w:val="18"/>
          <w:szCs w:val="18"/>
          <w14:ligatures w14:val="none"/>
        </w:rPr>
      </w:pPr>
    </w:p>
    <w:tbl>
      <w:tblPr>
        <w:tblStyle w:val="TableGrid"/>
        <w:tblW w:w="16200" w:type="dxa"/>
        <w:tblInd w:w="-1085" w:type="dxa"/>
        <w:tblLayout w:type="fixed"/>
        <w:tblLook w:val="04A0" w:firstRow="1" w:lastRow="0" w:firstColumn="1" w:lastColumn="0" w:noHBand="0" w:noVBand="1"/>
      </w:tblPr>
      <w:tblGrid>
        <w:gridCol w:w="630"/>
        <w:gridCol w:w="5220"/>
        <w:gridCol w:w="1170"/>
        <w:gridCol w:w="720"/>
        <w:gridCol w:w="4334"/>
        <w:gridCol w:w="1066"/>
        <w:gridCol w:w="3060"/>
      </w:tblGrid>
      <w:tr w:rsidR="00260632" w:rsidRPr="003B7DC9" w14:paraId="32F4D837" w14:textId="77777777" w:rsidTr="00B75638">
        <w:trPr>
          <w:tblHeader/>
        </w:trPr>
        <w:tc>
          <w:tcPr>
            <w:tcW w:w="630" w:type="dxa"/>
            <w:shd w:val="clear" w:color="auto" w:fill="BFBFBF"/>
          </w:tcPr>
          <w:p w14:paraId="623B109C" w14:textId="4AA779B1" w:rsidR="000A7EA3" w:rsidRPr="003B7DC9" w:rsidRDefault="000A7EA3" w:rsidP="00036F88">
            <w:pPr>
              <w:jc w:val="center"/>
              <w:rPr>
                <w:rFonts w:ascii="Times New Roman" w:eastAsia="Times New Roman" w:hAnsi="Times New Roman" w:cs="Times New Roman"/>
                <w:sz w:val="18"/>
                <w:szCs w:val="18"/>
              </w:rPr>
            </w:pPr>
            <w:r w:rsidRPr="003B7DC9">
              <w:rPr>
                <w:rFonts w:ascii="Times New Roman" w:hAnsi="Times New Roman" w:cs="Times New Roman"/>
                <w:sz w:val="18"/>
                <w:szCs w:val="18"/>
              </w:rPr>
              <w:t>1</w:t>
            </w:r>
          </w:p>
        </w:tc>
        <w:tc>
          <w:tcPr>
            <w:tcW w:w="5220" w:type="dxa"/>
            <w:shd w:val="clear" w:color="auto" w:fill="BFBFBF"/>
          </w:tcPr>
          <w:p w14:paraId="0EF916BA" w14:textId="15F44D6D" w:rsidR="000A7EA3" w:rsidRPr="003B7DC9" w:rsidRDefault="000A7EA3" w:rsidP="00036F88">
            <w:pPr>
              <w:jc w:val="center"/>
              <w:rPr>
                <w:rFonts w:ascii="Times New Roman" w:eastAsia="Times New Roman" w:hAnsi="Times New Roman" w:cs="Times New Roman"/>
                <w:iCs/>
                <w:sz w:val="18"/>
                <w:szCs w:val="18"/>
              </w:rPr>
            </w:pPr>
            <w:r w:rsidRPr="003B7DC9">
              <w:rPr>
                <w:rFonts w:ascii="Times New Roman" w:hAnsi="Times New Roman" w:cs="Times New Roman"/>
                <w:sz w:val="18"/>
                <w:szCs w:val="18"/>
              </w:rPr>
              <w:t>2</w:t>
            </w:r>
          </w:p>
        </w:tc>
        <w:tc>
          <w:tcPr>
            <w:tcW w:w="1170" w:type="dxa"/>
            <w:shd w:val="clear" w:color="auto" w:fill="D0CECE" w:themeFill="background2" w:themeFillShade="E6"/>
          </w:tcPr>
          <w:p w14:paraId="04E9A02F" w14:textId="584B0512" w:rsidR="000A7EA3" w:rsidRPr="003B7DC9" w:rsidRDefault="000A7EA3" w:rsidP="00036F88">
            <w:pPr>
              <w:jc w:val="center"/>
              <w:rPr>
                <w:rFonts w:ascii="Times New Roman" w:hAnsi="Times New Roman" w:cs="Times New Roman"/>
                <w:sz w:val="18"/>
                <w:szCs w:val="18"/>
              </w:rPr>
            </w:pPr>
            <w:r w:rsidRPr="003B7DC9">
              <w:rPr>
                <w:rFonts w:ascii="Times New Roman" w:hAnsi="Times New Roman" w:cs="Times New Roman"/>
                <w:sz w:val="18"/>
                <w:szCs w:val="18"/>
              </w:rPr>
              <w:t>3</w:t>
            </w:r>
          </w:p>
        </w:tc>
        <w:tc>
          <w:tcPr>
            <w:tcW w:w="720" w:type="dxa"/>
            <w:shd w:val="clear" w:color="auto" w:fill="BFBFBF"/>
          </w:tcPr>
          <w:p w14:paraId="11B2F0E9" w14:textId="510E5F67" w:rsidR="000A7EA3" w:rsidRPr="003B7DC9" w:rsidRDefault="000A7EA3" w:rsidP="00036F88">
            <w:pPr>
              <w:jc w:val="center"/>
              <w:rPr>
                <w:rFonts w:ascii="Times New Roman" w:eastAsia="Times New Roman" w:hAnsi="Times New Roman" w:cs="Times New Roman"/>
                <w:i/>
                <w:sz w:val="18"/>
                <w:szCs w:val="18"/>
              </w:rPr>
            </w:pPr>
            <w:r w:rsidRPr="003B7DC9">
              <w:rPr>
                <w:rFonts w:ascii="Times New Roman" w:hAnsi="Times New Roman" w:cs="Times New Roman"/>
                <w:sz w:val="18"/>
                <w:szCs w:val="18"/>
              </w:rPr>
              <w:t>4</w:t>
            </w:r>
          </w:p>
        </w:tc>
        <w:tc>
          <w:tcPr>
            <w:tcW w:w="4334" w:type="dxa"/>
            <w:shd w:val="clear" w:color="auto" w:fill="BFBFBF"/>
          </w:tcPr>
          <w:p w14:paraId="18D0D936" w14:textId="2F6EC06B" w:rsidR="000A7EA3" w:rsidRPr="003B7DC9" w:rsidRDefault="000A7EA3" w:rsidP="00036F88">
            <w:pPr>
              <w:jc w:val="center"/>
              <w:rPr>
                <w:rFonts w:ascii="Times New Roman" w:eastAsia="Times New Roman" w:hAnsi="Times New Roman" w:cs="Times New Roman"/>
                <w:i/>
                <w:sz w:val="18"/>
                <w:szCs w:val="18"/>
              </w:rPr>
            </w:pPr>
            <w:r w:rsidRPr="003B7DC9">
              <w:rPr>
                <w:rFonts w:ascii="Times New Roman" w:hAnsi="Times New Roman" w:cs="Times New Roman"/>
                <w:sz w:val="18"/>
                <w:szCs w:val="18"/>
              </w:rPr>
              <w:t>5</w:t>
            </w:r>
          </w:p>
        </w:tc>
        <w:tc>
          <w:tcPr>
            <w:tcW w:w="1066" w:type="dxa"/>
            <w:shd w:val="clear" w:color="auto" w:fill="BFBFBF"/>
          </w:tcPr>
          <w:p w14:paraId="1F29B9CC" w14:textId="46D8A615" w:rsidR="000A7EA3" w:rsidRPr="003B7DC9" w:rsidRDefault="000A7EA3" w:rsidP="00036F88">
            <w:pPr>
              <w:jc w:val="center"/>
              <w:rPr>
                <w:rFonts w:ascii="Times New Roman" w:eastAsia="Times New Roman" w:hAnsi="Times New Roman" w:cs="Times New Roman"/>
                <w:i/>
                <w:sz w:val="18"/>
                <w:szCs w:val="18"/>
              </w:rPr>
            </w:pPr>
            <w:r w:rsidRPr="003B7DC9">
              <w:rPr>
                <w:rFonts w:ascii="Times New Roman" w:hAnsi="Times New Roman" w:cs="Times New Roman"/>
                <w:sz w:val="18"/>
                <w:szCs w:val="18"/>
              </w:rPr>
              <w:t>6</w:t>
            </w:r>
          </w:p>
        </w:tc>
        <w:tc>
          <w:tcPr>
            <w:tcW w:w="3060" w:type="dxa"/>
            <w:shd w:val="clear" w:color="auto" w:fill="BFBFBF"/>
          </w:tcPr>
          <w:p w14:paraId="1EC97E09" w14:textId="00684BF9" w:rsidR="000A7EA3" w:rsidRPr="003B7DC9" w:rsidRDefault="000A7EA3" w:rsidP="00036F88">
            <w:pPr>
              <w:jc w:val="center"/>
              <w:rPr>
                <w:rFonts w:ascii="Times New Roman" w:eastAsia="Times New Roman" w:hAnsi="Times New Roman" w:cs="Times New Roman"/>
                <w:i/>
                <w:sz w:val="18"/>
                <w:szCs w:val="18"/>
              </w:rPr>
            </w:pPr>
            <w:r w:rsidRPr="003B7DC9">
              <w:rPr>
                <w:rFonts w:ascii="Times New Roman" w:hAnsi="Times New Roman" w:cs="Times New Roman"/>
                <w:sz w:val="18"/>
                <w:szCs w:val="18"/>
              </w:rPr>
              <w:t>7</w:t>
            </w:r>
          </w:p>
        </w:tc>
      </w:tr>
      <w:tr w:rsidR="00B41BE2" w:rsidRPr="003B7DC9" w14:paraId="33DF4310" w14:textId="77777777" w:rsidTr="00B75638">
        <w:trPr>
          <w:tblHeader/>
        </w:trPr>
        <w:tc>
          <w:tcPr>
            <w:tcW w:w="630" w:type="dxa"/>
            <w:shd w:val="clear" w:color="auto" w:fill="BFBFBF"/>
            <w:vAlign w:val="center"/>
          </w:tcPr>
          <w:p w14:paraId="39F8C6F9" w14:textId="7711BCB9" w:rsidR="00B41BE2" w:rsidRPr="003B7DC9" w:rsidRDefault="00B41BE2" w:rsidP="00B41BE2">
            <w:pPr>
              <w:jc w:val="center"/>
              <w:rPr>
                <w:rFonts w:ascii="Times New Roman" w:eastAsia="Times New Roman" w:hAnsi="Times New Roman" w:cs="Times New Roman"/>
                <w:sz w:val="18"/>
                <w:szCs w:val="18"/>
                <w:lang w:val="en-US"/>
              </w:rPr>
            </w:pPr>
            <w:r w:rsidRPr="003B7DC9">
              <w:rPr>
                <w:rFonts w:ascii="Times New Roman" w:eastAsia="Times New Roman" w:hAnsi="Times New Roman" w:cs="Times New Roman"/>
                <w:sz w:val="18"/>
                <w:szCs w:val="18"/>
                <w:lang w:val="en-US"/>
              </w:rPr>
              <w:t xml:space="preserve">Neni </w:t>
            </w:r>
          </w:p>
        </w:tc>
        <w:tc>
          <w:tcPr>
            <w:tcW w:w="5220" w:type="dxa"/>
            <w:shd w:val="clear" w:color="auto" w:fill="BFBFBF"/>
            <w:vAlign w:val="center"/>
          </w:tcPr>
          <w:p w14:paraId="17F6068A" w14:textId="3D8C18CF" w:rsidR="00B41BE2" w:rsidRPr="003B7DC9" w:rsidRDefault="00B41BE2" w:rsidP="00B41BE2">
            <w:pPr>
              <w:jc w:val="center"/>
              <w:rPr>
                <w:rFonts w:ascii="Times New Roman" w:eastAsia="Times New Roman" w:hAnsi="Times New Roman" w:cs="Times New Roman"/>
                <w:sz w:val="18"/>
                <w:szCs w:val="18"/>
                <w:lang w:val="en-US"/>
              </w:rPr>
            </w:pPr>
            <w:r w:rsidRPr="003B7DC9">
              <w:rPr>
                <w:rFonts w:ascii="Times New Roman" w:eastAsia="Times New Roman" w:hAnsi="Times New Roman" w:cs="Times New Roman"/>
                <w:sz w:val="18"/>
                <w:szCs w:val="18"/>
                <w:lang w:val="en-US"/>
              </w:rPr>
              <w:t>Teksti</w:t>
            </w:r>
          </w:p>
        </w:tc>
        <w:tc>
          <w:tcPr>
            <w:tcW w:w="1170" w:type="dxa"/>
            <w:shd w:val="clear" w:color="auto" w:fill="D0CECE" w:themeFill="background2" w:themeFillShade="E6"/>
            <w:vAlign w:val="center"/>
          </w:tcPr>
          <w:p w14:paraId="476E07DB" w14:textId="5AF803DC" w:rsidR="00B41BE2" w:rsidRPr="003B7DC9" w:rsidRDefault="00B41BE2" w:rsidP="00B41BE2">
            <w:pPr>
              <w:jc w:val="center"/>
              <w:rPr>
                <w:rFonts w:ascii="Times New Roman" w:hAnsi="Times New Roman" w:cs="Times New Roman"/>
                <w:sz w:val="18"/>
                <w:szCs w:val="18"/>
              </w:rPr>
            </w:pPr>
            <w:r w:rsidRPr="003B7DC9">
              <w:rPr>
                <w:rFonts w:ascii="Times New Roman" w:eastAsia="Times New Roman" w:hAnsi="Times New Roman" w:cs="Times New Roman"/>
                <w:sz w:val="18"/>
                <w:szCs w:val="18"/>
                <w:lang w:val="en-US"/>
              </w:rPr>
              <w:t>Referenca</w:t>
            </w:r>
          </w:p>
        </w:tc>
        <w:tc>
          <w:tcPr>
            <w:tcW w:w="720" w:type="dxa"/>
            <w:shd w:val="clear" w:color="auto" w:fill="BFBFBF"/>
            <w:vAlign w:val="center"/>
          </w:tcPr>
          <w:p w14:paraId="5B81B475" w14:textId="75F3F0E8" w:rsidR="00B41BE2" w:rsidRPr="004A5803" w:rsidRDefault="00B41BE2" w:rsidP="00B41BE2">
            <w:pPr>
              <w:jc w:val="center"/>
              <w:rPr>
                <w:rFonts w:ascii="Times New Roman" w:eastAsia="Times New Roman" w:hAnsi="Times New Roman" w:cs="Times New Roman"/>
                <w:sz w:val="18"/>
                <w:szCs w:val="18"/>
                <w:lang w:val="en-US"/>
              </w:rPr>
            </w:pPr>
            <w:r w:rsidRPr="004A5803">
              <w:rPr>
                <w:rFonts w:ascii="Times New Roman" w:eastAsia="Times New Roman" w:hAnsi="Times New Roman" w:cs="Times New Roman"/>
                <w:sz w:val="18"/>
                <w:szCs w:val="18"/>
              </w:rPr>
              <w:t>Neni</w:t>
            </w:r>
          </w:p>
        </w:tc>
        <w:tc>
          <w:tcPr>
            <w:tcW w:w="4334" w:type="dxa"/>
            <w:shd w:val="clear" w:color="auto" w:fill="BFBFBF"/>
            <w:vAlign w:val="center"/>
          </w:tcPr>
          <w:p w14:paraId="19F4D508" w14:textId="06F85A3F" w:rsidR="00B41BE2" w:rsidRPr="004A5803" w:rsidRDefault="00B41BE2" w:rsidP="00B41BE2">
            <w:pPr>
              <w:jc w:val="center"/>
              <w:rPr>
                <w:rFonts w:ascii="Times New Roman" w:eastAsia="Times New Roman" w:hAnsi="Times New Roman" w:cs="Times New Roman"/>
                <w:sz w:val="18"/>
                <w:szCs w:val="18"/>
                <w:lang w:val="en-US"/>
              </w:rPr>
            </w:pPr>
            <w:r w:rsidRPr="004A5803">
              <w:rPr>
                <w:rFonts w:ascii="Times New Roman" w:eastAsia="Times New Roman" w:hAnsi="Times New Roman" w:cs="Times New Roman"/>
                <w:sz w:val="18"/>
                <w:szCs w:val="18"/>
              </w:rPr>
              <w:t>Teksti</w:t>
            </w:r>
          </w:p>
        </w:tc>
        <w:tc>
          <w:tcPr>
            <w:tcW w:w="1066" w:type="dxa"/>
            <w:shd w:val="clear" w:color="auto" w:fill="BFBFBF"/>
            <w:vAlign w:val="center"/>
          </w:tcPr>
          <w:p w14:paraId="609D564B" w14:textId="00252A75" w:rsidR="00B41BE2" w:rsidRPr="004A5803" w:rsidRDefault="00B41BE2" w:rsidP="00B41BE2">
            <w:pPr>
              <w:jc w:val="center"/>
              <w:rPr>
                <w:rFonts w:ascii="Times New Roman" w:eastAsia="Times New Roman" w:hAnsi="Times New Roman" w:cs="Times New Roman"/>
                <w:sz w:val="18"/>
                <w:szCs w:val="18"/>
                <w:lang w:val="en-US"/>
              </w:rPr>
            </w:pPr>
            <w:r w:rsidRPr="004A5803">
              <w:rPr>
                <w:rFonts w:ascii="Times New Roman" w:eastAsia="Times New Roman" w:hAnsi="Times New Roman" w:cs="Times New Roman"/>
                <w:sz w:val="18"/>
                <w:szCs w:val="18"/>
              </w:rPr>
              <w:t>Përputhshmëria</w:t>
            </w:r>
          </w:p>
        </w:tc>
        <w:tc>
          <w:tcPr>
            <w:tcW w:w="3060" w:type="dxa"/>
            <w:shd w:val="clear" w:color="auto" w:fill="BFBFBF"/>
            <w:vAlign w:val="center"/>
          </w:tcPr>
          <w:p w14:paraId="0F04528A" w14:textId="01BE77E3" w:rsidR="00B41BE2" w:rsidRPr="004A5803" w:rsidRDefault="00B41BE2" w:rsidP="00B41BE2">
            <w:pPr>
              <w:jc w:val="center"/>
              <w:rPr>
                <w:rFonts w:ascii="Times New Roman" w:eastAsia="Times New Roman" w:hAnsi="Times New Roman" w:cs="Times New Roman"/>
                <w:sz w:val="18"/>
                <w:szCs w:val="18"/>
                <w:lang w:val="en-US"/>
              </w:rPr>
            </w:pPr>
            <w:r w:rsidRPr="004A5803">
              <w:rPr>
                <w:rFonts w:ascii="Times New Roman" w:eastAsia="Times New Roman" w:hAnsi="Times New Roman" w:cs="Times New Roman"/>
                <w:sz w:val="18"/>
                <w:szCs w:val="18"/>
              </w:rPr>
              <w:t>Shënime</w:t>
            </w:r>
          </w:p>
        </w:tc>
      </w:tr>
      <w:tr w:rsidR="00260632" w:rsidRPr="003B7DC9" w14:paraId="3101C841" w14:textId="77777777" w:rsidTr="00B75638">
        <w:tc>
          <w:tcPr>
            <w:tcW w:w="630" w:type="dxa"/>
            <w:shd w:val="clear" w:color="auto" w:fill="92D050"/>
          </w:tcPr>
          <w:p w14:paraId="171C88DE" w14:textId="77777777" w:rsidR="000A7EA3" w:rsidRPr="003B7DC9" w:rsidRDefault="000A7EA3" w:rsidP="00036F88">
            <w:pPr>
              <w:rPr>
                <w:rFonts w:ascii="Times New Roman" w:eastAsia="Calibri" w:hAnsi="Times New Roman" w:cs="Times New Roman"/>
                <w:sz w:val="18"/>
                <w:szCs w:val="18"/>
                <w:lang w:val="en-US"/>
              </w:rPr>
            </w:pPr>
          </w:p>
        </w:tc>
        <w:tc>
          <w:tcPr>
            <w:tcW w:w="5220" w:type="dxa"/>
            <w:shd w:val="clear" w:color="auto" w:fill="92D050"/>
          </w:tcPr>
          <w:p w14:paraId="3CBB6E23" w14:textId="71A0F858" w:rsidR="000A7EA3" w:rsidRPr="003B7DC9" w:rsidRDefault="000A7EA3" w:rsidP="00036F88">
            <w:pPr>
              <w:pStyle w:val="Heading1"/>
              <w:rPr>
                <w:rFonts w:ascii="Times New Roman" w:eastAsia="Calibri" w:hAnsi="Times New Roman" w:cs="Times New Roman"/>
                <w:color w:val="auto"/>
                <w:sz w:val="18"/>
                <w:szCs w:val="18"/>
                <w:lang w:val="en-US"/>
              </w:rPr>
            </w:pPr>
          </w:p>
        </w:tc>
        <w:tc>
          <w:tcPr>
            <w:tcW w:w="1170" w:type="dxa"/>
          </w:tcPr>
          <w:p w14:paraId="4950B37F" w14:textId="77777777" w:rsidR="000A7EA3" w:rsidRPr="003B7DC9" w:rsidRDefault="000A7EA3" w:rsidP="00036F88">
            <w:pPr>
              <w:rPr>
                <w:rFonts w:ascii="Times New Roman" w:eastAsia="Calibri" w:hAnsi="Times New Roman" w:cs="Times New Roman"/>
                <w:sz w:val="18"/>
                <w:szCs w:val="18"/>
              </w:rPr>
            </w:pPr>
          </w:p>
        </w:tc>
        <w:tc>
          <w:tcPr>
            <w:tcW w:w="720" w:type="dxa"/>
            <w:shd w:val="clear" w:color="auto" w:fill="92D050"/>
          </w:tcPr>
          <w:p w14:paraId="4039FF8E" w14:textId="633026E3" w:rsidR="000A7EA3" w:rsidRPr="003B7DC9" w:rsidRDefault="000A7EA3" w:rsidP="00036F88">
            <w:pPr>
              <w:rPr>
                <w:rFonts w:ascii="Times New Roman" w:eastAsia="Calibri" w:hAnsi="Times New Roman" w:cs="Times New Roman"/>
                <w:sz w:val="18"/>
                <w:szCs w:val="18"/>
                <w:lang w:val="en-US"/>
              </w:rPr>
            </w:pPr>
          </w:p>
        </w:tc>
        <w:tc>
          <w:tcPr>
            <w:tcW w:w="4334" w:type="dxa"/>
            <w:shd w:val="clear" w:color="auto" w:fill="92D050"/>
          </w:tcPr>
          <w:p w14:paraId="238B9718" w14:textId="77777777" w:rsidR="00261F33" w:rsidRPr="003B7DC9" w:rsidRDefault="00261F33" w:rsidP="00261F33">
            <w:pPr>
              <w:jc w:val="center"/>
              <w:rPr>
                <w:rFonts w:ascii="Times New Roman" w:hAnsi="Times New Roman" w:cs="Times New Roman"/>
                <w:sz w:val="18"/>
                <w:szCs w:val="18"/>
              </w:rPr>
            </w:pPr>
            <w:r w:rsidRPr="003B7DC9">
              <w:rPr>
                <w:rFonts w:ascii="Times New Roman" w:hAnsi="Times New Roman" w:cs="Times New Roman"/>
                <w:sz w:val="18"/>
                <w:szCs w:val="18"/>
              </w:rPr>
              <w:t>KREU I</w:t>
            </w:r>
          </w:p>
          <w:p w14:paraId="0C0DB225" w14:textId="3D3036C8" w:rsidR="000A7EA3" w:rsidRPr="003B7DC9" w:rsidRDefault="00261F33" w:rsidP="00261F33">
            <w:pPr>
              <w:jc w:val="center"/>
              <w:rPr>
                <w:rFonts w:ascii="Times New Roman" w:eastAsia="Calibri" w:hAnsi="Times New Roman" w:cs="Times New Roman"/>
                <w:sz w:val="18"/>
                <w:szCs w:val="18"/>
                <w:lang w:val="en-US"/>
              </w:rPr>
            </w:pPr>
            <w:r w:rsidRPr="003B7DC9">
              <w:rPr>
                <w:rFonts w:ascii="Times New Roman" w:hAnsi="Times New Roman" w:cs="Times New Roman"/>
                <w:sz w:val="18"/>
                <w:szCs w:val="18"/>
              </w:rPr>
              <w:t>DISPOZITA TË PËRGJITHSHME</w:t>
            </w:r>
          </w:p>
        </w:tc>
        <w:tc>
          <w:tcPr>
            <w:tcW w:w="1066" w:type="dxa"/>
            <w:shd w:val="clear" w:color="auto" w:fill="92D050"/>
          </w:tcPr>
          <w:p w14:paraId="0477FAD4" w14:textId="77777777" w:rsidR="000A7EA3" w:rsidRPr="003B7DC9" w:rsidRDefault="000A7EA3" w:rsidP="00036F88">
            <w:pPr>
              <w:rPr>
                <w:rFonts w:ascii="Times New Roman" w:eastAsia="Calibri" w:hAnsi="Times New Roman" w:cs="Times New Roman"/>
                <w:sz w:val="18"/>
                <w:szCs w:val="18"/>
                <w:lang w:val="en-US"/>
              </w:rPr>
            </w:pPr>
          </w:p>
        </w:tc>
        <w:tc>
          <w:tcPr>
            <w:tcW w:w="3060" w:type="dxa"/>
            <w:shd w:val="clear" w:color="auto" w:fill="92D050"/>
          </w:tcPr>
          <w:p w14:paraId="09DE5223" w14:textId="77777777" w:rsidR="000A7EA3" w:rsidRPr="003B7DC9" w:rsidRDefault="000A7EA3" w:rsidP="00036F88">
            <w:pPr>
              <w:rPr>
                <w:rFonts w:ascii="Times New Roman" w:eastAsia="Calibri" w:hAnsi="Times New Roman" w:cs="Times New Roman"/>
                <w:sz w:val="18"/>
                <w:szCs w:val="18"/>
                <w:lang w:val="en-US"/>
              </w:rPr>
            </w:pPr>
          </w:p>
        </w:tc>
      </w:tr>
      <w:tr w:rsidR="00260632" w:rsidRPr="003B7DC9" w14:paraId="6560FCB0" w14:textId="77777777" w:rsidTr="00B75638">
        <w:tc>
          <w:tcPr>
            <w:tcW w:w="630" w:type="dxa"/>
            <w:shd w:val="clear" w:color="auto" w:fill="F2F2F2"/>
          </w:tcPr>
          <w:p w14:paraId="2C6C40A7" w14:textId="77777777" w:rsidR="000A7EA3" w:rsidRPr="003B7DC9" w:rsidRDefault="000A7EA3" w:rsidP="00036F88">
            <w:pPr>
              <w:jc w:val="center"/>
              <w:rPr>
                <w:rFonts w:ascii="Times New Roman" w:eastAsia="Calibri" w:hAnsi="Times New Roman" w:cs="Times New Roman"/>
                <w:i/>
                <w:iCs/>
                <w:sz w:val="18"/>
                <w:szCs w:val="18"/>
                <w:lang w:val="en-US"/>
              </w:rPr>
            </w:pPr>
          </w:p>
        </w:tc>
        <w:tc>
          <w:tcPr>
            <w:tcW w:w="5220" w:type="dxa"/>
            <w:shd w:val="clear" w:color="auto" w:fill="F2F2F2"/>
          </w:tcPr>
          <w:p w14:paraId="4FF914BE" w14:textId="7A1302B7" w:rsidR="00990A3C" w:rsidRPr="003B7DC9" w:rsidRDefault="00990A3C" w:rsidP="00990A3C">
            <w:pPr>
              <w:rPr>
                <w:rFonts w:ascii="Times New Roman" w:hAnsi="Times New Roman" w:cs="Times New Roman"/>
                <w:sz w:val="18"/>
                <w:szCs w:val="18"/>
              </w:rPr>
            </w:pPr>
            <w:bookmarkStart w:id="0" w:name="articolul1"/>
            <w:bookmarkEnd w:id="0"/>
          </w:p>
        </w:tc>
        <w:tc>
          <w:tcPr>
            <w:tcW w:w="1170" w:type="dxa"/>
          </w:tcPr>
          <w:p w14:paraId="63FB219E" w14:textId="77777777" w:rsidR="000A7EA3" w:rsidRPr="003B7DC9" w:rsidRDefault="000A7EA3" w:rsidP="00036F88">
            <w:pPr>
              <w:rPr>
                <w:rFonts w:ascii="Times New Roman" w:eastAsia="Calibri" w:hAnsi="Times New Roman" w:cs="Times New Roman"/>
                <w:sz w:val="18"/>
                <w:szCs w:val="18"/>
              </w:rPr>
            </w:pPr>
          </w:p>
        </w:tc>
        <w:tc>
          <w:tcPr>
            <w:tcW w:w="720" w:type="dxa"/>
            <w:shd w:val="clear" w:color="auto" w:fill="F2F2F2"/>
          </w:tcPr>
          <w:p w14:paraId="373E1C1C" w14:textId="3802F198" w:rsidR="000A7EA3" w:rsidRPr="003B7DC9" w:rsidRDefault="000A7EA3" w:rsidP="00036F88">
            <w:pPr>
              <w:rPr>
                <w:rFonts w:ascii="Times New Roman" w:eastAsia="Calibri" w:hAnsi="Times New Roman" w:cs="Times New Roman"/>
                <w:sz w:val="18"/>
                <w:szCs w:val="18"/>
                <w:lang w:val="en-US"/>
              </w:rPr>
            </w:pPr>
          </w:p>
        </w:tc>
        <w:tc>
          <w:tcPr>
            <w:tcW w:w="4334" w:type="dxa"/>
            <w:shd w:val="clear" w:color="auto" w:fill="F2F2F2"/>
          </w:tcPr>
          <w:p w14:paraId="64C93E4E" w14:textId="449C89EF" w:rsidR="000A7EA3" w:rsidRPr="003B7DC9" w:rsidRDefault="000A7EA3" w:rsidP="00036F88">
            <w:pPr>
              <w:rPr>
                <w:rFonts w:ascii="Times New Roman" w:hAnsi="Times New Roman" w:cs="Times New Roman"/>
                <w:sz w:val="18"/>
                <w:szCs w:val="18"/>
              </w:rPr>
            </w:pPr>
          </w:p>
        </w:tc>
        <w:tc>
          <w:tcPr>
            <w:tcW w:w="1066" w:type="dxa"/>
            <w:shd w:val="clear" w:color="auto" w:fill="F2F2F2"/>
          </w:tcPr>
          <w:p w14:paraId="176811E7" w14:textId="77777777" w:rsidR="000A7EA3" w:rsidRPr="003B7DC9" w:rsidRDefault="000A7EA3" w:rsidP="00036F88">
            <w:pPr>
              <w:jc w:val="center"/>
              <w:rPr>
                <w:rFonts w:ascii="Times New Roman" w:eastAsia="Calibri" w:hAnsi="Times New Roman" w:cs="Times New Roman"/>
                <w:sz w:val="18"/>
                <w:szCs w:val="18"/>
                <w:lang w:val="en-US"/>
              </w:rPr>
            </w:pPr>
          </w:p>
        </w:tc>
        <w:tc>
          <w:tcPr>
            <w:tcW w:w="3060" w:type="dxa"/>
            <w:shd w:val="clear" w:color="auto" w:fill="F2F2F2"/>
          </w:tcPr>
          <w:p w14:paraId="0E837D0C" w14:textId="77777777" w:rsidR="000A7EA3" w:rsidRPr="003B7DC9" w:rsidRDefault="000A7EA3" w:rsidP="00036F88">
            <w:pPr>
              <w:rPr>
                <w:rFonts w:ascii="Times New Roman" w:eastAsia="Calibri" w:hAnsi="Times New Roman" w:cs="Times New Roman"/>
                <w:sz w:val="18"/>
                <w:szCs w:val="18"/>
                <w:lang w:val="en-US"/>
              </w:rPr>
            </w:pPr>
          </w:p>
        </w:tc>
      </w:tr>
      <w:tr w:rsidR="00314559" w:rsidRPr="003B7DC9" w14:paraId="7F6FBBB8" w14:textId="77777777" w:rsidTr="00B75638">
        <w:trPr>
          <w:trHeight w:val="1520"/>
        </w:trPr>
        <w:tc>
          <w:tcPr>
            <w:tcW w:w="630" w:type="dxa"/>
          </w:tcPr>
          <w:p w14:paraId="54CAE924" w14:textId="77777777" w:rsidR="00314559" w:rsidRPr="003B7DC9" w:rsidRDefault="00314559" w:rsidP="00314559">
            <w:pPr>
              <w:jc w:val="both"/>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1</w:t>
            </w:r>
          </w:p>
        </w:tc>
        <w:tc>
          <w:tcPr>
            <w:tcW w:w="5220" w:type="dxa"/>
          </w:tcPr>
          <w:p w14:paraId="173B6166" w14:textId="77777777" w:rsidR="00314559" w:rsidRPr="003B7DC9" w:rsidRDefault="00314559" w:rsidP="00314559">
            <w:pPr>
              <w:spacing w:line="276" w:lineRule="auto"/>
              <w:rPr>
                <w:rFonts w:ascii="Times New Roman" w:hAnsi="Times New Roman" w:cs="Times New Roman"/>
                <w:b/>
                <w:sz w:val="18"/>
                <w:szCs w:val="18"/>
                <w:lang w:val="en-GB"/>
              </w:rPr>
            </w:pPr>
          </w:p>
          <w:p w14:paraId="0EF5A40E"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KREU I</w:t>
            </w:r>
          </w:p>
          <w:p w14:paraId="00A374F2"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DISPOZITA TË PËRGJITHSHME</w:t>
            </w:r>
          </w:p>
          <w:p w14:paraId="5CCF9971"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19CA22CF" w14:textId="0E4088DF"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Neni 1</w:t>
            </w:r>
          </w:p>
          <w:p w14:paraId="7AA63032"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Objekti</w:t>
            </w:r>
          </w:p>
          <w:p w14:paraId="5493E111"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482E24D0"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2D471F06"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Kjo direktivë përcakton rregullat dhe procedurat sipas të cilave shtetet anëtare bashkëpunojnë ndërmjet tyre me qëllim shkëmbimin e informacionit që ka rëndësi të parashikueshme për administrimin dhe zbatimin e ligjeve të brendshme të shteteve anëtare lidhur me tatimet e përmendura në nenin 2.</w:t>
            </w:r>
          </w:p>
          <w:p w14:paraId="1C7DEC65"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25E28F8C"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7FA9B1D1"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lastRenderedPageBreak/>
              <w:t>Kjo direktivë përcakton gjithashtu dispozita për shkëmbimin e informacionit të përmendur në pikën 1 me mjete elektronike, si dhe rregullat dhe procedurat sipas të cilave shtetet anëtare dhe Komisioni bashkëpunojnë për çështje që lidhen me koordinimin dhe vlerësimin.</w:t>
            </w:r>
          </w:p>
          <w:p w14:paraId="2C179577"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1FCDB77F"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075EF7ED" w14:textId="32053EA2"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Kjo direktivë nuk cenon zbatimin, në shtetet anëtare, të rregullave mbi asistencën reciproke në çështjet penale. Ajo gjithashtu nuk cenon përmbushjen e detyrimeve të shteteve anëtare në lidhje me bashkëpunimin administrativ më të gjerë që rrjedh nga instrumente të tjera juridike, përfshirë marrëveshjet dypalëshe ose shumëpalëshe.</w:t>
            </w:r>
          </w:p>
        </w:tc>
        <w:tc>
          <w:tcPr>
            <w:tcW w:w="1170" w:type="dxa"/>
          </w:tcPr>
          <w:p w14:paraId="6D951FCC" w14:textId="77B8FD70"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tcPr>
          <w:p w14:paraId="7B749314" w14:textId="42F7BE37"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 xml:space="preserve">Neni 1 </w:t>
            </w:r>
          </w:p>
        </w:tc>
        <w:tc>
          <w:tcPr>
            <w:tcW w:w="4334" w:type="dxa"/>
          </w:tcPr>
          <w:p w14:paraId="3D793E70" w14:textId="77777777" w:rsidR="00314559" w:rsidRPr="003B7DC9" w:rsidRDefault="00314559" w:rsidP="00314559">
            <w:pPr>
              <w:jc w:val="center"/>
              <w:rPr>
                <w:rFonts w:ascii="Times New Roman" w:eastAsia="Calibri" w:hAnsi="Times New Roman" w:cs="Times New Roman"/>
                <w:sz w:val="18"/>
                <w:szCs w:val="18"/>
              </w:rPr>
            </w:pPr>
          </w:p>
          <w:p w14:paraId="321A7AE4" w14:textId="77777777" w:rsidR="00314559" w:rsidRPr="003B7DC9" w:rsidRDefault="00314559" w:rsidP="00314559">
            <w:pPr>
              <w:ind w:left="360"/>
              <w:jc w:val="center"/>
              <w:rPr>
                <w:rFonts w:ascii="Times New Roman" w:hAnsi="Times New Roman" w:cs="Times New Roman"/>
                <w:b/>
                <w:color w:val="242424"/>
                <w:sz w:val="18"/>
                <w:szCs w:val="18"/>
                <w:shd w:val="clear" w:color="auto" w:fill="FFFFFF"/>
                <w:lang w:val="en-US"/>
              </w:rPr>
            </w:pPr>
            <w:r w:rsidRPr="003B7DC9">
              <w:rPr>
                <w:rFonts w:ascii="Times New Roman" w:hAnsi="Times New Roman" w:cs="Times New Roman"/>
                <w:b/>
                <w:color w:val="242424"/>
                <w:sz w:val="18"/>
                <w:szCs w:val="18"/>
                <w:shd w:val="clear" w:color="auto" w:fill="FFFFFF"/>
                <w:lang w:val="en-US"/>
              </w:rPr>
              <w:t>Neni 1</w:t>
            </w:r>
          </w:p>
          <w:p w14:paraId="3CE9534C" w14:textId="77777777" w:rsidR="00314559" w:rsidRDefault="00314559" w:rsidP="00314559">
            <w:pPr>
              <w:ind w:left="360"/>
              <w:jc w:val="center"/>
              <w:rPr>
                <w:rFonts w:ascii="Times New Roman" w:hAnsi="Times New Roman" w:cs="Times New Roman"/>
                <w:b/>
                <w:color w:val="242424"/>
                <w:sz w:val="18"/>
                <w:szCs w:val="18"/>
                <w:shd w:val="clear" w:color="auto" w:fill="FFFFFF"/>
                <w:lang w:val="en-US"/>
              </w:rPr>
            </w:pPr>
            <w:r w:rsidRPr="003B7DC9">
              <w:rPr>
                <w:rFonts w:ascii="Times New Roman" w:hAnsi="Times New Roman" w:cs="Times New Roman"/>
                <w:b/>
                <w:color w:val="242424"/>
                <w:sz w:val="18"/>
                <w:szCs w:val="18"/>
                <w:shd w:val="clear" w:color="auto" w:fill="FFFFFF"/>
                <w:lang w:val="en-US"/>
              </w:rPr>
              <w:t>Qëllimi</w:t>
            </w:r>
          </w:p>
          <w:p w14:paraId="00D5EF93" w14:textId="77777777" w:rsidR="004A5803" w:rsidRPr="003B7DC9" w:rsidRDefault="004A5803" w:rsidP="00314559">
            <w:pPr>
              <w:ind w:left="360"/>
              <w:jc w:val="center"/>
              <w:rPr>
                <w:rFonts w:ascii="Times New Roman" w:hAnsi="Times New Roman" w:cs="Times New Roman"/>
                <w:b/>
                <w:color w:val="242424"/>
                <w:sz w:val="18"/>
                <w:szCs w:val="18"/>
                <w:shd w:val="clear" w:color="auto" w:fill="FFFFFF"/>
                <w:lang w:val="en-US"/>
              </w:rPr>
            </w:pPr>
          </w:p>
          <w:p w14:paraId="5E2D559C" w14:textId="77777777" w:rsidR="00314559" w:rsidRPr="003B7DC9" w:rsidRDefault="00314559" w:rsidP="004A5803">
            <w:pPr>
              <w:spacing w:after="200" w:line="276" w:lineRule="auto"/>
              <w:jc w:val="both"/>
              <w:rPr>
                <w:rFonts w:ascii="Times New Roman" w:hAnsi="Times New Roman" w:cs="Times New Roman"/>
                <w:bCs/>
                <w:color w:val="242424"/>
                <w:sz w:val="18"/>
                <w:szCs w:val="18"/>
                <w:shd w:val="clear" w:color="auto" w:fill="FFFFFF"/>
                <w:lang w:val="en-US"/>
              </w:rPr>
            </w:pPr>
            <w:r w:rsidRPr="003B7DC9">
              <w:rPr>
                <w:rFonts w:ascii="Times New Roman" w:hAnsi="Times New Roman" w:cs="Times New Roman"/>
                <w:bCs/>
                <w:color w:val="242424"/>
                <w:sz w:val="18"/>
                <w:szCs w:val="18"/>
                <w:shd w:val="clear" w:color="auto" w:fill="FFFFFF"/>
                <w:lang w:val="en-US"/>
              </w:rPr>
              <w:t xml:space="preserve">Ky ligj përcakton rregullat dhe procedurat sipas të cilave Republika e Shqipërisë bashkëpunon me shtetet anëtare të Bashkimit Evropian për shkëmbimin e informacionit që ka rëndësi të parashikueshme për administrimin dhe zbatimin e legjislacionit të tyre të brendshëm lidhur me tatimet dhe taksat e përcaktuara në nenin 2 të këtij ligji, si dhe për format e tjera të bashkëpunimit administrativ të parashikuara në këtë ligj. </w:t>
            </w:r>
          </w:p>
          <w:p w14:paraId="7D2CEC06" w14:textId="63D15E4D" w:rsidR="00314559" w:rsidRPr="003B7DC9" w:rsidRDefault="00314559" w:rsidP="00314559">
            <w:pPr>
              <w:spacing w:after="200" w:line="276" w:lineRule="auto"/>
              <w:ind w:left="720"/>
              <w:rPr>
                <w:rFonts w:ascii="Times New Roman" w:eastAsia="Calibri" w:hAnsi="Times New Roman" w:cs="Times New Roman"/>
                <w:sz w:val="18"/>
                <w:szCs w:val="18"/>
              </w:rPr>
            </w:pPr>
          </w:p>
        </w:tc>
        <w:tc>
          <w:tcPr>
            <w:tcW w:w="1066" w:type="dxa"/>
          </w:tcPr>
          <w:p w14:paraId="3F6791D3" w14:textId="4B9D7F40"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 xml:space="preserve">F </w:t>
            </w:r>
          </w:p>
        </w:tc>
        <w:tc>
          <w:tcPr>
            <w:tcW w:w="3060" w:type="dxa"/>
          </w:tcPr>
          <w:p w14:paraId="03521802" w14:textId="7FB219DD" w:rsidR="00314559" w:rsidRPr="003B7DC9" w:rsidRDefault="00314559" w:rsidP="00314559">
            <w:pPr>
              <w:jc w:val="both"/>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Përputhet. Projektligji pasqyron plotësisht përmbajtjen e nenit 1: ai përcakton rregullat dhe procedurat për bashkëpunimin administrativ me shtetet anëtare të BE-së, identifikon format e shkëmbimit të informacionit, parashikon përjashtimet (TVSH, doganat, akcizat, kontributet e sigurimeve shoqërore) dhe sqaron se ligji nuk ndikon në asistencën reciproke në çështjet penale apo në detyrime të tjera më të gjera ndërkombëtare.</w:t>
            </w:r>
          </w:p>
        </w:tc>
      </w:tr>
      <w:tr w:rsidR="00314559" w:rsidRPr="003B7DC9" w14:paraId="6F796DB6" w14:textId="77777777" w:rsidTr="00B75638">
        <w:trPr>
          <w:trHeight w:val="278"/>
        </w:trPr>
        <w:tc>
          <w:tcPr>
            <w:tcW w:w="630" w:type="dxa"/>
            <w:shd w:val="clear" w:color="auto" w:fill="F2F2F2"/>
          </w:tcPr>
          <w:p w14:paraId="78A89E6F"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2F2F2"/>
          </w:tcPr>
          <w:p w14:paraId="77D30394" w14:textId="55742B2B" w:rsidR="00314559" w:rsidRPr="003B7DC9" w:rsidRDefault="00314559" w:rsidP="00314559">
            <w:pPr>
              <w:rPr>
                <w:rFonts w:ascii="Times New Roman" w:hAnsi="Times New Roman" w:cs="Times New Roman"/>
                <w:i/>
                <w:sz w:val="18"/>
                <w:szCs w:val="18"/>
              </w:rPr>
            </w:pPr>
          </w:p>
        </w:tc>
        <w:tc>
          <w:tcPr>
            <w:tcW w:w="1170" w:type="dxa"/>
          </w:tcPr>
          <w:p w14:paraId="753D3D53" w14:textId="650E74E9" w:rsidR="00314559" w:rsidRPr="003B7DC9" w:rsidRDefault="00314559" w:rsidP="00314559">
            <w:pPr>
              <w:jc w:val="center"/>
              <w:rPr>
                <w:rFonts w:ascii="Times New Roman" w:eastAsia="Calibri" w:hAnsi="Times New Roman" w:cs="Times New Roman"/>
                <w:i/>
                <w:sz w:val="18"/>
                <w:szCs w:val="18"/>
              </w:rPr>
            </w:pPr>
          </w:p>
        </w:tc>
        <w:tc>
          <w:tcPr>
            <w:tcW w:w="720" w:type="dxa"/>
            <w:shd w:val="clear" w:color="auto" w:fill="F2F2F2"/>
          </w:tcPr>
          <w:p w14:paraId="49667D08" w14:textId="77777777" w:rsidR="00314559" w:rsidRPr="003B7DC9" w:rsidRDefault="00314559" w:rsidP="00314559">
            <w:pPr>
              <w:jc w:val="center"/>
              <w:rPr>
                <w:rFonts w:ascii="Times New Roman" w:eastAsia="Calibri" w:hAnsi="Times New Roman" w:cs="Times New Roman"/>
                <w:i/>
                <w:sz w:val="18"/>
                <w:szCs w:val="18"/>
              </w:rPr>
            </w:pPr>
          </w:p>
        </w:tc>
        <w:tc>
          <w:tcPr>
            <w:tcW w:w="4334" w:type="dxa"/>
            <w:shd w:val="clear" w:color="auto" w:fill="F2F2F2"/>
          </w:tcPr>
          <w:p w14:paraId="7BD77AB0" w14:textId="7AAF349A" w:rsidR="00314559" w:rsidRPr="003B7DC9" w:rsidRDefault="00314559" w:rsidP="00314559">
            <w:pPr>
              <w:jc w:val="center"/>
              <w:rPr>
                <w:rFonts w:ascii="Times New Roman" w:hAnsi="Times New Roman" w:cs="Times New Roman"/>
                <w:i/>
                <w:sz w:val="18"/>
                <w:szCs w:val="18"/>
              </w:rPr>
            </w:pPr>
          </w:p>
        </w:tc>
        <w:tc>
          <w:tcPr>
            <w:tcW w:w="1066" w:type="dxa"/>
            <w:shd w:val="clear" w:color="auto" w:fill="F2F2F2"/>
          </w:tcPr>
          <w:p w14:paraId="148AA987" w14:textId="77777777" w:rsidR="00314559" w:rsidRPr="003B7DC9" w:rsidRDefault="00314559" w:rsidP="00314559">
            <w:pPr>
              <w:jc w:val="center"/>
              <w:rPr>
                <w:rFonts w:ascii="Times New Roman" w:eastAsia="Calibri" w:hAnsi="Times New Roman" w:cs="Times New Roman"/>
                <w:i/>
                <w:sz w:val="18"/>
                <w:szCs w:val="18"/>
              </w:rPr>
            </w:pPr>
          </w:p>
        </w:tc>
        <w:tc>
          <w:tcPr>
            <w:tcW w:w="3060" w:type="dxa"/>
            <w:shd w:val="clear" w:color="auto" w:fill="F2F2F2"/>
          </w:tcPr>
          <w:p w14:paraId="26964FA0" w14:textId="77777777" w:rsidR="00314559" w:rsidRPr="003B7DC9" w:rsidRDefault="00314559" w:rsidP="00314559">
            <w:pPr>
              <w:rPr>
                <w:rFonts w:ascii="Times New Roman" w:eastAsia="Calibri" w:hAnsi="Times New Roman" w:cs="Times New Roman"/>
                <w:i/>
                <w:sz w:val="18"/>
                <w:szCs w:val="18"/>
              </w:rPr>
            </w:pPr>
          </w:p>
        </w:tc>
      </w:tr>
      <w:tr w:rsidR="00314559" w:rsidRPr="003B7DC9" w14:paraId="54545BFE" w14:textId="77777777" w:rsidTr="00B75638">
        <w:trPr>
          <w:trHeight w:val="1718"/>
        </w:trPr>
        <w:tc>
          <w:tcPr>
            <w:tcW w:w="630" w:type="dxa"/>
            <w:shd w:val="clear" w:color="auto" w:fill="F2F2F2"/>
          </w:tcPr>
          <w:p w14:paraId="2072CEFD"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3AFBA3A7"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Neni 2</w:t>
            </w:r>
          </w:p>
          <w:p w14:paraId="62C204FF"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Fusha e zbatimit</w:t>
            </w:r>
          </w:p>
          <w:p w14:paraId="4846A7D7"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59A1D0F3"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2FD9DF0F"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Kjo direktivë zbatohet për të gjitha tatimet e çdo lloji të vendosura nga, ose në emër të, një shteti anëtar, ose të ndarjeve të tij territoriale apo administrative, përfshirë autoritetet vendore.</w:t>
            </w:r>
          </w:p>
          <w:p w14:paraId="544F01B0"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7600A276"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11658DCB"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Pavarësisht nga pika 1, kjo direktivë nuk zbatohet për tatimin mbi vlerën e shtuar dhe detyrimet doganore, si dhe për akcizat e mbuluara nga legjislacioni tjetër i Bashkimit Evropian mbi bashkëpunimin administrativ ndërmjet shteteve anëtare. Kjo direktivë nuk zbatohet gjithashtu për kontributet e detyrueshme të sigurimeve shoqërore që i paguhen një shteti anëtar ose një ndarjeje të tij, apo institucioneve të sigurimeve shoqërore të krijuara sipas së drejtës publike.</w:t>
            </w:r>
          </w:p>
          <w:p w14:paraId="7FFD6136"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368744DC"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7E6989A7"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Në asnjë rast, tatimet e përmendura në pikën 1 nuk interpretohen se përfshijnë:</w:t>
            </w:r>
          </w:p>
          <w:p w14:paraId="31D2D4CA"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(a) tarifa, si ato për certifikata dhe dokumente të tjera të lëshuara nga autoritetet publike; ose</w:t>
            </w:r>
          </w:p>
          <w:p w14:paraId="003A0C73"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(b) detyrime me natyrë kontraktuale, si pagesat për shërbimet publike.</w:t>
            </w:r>
          </w:p>
          <w:p w14:paraId="4DFC3AB2"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60648ADE"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6F7B7ABA" w14:textId="0C304476"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Kjo direktivë zbatohet për tatimet e përmendura në pikën 1 që vendosen brenda territorit në të cilin zbatohen Traktatet, në përputhje me nenin 52 të Traktatit për Bashkimin Evropian.</w:t>
            </w:r>
          </w:p>
        </w:tc>
        <w:tc>
          <w:tcPr>
            <w:tcW w:w="1170" w:type="dxa"/>
            <w:shd w:val="clear" w:color="auto" w:fill="FFFFFF" w:themeFill="background1"/>
          </w:tcPr>
          <w:p w14:paraId="6F2021F6" w14:textId="537915B3"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shd w:val="clear" w:color="auto" w:fill="FFFFFF" w:themeFill="background1"/>
          </w:tcPr>
          <w:p w14:paraId="77CFA187" w14:textId="32FC9989"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Neni 2</w:t>
            </w:r>
          </w:p>
          <w:p w14:paraId="3EC3C5E4" w14:textId="062D5B8B" w:rsidR="00314559" w:rsidRPr="003B7DC9" w:rsidRDefault="00314559" w:rsidP="00314559">
            <w:pPr>
              <w:jc w:val="center"/>
              <w:rPr>
                <w:rFonts w:ascii="Times New Roman" w:eastAsia="Calibri" w:hAnsi="Times New Roman" w:cs="Times New Roman"/>
                <w:sz w:val="18"/>
                <w:szCs w:val="18"/>
              </w:rPr>
            </w:pPr>
          </w:p>
        </w:tc>
        <w:tc>
          <w:tcPr>
            <w:tcW w:w="4334" w:type="dxa"/>
            <w:shd w:val="clear" w:color="auto" w:fill="FFFFFF" w:themeFill="background1"/>
          </w:tcPr>
          <w:p w14:paraId="58D9BADF" w14:textId="151DA37D" w:rsidR="00314559" w:rsidRPr="003B7DC9" w:rsidRDefault="00314559" w:rsidP="00314559">
            <w:pPr>
              <w:ind w:left="360"/>
              <w:jc w:val="center"/>
              <w:rPr>
                <w:rFonts w:ascii="Times New Roman" w:hAnsi="Times New Roman" w:cs="Times New Roman"/>
                <w:b/>
                <w:color w:val="242424"/>
                <w:sz w:val="18"/>
                <w:szCs w:val="18"/>
                <w:shd w:val="clear" w:color="auto" w:fill="FFFFFF"/>
                <w:lang w:val="en-US"/>
              </w:rPr>
            </w:pPr>
            <w:r w:rsidRPr="003B7DC9">
              <w:rPr>
                <w:rFonts w:ascii="Times New Roman" w:hAnsi="Times New Roman" w:cs="Times New Roman"/>
                <w:b/>
                <w:color w:val="242424"/>
                <w:sz w:val="18"/>
                <w:szCs w:val="18"/>
                <w:shd w:val="clear" w:color="auto" w:fill="FFFFFF"/>
                <w:lang w:val="en-US"/>
              </w:rPr>
              <w:t>Neni 2</w:t>
            </w:r>
          </w:p>
          <w:p w14:paraId="33E2E696" w14:textId="77777777" w:rsidR="00314559" w:rsidRDefault="00314559" w:rsidP="00314559">
            <w:pPr>
              <w:ind w:left="360"/>
              <w:jc w:val="center"/>
              <w:rPr>
                <w:rFonts w:ascii="Times New Roman" w:hAnsi="Times New Roman" w:cs="Times New Roman"/>
                <w:b/>
                <w:color w:val="242424"/>
                <w:sz w:val="18"/>
                <w:szCs w:val="18"/>
                <w:shd w:val="clear" w:color="auto" w:fill="FFFFFF"/>
                <w:lang w:val="en-US"/>
              </w:rPr>
            </w:pPr>
            <w:r w:rsidRPr="003B7DC9">
              <w:rPr>
                <w:rFonts w:ascii="Times New Roman" w:hAnsi="Times New Roman" w:cs="Times New Roman"/>
                <w:b/>
                <w:color w:val="242424"/>
                <w:sz w:val="18"/>
                <w:szCs w:val="18"/>
                <w:shd w:val="clear" w:color="auto" w:fill="FFFFFF"/>
                <w:lang w:val="en-US"/>
              </w:rPr>
              <w:t>Fusha e zbatimit</w:t>
            </w:r>
          </w:p>
          <w:p w14:paraId="2AF00CA9" w14:textId="77777777" w:rsidR="004A5803" w:rsidRPr="003B7DC9" w:rsidRDefault="004A5803" w:rsidP="00314559">
            <w:pPr>
              <w:ind w:left="360"/>
              <w:jc w:val="center"/>
              <w:rPr>
                <w:rFonts w:ascii="Times New Roman" w:hAnsi="Times New Roman" w:cs="Times New Roman"/>
                <w:b/>
                <w:color w:val="242424"/>
                <w:sz w:val="18"/>
                <w:szCs w:val="18"/>
                <w:shd w:val="clear" w:color="auto" w:fill="FFFFFF"/>
                <w:lang w:val="en-US"/>
              </w:rPr>
            </w:pPr>
          </w:p>
          <w:p w14:paraId="22B4DFB6" w14:textId="77777777" w:rsidR="00314559" w:rsidRPr="003B7DC9" w:rsidRDefault="00314559" w:rsidP="00314559">
            <w:pPr>
              <w:numPr>
                <w:ilvl w:val="0"/>
                <w:numId w:val="107"/>
              </w:numPr>
              <w:spacing w:after="200" w:line="276" w:lineRule="auto"/>
              <w:jc w:val="both"/>
              <w:rPr>
                <w:rFonts w:ascii="Times New Roman" w:hAnsi="Times New Roman" w:cs="Times New Roman"/>
                <w:bCs/>
                <w:color w:val="242424"/>
                <w:sz w:val="18"/>
                <w:szCs w:val="18"/>
                <w:shd w:val="clear" w:color="auto" w:fill="FFFFFF"/>
                <w:lang w:val="en-US"/>
              </w:rPr>
            </w:pPr>
            <w:r w:rsidRPr="003B7DC9">
              <w:rPr>
                <w:rFonts w:ascii="Times New Roman" w:hAnsi="Times New Roman" w:cs="Times New Roman"/>
                <w:bCs/>
                <w:color w:val="242424"/>
                <w:sz w:val="18"/>
                <w:szCs w:val="18"/>
                <w:shd w:val="clear" w:color="auto" w:fill="FFFFFF"/>
                <w:lang w:val="en-US"/>
              </w:rPr>
              <w:t xml:space="preserve">Ky ligj zbatohet për të gjitha tatimet dhe taksat e çdo lloji, të vendosura nga ose në emër të Republikës së Shqipërisë, të një shteti anëtar të Bashkimit Evropian, ose të njësive të tyre territoriale apo administrative, përfshirë autoritetet vendore. </w:t>
            </w:r>
          </w:p>
          <w:p w14:paraId="0FF70D15" w14:textId="77777777" w:rsidR="00314559" w:rsidRPr="003B7DC9" w:rsidRDefault="00314559" w:rsidP="00314559">
            <w:pPr>
              <w:numPr>
                <w:ilvl w:val="0"/>
                <w:numId w:val="107"/>
              </w:numPr>
              <w:spacing w:after="200" w:line="276" w:lineRule="auto"/>
              <w:jc w:val="both"/>
              <w:rPr>
                <w:rFonts w:ascii="Times New Roman" w:hAnsi="Times New Roman" w:cs="Times New Roman"/>
                <w:bCs/>
                <w:color w:val="242424"/>
                <w:sz w:val="18"/>
                <w:szCs w:val="18"/>
                <w:shd w:val="clear" w:color="auto" w:fill="FFFFFF"/>
                <w:lang w:val="en-US"/>
              </w:rPr>
            </w:pPr>
            <w:r w:rsidRPr="003B7DC9">
              <w:rPr>
                <w:rFonts w:ascii="Times New Roman" w:hAnsi="Times New Roman" w:cs="Times New Roman"/>
                <w:bCs/>
                <w:color w:val="242424"/>
                <w:sz w:val="18"/>
                <w:szCs w:val="18"/>
                <w:shd w:val="clear" w:color="auto" w:fill="FFFFFF"/>
                <w:lang w:val="en-US"/>
              </w:rPr>
              <w:t xml:space="preserve">Ky ligj nuk zbatohet për tatimin mbi vlerën e shtuar dhe detyrimet doganore, për akcizat që mbulohen nga legjislacion tjetër i Bashkimit Evropian për bashkëpunimin administrativ ndërmjet shteteve anëtare, </w:t>
            </w:r>
            <w:r w:rsidRPr="003B7DC9">
              <w:rPr>
                <w:rFonts w:ascii="Times New Roman" w:eastAsia="Times New Roman" w:hAnsi="Times New Roman" w:cs="Times New Roman"/>
                <w:sz w:val="18"/>
                <w:szCs w:val="18"/>
                <w:lang w:eastAsia="sq-AL"/>
              </w:rPr>
              <w:t>si dhe për kontributet e detyrueshme të sigurimeve shoqërore dhe shëndetësore që i paguhen Republikës së Shqipërisë, një shteti tjetër anëtar, njësive të tyre territoriale ose administrative, apo institucioneve të sigurimeve shoqërore të krijuara sipas së drejtës publike.</w:t>
            </w:r>
          </w:p>
          <w:p w14:paraId="13BD8871" w14:textId="77777777" w:rsidR="00314559" w:rsidRPr="003B7DC9" w:rsidRDefault="00314559" w:rsidP="00314559">
            <w:pPr>
              <w:numPr>
                <w:ilvl w:val="0"/>
                <w:numId w:val="107"/>
              </w:numPr>
              <w:spacing w:after="200" w:line="276" w:lineRule="auto"/>
              <w:jc w:val="both"/>
              <w:rPr>
                <w:rFonts w:ascii="Times New Roman" w:hAnsi="Times New Roman" w:cs="Times New Roman"/>
                <w:bCs/>
                <w:color w:val="242424"/>
                <w:sz w:val="18"/>
                <w:szCs w:val="18"/>
                <w:shd w:val="clear" w:color="auto" w:fill="FFFFFF"/>
                <w:lang w:val="en-US"/>
              </w:rPr>
            </w:pPr>
            <w:r w:rsidRPr="003B7DC9">
              <w:rPr>
                <w:rFonts w:ascii="Times New Roman" w:hAnsi="Times New Roman" w:cs="Times New Roman"/>
                <w:bCs/>
                <w:color w:val="242424"/>
                <w:sz w:val="18"/>
                <w:szCs w:val="18"/>
                <w:shd w:val="clear" w:color="auto" w:fill="FFFFFF"/>
                <w:lang w:val="en-US"/>
              </w:rPr>
              <w:lastRenderedPageBreak/>
              <w:t>Për qëllimet e këtij neni, tatimet dhe taksat e përmendura në pikën 1 nuk përfshijnë:</w:t>
            </w:r>
            <w:r w:rsidRPr="003B7DC9">
              <w:rPr>
                <w:rFonts w:ascii="Times New Roman" w:hAnsi="Times New Roman" w:cs="Times New Roman"/>
                <w:bCs/>
                <w:color w:val="242424"/>
                <w:sz w:val="18"/>
                <w:szCs w:val="18"/>
                <w:shd w:val="clear" w:color="auto" w:fill="FFFFFF"/>
                <w:lang w:val="en-US"/>
              </w:rPr>
              <w:br/>
              <w:t>a) tarifat për certifikatat dhe dokumentet e tjera të lëshuara nga autoritetet publike;</w:t>
            </w:r>
            <w:r w:rsidRPr="003B7DC9">
              <w:rPr>
                <w:rFonts w:ascii="Times New Roman" w:hAnsi="Times New Roman" w:cs="Times New Roman"/>
                <w:bCs/>
                <w:color w:val="242424"/>
                <w:sz w:val="18"/>
                <w:szCs w:val="18"/>
                <w:shd w:val="clear" w:color="auto" w:fill="FFFFFF"/>
                <w:lang w:val="en-US"/>
              </w:rPr>
              <w:br/>
              <w:t xml:space="preserve">b) detyrimet me natyrë kontraktuale, përfshirë pagesat për shërbimet publike. </w:t>
            </w:r>
          </w:p>
          <w:p w14:paraId="69281829" w14:textId="77777777" w:rsidR="00314559" w:rsidRPr="003B7DC9" w:rsidRDefault="00314559" w:rsidP="00314559">
            <w:pPr>
              <w:numPr>
                <w:ilvl w:val="0"/>
                <w:numId w:val="107"/>
              </w:numPr>
              <w:spacing w:after="200" w:line="276" w:lineRule="auto"/>
              <w:jc w:val="both"/>
              <w:rPr>
                <w:rFonts w:ascii="Times New Roman" w:hAnsi="Times New Roman" w:cs="Times New Roman"/>
                <w:bCs/>
                <w:color w:val="242424"/>
                <w:sz w:val="18"/>
                <w:szCs w:val="18"/>
                <w:shd w:val="clear" w:color="auto" w:fill="FFFFFF"/>
                <w:lang w:val="en-US"/>
              </w:rPr>
            </w:pPr>
            <w:r w:rsidRPr="003B7DC9">
              <w:rPr>
                <w:rFonts w:ascii="Times New Roman" w:hAnsi="Times New Roman" w:cs="Times New Roman"/>
                <w:bCs/>
                <w:color w:val="242424"/>
                <w:sz w:val="18"/>
                <w:szCs w:val="18"/>
                <w:shd w:val="clear" w:color="auto" w:fill="FFFFFF"/>
                <w:lang w:val="en-US"/>
              </w:rPr>
              <w:t xml:space="preserve">Përjashtimet e parashikuara në këtë nen nuk cenojnë përdorimet e lejuara të informacionit të marrë sipas këtij ligji, të përcaktuara në nenin 21 të tij. </w:t>
            </w:r>
          </w:p>
          <w:p w14:paraId="4233D72D" w14:textId="77777777" w:rsidR="00314559" w:rsidRPr="003B7DC9" w:rsidRDefault="00314559" w:rsidP="00314559">
            <w:pPr>
              <w:pStyle w:val="ListParagraph"/>
              <w:numPr>
                <w:ilvl w:val="0"/>
                <w:numId w:val="107"/>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Kur një ligj i posaçëm që zbaton Direktivën 2011/16/BE, të ndryshuar, rregullon shprehimisht një çështje, përfshirë një përkufizim, kategori informacioni, subjekt ose person raportues, detyrim raportimi ose kujdesi të duhur, procedurë regjistrimi, çregjistrimi ose njoftimi, afat, ruajtje dokumentacioni, format, kanal transmetimi, kufizim të përdorimit të informacionit ose regjim sanksionesh, dispozitat e atij ligji zbatohen me përparësi vetëm për çështjen e rregulluar posaçërisht. Për çdo çështje që nuk rregullohet shprehimisht nga ligji i posaçëm zbatohen dispozitat e këtij ligji.</w:t>
            </w:r>
          </w:p>
          <w:p w14:paraId="59D2C3F8" w14:textId="77777777" w:rsidR="00314559" w:rsidRPr="003B7DC9" w:rsidRDefault="00314559" w:rsidP="00314559">
            <w:pPr>
              <w:numPr>
                <w:ilvl w:val="0"/>
                <w:numId w:val="107"/>
              </w:numPr>
              <w:spacing w:after="200" w:line="276" w:lineRule="auto"/>
              <w:jc w:val="both"/>
              <w:rPr>
                <w:rFonts w:ascii="Times New Roman" w:hAnsi="Times New Roman" w:cs="Times New Roman"/>
                <w:bCs/>
                <w:color w:val="242424"/>
                <w:sz w:val="18"/>
                <w:szCs w:val="18"/>
                <w:shd w:val="clear" w:color="auto" w:fill="FFFFFF"/>
                <w:lang w:val="en-US"/>
              </w:rPr>
            </w:pPr>
            <w:r w:rsidRPr="003B7DC9">
              <w:rPr>
                <w:rFonts w:ascii="Times New Roman" w:hAnsi="Times New Roman" w:cs="Times New Roman"/>
                <w:bCs/>
                <w:color w:val="242424"/>
                <w:sz w:val="18"/>
                <w:szCs w:val="18"/>
                <w:shd w:val="clear" w:color="auto" w:fill="FFFFFF"/>
                <w:lang w:val="en-US"/>
              </w:rPr>
              <w:t xml:space="preserve">Dispozitat e këtij ligji nuk cenojnë rregullat për </w:t>
            </w:r>
            <w:r w:rsidRPr="003B7DC9">
              <w:rPr>
                <w:rFonts w:ascii="Times New Roman" w:eastAsia="Times New Roman" w:hAnsi="Times New Roman" w:cs="Times New Roman"/>
                <w:sz w:val="18"/>
                <w:szCs w:val="18"/>
                <w:lang w:eastAsia="sq-AL"/>
              </w:rPr>
              <w:t xml:space="preserve">ndihmën e ndërsjellë </w:t>
            </w:r>
            <w:r w:rsidRPr="003B7DC9">
              <w:rPr>
                <w:rFonts w:ascii="Times New Roman" w:hAnsi="Times New Roman" w:cs="Times New Roman"/>
                <w:bCs/>
                <w:color w:val="242424"/>
                <w:sz w:val="18"/>
                <w:szCs w:val="18"/>
                <w:shd w:val="clear" w:color="auto" w:fill="FFFFFF"/>
                <w:lang w:val="en-US"/>
              </w:rPr>
              <w:t>në çështjet penale dhe nuk kufizojnë detyrimet ndërkombëtare të Republikës së Shqipërisë në fushën e bashkëpunimit administrativ, që rrjedhin nga instrumente të tjera juridike, përfshirë marrëveshjet dypalëshe ose shumëpalëshe.</w:t>
            </w:r>
          </w:p>
          <w:p w14:paraId="05B4ED25" w14:textId="77777777" w:rsidR="00314559" w:rsidRPr="003B7DC9" w:rsidRDefault="00314559" w:rsidP="00314559">
            <w:pPr>
              <w:ind w:left="360"/>
              <w:jc w:val="both"/>
              <w:rPr>
                <w:rFonts w:ascii="Times New Roman" w:hAnsi="Times New Roman" w:cs="Times New Roman"/>
                <w:bCs/>
                <w:color w:val="242424"/>
                <w:sz w:val="18"/>
                <w:szCs w:val="18"/>
                <w:shd w:val="clear" w:color="auto" w:fill="FFFFFF"/>
              </w:rPr>
            </w:pPr>
          </w:p>
          <w:p w14:paraId="0F27DCC6" w14:textId="34A27E72" w:rsidR="00314559" w:rsidRPr="003B7DC9" w:rsidRDefault="00314559" w:rsidP="00314559">
            <w:pPr>
              <w:jc w:val="both"/>
              <w:rPr>
                <w:rFonts w:ascii="Times New Roman" w:hAnsi="Times New Roman" w:cs="Times New Roman"/>
                <w:sz w:val="18"/>
                <w:szCs w:val="18"/>
              </w:rPr>
            </w:pPr>
          </w:p>
          <w:p w14:paraId="778B887A" w14:textId="04062EB4" w:rsidR="00314559" w:rsidRPr="003B7DC9" w:rsidRDefault="00314559" w:rsidP="00314559">
            <w:pPr>
              <w:jc w:val="center"/>
              <w:rPr>
                <w:rFonts w:ascii="Times New Roman" w:hAnsi="Times New Roman" w:cs="Times New Roman"/>
                <w:sz w:val="18"/>
                <w:szCs w:val="18"/>
              </w:rPr>
            </w:pPr>
          </w:p>
        </w:tc>
        <w:tc>
          <w:tcPr>
            <w:tcW w:w="1066" w:type="dxa"/>
            <w:shd w:val="clear" w:color="auto" w:fill="FFFFFF" w:themeFill="background1"/>
          </w:tcPr>
          <w:p w14:paraId="062BA12D" w14:textId="77777777" w:rsidR="00314559" w:rsidRPr="003B7DC9" w:rsidRDefault="00314559" w:rsidP="00314559">
            <w:pPr>
              <w:jc w:val="center"/>
              <w:rPr>
                <w:rFonts w:ascii="Times New Roman" w:eastAsia="Calibri" w:hAnsi="Times New Roman" w:cs="Times New Roman"/>
                <w:sz w:val="18"/>
                <w:szCs w:val="18"/>
                <w:lang w:val="en-US"/>
              </w:rPr>
            </w:pPr>
          </w:p>
          <w:p w14:paraId="0FEF58C3" w14:textId="77777777" w:rsidR="00314559" w:rsidRPr="003B7DC9" w:rsidRDefault="00314559" w:rsidP="00314559">
            <w:pPr>
              <w:jc w:val="center"/>
              <w:rPr>
                <w:rFonts w:ascii="Times New Roman" w:eastAsia="Calibri" w:hAnsi="Times New Roman" w:cs="Times New Roman"/>
                <w:sz w:val="18"/>
                <w:szCs w:val="18"/>
              </w:rPr>
            </w:pPr>
          </w:p>
          <w:p w14:paraId="3EFFA98E" w14:textId="194DE14B" w:rsidR="00314559" w:rsidRPr="003B7DC9" w:rsidRDefault="00314559" w:rsidP="00314559">
            <w:pPr>
              <w:jc w:val="center"/>
              <w:rPr>
                <w:rFonts w:ascii="Times New Roman" w:eastAsia="Calibri" w:hAnsi="Times New Roman" w:cs="Times New Roman"/>
                <w:sz w:val="18"/>
                <w:szCs w:val="18"/>
              </w:rPr>
            </w:pPr>
          </w:p>
        </w:tc>
        <w:tc>
          <w:tcPr>
            <w:tcW w:w="3060" w:type="dxa"/>
            <w:shd w:val="clear" w:color="auto" w:fill="FFFFFF" w:themeFill="background1"/>
          </w:tcPr>
          <w:p w14:paraId="535EFDED" w14:textId="77777777" w:rsidR="00314559" w:rsidRPr="003B7DC9" w:rsidRDefault="00314559" w:rsidP="00314559">
            <w:pPr>
              <w:rPr>
                <w:rFonts w:ascii="Times New Roman" w:eastAsia="Calibri" w:hAnsi="Times New Roman" w:cs="Times New Roman"/>
                <w:sz w:val="18"/>
                <w:szCs w:val="18"/>
              </w:rPr>
            </w:pPr>
          </w:p>
          <w:p w14:paraId="0FDF102B" w14:textId="77777777" w:rsidR="00314559" w:rsidRPr="003B7DC9" w:rsidRDefault="00314559" w:rsidP="00314559">
            <w:pPr>
              <w:rPr>
                <w:rFonts w:ascii="Times New Roman" w:eastAsia="Calibri" w:hAnsi="Times New Roman" w:cs="Times New Roman"/>
                <w:sz w:val="18"/>
                <w:szCs w:val="18"/>
              </w:rPr>
            </w:pPr>
          </w:p>
          <w:p w14:paraId="5BA4E6B4" w14:textId="77777777" w:rsidR="00314559" w:rsidRPr="003B7DC9" w:rsidRDefault="00314559" w:rsidP="00314559">
            <w:pPr>
              <w:rPr>
                <w:rFonts w:ascii="Times New Roman" w:eastAsia="Calibri" w:hAnsi="Times New Roman" w:cs="Times New Roman"/>
                <w:sz w:val="18"/>
                <w:szCs w:val="18"/>
              </w:rPr>
            </w:pPr>
          </w:p>
          <w:p w14:paraId="3064CC3E" w14:textId="77777777" w:rsidR="00314559" w:rsidRPr="003B7DC9" w:rsidRDefault="00314559" w:rsidP="00314559">
            <w:pPr>
              <w:rPr>
                <w:rFonts w:ascii="Times New Roman" w:eastAsia="Calibri" w:hAnsi="Times New Roman" w:cs="Times New Roman"/>
                <w:sz w:val="18"/>
                <w:szCs w:val="18"/>
              </w:rPr>
            </w:pPr>
          </w:p>
          <w:p w14:paraId="5663E24E" w14:textId="77777777" w:rsidR="00314559" w:rsidRPr="003B7DC9" w:rsidRDefault="00314559" w:rsidP="00314559">
            <w:pPr>
              <w:rPr>
                <w:rFonts w:ascii="Times New Roman" w:eastAsia="Calibri" w:hAnsi="Times New Roman" w:cs="Times New Roman"/>
                <w:sz w:val="18"/>
                <w:szCs w:val="18"/>
              </w:rPr>
            </w:pPr>
          </w:p>
          <w:p w14:paraId="495291EA" w14:textId="77777777" w:rsidR="00314559" w:rsidRPr="003B7DC9" w:rsidRDefault="00314559" w:rsidP="00314559">
            <w:pPr>
              <w:rPr>
                <w:rFonts w:ascii="Times New Roman" w:eastAsia="Calibri" w:hAnsi="Times New Roman" w:cs="Times New Roman"/>
                <w:sz w:val="18"/>
                <w:szCs w:val="18"/>
              </w:rPr>
            </w:pPr>
          </w:p>
          <w:p w14:paraId="4DE774DE" w14:textId="77777777" w:rsidR="00314559" w:rsidRPr="003B7DC9" w:rsidRDefault="00314559" w:rsidP="00314559">
            <w:pPr>
              <w:rPr>
                <w:rFonts w:ascii="Times New Roman" w:eastAsia="Calibri" w:hAnsi="Times New Roman" w:cs="Times New Roman"/>
                <w:sz w:val="18"/>
                <w:szCs w:val="18"/>
              </w:rPr>
            </w:pPr>
          </w:p>
          <w:p w14:paraId="69709590" w14:textId="77777777" w:rsidR="00314559" w:rsidRPr="003B7DC9" w:rsidRDefault="00314559" w:rsidP="00314559">
            <w:pPr>
              <w:rPr>
                <w:rFonts w:ascii="Times New Roman" w:eastAsia="Calibri" w:hAnsi="Times New Roman" w:cs="Times New Roman"/>
                <w:sz w:val="18"/>
                <w:szCs w:val="18"/>
              </w:rPr>
            </w:pPr>
          </w:p>
          <w:p w14:paraId="2B2B1955" w14:textId="77777777" w:rsidR="00314559" w:rsidRPr="003B7DC9" w:rsidRDefault="00314559" w:rsidP="00314559">
            <w:pPr>
              <w:rPr>
                <w:rFonts w:ascii="Times New Roman" w:eastAsia="Calibri" w:hAnsi="Times New Roman" w:cs="Times New Roman"/>
                <w:sz w:val="18"/>
                <w:szCs w:val="18"/>
              </w:rPr>
            </w:pPr>
          </w:p>
          <w:p w14:paraId="1C850935" w14:textId="77777777" w:rsidR="00314559" w:rsidRPr="003B7DC9" w:rsidRDefault="00314559" w:rsidP="00314559">
            <w:pPr>
              <w:rPr>
                <w:rFonts w:ascii="Times New Roman" w:eastAsia="Calibri" w:hAnsi="Times New Roman" w:cs="Times New Roman"/>
                <w:sz w:val="18"/>
                <w:szCs w:val="18"/>
              </w:rPr>
            </w:pPr>
          </w:p>
          <w:p w14:paraId="59358D45" w14:textId="77777777" w:rsidR="00314559" w:rsidRPr="003B7DC9" w:rsidRDefault="00314559" w:rsidP="00314559">
            <w:pPr>
              <w:rPr>
                <w:rFonts w:ascii="Times New Roman" w:eastAsia="Calibri" w:hAnsi="Times New Roman" w:cs="Times New Roman"/>
                <w:sz w:val="18"/>
                <w:szCs w:val="18"/>
              </w:rPr>
            </w:pPr>
          </w:p>
          <w:p w14:paraId="2EBD8E77" w14:textId="77777777" w:rsidR="00314559" w:rsidRPr="003B7DC9" w:rsidRDefault="00314559" w:rsidP="00314559">
            <w:pPr>
              <w:rPr>
                <w:rFonts w:ascii="Times New Roman" w:eastAsia="Calibri" w:hAnsi="Times New Roman" w:cs="Times New Roman"/>
                <w:sz w:val="18"/>
                <w:szCs w:val="18"/>
              </w:rPr>
            </w:pPr>
          </w:p>
          <w:p w14:paraId="1A1312A1" w14:textId="77777777" w:rsidR="00314559" w:rsidRPr="003B7DC9" w:rsidRDefault="00314559" w:rsidP="00314559">
            <w:pPr>
              <w:rPr>
                <w:rFonts w:ascii="Times New Roman" w:eastAsia="Calibri" w:hAnsi="Times New Roman" w:cs="Times New Roman"/>
                <w:sz w:val="18"/>
                <w:szCs w:val="18"/>
              </w:rPr>
            </w:pPr>
          </w:p>
          <w:p w14:paraId="693BE901" w14:textId="77777777" w:rsidR="00314559" w:rsidRPr="003B7DC9" w:rsidRDefault="00314559" w:rsidP="00314559">
            <w:pPr>
              <w:rPr>
                <w:rFonts w:ascii="Times New Roman" w:eastAsia="Calibri" w:hAnsi="Times New Roman" w:cs="Times New Roman"/>
                <w:sz w:val="18"/>
                <w:szCs w:val="18"/>
              </w:rPr>
            </w:pPr>
          </w:p>
          <w:p w14:paraId="137158CD" w14:textId="77777777" w:rsidR="00314559" w:rsidRPr="003B7DC9" w:rsidRDefault="00314559" w:rsidP="00314559">
            <w:pPr>
              <w:rPr>
                <w:rFonts w:ascii="Times New Roman" w:eastAsia="Calibri" w:hAnsi="Times New Roman" w:cs="Times New Roman"/>
                <w:sz w:val="18"/>
                <w:szCs w:val="18"/>
              </w:rPr>
            </w:pPr>
          </w:p>
          <w:p w14:paraId="06BAE859" w14:textId="77777777" w:rsidR="00314559" w:rsidRPr="003B7DC9" w:rsidRDefault="00314559" w:rsidP="00314559">
            <w:pPr>
              <w:rPr>
                <w:rFonts w:ascii="Times New Roman" w:eastAsia="Calibri" w:hAnsi="Times New Roman" w:cs="Times New Roman"/>
                <w:sz w:val="18"/>
                <w:szCs w:val="18"/>
              </w:rPr>
            </w:pPr>
          </w:p>
          <w:p w14:paraId="3007B7F9" w14:textId="77777777" w:rsidR="00314559" w:rsidRPr="003B7DC9" w:rsidRDefault="00314559" w:rsidP="00314559">
            <w:pPr>
              <w:rPr>
                <w:rFonts w:ascii="Times New Roman" w:eastAsia="Calibri" w:hAnsi="Times New Roman" w:cs="Times New Roman"/>
                <w:sz w:val="18"/>
                <w:szCs w:val="18"/>
              </w:rPr>
            </w:pPr>
          </w:p>
          <w:p w14:paraId="60525F4C" w14:textId="77777777" w:rsidR="00314559" w:rsidRPr="003B7DC9" w:rsidRDefault="00314559" w:rsidP="00314559">
            <w:pPr>
              <w:rPr>
                <w:rFonts w:ascii="Times New Roman" w:eastAsia="Calibri" w:hAnsi="Times New Roman" w:cs="Times New Roman"/>
                <w:sz w:val="18"/>
                <w:szCs w:val="18"/>
              </w:rPr>
            </w:pPr>
          </w:p>
          <w:p w14:paraId="5EDDC108" w14:textId="77777777" w:rsidR="00314559" w:rsidRPr="003B7DC9" w:rsidRDefault="00314559" w:rsidP="00314559">
            <w:pPr>
              <w:rPr>
                <w:rFonts w:ascii="Times New Roman" w:eastAsia="Calibri" w:hAnsi="Times New Roman" w:cs="Times New Roman"/>
                <w:sz w:val="18"/>
                <w:szCs w:val="18"/>
              </w:rPr>
            </w:pPr>
          </w:p>
          <w:p w14:paraId="3B87E950" w14:textId="77777777" w:rsidR="00314559" w:rsidRPr="003B7DC9" w:rsidRDefault="00314559" w:rsidP="00314559">
            <w:pPr>
              <w:rPr>
                <w:rFonts w:ascii="Times New Roman" w:eastAsia="Calibri" w:hAnsi="Times New Roman" w:cs="Times New Roman"/>
                <w:sz w:val="18"/>
                <w:szCs w:val="18"/>
              </w:rPr>
            </w:pPr>
          </w:p>
          <w:p w14:paraId="0DABAA7E" w14:textId="77777777" w:rsidR="00314559" w:rsidRPr="003B7DC9" w:rsidRDefault="00314559" w:rsidP="00314559">
            <w:pPr>
              <w:rPr>
                <w:rFonts w:ascii="Times New Roman" w:eastAsia="Calibri" w:hAnsi="Times New Roman" w:cs="Times New Roman"/>
                <w:sz w:val="18"/>
                <w:szCs w:val="18"/>
              </w:rPr>
            </w:pPr>
          </w:p>
          <w:p w14:paraId="733A4C74" w14:textId="77777777" w:rsidR="00314559" w:rsidRPr="003B7DC9" w:rsidRDefault="00314559" w:rsidP="00314559">
            <w:pPr>
              <w:rPr>
                <w:rFonts w:ascii="Times New Roman" w:eastAsia="Calibri" w:hAnsi="Times New Roman" w:cs="Times New Roman"/>
                <w:sz w:val="18"/>
                <w:szCs w:val="18"/>
              </w:rPr>
            </w:pPr>
          </w:p>
          <w:p w14:paraId="2F04428B" w14:textId="77777777" w:rsidR="00314559" w:rsidRPr="003B7DC9" w:rsidRDefault="00314559" w:rsidP="00314559">
            <w:pPr>
              <w:rPr>
                <w:rFonts w:ascii="Times New Roman" w:eastAsia="Calibri" w:hAnsi="Times New Roman" w:cs="Times New Roman"/>
                <w:sz w:val="18"/>
                <w:szCs w:val="18"/>
              </w:rPr>
            </w:pPr>
          </w:p>
          <w:p w14:paraId="4280E552" w14:textId="77777777" w:rsidR="00314559" w:rsidRPr="003B7DC9" w:rsidRDefault="00314559" w:rsidP="00314559">
            <w:pPr>
              <w:rPr>
                <w:rFonts w:ascii="Times New Roman" w:eastAsia="Calibri" w:hAnsi="Times New Roman" w:cs="Times New Roman"/>
                <w:sz w:val="18"/>
                <w:szCs w:val="18"/>
              </w:rPr>
            </w:pPr>
          </w:p>
          <w:p w14:paraId="69925819" w14:textId="77777777" w:rsidR="00314559" w:rsidRPr="003B7DC9" w:rsidRDefault="00314559" w:rsidP="00314559">
            <w:pPr>
              <w:rPr>
                <w:rFonts w:ascii="Times New Roman" w:eastAsia="Calibri" w:hAnsi="Times New Roman" w:cs="Times New Roman"/>
                <w:sz w:val="18"/>
                <w:szCs w:val="18"/>
              </w:rPr>
            </w:pPr>
          </w:p>
          <w:p w14:paraId="71188287" w14:textId="66AB9424" w:rsidR="00314559" w:rsidRPr="003B7DC9" w:rsidRDefault="00314559" w:rsidP="00314559">
            <w:pPr>
              <w:rPr>
                <w:rFonts w:ascii="Times New Roman" w:eastAsia="Calibri" w:hAnsi="Times New Roman" w:cs="Times New Roman"/>
                <w:sz w:val="18"/>
                <w:szCs w:val="18"/>
              </w:rPr>
            </w:pPr>
          </w:p>
        </w:tc>
      </w:tr>
      <w:tr w:rsidR="00314559" w:rsidRPr="003B7DC9" w14:paraId="5745F282" w14:textId="77777777" w:rsidTr="00B75638">
        <w:trPr>
          <w:trHeight w:val="1718"/>
        </w:trPr>
        <w:tc>
          <w:tcPr>
            <w:tcW w:w="630" w:type="dxa"/>
            <w:shd w:val="clear" w:color="auto" w:fill="F2F2F2"/>
          </w:tcPr>
          <w:p w14:paraId="567EB811"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3FF5F3B9" w14:textId="77777777" w:rsidR="00314559" w:rsidRPr="003B7DC9" w:rsidRDefault="00314559" w:rsidP="00314559">
            <w:pPr>
              <w:spacing w:line="276" w:lineRule="auto"/>
              <w:rPr>
                <w:rFonts w:ascii="Times New Roman" w:hAnsi="Times New Roman" w:cs="Times New Roman"/>
                <w:bCs/>
                <w:sz w:val="18"/>
                <w:szCs w:val="18"/>
              </w:rPr>
            </w:pPr>
          </w:p>
          <w:p w14:paraId="2E26783D" w14:textId="77777777" w:rsidR="00314559" w:rsidRPr="003B7DC9" w:rsidRDefault="00314559" w:rsidP="00314559">
            <w:pPr>
              <w:spacing w:line="276" w:lineRule="auto"/>
              <w:jc w:val="both"/>
              <w:rPr>
                <w:rFonts w:ascii="Times New Roman" w:hAnsi="Times New Roman" w:cs="Times New Roman"/>
                <w:bCs/>
                <w:sz w:val="18"/>
                <w:szCs w:val="18"/>
              </w:rPr>
            </w:pPr>
            <w:r w:rsidRPr="003B7DC9">
              <w:rPr>
                <w:rFonts w:ascii="Times New Roman" w:hAnsi="Times New Roman" w:cs="Times New Roman"/>
                <w:bCs/>
                <w:sz w:val="18"/>
                <w:szCs w:val="18"/>
              </w:rPr>
              <w:t>Neni 3</w:t>
            </w:r>
          </w:p>
          <w:p w14:paraId="14DF82AC" w14:textId="77777777" w:rsidR="00314559" w:rsidRPr="003B7DC9" w:rsidRDefault="00314559" w:rsidP="00314559">
            <w:pPr>
              <w:spacing w:line="276" w:lineRule="auto"/>
              <w:jc w:val="both"/>
              <w:rPr>
                <w:rFonts w:ascii="Times New Roman" w:hAnsi="Times New Roman" w:cs="Times New Roman"/>
                <w:bCs/>
                <w:sz w:val="18"/>
                <w:szCs w:val="18"/>
              </w:rPr>
            </w:pPr>
            <w:r w:rsidRPr="003B7DC9">
              <w:rPr>
                <w:rFonts w:ascii="Times New Roman" w:hAnsi="Times New Roman" w:cs="Times New Roman"/>
                <w:bCs/>
                <w:sz w:val="18"/>
                <w:szCs w:val="18"/>
              </w:rPr>
              <w:t>Përkufizime</w:t>
            </w:r>
          </w:p>
          <w:p w14:paraId="57392CDA" w14:textId="77777777" w:rsidR="00314559" w:rsidRPr="003B7DC9" w:rsidRDefault="00314559" w:rsidP="00314559">
            <w:pPr>
              <w:spacing w:line="276" w:lineRule="auto"/>
              <w:jc w:val="both"/>
              <w:rPr>
                <w:rFonts w:ascii="Times New Roman" w:hAnsi="Times New Roman" w:cs="Times New Roman"/>
                <w:bCs/>
                <w:sz w:val="18"/>
                <w:szCs w:val="18"/>
              </w:rPr>
            </w:pPr>
          </w:p>
          <w:p w14:paraId="5DA4B109" w14:textId="0D537EEE" w:rsidR="00314559" w:rsidRPr="003B7DC9" w:rsidRDefault="00314559" w:rsidP="00314559">
            <w:pPr>
              <w:spacing w:line="276" w:lineRule="auto"/>
              <w:jc w:val="both"/>
              <w:rPr>
                <w:rFonts w:ascii="Times New Roman" w:hAnsi="Times New Roman" w:cs="Times New Roman"/>
                <w:bCs/>
                <w:sz w:val="18"/>
                <w:szCs w:val="18"/>
              </w:rPr>
            </w:pPr>
            <w:r w:rsidRPr="003B7DC9">
              <w:rPr>
                <w:rFonts w:ascii="Times New Roman" w:hAnsi="Times New Roman" w:cs="Times New Roman"/>
                <w:bCs/>
                <w:sz w:val="18"/>
                <w:szCs w:val="18"/>
              </w:rPr>
              <w:t>Për qëllimet e kësaj direktive vlejnë përkufizimet e mëposhtme:</w:t>
            </w:r>
          </w:p>
          <w:p w14:paraId="321EB780" w14:textId="77777777" w:rsidR="00314559" w:rsidRPr="003B7DC9" w:rsidRDefault="00314559" w:rsidP="00314559">
            <w:pPr>
              <w:spacing w:line="276" w:lineRule="auto"/>
              <w:jc w:val="both"/>
              <w:rPr>
                <w:rFonts w:ascii="Times New Roman" w:hAnsi="Times New Roman" w:cs="Times New Roman"/>
                <w:bCs/>
                <w:sz w:val="18"/>
                <w:szCs w:val="18"/>
              </w:rPr>
            </w:pPr>
          </w:p>
          <w:p w14:paraId="56685ADC" w14:textId="56EA2650" w:rsidR="00314559" w:rsidRPr="003B7DC9" w:rsidRDefault="00314559" w:rsidP="00314559">
            <w:pPr>
              <w:pStyle w:val="ListParagraph"/>
              <w:numPr>
                <w:ilvl w:val="0"/>
                <w:numId w:val="2"/>
              </w:numPr>
              <w:spacing w:after="0"/>
              <w:jc w:val="both"/>
              <w:rPr>
                <w:rFonts w:ascii="Times New Roman" w:hAnsi="Times New Roman" w:cs="Times New Roman"/>
                <w:bCs/>
                <w:sz w:val="18"/>
                <w:szCs w:val="18"/>
              </w:rPr>
            </w:pPr>
            <w:r w:rsidRPr="003B7DC9">
              <w:rPr>
                <w:rFonts w:ascii="Times New Roman" w:hAnsi="Times New Roman" w:cs="Times New Roman"/>
                <w:bCs/>
                <w:sz w:val="18"/>
                <w:szCs w:val="18"/>
              </w:rPr>
              <w:t>“Autoritet kompetent” i një shteti anëtar nënkupton autoritetin që është caktuar si i tillë nga ai shtet anëtar. Kur vepron në përputhje me këtë direktivë, Zyra Qendrore Ndërlidhëse, një departament ndërlidhës ose një nëpunës kompetent konsiderohen gjithashtu autoritete kompetente me delegim, në përputhje me nenin 4.</w:t>
            </w:r>
          </w:p>
        </w:tc>
        <w:tc>
          <w:tcPr>
            <w:tcW w:w="1170" w:type="dxa"/>
            <w:shd w:val="clear" w:color="auto" w:fill="FFFFFF" w:themeFill="background1"/>
          </w:tcPr>
          <w:p w14:paraId="7C729F55" w14:textId="67424AB8"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545771EB" w14:textId="7DCD3796"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Neni 3</w:t>
            </w:r>
          </w:p>
        </w:tc>
        <w:tc>
          <w:tcPr>
            <w:tcW w:w="4334" w:type="dxa"/>
            <w:shd w:val="clear" w:color="auto" w:fill="FFFFFF" w:themeFill="background1"/>
          </w:tcPr>
          <w:p w14:paraId="666BEF5D" w14:textId="77777777" w:rsidR="00314559" w:rsidRPr="003B7DC9" w:rsidRDefault="00314559" w:rsidP="00314559">
            <w:pPr>
              <w:spacing w:line="276" w:lineRule="auto"/>
              <w:jc w:val="both"/>
              <w:rPr>
                <w:rFonts w:ascii="Times New Roman" w:hAnsi="Times New Roman" w:cs="Times New Roman"/>
                <w:sz w:val="18"/>
                <w:szCs w:val="18"/>
              </w:rPr>
            </w:pPr>
          </w:p>
          <w:p w14:paraId="1D87F056" w14:textId="5FA97654" w:rsidR="00314559" w:rsidRPr="003B7DC9" w:rsidRDefault="00314559" w:rsidP="00314559">
            <w:pPr>
              <w:spacing w:line="276" w:lineRule="auto"/>
              <w:jc w:val="center"/>
              <w:rPr>
                <w:rFonts w:ascii="Times New Roman" w:hAnsi="Times New Roman" w:cs="Times New Roman"/>
                <w:b/>
                <w:bCs/>
                <w:sz w:val="18"/>
                <w:szCs w:val="18"/>
              </w:rPr>
            </w:pPr>
            <w:r w:rsidRPr="003B7DC9">
              <w:rPr>
                <w:rFonts w:ascii="Times New Roman" w:hAnsi="Times New Roman" w:cs="Times New Roman"/>
                <w:b/>
                <w:bCs/>
                <w:sz w:val="18"/>
                <w:szCs w:val="18"/>
              </w:rPr>
              <w:t>Neni 3</w:t>
            </w:r>
          </w:p>
          <w:p w14:paraId="5D42C59E" w14:textId="031BCFCA" w:rsidR="00314559" w:rsidRPr="003B7DC9" w:rsidRDefault="00314559" w:rsidP="00314559">
            <w:pPr>
              <w:spacing w:line="276" w:lineRule="auto"/>
              <w:jc w:val="center"/>
              <w:rPr>
                <w:rFonts w:ascii="Times New Roman" w:hAnsi="Times New Roman" w:cs="Times New Roman"/>
                <w:b/>
                <w:bCs/>
                <w:sz w:val="18"/>
                <w:szCs w:val="18"/>
              </w:rPr>
            </w:pPr>
            <w:r w:rsidRPr="003B7DC9">
              <w:rPr>
                <w:rFonts w:ascii="Times New Roman" w:hAnsi="Times New Roman" w:cs="Times New Roman"/>
                <w:b/>
                <w:bCs/>
                <w:sz w:val="18"/>
                <w:szCs w:val="18"/>
              </w:rPr>
              <w:t>Përkufizime</w:t>
            </w:r>
          </w:p>
          <w:p w14:paraId="4922D80B" w14:textId="4BC73D9B" w:rsidR="00314559" w:rsidRPr="003B7DC9" w:rsidRDefault="00314559" w:rsidP="00314559">
            <w:pPr>
              <w:spacing w:line="276" w:lineRule="auto"/>
              <w:jc w:val="both"/>
              <w:rPr>
                <w:rFonts w:ascii="Times New Roman" w:hAnsi="Times New Roman" w:cs="Times New Roman"/>
                <w:sz w:val="18"/>
                <w:szCs w:val="18"/>
              </w:rPr>
            </w:pPr>
          </w:p>
          <w:p w14:paraId="39BA2FE5" w14:textId="1711E8D7" w:rsidR="00314559" w:rsidRPr="003B7DC9" w:rsidRDefault="00314559" w:rsidP="00314559">
            <w:pPr>
              <w:numPr>
                <w:ilvl w:val="0"/>
                <w:numId w:val="108"/>
              </w:numPr>
              <w:spacing w:after="200" w:line="276" w:lineRule="auto"/>
              <w:jc w:val="both"/>
              <w:rPr>
                <w:rFonts w:ascii="Times New Roman" w:hAnsi="Times New Roman" w:cs="Times New Roman"/>
                <w:bCs/>
                <w:color w:val="242424"/>
                <w:sz w:val="18"/>
                <w:szCs w:val="18"/>
                <w:shd w:val="clear" w:color="auto" w:fill="FFFFFF"/>
                <w:lang w:val="en-US"/>
              </w:rPr>
            </w:pPr>
            <w:r w:rsidRPr="003B7DC9">
              <w:rPr>
                <w:rFonts w:ascii="Times New Roman" w:hAnsi="Times New Roman" w:cs="Times New Roman"/>
                <w:bCs/>
                <w:color w:val="242424"/>
                <w:sz w:val="18"/>
                <w:szCs w:val="18"/>
                <w:shd w:val="clear" w:color="auto" w:fill="FFFFFF"/>
                <w:lang w:val="en-US"/>
              </w:rPr>
              <w:t xml:space="preserve">“Autoriteti kompetent” nënkupton, për Republikën e Shqipërisë, Drejtorinë e Përgjithshme të Tatimeve dhe, për një shtet tjetër anëtar, autoritetin e caktuar nga ai shtet në përputhje me Direktivën 2011/16/BE. Zyra Qendrore Ndërlidhëse, departamentet ndërlidhëse dhe nëpunësit kompetentë ushtrojnë kompetencat e deleguara vetëm në përputhje me nenin 4 të këtij ligji. </w:t>
            </w:r>
          </w:p>
        </w:tc>
        <w:tc>
          <w:tcPr>
            <w:tcW w:w="1066" w:type="dxa"/>
            <w:shd w:val="clear" w:color="auto" w:fill="FFFFFF" w:themeFill="background1"/>
          </w:tcPr>
          <w:p w14:paraId="36CC30C5" w14:textId="4FF9B2CF"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5277C178" w14:textId="5D7B8509"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Përputhet. Neni 2 i projektligjit transpozon plotësisht përkufizimet e përmbajtura në këtë nen. Të gjithë termat thelbësorë (autoriteti kompetent, llojet e shkëmbimit të informacionit, përkufizimi i personit, rrjeti CCN) pasqyrojnë saktësisht kuptimin dhe funksionin e kërkuar nga Direktiva.</w:t>
            </w:r>
          </w:p>
        </w:tc>
      </w:tr>
      <w:tr w:rsidR="00314559" w:rsidRPr="003B7DC9" w14:paraId="6A4CF507" w14:textId="77777777" w:rsidTr="00B75638">
        <w:trPr>
          <w:trHeight w:val="1718"/>
        </w:trPr>
        <w:tc>
          <w:tcPr>
            <w:tcW w:w="630" w:type="dxa"/>
            <w:shd w:val="clear" w:color="auto" w:fill="F2F2F2"/>
          </w:tcPr>
          <w:p w14:paraId="633DABBD" w14:textId="77777777" w:rsidR="00314559" w:rsidRPr="003B7DC9" w:rsidRDefault="00314559" w:rsidP="00314559">
            <w:pPr>
              <w:jc w:val="center"/>
              <w:rPr>
                <w:rFonts w:ascii="Times New Roman" w:eastAsia="Calibri" w:hAnsi="Times New Roman" w:cs="Times New Roman"/>
                <w:iCs/>
                <w:sz w:val="18"/>
                <w:szCs w:val="18"/>
              </w:rPr>
            </w:pPr>
          </w:p>
        </w:tc>
        <w:tc>
          <w:tcPr>
            <w:tcW w:w="5220" w:type="dxa"/>
            <w:shd w:val="clear" w:color="auto" w:fill="FFFFFF" w:themeFill="background1"/>
          </w:tcPr>
          <w:p w14:paraId="4FF251F1" w14:textId="006D9FED" w:rsidR="00314559" w:rsidRPr="003B7DC9" w:rsidRDefault="00314559" w:rsidP="00314559">
            <w:pPr>
              <w:pStyle w:val="ListParagraph"/>
              <w:numPr>
                <w:ilvl w:val="0"/>
                <w:numId w:val="1"/>
              </w:numPr>
              <w:spacing w:after="0" w:line="240" w:lineRule="auto"/>
              <w:rPr>
                <w:rFonts w:ascii="Times New Roman" w:hAnsi="Times New Roman" w:cs="Times New Roman"/>
                <w:sz w:val="18"/>
                <w:szCs w:val="18"/>
              </w:rPr>
            </w:pPr>
            <w:r w:rsidRPr="003B7DC9">
              <w:rPr>
                <w:rFonts w:ascii="Times New Roman" w:hAnsi="Times New Roman" w:cs="Times New Roman"/>
                <w:sz w:val="18"/>
                <w:szCs w:val="18"/>
              </w:rPr>
              <w:t>Zyra Qendrore Ndërlidhëse” nënkupton zyrën që është caktuar si e tillë dhe që mban përgjegjësinë kryesore për kontaktet me shtetet e tjera anëtare në fushën e bashkëpunimit administrativ.</w:t>
            </w:r>
          </w:p>
        </w:tc>
        <w:tc>
          <w:tcPr>
            <w:tcW w:w="1170" w:type="dxa"/>
            <w:shd w:val="clear" w:color="auto" w:fill="FFFFFF" w:themeFill="background1"/>
          </w:tcPr>
          <w:p w14:paraId="1E3E740D" w14:textId="753954C0"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5CF6E6F8" w14:textId="0A41FDD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Neni 3</w:t>
            </w:r>
          </w:p>
        </w:tc>
        <w:tc>
          <w:tcPr>
            <w:tcW w:w="4334" w:type="dxa"/>
            <w:shd w:val="clear" w:color="auto" w:fill="FFFFFF" w:themeFill="background1"/>
          </w:tcPr>
          <w:p w14:paraId="24F59E4C" w14:textId="0C5B4293" w:rsidR="00314559" w:rsidRPr="003B7DC9" w:rsidRDefault="00314559" w:rsidP="00314559">
            <w:pPr>
              <w:pStyle w:val="ListParagraph"/>
              <w:numPr>
                <w:ilvl w:val="0"/>
                <w:numId w:val="108"/>
              </w:numPr>
              <w:spacing w:after="0" w:line="240" w:lineRule="auto"/>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 xml:space="preserve">“Zyra qendrore ndërlidhëse” nënkupton zyrën e caktuar si të tillë nga Drejtoria e Përgjithshme e Tatimeve, e cila ka përgjegjësinë kryesore për kontaktet me shtetet e tjera anëtare në fushën e bashkëpunimit administrativ. </w:t>
            </w:r>
          </w:p>
          <w:p w14:paraId="0707A68B" w14:textId="12AD7F34"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 </w:t>
            </w:r>
          </w:p>
        </w:tc>
        <w:tc>
          <w:tcPr>
            <w:tcW w:w="1066" w:type="dxa"/>
            <w:shd w:val="clear" w:color="auto" w:fill="FFFFFF" w:themeFill="background1"/>
          </w:tcPr>
          <w:p w14:paraId="4B8CCBEE" w14:textId="394D8B49"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73785475" w14:textId="77777777" w:rsidR="00314559" w:rsidRPr="003B7DC9" w:rsidRDefault="00314559" w:rsidP="00314559">
            <w:pPr>
              <w:rPr>
                <w:rFonts w:ascii="Times New Roman" w:eastAsia="Calibri" w:hAnsi="Times New Roman" w:cs="Times New Roman"/>
                <w:sz w:val="18"/>
                <w:szCs w:val="18"/>
              </w:rPr>
            </w:pPr>
          </w:p>
        </w:tc>
      </w:tr>
      <w:tr w:rsidR="00314559" w:rsidRPr="003B7DC9" w14:paraId="632C68B1" w14:textId="77777777" w:rsidTr="00B75638">
        <w:trPr>
          <w:trHeight w:val="1718"/>
        </w:trPr>
        <w:tc>
          <w:tcPr>
            <w:tcW w:w="630" w:type="dxa"/>
            <w:shd w:val="clear" w:color="auto" w:fill="F2F2F2"/>
          </w:tcPr>
          <w:p w14:paraId="3F05922D"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53C59287" w14:textId="0607CA7E"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 xml:space="preserve"> 3. Departament ndërlidhës” nënkupton çdo zyrë, përveç Zyrës Qendrore Ndërlidhëse, që është caktuar si e tillë për të kryer shkëmbimin e drejtpërdrejtë të informacionit në përputhje me këtë direktivë.</w:t>
            </w:r>
          </w:p>
        </w:tc>
        <w:tc>
          <w:tcPr>
            <w:tcW w:w="1170" w:type="dxa"/>
            <w:shd w:val="clear" w:color="auto" w:fill="FFFFFF" w:themeFill="background1"/>
          </w:tcPr>
          <w:p w14:paraId="5D931823" w14:textId="337536C6"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6F11E169" w14:textId="3047EEC6"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Neni 3</w:t>
            </w:r>
          </w:p>
        </w:tc>
        <w:tc>
          <w:tcPr>
            <w:tcW w:w="4334" w:type="dxa"/>
            <w:shd w:val="clear" w:color="auto" w:fill="FFFFFF" w:themeFill="background1"/>
          </w:tcPr>
          <w:p w14:paraId="01C0AE4D" w14:textId="35FBCA40" w:rsidR="00314559" w:rsidRPr="003B7DC9" w:rsidRDefault="00314559" w:rsidP="00314559">
            <w:pPr>
              <w:pStyle w:val="ListParagraph"/>
              <w:numPr>
                <w:ilvl w:val="0"/>
                <w:numId w:val="108"/>
              </w:numPr>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 xml:space="preserve">“Departamenti ndërlidhës” nënkupton çdo zyrë, përveç zyrës qendrore ndërlidhëse, e caktuar si e tillë nga Drejtoria e Përgjithshme e Tatimeve, për të kryer shkëmbim të drejtpërdrejtë të informacionit në kuadër të bashkëpunimit administrativ. </w:t>
            </w:r>
          </w:p>
          <w:p w14:paraId="1C016C29" w14:textId="64E4B56C" w:rsidR="00314559" w:rsidRPr="003B7DC9" w:rsidRDefault="00314559" w:rsidP="00314559">
            <w:pPr>
              <w:spacing w:after="200" w:line="276" w:lineRule="auto"/>
              <w:jc w:val="both"/>
              <w:rPr>
                <w:rFonts w:ascii="Times New Roman" w:hAnsi="Times New Roman" w:cs="Times New Roman"/>
                <w:sz w:val="18"/>
                <w:szCs w:val="18"/>
              </w:rPr>
            </w:pPr>
          </w:p>
        </w:tc>
        <w:tc>
          <w:tcPr>
            <w:tcW w:w="1066" w:type="dxa"/>
            <w:shd w:val="clear" w:color="auto" w:fill="FFFFFF" w:themeFill="background1"/>
          </w:tcPr>
          <w:p w14:paraId="7D9F33D6" w14:textId="08D05F6D"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5F949BDD" w14:textId="77777777" w:rsidR="00314559" w:rsidRPr="003B7DC9" w:rsidRDefault="00314559" w:rsidP="00314559">
            <w:pPr>
              <w:rPr>
                <w:rFonts w:ascii="Times New Roman" w:eastAsia="Calibri" w:hAnsi="Times New Roman" w:cs="Times New Roman"/>
                <w:sz w:val="18"/>
                <w:szCs w:val="18"/>
              </w:rPr>
            </w:pPr>
          </w:p>
        </w:tc>
      </w:tr>
      <w:tr w:rsidR="00314559" w:rsidRPr="003B7DC9" w14:paraId="52D8328C" w14:textId="77777777" w:rsidTr="00B75638">
        <w:trPr>
          <w:trHeight w:val="1718"/>
        </w:trPr>
        <w:tc>
          <w:tcPr>
            <w:tcW w:w="630" w:type="dxa"/>
            <w:shd w:val="clear" w:color="auto" w:fill="F2F2F2"/>
          </w:tcPr>
          <w:p w14:paraId="5DBAB3F1"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6498A343"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4.</w:t>
            </w:r>
          </w:p>
          <w:p w14:paraId="5E960761" w14:textId="73738542"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Nëpunës kompetent” nënkupton çdo zyrtar që është i autorizuar të shkëmbejë drejtpërdrejt informacion në përputhje me këtë direktivë.</w:t>
            </w:r>
          </w:p>
        </w:tc>
        <w:tc>
          <w:tcPr>
            <w:tcW w:w="1170" w:type="dxa"/>
            <w:shd w:val="clear" w:color="auto" w:fill="FFFFFF" w:themeFill="background1"/>
          </w:tcPr>
          <w:p w14:paraId="3CA6047B" w14:textId="32C3087F"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4806C045" w14:textId="5BE144E3"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Neni 3 </w:t>
            </w:r>
          </w:p>
        </w:tc>
        <w:tc>
          <w:tcPr>
            <w:tcW w:w="4334" w:type="dxa"/>
            <w:shd w:val="clear" w:color="auto" w:fill="FFFFFF" w:themeFill="background1"/>
          </w:tcPr>
          <w:p w14:paraId="64BC8054" w14:textId="133449C9" w:rsidR="00314559" w:rsidRPr="003B7DC9" w:rsidRDefault="00314559" w:rsidP="00314559">
            <w:pPr>
              <w:pStyle w:val="ListParagraph"/>
              <w:numPr>
                <w:ilvl w:val="0"/>
                <w:numId w:val="108"/>
              </w:numPr>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 xml:space="preserve">“Nëpunësi kompetent” </w:t>
            </w:r>
            <w:r w:rsidRPr="003B7DC9">
              <w:rPr>
                <w:rFonts w:ascii="Times New Roman" w:eastAsia="Times New Roman" w:hAnsi="Times New Roman" w:cs="Times New Roman"/>
                <w:sz w:val="18"/>
                <w:szCs w:val="18"/>
                <w:lang w:eastAsia="sq-AL"/>
              </w:rPr>
              <w:t xml:space="preserve">nënkupton </w:t>
            </w:r>
            <w:r w:rsidRPr="003B7DC9">
              <w:rPr>
                <w:rFonts w:ascii="Times New Roman" w:hAnsi="Times New Roman" w:cs="Times New Roman"/>
                <w:bCs/>
                <w:color w:val="242424"/>
                <w:sz w:val="18"/>
                <w:szCs w:val="18"/>
                <w:shd w:val="clear" w:color="auto" w:fill="FFFFFF"/>
              </w:rPr>
              <w:t xml:space="preserve">çdo nëpunës që është i autorizuar për të shkëmbyer drejtpërdrejt informacion në përputhje me dispozitat e këtij ligji. </w:t>
            </w:r>
          </w:p>
          <w:p w14:paraId="460AEBE3" w14:textId="398D7B91" w:rsidR="00314559" w:rsidRPr="003B7DC9" w:rsidRDefault="00314559" w:rsidP="00314559">
            <w:pPr>
              <w:spacing w:line="276" w:lineRule="auto"/>
              <w:jc w:val="both"/>
              <w:rPr>
                <w:rFonts w:ascii="Times New Roman" w:hAnsi="Times New Roman" w:cs="Times New Roman"/>
                <w:sz w:val="18"/>
                <w:szCs w:val="18"/>
              </w:rPr>
            </w:pPr>
          </w:p>
        </w:tc>
        <w:tc>
          <w:tcPr>
            <w:tcW w:w="1066" w:type="dxa"/>
            <w:shd w:val="clear" w:color="auto" w:fill="FFFFFF" w:themeFill="background1"/>
          </w:tcPr>
          <w:p w14:paraId="2C082E9F" w14:textId="2056FA40"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50F1445B" w14:textId="77777777" w:rsidR="00314559" w:rsidRPr="003B7DC9" w:rsidRDefault="00314559" w:rsidP="00314559">
            <w:pPr>
              <w:rPr>
                <w:rFonts w:ascii="Times New Roman" w:eastAsia="Calibri" w:hAnsi="Times New Roman" w:cs="Times New Roman"/>
                <w:sz w:val="18"/>
                <w:szCs w:val="18"/>
              </w:rPr>
            </w:pPr>
          </w:p>
        </w:tc>
      </w:tr>
      <w:tr w:rsidR="00314559" w:rsidRPr="003B7DC9" w14:paraId="42A8DE72" w14:textId="77777777" w:rsidTr="00B75638">
        <w:trPr>
          <w:trHeight w:val="1718"/>
        </w:trPr>
        <w:tc>
          <w:tcPr>
            <w:tcW w:w="630" w:type="dxa"/>
            <w:shd w:val="clear" w:color="auto" w:fill="F2F2F2"/>
          </w:tcPr>
          <w:p w14:paraId="2A5BD65F"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5559DEEF"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 xml:space="preserve">5. </w:t>
            </w:r>
          </w:p>
          <w:p w14:paraId="203BD148" w14:textId="48FF786A"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Autoritet kërkues” nënkupton Zyrën Qendrore Ndërlidhëse, një departament ndërlidhës ose çdo nëpunës kompetent të një shteti anëtar, i cili paraqet një kërkesë për asistencë në emër të autoritetit kompetent.</w:t>
            </w:r>
          </w:p>
        </w:tc>
        <w:tc>
          <w:tcPr>
            <w:tcW w:w="1170" w:type="dxa"/>
            <w:shd w:val="clear" w:color="auto" w:fill="FFFFFF" w:themeFill="background1"/>
          </w:tcPr>
          <w:p w14:paraId="31D877AC" w14:textId="7F29BD4F"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5873C405" w14:textId="21B7CE65"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Neni 3 </w:t>
            </w:r>
          </w:p>
        </w:tc>
        <w:tc>
          <w:tcPr>
            <w:tcW w:w="4334" w:type="dxa"/>
            <w:shd w:val="clear" w:color="auto" w:fill="FFFFFF" w:themeFill="background1"/>
          </w:tcPr>
          <w:p w14:paraId="02CD5F49" w14:textId="7AB90112" w:rsidR="00314559" w:rsidRPr="003B7DC9" w:rsidRDefault="00314559" w:rsidP="00314559">
            <w:pPr>
              <w:pStyle w:val="ListParagraph"/>
              <w:numPr>
                <w:ilvl w:val="0"/>
                <w:numId w:val="107"/>
              </w:numPr>
              <w:jc w:val="both"/>
              <w:rPr>
                <w:rFonts w:ascii="Times New Roman" w:hAnsi="Times New Roman" w:cs="Times New Roman"/>
                <w:bCs/>
                <w:color w:val="242424"/>
                <w:sz w:val="18"/>
                <w:szCs w:val="18"/>
                <w:shd w:val="clear" w:color="auto" w:fill="FFFFFF"/>
                <w:lang w:val="en-US"/>
              </w:rPr>
            </w:pPr>
            <w:r w:rsidRPr="003B7DC9">
              <w:rPr>
                <w:rFonts w:ascii="Times New Roman" w:hAnsi="Times New Roman" w:cs="Times New Roman"/>
                <w:bCs/>
                <w:color w:val="242424"/>
                <w:sz w:val="18"/>
                <w:szCs w:val="18"/>
                <w:shd w:val="clear" w:color="auto" w:fill="FFFFFF"/>
                <w:lang w:val="en-US"/>
              </w:rPr>
              <w:t xml:space="preserve">“Autoriteti kërkues” </w:t>
            </w:r>
            <w:r w:rsidRPr="003B7DC9">
              <w:rPr>
                <w:rFonts w:ascii="Times New Roman" w:eastAsia="Times New Roman" w:hAnsi="Times New Roman" w:cs="Times New Roman"/>
                <w:sz w:val="18"/>
                <w:szCs w:val="18"/>
                <w:lang w:eastAsia="sq-AL"/>
              </w:rPr>
              <w:t xml:space="preserve">nënkupton </w:t>
            </w:r>
            <w:r w:rsidRPr="003B7DC9">
              <w:rPr>
                <w:rFonts w:ascii="Times New Roman" w:hAnsi="Times New Roman" w:cs="Times New Roman"/>
                <w:bCs/>
                <w:color w:val="242424"/>
                <w:sz w:val="18"/>
                <w:szCs w:val="18"/>
                <w:shd w:val="clear" w:color="auto" w:fill="FFFFFF"/>
                <w:lang w:val="en-US"/>
              </w:rPr>
              <w:t xml:space="preserve">zyrën qendrore ndërlidhëse, një departament ndërlidhës ose çdo nëpunës kompetent </w:t>
            </w:r>
            <w:r w:rsidRPr="003B7DC9">
              <w:rPr>
                <w:rFonts w:ascii="Times New Roman" w:eastAsia="Times New Roman" w:hAnsi="Times New Roman" w:cs="Times New Roman"/>
                <w:sz w:val="18"/>
                <w:szCs w:val="18"/>
                <w:lang w:eastAsia="sq-AL"/>
              </w:rPr>
              <w:t xml:space="preserve">i një shteti anëtar, që paraqet një kërkesë për ndihmë në emër të autoritetit kompetent të atij shteti. </w:t>
            </w:r>
          </w:p>
          <w:p w14:paraId="6C33D90B" w14:textId="7B3C234B" w:rsidR="00314559" w:rsidRPr="003B7DC9" w:rsidRDefault="00314559" w:rsidP="00314559">
            <w:pPr>
              <w:spacing w:after="200" w:line="276" w:lineRule="auto"/>
              <w:jc w:val="both"/>
              <w:rPr>
                <w:rFonts w:ascii="Times New Roman" w:hAnsi="Times New Roman" w:cs="Times New Roman"/>
                <w:sz w:val="18"/>
                <w:szCs w:val="18"/>
              </w:rPr>
            </w:pPr>
          </w:p>
        </w:tc>
        <w:tc>
          <w:tcPr>
            <w:tcW w:w="1066" w:type="dxa"/>
            <w:shd w:val="clear" w:color="auto" w:fill="FFFFFF" w:themeFill="background1"/>
          </w:tcPr>
          <w:p w14:paraId="1C1A640C" w14:textId="36B839F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3B7CED50" w14:textId="77777777" w:rsidR="00314559" w:rsidRPr="003B7DC9" w:rsidRDefault="00314559" w:rsidP="00314559">
            <w:pPr>
              <w:rPr>
                <w:rFonts w:ascii="Times New Roman" w:eastAsia="Calibri" w:hAnsi="Times New Roman" w:cs="Times New Roman"/>
                <w:sz w:val="18"/>
                <w:szCs w:val="18"/>
              </w:rPr>
            </w:pPr>
          </w:p>
        </w:tc>
      </w:tr>
      <w:tr w:rsidR="00314559" w:rsidRPr="003B7DC9" w14:paraId="4E5E3077" w14:textId="77777777" w:rsidTr="00B75638">
        <w:trPr>
          <w:trHeight w:val="1718"/>
        </w:trPr>
        <w:tc>
          <w:tcPr>
            <w:tcW w:w="630" w:type="dxa"/>
            <w:shd w:val="clear" w:color="auto" w:fill="F2F2F2"/>
          </w:tcPr>
          <w:p w14:paraId="73CBB918"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3281389A"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 xml:space="preserve">6. </w:t>
            </w:r>
          </w:p>
          <w:p w14:paraId="6988D26A" w14:textId="08195476"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“Autoritet i kërkuar” nënkupton Zyrën Qendrore Ndërlidhëse, një departament ndërlidhës ose çdo nëpunës kompetent të një shteti anëtar, i cili merr një kërkesë për asistencë në emër të autoritetit kompetent.</w:t>
            </w:r>
          </w:p>
        </w:tc>
        <w:tc>
          <w:tcPr>
            <w:tcW w:w="1170" w:type="dxa"/>
            <w:shd w:val="clear" w:color="auto" w:fill="FFFFFF" w:themeFill="background1"/>
          </w:tcPr>
          <w:p w14:paraId="40FD20B9" w14:textId="7F508358"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49DD287B" w14:textId="7699A56D"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Neni 3  </w:t>
            </w:r>
          </w:p>
        </w:tc>
        <w:tc>
          <w:tcPr>
            <w:tcW w:w="4334" w:type="dxa"/>
            <w:shd w:val="clear" w:color="auto" w:fill="FFFFFF" w:themeFill="background1"/>
          </w:tcPr>
          <w:p w14:paraId="70416187" w14:textId="181F0000" w:rsidR="00314559" w:rsidRPr="003B7DC9" w:rsidRDefault="00314559" w:rsidP="00314559">
            <w:pPr>
              <w:pStyle w:val="ListParagraph"/>
              <w:numPr>
                <w:ilvl w:val="0"/>
                <w:numId w:val="107"/>
              </w:numPr>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 xml:space="preserve">“Autoriteti i kërkuar” </w:t>
            </w:r>
            <w:r w:rsidRPr="003B7DC9">
              <w:rPr>
                <w:rFonts w:ascii="Times New Roman" w:eastAsia="Times New Roman" w:hAnsi="Times New Roman" w:cs="Times New Roman"/>
                <w:sz w:val="18"/>
                <w:szCs w:val="18"/>
                <w:lang w:eastAsia="sq-AL"/>
              </w:rPr>
              <w:t>nënkupton</w:t>
            </w:r>
            <w:r w:rsidRPr="003B7DC9">
              <w:rPr>
                <w:rFonts w:ascii="Times New Roman" w:hAnsi="Times New Roman" w:cs="Times New Roman"/>
                <w:bCs/>
                <w:color w:val="242424"/>
                <w:sz w:val="18"/>
                <w:szCs w:val="18"/>
                <w:shd w:val="clear" w:color="auto" w:fill="FFFFFF"/>
              </w:rPr>
              <w:t xml:space="preserve"> zyrën qendrore ndërlidhëse, një departament ndërlidhës ose çdo nëpunës kompetent i një shteti anëtar, të cilit i drejtohet kërkesa për ndihmë nga autoriteti kërkues. </w:t>
            </w:r>
          </w:p>
          <w:p w14:paraId="4466D744" w14:textId="6E409FAE" w:rsidR="00314559" w:rsidRPr="003B7DC9" w:rsidRDefault="00314559" w:rsidP="00314559">
            <w:pPr>
              <w:spacing w:after="200" w:line="276" w:lineRule="auto"/>
              <w:ind w:left="720"/>
              <w:jc w:val="both"/>
              <w:rPr>
                <w:rFonts w:ascii="Times New Roman" w:hAnsi="Times New Roman" w:cs="Times New Roman"/>
                <w:b/>
                <w:sz w:val="18"/>
                <w:szCs w:val="18"/>
              </w:rPr>
            </w:pPr>
          </w:p>
        </w:tc>
        <w:tc>
          <w:tcPr>
            <w:tcW w:w="1066" w:type="dxa"/>
            <w:shd w:val="clear" w:color="auto" w:fill="FFFFFF" w:themeFill="background1"/>
          </w:tcPr>
          <w:p w14:paraId="385D2AB7" w14:textId="2474A349"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693C6E3E" w14:textId="77777777" w:rsidR="00314559" w:rsidRPr="003B7DC9" w:rsidRDefault="00314559" w:rsidP="00314559">
            <w:pPr>
              <w:rPr>
                <w:rFonts w:ascii="Times New Roman" w:eastAsia="Calibri" w:hAnsi="Times New Roman" w:cs="Times New Roman"/>
                <w:sz w:val="18"/>
                <w:szCs w:val="18"/>
              </w:rPr>
            </w:pPr>
          </w:p>
        </w:tc>
      </w:tr>
      <w:tr w:rsidR="00314559" w:rsidRPr="003B7DC9" w14:paraId="6475A0AC" w14:textId="77777777" w:rsidTr="00B75638">
        <w:trPr>
          <w:trHeight w:val="1718"/>
        </w:trPr>
        <w:tc>
          <w:tcPr>
            <w:tcW w:w="630" w:type="dxa"/>
            <w:shd w:val="clear" w:color="auto" w:fill="F2F2F2"/>
          </w:tcPr>
          <w:p w14:paraId="38D3105B"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06F36615"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 xml:space="preserve">7. </w:t>
            </w:r>
          </w:p>
          <w:p w14:paraId="14273E5D" w14:textId="40A82E4E"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“Hetim administrativ” nënkupton të gjitha kontrollet, verifikimet dhe çdo veprim tjetër të ndërmarrë nga shtetet anëtare në ushtrimin e detyrave të tyre, me qëllim sigurimin e zbatimit të duhur të legjislacionit tatimor.</w:t>
            </w:r>
          </w:p>
        </w:tc>
        <w:tc>
          <w:tcPr>
            <w:tcW w:w="1170" w:type="dxa"/>
            <w:shd w:val="clear" w:color="auto" w:fill="FFFFFF" w:themeFill="background1"/>
          </w:tcPr>
          <w:p w14:paraId="40903E51" w14:textId="4ECBCCB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78B37CAB" w14:textId="750AD911"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Neni 3 </w:t>
            </w:r>
          </w:p>
        </w:tc>
        <w:tc>
          <w:tcPr>
            <w:tcW w:w="4334" w:type="dxa"/>
            <w:shd w:val="clear" w:color="auto" w:fill="FFFFFF" w:themeFill="background1"/>
          </w:tcPr>
          <w:p w14:paraId="36F8F45B" w14:textId="4C21FCBA" w:rsidR="00314559" w:rsidRPr="003B7DC9" w:rsidRDefault="00314559" w:rsidP="00314559">
            <w:pPr>
              <w:pStyle w:val="ListParagraph"/>
              <w:numPr>
                <w:ilvl w:val="0"/>
                <w:numId w:val="110"/>
              </w:numPr>
              <w:spacing w:after="0" w:line="240" w:lineRule="auto"/>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 xml:space="preserve">“Hetim administrativ” nënkupton të gjitha kontrollet, verifikimet dhe veprimet e tjera të ndërmarra nga shtetet anëtare gjatë ushtrimit të detyrave të tyre, me qëllim sigurimin e zbatimit të duhur të legjislacionit tatimor. </w:t>
            </w:r>
          </w:p>
          <w:p w14:paraId="18C2A4C2" w14:textId="23B9818D" w:rsidR="00314559" w:rsidRPr="003B7DC9" w:rsidRDefault="00314559" w:rsidP="00314559">
            <w:pPr>
              <w:spacing w:line="276" w:lineRule="auto"/>
              <w:jc w:val="both"/>
              <w:rPr>
                <w:rFonts w:ascii="Times New Roman" w:hAnsi="Times New Roman" w:cs="Times New Roman"/>
                <w:sz w:val="18"/>
                <w:szCs w:val="18"/>
              </w:rPr>
            </w:pPr>
          </w:p>
        </w:tc>
        <w:tc>
          <w:tcPr>
            <w:tcW w:w="1066" w:type="dxa"/>
            <w:shd w:val="clear" w:color="auto" w:fill="FFFFFF" w:themeFill="background1"/>
          </w:tcPr>
          <w:p w14:paraId="7E376B08" w14:textId="60D8EE2E"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2F1219D4" w14:textId="77777777" w:rsidR="00314559" w:rsidRPr="003B7DC9" w:rsidRDefault="00314559" w:rsidP="00314559">
            <w:pPr>
              <w:rPr>
                <w:rFonts w:ascii="Times New Roman" w:eastAsia="Calibri" w:hAnsi="Times New Roman" w:cs="Times New Roman"/>
                <w:sz w:val="18"/>
                <w:szCs w:val="18"/>
              </w:rPr>
            </w:pPr>
          </w:p>
        </w:tc>
      </w:tr>
      <w:tr w:rsidR="00314559" w:rsidRPr="003B7DC9" w14:paraId="404E5A76" w14:textId="77777777" w:rsidTr="00B75638">
        <w:trPr>
          <w:trHeight w:val="1718"/>
        </w:trPr>
        <w:tc>
          <w:tcPr>
            <w:tcW w:w="630" w:type="dxa"/>
            <w:shd w:val="clear" w:color="auto" w:fill="F2F2F2"/>
          </w:tcPr>
          <w:p w14:paraId="000FAB80"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45CE0459"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 xml:space="preserve">8. </w:t>
            </w:r>
          </w:p>
          <w:p w14:paraId="74330398" w14:textId="109B8FCA"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“Shkëmbimi i informacionit sipas kërkesës” nënkupton shkëmbimin e informacionit mbi bazën e një kërkese të paraqitur nga shteti anëtar kërkues ndaj shtetit anëtar të kërkuar, në një rast të caktuar.</w:t>
            </w:r>
          </w:p>
        </w:tc>
        <w:tc>
          <w:tcPr>
            <w:tcW w:w="1170" w:type="dxa"/>
            <w:shd w:val="clear" w:color="auto" w:fill="FFFFFF" w:themeFill="background1"/>
          </w:tcPr>
          <w:p w14:paraId="641DE3F7" w14:textId="7B796B28"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69BF6B0C" w14:textId="0A237BF1"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Neni 3</w:t>
            </w:r>
          </w:p>
        </w:tc>
        <w:tc>
          <w:tcPr>
            <w:tcW w:w="4334" w:type="dxa"/>
            <w:shd w:val="clear" w:color="auto" w:fill="FFFFFF" w:themeFill="background1"/>
          </w:tcPr>
          <w:p w14:paraId="3BE07175" w14:textId="711CDC5C" w:rsidR="00314559" w:rsidRPr="003B7DC9" w:rsidRDefault="00314559" w:rsidP="00314559">
            <w:pPr>
              <w:pStyle w:val="ListParagraph"/>
              <w:numPr>
                <w:ilvl w:val="0"/>
                <w:numId w:val="107"/>
              </w:numPr>
              <w:spacing w:after="0" w:line="240" w:lineRule="auto"/>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 xml:space="preserve">“Shkëmbimi i informacionit sipas kërkesës” nënkupton shkëmbimin e informacionit mbi bazën e një kërkese të bërë nga autoriteti kërkues drejtuar autoritetit të kërkuar, në një rast të caktuar. </w:t>
            </w:r>
          </w:p>
          <w:p w14:paraId="6F7A8FE9" w14:textId="41A8D2F4" w:rsidR="00314559" w:rsidRPr="003B7DC9" w:rsidRDefault="00314559" w:rsidP="00314559">
            <w:pPr>
              <w:spacing w:line="276" w:lineRule="auto"/>
              <w:jc w:val="both"/>
              <w:rPr>
                <w:rFonts w:ascii="Times New Roman" w:hAnsi="Times New Roman" w:cs="Times New Roman"/>
                <w:sz w:val="18"/>
                <w:szCs w:val="18"/>
              </w:rPr>
            </w:pPr>
          </w:p>
        </w:tc>
        <w:tc>
          <w:tcPr>
            <w:tcW w:w="1066" w:type="dxa"/>
            <w:shd w:val="clear" w:color="auto" w:fill="FFFFFF" w:themeFill="background1"/>
          </w:tcPr>
          <w:p w14:paraId="4BEFD4B5" w14:textId="66171F21"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4ABFEF5B" w14:textId="77777777" w:rsidR="00314559" w:rsidRPr="003B7DC9" w:rsidRDefault="00314559" w:rsidP="00314559">
            <w:pPr>
              <w:rPr>
                <w:rFonts w:ascii="Times New Roman" w:eastAsia="Calibri" w:hAnsi="Times New Roman" w:cs="Times New Roman"/>
                <w:sz w:val="18"/>
                <w:szCs w:val="18"/>
              </w:rPr>
            </w:pPr>
          </w:p>
        </w:tc>
      </w:tr>
      <w:tr w:rsidR="00314559" w:rsidRPr="003B7DC9" w14:paraId="4106CCC7" w14:textId="77777777" w:rsidTr="00B75638">
        <w:trPr>
          <w:trHeight w:val="1718"/>
        </w:trPr>
        <w:tc>
          <w:tcPr>
            <w:tcW w:w="630" w:type="dxa"/>
            <w:shd w:val="clear" w:color="auto" w:fill="F2F2F2"/>
          </w:tcPr>
          <w:p w14:paraId="50E3C028"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38F8C330"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9.</w:t>
            </w:r>
          </w:p>
          <w:p w14:paraId="7A99298E"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“Shkëmbimi automatik” nënkupton:</w:t>
            </w:r>
          </w:p>
          <w:p w14:paraId="60DC35B4" w14:textId="15A7B76B" w:rsidR="00314559" w:rsidRPr="003B7DC9" w:rsidRDefault="00314559" w:rsidP="00314559">
            <w:pPr>
              <w:spacing w:line="276" w:lineRule="auto"/>
              <w:rPr>
                <w:rFonts w:ascii="Times New Roman" w:hAnsi="Times New Roman" w:cs="Times New Roman"/>
                <w:sz w:val="18"/>
                <w:szCs w:val="18"/>
              </w:rPr>
            </w:pPr>
          </w:p>
          <w:p w14:paraId="7B0523D0"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(a) për qëllimet e nenit 8(1) dhe neneve 8a deri në 8ae, komunikimin sistematik të informacionit të paracaktuar tek një shtet tjetër anëtar, pa kërkesë paraprake, në intervale të rregullta të paracaktuara. Për qëllimet e nenit 8(1), referenca ndaj informacionit të disponueshëm i referohet informacionit në dosjet tatimore të shtetit anëtar që komunikon informacionin, i cili mund të merret në përputhje me procedurat për mbledhjen dhe përpunimin e informacionit në atë shtet anëtar;</w:t>
            </w:r>
          </w:p>
          <w:p w14:paraId="0F3BD235" w14:textId="3FEFDD10" w:rsidR="00314559" w:rsidRPr="003B7DC9" w:rsidRDefault="00314559" w:rsidP="00314559">
            <w:pPr>
              <w:spacing w:line="276" w:lineRule="auto"/>
              <w:rPr>
                <w:rFonts w:ascii="Times New Roman" w:hAnsi="Times New Roman" w:cs="Times New Roman"/>
                <w:sz w:val="18"/>
                <w:szCs w:val="18"/>
              </w:rPr>
            </w:pPr>
          </w:p>
          <w:p w14:paraId="04FC079C"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(b) për qëllimet e nenit 8(3a), komunikimin sistematik të informacionit të paracaktuar mbi rezidentët në shtete të tjera anëtare tek shteti anëtar përkatës i rezidencës, pa kërkesë paraprake, në intervale të rregullta të paracaktuara;</w:t>
            </w:r>
          </w:p>
          <w:p w14:paraId="53BCA2AB" w14:textId="4CD76D96" w:rsidR="00314559" w:rsidRPr="003B7DC9" w:rsidRDefault="00314559" w:rsidP="00314559">
            <w:pPr>
              <w:spacing w:line="276" w:lineRule="auto"/>
              <w:rPr>
                <w:rFonts w:ascii="Times New Roman" w:hAnsi="Times New Roman" w:cs="Times New Roman"/>
                <w:sz w:val="18"/>
                <w:szCs w:val="18"/>
              </w:rPr>
            </w:pPr>
          </w:p>
          <w:p w14:paraId="06B96067"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(c) për qëllimet e dispozitave të kësaj direktive, përveç nenit 8(1) dhe 8(3a) dhe neneve 8a deri në 8ae, komunikimin sistematik të informacionit të paracaktuar të parashikuar në nënparagrafin e parë, shkronjat (a) dhe (b) të kësaj pike.</w:t>
            </w:r>
          </w:p>
          <w:p w14:paraId="4C4F9227" w14:textId="10B40093"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 xml:space="preserve">Në kuptim të këtij neni, të neneve 8(3a), 8(7a) dhe 21(2) të kësaj direktive dhe të aneksit IV të kësaj direktive, çdo term i shkruar me shkronja të mëdha ka kuptimin që i jepet në përkufizimet përkatëse të përcaktuara në aneksin I të kësaj direktive. Në kuptim të nenit 21(5) dhe të nenit 25(3) dhe (4) të kësaj direktive, çdo term i shkruar me shkronja të mëdha ka kuptimin që i jepet në përkufizimet përkatëse të përcaktuara në aneksin I, V ose VI të kësaj direktive. Në </w:t>
            </w:r>
            <w:r w:rsidRPr="003B7DC9">
              <w:rPr>
                <w:rFonts w:ascii="Times New Roman" w:hAnsi="Times New Roman" w:cs="Times New Roman"/>
                <w:sz w:val="18"/>
                <w:szCs w:val="18"/>
              </w:rPr>
              <w:lastRenderedPageBreak/>
              <w:t>kuptim të nenit 8aa të kësaj direktive dhe të aneksit III të saj, çdo term i shkruar me shkronja të mëdha ka kuptimin që i jepet në përkufizimet përkatëse të përcaktuara në aneksin III të kësaj direktive. Në kuptim të nenit 8ac të kësaj direktive dhe të aneksit V të saj, çdo term i shkruar me shkronja të mëdha ka kuptimin që i jepet në përkufizimet përkatëse të përcaktuara në aneksin V të kësaj direktive. Në kuptim të nenit 8ad të kësaj direktive dhe të aneksit VI të saj, çdo term i shkruar me shkronja të mëdha ka kuptimin që i jepet në përkufizimet përkatëse të përcaktuara në aneksin VI të kësaj direktive. Në kuptim të neneve 8ae dhe 9a të kësaj direktive dhe të aneksit VII të saj, çdo term ka të njëjtin kuptim siç përcaktohet në nenin 3, nenin 9(2), shkronja (a), nenin 16(4), (6), (8) dhe (11), nenin 17(1), nenin 21(5), nenin 22(1), nenin 24(4) dhe (6), nenin 26(2), nenin 27(3), (4) dhe (5), nenin 28(1), nenin 30(2), nenin 31(1), nenin 32, nenin 33(1), nenin 35(1), nenin 36(1), nenin 37(1), nenin 39(1), nenin 42(1), nenin 44(1), nenin 47(1) dhe nenin 49(3) të Direktivës së Këshillit (BE) 2022/2523. Gjithashtu, çdo term i shkruar me shkronja të mëdha ka të njëjtin kuptim siç përcaktohet në Seksionin I të aneksit VII të kësaj direktive.</w:t>
            </w:r>
          </w:p>
        </w:tc>
        <w:tc>
          <w:tcPr>
            <w:tcW w:w="1170" w:type="dxa"/>
            <w:shd w:val="clear" w:color="auto" w:fill="FFFFFF" w:themeFill="background1"/>
          </w:tcPr>
          <w:p w14:paraId="23A6B0EB" w14:textId="7C10E632"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shd w:val="clear" w:color="auto" w:fill="FFFFFF" w:themeFill="background1"/>
          </w:tcPr>
          <w:p w14:paraId="4CDDFD8A" w14:textId="43B9872F"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Neni 3 </w:t>
            </w:r>
          </w:p>
        </w:tc>
        <w:tc>
          <w:tcPr>
            <w:tcW w:w="4334" w:type="dxa"/>
            <w:shd w:val="clear" w:color="auto" w:fill="FFFFFF" w:themeFill="background1"/>
          </w:tcPr>
          <w:p w14:paraId="6B1A6734" w14:textId="47B5F86A" w:rsidR="00314559" w:rsidRPr="003B7DC9" w:rsidRDefault="00314559" w:rsidP="00314559">
            <w:pPr>
              <w:pStyle w:val="ListParagraph"/>
              <w:numPr>
                <w:ilvl w:val="0"/>
                <w:numId w:val="109"/>
              </w:numPr>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 xml:space="preserve">“Shkëmbimi automatik” nënkupton komunikimin sistematik, pa kërkesë paraprake dhe në intervale të rregullta të paracaktuara, të informacionit të paracaktuar drejtuar një shteti tjetër anëtar. </w:t>
            </w:r>
          </w:p>
          <w:p w14:paraId="6EF625E8" w14:textId="77777777" w:rsidR="00314559" w:rsidRPr="003B7DC9" w:rsidRDefault="00314559" w:rsidP="00314559">
            <w:pPr>
              <w:ind w:left="720"/>
              <w:jc w:val="both"/>
              <w:rPr>
                <w:rFonts w:ascii="Times New Roman" w:hAnsi="Times New Roman" w:cs="Times New Roman"/>
                <w:bCs/>
                <w:color w:val="242424"/>
                <w:sz w:val="18"/>
                <w:szCs w:val="18"/>
                <w:shd w:val="clear" w:color="auto" w:fill="FFFFFF"/>
                <w:lang w:val="en-US"/>
              </w:rPr>
            </w:pPr>
            <w:r w:rsidRPr="003B7DC9">
              <w:rPr>
                <w:rFonts w:ascii="Times New Roman" w:hAnsi="Times New Roman" w:cs="Times New Roman"/>
                <w:bCs/>
                <w:color w:val="242424"/>
                <w:sz w:val="18"/>
                <w:szCs w:val="18"/>
                <w:shd w:val="clear" w:color="auto" w:fill="FFFFFF"/>
                <w:lang w:val="en-US"/>
              </w:rPr>
              <w:t>Për qëllimet e shkëmbimit automatik sipas nenit 12 të këtij ligji, “informacion i disponueshëm” nënkupton informacionin që ndodhet në dosjet tatimore të shtetit anëtar që e komunikon dhe që mund të merret sipas procedurave të tij për mbledhjen dhe përpunimin e informacionit.</w:t>
            </w:r>
          </w:p>
          <w:p w14:paraId="7B546C9F" w14:textId="644CE039" w:rsidR="00314559" w:rsidRPr="003B7DC9" w:rsidRDefault="00314559" w:rsidP="00314559">
            <w:pPr>
              <w:spacing w:line="276" w:lineRule="auto"/>
              <w:jc w:val="both"/>
              <w:rPr>
                <w:rFonts w:ascii="Times New Roman" w:hAnsi="Times New Roman" w:cs="Times New Roman"/>
                <w:sz w:val="18"/>
                <w:szCs w:val="18"/>
              </w:rPr>
            </w:pPr>
          </w:p>
        </w:tc>
        <w:tc>
          <w:tcPr>
            <w:tcW w:w="1066" w:type="dxa"/>
            <w:shd w:val="clear" w:color="auto" w:fill="FFFFFF" w:themeFill="background1"/>
          </w:tcPr>
          <w:p w14:paraId="70D819A1" w14:textId="04A9F9A9"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2D5C17B9" w14:textId="77777777" w:rsidR="00314559" w:rsidRPr="003B7DC9" w:rsidRDefault="00314559" w:rsidP="00314559">
            <w:pPr>
              <w:rPr>
                <w:rFonts w:ascii="Times New Roman" w:eastAsia="Calibri" w:hAnsi="Times New Roman" w:cs="Times New Roman"/>
                <w:sz w:val="18"/>
                <w:szCs w:val="18"/>
              </w:rPr>
            </w:pPr>
          </w:p>
        </w:tc>
      </w:tr>
      <w:tr w:rsidR="00314559" w:rsidRPr="003B7DC9" w14:paraId="00E9FF06" w14:textId="77777777" w:rsidTr="00B75638">
        <w:trPr>
          <w:trHeight w:val="1718"/>
        </w:trPr>
        <w:tc>
          <w:tcPr>
            <w:tcW w:w="630" w:type="dxa"/>
            <w:shd w:val="clear" w:color="auto" w:fill="F2F2F2"/>
          </w:tcPr>
          <w:p w14:paraId="5A4A5277"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11BF5188"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 xml:space="preserve">10. </w:t>
            </w:r>
          </w:p>
          <w:p w14:paraId="704A8641" w14:textId="234C330E"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“Shkëmbimi spontan” nënkupton komunikimin josistematik të informacionit, në çdo moment dhe pa kërkesë paraprake, ndaj një shteti tjetër anëtar.</w:t>
            </w:r>
          </w:p>
        </w:tc>
        <w:tc>
          <w:tcPr>
            <w:tcW w:w="1170" w:type="dxa"/>
            <w:shd w:val="clear" w:color="auto" w:fill="FFFFFF" w:themeFill="background1"/>
          </w:tcPr>
          <w:p w14:paraId="760D6272" w14:textId="2F5C185B"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7A86B2E9" w14:textId="4404F0C4"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Neni 3 </w:t>
            </w:r>
          </w:p>
        </w:tc>
        <w:tc>
          <w:tcPr>
            <w:tcW w:w="4334" w:type="dxa"/>
            <w:shd w:val="clear" w:color="auto" w:fill="FFFFFF" w:themeFill="background1"/>
          </w:tcPr>
          <w:p w14:paraId="1EFCFF08" w14:textId="4A91E080" w:rsidR="00314559" w:rsidRPr="003B7DC9" w:rsidRDefault="00314559" w:rsidP="00314559">
            <w:pPr>
              <w:pStyle w:val="ListParagraph"/>
              <w:numPr>
                <w:ilvl w:val="0"/>
                <w:numId w:val="107"/>
              </w:numPr>
              <w:spacing w:after="0" w:line="240" w:lineRule="auto"/>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 xml:space="preserve">“Shkëmbimi spontan” nënkupton komunikimin josistematik, </w:t>
            </w:r>
            <w:r w:rsidRPr="003B7DC9">
              <w:rPr>
                <w:rFonts w:ascii="Times New Roman" w:eastAsia="Times New Roman" w:hAnsi="Times New Roman" w:cs="Times New Roman"/>
                <w:sz w:val="18"/>
                <w:szCs w:val="18"/>
                <w:lang w:eastAsia="sq-AL"/>
              </w:rPr>
              <w:t>në çdo kohë dhe pa kërkesë paraprake</w:t>
            </w:r>
            <w:r w:rsidRPr="003B7DC9">
              <w:rPr>
                <w:rFonts w:ascii="Times New Roman" w:hAnsi="Times New Roman" w:cs="Times New Roman"/>
                <w:bCs/>
                <w:color w:val="242424"/>
                <w:sz w:val="18"/>
                <w:szCs w:val="18"/>
                <w:shd w:val="clear" w:color="auto" w:fill="FFFFFF"/>
              </w:rPr>
              <w:t xml:space="preserve">, të informacionit drejtuar një shteti tjetër anëtar. </w:t>
            </w:r>
          </w:p>
          <w:p w14:paraId="1C8A8C75" w14:textId="3D0A3C9D" w:rsidR="00314559" w:rsidRPr="003B7DC9" w:rsidRDefault="00314559" w:rsidP="00314559">
            <w:pPr>
              <w:spacing w:line="276" w:lineRule="auto"/>
              <w:jc w:val="both"/>
              <w:rPr>
                <w:rFonts w:ascii="Times New Roman" w:hAnsi="Times New Roman" w:cs="Times New Roman"/>
                <w:sz w:val="18"/>
                <w:szCs w:val="18"/>
              </w:rPr>
            </w:pPr>
          </w:p>
        </w:tc>
        <w:tc>
          <w:tcPr>
            <w:tcW w:w="1066" w:type="dxa"/>
            <w:shd w:val="clear" w:color="auto" w:fill="FFFFFF" w:themeFill="background1"/>
          </w:tcPr>
          <w:p w14:paraId="0A3B2911" w14:textId="07DB8B29"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1AA32C5F" w14:textId="77777777" w:rsidR="00314559" w:rsidRPr="003B7DC9" w:rsidRDefault="00314559" w:rsidP="00314559">
            <w:pPr>
              <w:rPr>
                <w:rFonts w:ascii="Times New Roman" w:eastAsia="Calibri" w:hAnsi="Times New Roman" w:cs="Times New Roman"/>
                <w:sz w:val="18"/>
                <w:szCs w:val="18"/>
              </w:rPr>
            </w:pPr>
          </w:p>
        </w:tc>
      </w:tr>
      <w:tr w:rsidR="00314559" w:rsidRPr="003B7DC9" w14:paraId="50F109A8" w14:textId="77777777" w:rsidTr="00B75638">
        <w:trPr>
          <w:trHeight w:val="1718"/>
        </w:trPr>
        <w:tc>
          <w:tcPr>
            <w:tcW w:w="630" w:type="dxa"/>
            <w:shd w:val="clear" w:color="auto" w:fill="F2F2F2"/>
          </w:tcPr>
          <w:p w14:paraId="2636B41F"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334DB3A4"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11.</w:t>
            </w:r>
          </w:p>
          <w:p w14:paraId="3673D0E8" w14:textId="77777777" w:rsidR="00314559" w:rsidRPr="003B7DC9" w:rsidRDefault="00314559" w:rsidP="00314559">
            <w:pPr>
              <w:spacing w:line="276" w:lineRule="auto"/>
              <w:rPr>
                <w:rFonts w:ascii="Times New Roman" w:hAnsi="Times New Roman" w:cs="Times New Roman"/>
                <w:sz w:val="18"/>
                <w:szCs w:val="18"/>
              </w:rPr>
            </w:pPr>
          </w:p>
          <w:p w14:paraId="66D941FC"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“Person” nënkupton:</w:t>
            </w:r>
          </w:p>
          <w:p w14:paraId="37C55237"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(a) një person fizik;</w:t>
            </w:r>
          </w:p>
          <w:p w14:paraId="27EFD083"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(b) një person juridik;</w:t>
            </w:r>
          </w:p>
          <w:p w14:paraId="361F04D6"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(c) kur legjislacioni në fuqi e parashikon këtë, një bashkim personash që njihet si i tillë dhe që ka aftësi për të kryer veprime juridike, por që nuk ka statusin e një personi juridik; ose</w:t>
            </w:r>
          </w:p>
          <w:p w14:paraId="5F095803"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lastRenderedPageBreak/>
              <w:t>(d) çdo rregullim tjetër juridik, pavarësisht natyrës dhe formës së tij, pavarësisht nëse ka personalitet juridik apo jo, që zotëron ose administron pasuri dhe që, përfshirë të ardhurat që rrjedhin prej tyre, i nënshtrohet ndonjërit prej tatimeve të mbuluara nga kjo direktivë.</w:t>
            </w:r>
          </w:p>
          <w:p w14:paraId="1BA8DD2F" w14:textId="17631200" w:rsidR="00314559" w:rsidRPr="003B7DC9" w:rsidRDefault="00314559" w:rsidP="00314559">
            <w:pPr>
              <w:spacing w:line="276" w:lineRule="auto"/>
              <w:rPr>
                <w:rFonts w:ascii="Times New Roman" w:hAnsi="Times New Roman" w:cs="Times New Roman"/>
                <w:sz w:val="18"/>
                <w:szCs w:val="18"/>
              </w:rPr>
            </w:pPr>
          </w:p>
        </w:tc>
        <w:tc>
          <w:tcPr>
            <w:tcW w:w="1170" w:type="dxa"/>
            <w:shd w:val="clear" w:color="auto" w:fill="FFFFFF" w:themeFill="background1"/>
          </w:tcPr>
          <w:p w14:paraId="383A1856" w14:textId="7B1F2F33"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shd w:val="clear" w:color="auto" w:fill="FFFFFF" w:themeFill="background1"/>
          </w:tcPr>
          <w:p w14:paraId="27C460ED" w14:textId="5A61A2E0"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Neni 3  </w:t>
            </w:r>
          </w:p>
        </w:tc>
        <w:tc>
          <w:tcPr>
            <w:tcW w:w="4334" w:type="dxa"/>
            <w:shd w:val="clear" w:color="auto" w:fill="FFFFFF" w:themeFill="background1"/>
          </w:tcPr>
          <w:p w14:paraId="49662926" w14:textId="360150DD" w:rsidR="00314559" w:rsidRPr="003B7DC9" w:rsidRDefault="00314559" w:rsidP="00314559">
            <w:pPr>
              <w:pStyle w:val="ListParagraph"/>
              <w:numPr>
                <w:ilvl w:val="0"/>
                <w:numId w:val="114"/>
              </w:numPr>
              <w:spacing w:after="0" w:line="240" w:lineRule="auto"/>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“Person” nënkupton:</w:t>
            </w:r>
            <w:r w:rsidRPr="003B7DC9">
              <w:rPr>
                <w:rFonts w:ascii="Times New Roman" w:hAnsi="Times New Roman" w:cs="Times New Roman"/>
                <w:bCs/>
                <w:color w:val="242424"/>
                <w:sz w:val="18"/>
                <w:szCs w:val="18"/>
                <w:shd w:val="clear" w:color="auto" w:fill="FFFFFF"/>
              </w:rPr>
              <w:br/>
              <w:t>a) një person fizik;</w:t>
            </w:r>
            <w:r w:rsidRPr="003B7DC9">
              <w:rPr>
                <w:rFonts w:ascii="Times New Roman" w:hAnsi="Times New Roman" w:cs="Times New Roman"/>
                <w:bCs/>
                <w:color w:val="242424"/>
                <w:sz w:val="18"/>
                <w:szCs w:val="18"/>
                <w:shd w:val="clear" w:color="auto" w:fill="FFFFFF"/>
              </w:rPr>
              <w:br/>
              <w:t>b) një person juridik;</w:t>
            </w:r>
            <w:r w:rsidRPr="003B7DC9">
              <w:rPr>
                <w:rFonts w:ascii="Times New Roman" w:hAnsi="Times New Roman" w:cs="Times New Roman"/>
                <w:bCs/>
                <w:color w:val="242424"/>
                <w:sz w:val="18"/>
                <w:szCs w:val="18"/>
                <w:shd w:val="clear" w:color="auto" w:fill="FFFFFF"/>
              </w:rPr>
              <w:br/>
              <w:t>c) një bashkim personash të cilit i njihet zotësia për të kryer veprime juridike, por që nuk ka statusin e personit juridik;</w:t>
            </w:r>
            <w:r w:rsidRPr="003B7DC9">
              <w:rPr>
                <w:rFonts w:ascii="Times New Roman" w:hAnsi="Times New Roman" w:cs="Times New Roman"/>
                <w:bCs/>
                <w:color w:val="242424"/>
                <w:sz w:val="18"/>
                <w:szCs w:val="18"/>
                <w:shd w:val="clear" w:color="auto" w:fill="FFFFFF"/>
              </w:rPr>
              <w:br/>
              <w:t xml:space="preserve">ç) çdo organizim tjetër juridik, të çfarëdo natyre dhe forme, me ose pa personalitet juridik, që zotëron ose administron pasuri të cilat, përfshirë të ardhurat që rrjedhin prej tyre, </w:t>
            </w:r>
            <w:r w:rsidRPr="003B7DC9">
              <w:rPr>
                <w:rFonts w:ascii="Times New Roman" w:hAnsi="Times New Roman" w:cs="Times New Roman"/>
                <w:bCs/>
                <w:color w:val="242424"/>
                <w:sz w:val="18"/>
                <w:szCs w:val="18"/>
                <w:shd w:val="clear" w:color="auto" w:fill="FFFFFF"/>
              </w:rPr>
              <w:lastRenderedPageBreak/>
              <w:t xml:space="preserve">i nënshtrohen njërit prej tatimeve të mbuluara nga ky ligj. </w:t>
            </w:r>
          </w:p>
          <w:p w14:paraId="33C73B17" w14:textId="1AE06836" w:rsidR="00314559" w:rsidRPr="003B7DC9" w:rsidRDefault="00314559" w:rsidP="00314559">
            <w:pPr>
              <w:spacing w:line="276" w:lineRule="auto"/>
              <w:jc w:val="both"/>
              <w:rPr>
                <w:rFonts w:ascii="Times New Roman" w:hAnsi="Times New Roman" w:cs="Times New Roman"/>
                <w:sz w:val="18"/>
                <w:szCs w:val="18"/>
              </w:rPr>
            </w:pPr>
          </w:p>
        </w:tc>
        <w:tc>
          <w:tcPr>
            <w:tcW w:w="1066" w:type="dxa"/>
            <w:shd w:val="clear" w:color="auto" w:fill="FFFFFF" w:themeFill="background1"/>
          </w:tcPr>
          <w:p w14:paraId="7D32B6C5" w14:textId="1DBD769D"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F</w:t>
            </w:r>
          </w:p>
        </w:tc>
        <w:tc>
          <w:tcPr>
            <w:tcW w:w="3060" w:type="dxa"/>
            <w:shd w:val="clear" w:color="auto" w:fill="FFFFFF" w:themeFill="background1"/>
          </w:tcPr>
          <w:p w14:paraId="1D9AA678" w14:textId="77777777" w:rsidR="00314559" w:rsidRPr="003B7DC9" w:rsidRDefault="00314559" w:rsidP="00314559">
            <w:pPr>
              <w:rPr>
                <w:rFonts w:ascii="Times New Roman" w:eastAsia="Calibri" w:hAnsi="Times New Roman" w:cs="Times New Roman"/>
                <w:sz w:val="18"/>
                <w:szCs w:val="18"/>
              </w:rPr>
            </w:pPr>
          </w:p>
        </w:tc>
      </w:tr>
      <w:tr w:rsidR="00314559" w:rsidRPr="003B7DC9" w14:paraId="1884A8EF" w14:textId="77777777" w:rsidTr="00B75638">
        <w:trPr>
          <w:trHeight w:val="1718"/>
        </w:trPr>
        <w:tc>
          <w:tcPr>
            <w:tcW w:w="630" w:type="dxa"/>
            <w:shd w:val="clear" w:color="auto" w:fill="F2F2F2"/>
          </w:tcPr>
          <w:p w14:paraId="1148BFB3"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244F6B4C"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 xml:space="preserve">12. </w:t>
            </w:r>
          </w:p>
          <w:p w14:paraId="2EEEEB01" w14:textId="5827C03F"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“Me mjete elektronike” nënkupton përdorimin e pajisjeve elektronike për përpunimin, përfshirë kompresimin digjital, dhe ruajtjen e të dhënave, si dhe përdorimin e kabllove, transmetimeve radio, teknologjive optike ose mjeteve të tjera elektromagnetike.</w:t>
            </w:r>
          </w:p>
        </w:tc>
        <w:tc>
          <w:tcPr>
            <w:tcW w:w="1170" w:type="dxa"/>
            <w:shd w:val="clear" w:color="auto" w:fill="FFFFFF" w:themeFill="background1"/>
          </w:tcPr>
          <w:p w14:paraId="1EBA48F3" w14:textId="7662B70D"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6B8D65F8" w14:textId="48EAD715"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Neni 3 </w:t>
            </w:r>
          </w:p>
        </w:tc>
        <w:tc>
          <w:tcPr>
            <w:tcW w:w="4334" w:type="dxa"/>
            <w:shd w:val="clear" w:color="auto" w:fill="FFFFFF" w:themeFill="background1"/>
          </w:tcPr>
          <w:p w14:paraId="2CDD0C4D" w14:textId="7E16892A" w:rsidR="00314559" w:rsidRPr="003B7DC9" w:rsidRDefault="00314559" w:rsidP="00314559">
            <w:pPr>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16.“Me mjete elektronike” nënkupton përdorimin e pajisjeve elektronike për përpunimin (përfshirë kompresimin digjital) dhe ruajtjen e të dhënave, si dhe përdorimin e teknologjive</w:t>
            </w:r>
            <w:r w:rsidRPr="003B7DC9">
              <w:rPr>
                <w:rFonts w:ascii="Times New Roman" w:eastAsia="Times New Roman" w:hAnsi="Times New Roman" w:cs="Times New Roman"/>
                <w:sz w:val="18"/>
                <w:szCs w:val="18"/>
                <w:lang w:eastAsia="sq-AL"/>
              </w:rPr>
              <w:t xml:space="preserve"> me kabllo, radiotransmetim, mjete optike ose mjete të tjera elektromagnetike</w:t>
            </w:r>
            <w:r w:rsidRPr="003B7DC9">
              <w:rPr>
                <w:rFonts w:ascii="Times New Roman" w:hAnsi="Times New Roman" w:cs="Times New Roman"/>
                <w:bCs/>
                <w:color w:val="242424"/>
                <w:sz w:val="18"/>
                <w:szCs w:val="18"/>
                <w:shd w:val="clear" w:color="auto" w:fill="FFFFFF"/>
              </w:rPr>
              <w:t xml:space="preserve">. </w:t>
            </w:r>
          </w:p>
          <w:p w14:paraId="2A8DD72D" w14:textId="04860FA5" w:rsidR="00314559" w:rsidRPr="003B7DC9" w:rsidRDefault="00314559" w:rsidP="00314559">
            <w:pPr>
              <w:spacing w:line="276" w:lineRule="auto"/>
              <w:jc w:val="both"/>
              <w:rPr>
                <w:rFonts w:ascii="Times New Roman" w:hAnsi="Times New Roman" w:cs="Times New Roman"/>
                <w:sz w:val="18"/>
                <w:szCs w:val="18"/>
              </w:rPr>
            </w:pPr>
          </w:p>
        </w:tc>
        <w:tc>
          <w:tcPr>
            <w:tcW w:w="1066" w:type="dxa"/>
            <w:shd w:val="clear" w:color="auto" w:fill="FFFFFF" w:themeFill="background1"/>
          </w:tcPr>
          <w:p w14:paraId="1E84AB66" w14:textId="6D31F70E"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62B0178F" w14:textId="77777777" w:rsidR="00314559" w:rsidRPr="003B7DC9" w:rsidRDefault="00314559" w:rsidP="00314559">
            <w:pPr>
              <w:rPr>
                <w:rFonts w:ascii="Times New Roman" w:eastAsia="Calibri" w:hAnsi="Times New Roman" w:cs="Times New Roman"/>
                <w:sz w:val="18"/>
                <w:szCs w:val="18"/>
              </w:rPr>
            </w:pPr>
          </w:p>
        </w:tc>
      </w:tr>
      <w:tr w:rsidR="00314559" w:rsidRPr="003B7DC9" w14:paraId="58B27893" w14:textId="77777777" w:rsidTr="00B75638">
        <w:trPr>
          <w:trHeight w:val="1718"/>
        </w:trPr>
        <w:tc>
          <w:tcPr>
            <w:tcW w:w="630" w:type="dxa"/>
            <w:shd w:val="clear" w:color="auto" w:fill="F2F2F2"/>
          </w:tcPr>
          <w:p w14:paraId="4968CE5A"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49F65FB4"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 xml:space="preserve">13. </w:t>
            </w:r>
          </w:p>
          <w:p w14:paraId="54C12FE8" w14:textId="41D245F5"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“Rrjeti CCN” nënkupton platformën e përbashkët të bazuar në rrjetin e përbashkët të komunikimit (CCN), të zhvilluar nga Bashkimi Evropian për të gjitha transmetimet me mjete elektronike ndërmjet autoriteteve kompetente në fushën e doganave dhe tatimeve.</w:t>
            </w:r>
          </w:p>
        </w:tc>
        <w:tc>
          <w:tcPr>
            <w:tcW w:w="1170" w:type="dxa"/>
            <w:shd w:val="clear" w:color="auto" w:fill="FFFFFF" w:themeFill="background1"/>
          </w:tcPr>
          <w:p w14:paraId="1257AFA0" w14:textId="441573EB"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48F94685" w14:textId="5A1FBCAE"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Neni 3 </w:t>
            </w:r>
          </w:p>
        </w:tc>
        <w:tc>
          <w:tcPr>
            <w:tcW w:w="4334" w:type="dxa"/>
            <w:shd w:val="clear" w:color="auto" w:fill="FFFFFF" w:themeFill="background1"/>
          </w:tcPr>
          <w:p w14:paraId="7EFD04ED" w14:textId="57B995D0" w:rsidR="00314559" w:rsidRPr="003B7DC9" w:rsidRDefault="00314559" w:rsidP="00314559">
            <w:pPr>
              <w:spacing w:before="100" w:beforeAutospacing="1" w:after="100" w:afterAutospacing="1"/>
              <w:jc w:val="both"/>
              <w:rPr>
                <w:rFonts w:ascii="Times New Roman" w:eastAsia="Times New Roman" w:hAnsi="Times New Roman" w:cs="Times New Roman"/>
                <w:sz w:val="18"/>
                <w:szCs w:val="18"/>
                <w:lang w:val="sq-AL"/>
              </w:rPr>
            </w:pPr>
            <w:r w:rsidRPr="003B7DC9">
              <w:rPr>
                <w:rFonts w:ascii="Times New Roman" w:hAnsi="Times New Roman" w:cs="Times New Roman"/>
                <w:bCs/>
                <w:color w:val="242424"/>
                <w:sz w:val="18"/>
                <w:szCs w:val="18"/>
                <w:shd w:val="clear" w:color="auto" w:fill="FFFFFF"/>
                <w:lang w:val="en-US"/>
              </w:rPr>
              <w:t>15.“Rrjeti CCN”</w:t>
            </w:r>
            <w:r w:rsidRPr="003B7DC9">
              <w:rPr>
                <w:rFonts w:ascii="Times New Roman" w:eastAsia="Times New Roman" w:hAnsi="Times New Roman" w:cs="Times New Roman"/>
                <w:sz w:val="18"/>
                <w:szCs w:val="18"/>
                <w:lang w:val="sq-AL"/>
              </w:rPr>
              <w:t xml:space="preserve"> nënkupton platformën e përbashkët, të bazuar në rrjetin e përbashkët të komunikimit, të zhvilluar nga Bashkimi Evropian për të gjitha transmetimet me mjete elektronike ndërmjet autoriteteve kompetente në fushën e doganave dhe tatimeve.</w:t>
            </w:r>
          </w:p>
          <w:p w14:paraId="4BB2E425" w14:textId="77777777" w:rsidR="00314559" w:rsidRPr="003B7DC9" w:rsidRDefault="00314559" w:rsidP="00314559">
            <w:pPr>
              <w:pStyle w:val="ListParagraph"/>
              <w:spacing w:before="100" w:beforeAutospacing="1" w:after="100" w:afterAutospacing="1" w:line="240" w:lineRule="auto"/>
              <w:rPr>
                <w:rFonts w:ascii="Times New Roman" w:eastAsia="Times New Roman" w:hAnsi="Times New Roman" w:cs="Times New Roman"/>
                <w:sz w:val="18"/>
                <w:szCs w:val="18"/>
                <w:lang w:val="sq-AL"/>
              </w:rPr>
            </w:pPr>
          </w:p>
          <w:p w14:paraId="1E133B67" w14:textId="540C82A6" w:rsidR="00314559" w:rsidRPr="003B7DC9" w:rsidRDefault="00314559" w:rsidP="00314559">
            <w:pPr>
              <w:spacing w:line="276" w:lineRule="auto"/>
              <w:jc w:val="both"/>
              <w:rPr>
                <w:rFonts w:ascii="Times New Roman" w:hAnsi="Times New Roman" w:cs="Times New Roman"/>
                <w:sz w:val="18"/>
                <w:szCs w:val="18"/>
              </w:rPr>
            </w:pPr>
          </w:p>
        </w:tc>
        <w:tc>
          <w:tcPr>
            <w:tcW w:w="1066" w:type="dxa"/>
            <w:shd w:val="clear" w:color="auto" w:fill="FFFFFF" w:themeFill="background1"/>
          </w:tcPr>
          <w:p w14:paraId="62DAA526" w14:textId="44874968"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78FE8EA0" w14:textId="77777777" w:rsidR="00314559" w:rsidRPr="003B7DC9" w:rsidRDefault="00314559" w:rsidP="00314559">
            <w:pPr>
              <w:rPr>
                <w:rFonts w:ascii="Times New Roman" w:eastAsia="Calibri" w:hAnsi="Times New Roman" w:cs="Times New Roman"/>
                <w:sz w:val="18"/>
                <w:szCs w:val="18"/>
              </w:rPr>
            </w:pPr>
          </w:p>
        </w:tc>
      </w:tr>
      <w:tr w:rsidR="00314559" w:rsidRPr="003B7DC9" w14:paraId="62711344" w14:textId="77777777" w:rsidTr="00B75638">
        <w:trPr>
          <w:trHeight w:val="1718"/>
        </w:trPr>
        <w:tc>
          <w:tcPr>
            <w:tcW w:w="630" w:type="dxa"/>
            <w:shd w:val="clear" w:color="auto" w:fill="F2F2F2"/>
          </w:tcPr>
          <w:p w14:paraId="03CB5E1F"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1BB6D073"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 xml:space="preserve">14. </w:t>
            </w:r>
          </w:p>
          <w:p w14:paraId="0D191D4C"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“Vendim paraprak ndërkufitar” nënkupton çdo marrëveshje, komunikim ose çdo instrument apo veprim tjetër me efekte të ngjashme, përfshirë edhe ato të lëshuara, ndryshuara ose rinovuara në kuadër të një kontrolli tatimor, dhe që plotëson kushtet e mëposhtme:</w:t>
            </w:r>
          </w:p>
          <w:p w14:paraId="1785A3FC"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(a) lëshohet, ndryshohet ose rinovohet nga, ose në emër të, qeverisë ose autoritetit tatimor të një shteti anëtar, ose të ndarjeve të tij territoriale apo administrative, përfshirë autoritetet vendore, pavarësisht nëse përdoret realisht;</w:t>
            </w:r>
          </w:p>
          <w:p w14:paraId="7CF0B6F0"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lastRenderedPageBreak/>
              <w:t>(b) lëshohet, ndryshohet ose rinovohet për një person të caktuar ose për një grup personash, mbi të cilin ai person ose ky grup personash ka të drejtë të mbështetet;</w:t>
            </w:r>
          </w:p>
          <w:p w14:paraId="2BE68BA0" w14:textId="39A6FE76"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(c) lidhet me interpretimin ose zbatimin e një dispozite ligjore ose administrative që ka të bëjë me administrimin ose zbatimin e ligjeve kombëtare për tatimet e shtetit anëtar, ose të ndarjeve të tij territoriale apo administrative, përfshirë autoritetet vendore.</w:t>
            </w:r>
          </w:p>
        </w:tc>
        <w:tc>
          <w:tcPr>
            <w:tcW w:w="1170" w:type="dxa"/>
            <w:shd w:val="clear" w:color="auto" w:fill="FFFFFF" w:themeFill="background1"/>
          </w:tcPr>
          <w:p w14:paraId="46875416" w14:textId="060CE481"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shd w:val="clear" w:color="auto" w:fill="FFFFFF" w:themeFill="background1"/>
          </w:tcPr>
          <w:p w14:paraId="50B1BD76" w14:textId="7F34DC2C"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shd w:val="clear" w:color="auto" w:fill="FFFFFF" w:themeFill="background1"/>
          </w:tcPr>
          <w:p w14:paraId="4DBE402B" w14:textId="1942BB59" w:rsidR="00314559" w:rsidRPr="003B7DC9" w:rsidRDefault="00314559" w:rsidP="00314559">
            <w:pPr>
              <w:spacing w:line="276" w:lineRule="auto"/>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shd w:val="clear" w:color="auto" w:fill="FFFFFF" w:themeFill="background1"/>
          </w:tcPr>
          <w:p w14:paraId="16B08578" w14:textId="2B8D7DE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shd w:val="clear" w:color="auto" w:fill="FFFFFF" w:themeFill="background1"/>
          </w:tcPr>
          <w:p w14:paraId="0406D481" w14:textId="77777777" w:rsidR="00314559" w:rsidRPr="003B7DC9" w:rsidRDefault="00314559" w:rsidP="00314559">
            <w:pPr>
              <w:rPr>
                <w:rFonts w:ascii="Times New Roman" w:eastAsia="Calibri" w:hAnsi="Times New Roman" w:cs="Times New Roman"/>
                <w:sz w:val="18"/>
                <w:szCs w:val="18"/>
              </w:rPr>
            </w:pPr>
          </w:p>
          <w:p w14:paraId="0CFD09E3" w14:textId="790D5DA0" w:rsidR="00314559" w:rsidRPr="003B7DC9" w:rsidRDefault="00314559" w:rsidP="00314559">
            <w:pPr>
              <w:spacing w:line="276" w:lineRule="auto"/>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Përkufizimi i “vendimit paraprak ndërkufitar” parashikohet në një projektligj të veçantë që transpozon regjimin DAC3 për shkëmbimin automatik të detyrueshëm të informacionit mbi vendimet tatimore dhe marrëveshjet e çmimeve paraprake. Duke qenë se projektligji aktual nuk rregullon shkëmbimin e vendimeve paraprake ndërkufitare sipas nenit 8a të Direktivës </w:t>
            </w:r>
            <w:r w:rsidRPr="003B7DC9">
              <w:rPr>
                <w:rFonts w:ascii="Times New Roman" w:eastAsia="Calibri" w:hAnsi="Times New Roman" w:cs="Times New Roman"/>
                <w:sz w:val="18"/>
                <w:szCs w:val="18"/>
              </w:rPr>
              <w:lastRenderedPageBreak/>
              <w:t>2011/16/BE, ky përkufizim nuk përfshihet në këtë ligj.</w:t>
            </w:r>
          </w:p>
        </w:tc>
      </w:tr>
      <w:tr w:rsidR="00314559" w:rsidRPr="003B7DC9" w14:paraId="0D1C6FCD" w14:textId="77777777" w:rsidTr="00B75638">
        <w:trPr>
          <w:trHeight w:val="1718"/>
        </w:trPr>
        <w:tc>
          <w:tcPr>
            <w:tcW w:w="630" w:type="dxa"/>
            <w:shd w:val="clear" w:color="auto" w:fill="F2F2F2"/>
          </w:tcPr>
          <w:p w14:paraId="2AAD5AE3"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37E9F1F1"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 xml:space="preserve">15. </w:t>
            </w:r>
          </w:p>
          <w:p w14:paraId="4CA869A3"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“Marrëveshje paraprake për çmimet e transferimit” nënkupton çdo marrëveshje, komunikim ose çdo instrument apo veprim tjetër me efekte të ngjashme, përfshirë edhe ato të lëshuara, ndryshuara ose rinovuara në kuadër të një kontrolli tatimor, dhe që plotëson kushtet e mëposhtme:</w:t>
            </w:r>
          </w:p>
          <w:p w14:paraId="73E97784"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(a) lëshohet, ndryshohet ose rinovohet nga, ose në emër të, qeverisë ose autoritetit tatimor të një ose më shumë shteteve anëtare, përfshirë ndarjet e tyre territoriale ose administrative, duke përfshirë autoritetet vendore, pavarësisht nëse përdoret realisht;</w:t>
            </w:r>
          </w:p>
          <w:p w14:paraId="5E9AF2F8"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(b) lëshohet, ndryshohet ose rinovohet për një person të caktuar ose për një grup personash dhe mbi të cilin ai person ose grup personash ka të drejtë të mbështetet; dhe</w:t>
            </w:r>
          </w:p>
          <w:p w14:paraId="79680336"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(c) përcakton paraprakisht, për transaksionet ndërkufitare ndërmjet ndërmarrjeve të lidhura, një grup kriteresh të përshtatshme për përcaktimin e çmimeve të transferimit për këto transaksione, ose përcakton atribuimin e fitimeve për një njësi të përhershme.</w:t>
            </w:r>
          </w:p>
          <w:p w14:paraId="265016C5"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Ndërmarrjet konsiderohen të lidhura kur një ndërmarrje merr pjesë drejtpërdrejt ose tërthorazi në menaxhimin, kontrollin ose kapitalin e një ndërmarrjeje tjetër, ose të njëjtat persona marrin pjesë drejtpërdrejt ose tërthorazi në menaxhimin, kontrollin ose kapitalin e ndërmarrjeve.</w:t>
            </w:r>
          </w:p>
          <w:p w14:paraId="57848883" w14:textId="6986499F"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Çmimet e transferimit janë çmimet me të cilat një ndërmarrje transferon mallra fizike, pasuri jomateriale ose ofron shërbime ndaj ndërmarrjeve të lidhura, dhe “çmimi i transferimit” interpretohet në përputhje me këtë përkufizim.</w:t>
            </w:r>
          </w:p>
        </w:tc>
        <w:tc>
          <w:tcPr>
            <w:tcW w:w="1170" w:type="dxa"/>
            <w:shd w:val="clear" w:color="auto" w:fill="FFFFFF" w:themeFill="background1"/>
          </w:tcPr>
          <w:p w14:paraId="1275DF76" w14:textId="37A6CC15"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758D8FC5" w14:textId="77777777" w:rsidR="00314559" w:rsidRPr="003B7DC9" w:rsidRDefault="00314559" w:rsidP="00314559">
            <w:pPr>
              <w:jc w:val="center"/>
              <w:rPr>
                <w:rFonts w:ascii="Times New Roman" w:eastAsia="Calibri" w:hAnsi="Times New Roman" w:cs="Times New Roman"/>
                <w:sz w:val="18"/>
                <w:szCs w:val="18"/>
              </w:rPr>
            </w:pPr>
          </w:p>
          <w:p w14:paraId="4974AAEA" w14:textId="77777777" w:rsidR="00314559" w:rsidRPr="003B7DC9" w:rsidRDefault="00314559" w:rsidP="00314559">
            <w:pPr>
              <w:jc w:val="center"/>
              <w:rPr>
                <w:rFonts w:ascii="Times New Roman" w:eastAsia="Calibri" w:hAnsi="Times New Roman" w:cs="Times New Roman"/>
                <w:sz w:val="18"/>
                <w:szCs w:val="18"/>
              </w:rPr>
            </w:pPr>
          </w:p>
          <w:p w14:paraId="2C0D981C" w14:textId="77777777" w:rsidR="00314559" w:rsidRPr="003B7DC9" w:rsidRDefault="00314559" w:rsidP="00314559">
            <w:pPr>
              <w:jc w:val="center"/>
              <w:rPr>
                <w:rFonts w:ascii="Times New Roman" w:eastAsia="Calibri" w:hAnsi="Times New Roman" w:cs="Times New Roman"/>
                <w:sz w:val="18"/>
                <w:szCs w:val="18"/>
              </w:rPr>
            </w:pPr>
          </w:p>
          <w:p w14:paraId="4F0A6B7D" w14:textId="4FE8ABA4"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shd w:val="clear" w:color="auto" w:fill="FFFFFF" w:themeFill="background1"/>
          </w:tcPr>
          <w:p w14:paraId="23F9D701" w14:textId="77777777" w:rsidR="00314559" w:rsidRPr="003B7DC9" w:rsidRDefault="00314559" w:rsidP="00314559">
            <w:pPr>
              <w:spacing w:line="276" w:lineRule="auto"/>
              <w:jc w:val="center"/>
              <w:rPr>
                <w:rFonts w:ascii="Times New Roman" w:hAnsi="Times New Roman" w:cs="Times New Roman"/>
                <w:sz w:val="18"/>
                <w:szCs w:val="18"/>
              </w:rPr>
            </w:pPr>
          </w:p>
          <w:p w14:paraId="3F66903C" w14:textId="77777777" w:rsidR="00314559" w:rsidRPr="003B7DC9" w:rsidRDefault="00314559" w:rsidP="00314559">
            <w:pPr>
              <w:spacing w:line="276" w:lineRule="auto"/>
              <w:jc w:val="center"/>
              <w:rPr>
                <w:rFonts w:ascii="Times New Roman" w:hAnsi="Times New Roman" w:cs="Times New Roman"/>
                <w:sz w:val="18"/>
                <w:szCs w:val="18"/>
              </w:rPr>
            </w:pPr>
          </w:p>
          <w:p w14:paraId="5DCA6809" w14:textId="1BCDC0B5" w:rsidR="00314559" w:rsidRPr="003B7DC9" w:rsidRDefault="00314559" w:rsidP="00314559">
            <w:pPr>
              <w:spacing w:line="276" w:lineRule="auto"/>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shd w:val="clear" w:color="auto" w:fill="FFFFFF" w:themeFill="background1"/>
          </w:tcPr>
          <w:p w14:paraId="15B462DE" w14:textId="77777777" w:rsidR="00314559" w:rsidRPr="003B7DC9" w:rsidRDefault="00314559" w:rsidP="00314559">
            <w:pPr>
              <w:jc w:val="center"/>
              <w:rPr>
                <w:rFonts w:ascii="Times New Roman" w:eastAsia="Calibri" w:hAnsi="Times New Roman" w:cs="Times New Roman"/>
                <w:sz w:val="18"/>
                <w:szCs w:val="18"/>
              </w:rPr>
            </w:pPr>
          </w:p>
          <w:p w14:paraId="1D152993" w14:textId="77777777" w:rsidR="00314559" w:rsidRPr="003B7DC9" w:rsidRDefault="00314559" w:rsidP="00314559">
            <w:pPr>
              <w:jc w:val="center"/>
              <w:rPr>
                <w:rFonts w:ascii="Times New Roman" w:eastAsia="Calibri" w:hAnsi="Times New Roman" w:cs="Times New Roman"/>
                <w:sz w:val="18"/>
                <w:szCs w:val="18"/>
              </w:rPr>
            </w:pPr>
          </w:p>
          <w:p w14:paraId="39060201" w14:textId="5CB8154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shd w:val="clear" w:color="auto" w:fill="FFFFFF" w:themeFill="background1"/>
          </w:tcPr>
          <w:p w14:paraId="5E9A345B" w14:textId="77777777" w:rsidR="00314559" w:rsidRPr="003B7DC9" w:rsidRDefault="00314559" w:rsidP="00314559">
            <w:pPr>
              <w:rPr>
                <w:rFonts w:ascii="Times New Roman" w:eastAsia="Calibri" w:hAnsi="Times New Roman" w:cs="Times New Roman"/>
                <w:sz w:val="18"/>
                <w:szCs w:val="18"/>
              </w:rPr>
            </w:pPr>
          </w:p>
          <w:p w14:paraId="3687A6F2" w14:textId="222BC71D"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Kjo përkufizim lidhet me regjimin DAC3 sipas nenit 8a të Direktivës 2011/16/BE dhe rregullohet në një projektligj të veçantë për marrëveshjet paraprake të çmimeve të transferimit; për rrjedhojë, nuk kërkon transpozim në projektligjin aktual.</w:t>
            </w:r>
          </w:p>
        </w:tc>
      </w:tr>
      <w:tr w:rsidR="00314559" w:rsidRPr="003B7DC9" w14:paraId="2A1E9076" w14:textId="77777777" w:rsidTr="00B75638">
        <w:trPr>
          <w:trHeight w:val="1718"/>
        </w:trPr>
        <w:tc>
          <w:tcPr>
            <w:tcW w:w="630" w:type="dxa"/>
            <w:shd w:val="clear" w:color="auto" w:fill="F2F2F2"/>
          </w:tcPr>
          <w:p w14:paraId="2FD9642E"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21DA2015"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16. </w:t>
            </w:r>
          </w:p>
          <w:p w14:paraId="17937D0A"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Për qëllimet e pikës 14, “transaksion ndërkufitar” nënkupton një transaksion ose një seri transaksionesh kur:</w:t>
            </w:r>
          </w:p>
          <w:p w14:paraId="1030B2BE"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(a) jo të gjitha palët në transaksionin ose serinë e transaksioneve janë rezidente për qëllime tatimore në shtetin anëtar që lëshon, ndryshon ose rinovon vendimin paraprak ndërkufitar;</w:t>
            </w:r>
          </w:p>
          <w:p w14:paraId="3745D44A"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(b) njëra nga palët në transaksionin ose serinë e transaksioneve është njëkohësisht rezidente për qëllime tatimore në më shumë se një juridiksion;</w:t>
            </w:r>
          </w:p>
          <w:p w14:paraId="0CEDF1FE"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(c) njëra nga palët në transaksionin ose serinë e transaksioneve ushtron aktivitet në një juridiksion tjetër përmes një njësie të përhershme dhe transaksioni ose seria e transaksioneve përbën pjesë ose tërësi të veprimtarisë së kësaj njësie të përhershme. Një transaksion ndërkufitar ose seri transaksionesh përfshin gjithashtu marrëveshjet e bëra nga një person në lidhje me veprimtarinë në një juridiksion tjetër, të cilën ky person e ushtron përmes një njësie të përhershme; ose</w:t>
            </w:r>
          </w:p>
          <w:p w14:paraId="1F6943A4"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(d) këto transaksione ose seri transaksionesh kanë ndikim ndërkufitar.</w:t>
            </w:r>
          </w:p>
          <w:p w14:paraId="24549E0E"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Për qëllimet e pikës 15, “transaksion ndërkufitar” nënkupton një transaksion ose një seri transaksionesh që përfshijnë ndërmarrje të lidhura, të cilat nuk janë të gjitha rezidente për qëllime tatimore në territorin e një juridiksioni të vetëm, ose një transaksion apo seri transaksionesh që kanë ndikim ndërkufitar;</w:t>
            </w:r>
          </w:p>
          <w:p w14:paraId="5D4050C2" w14:textId="77777777" w:rsidR="00314559" w:rsidRPr="003B7DC9" w:rsidRDefault="00314559" w:rsidP="00314559">
            <w:pPr>
              <w:spacing w:line="276" w:lineRule="auto"/>
              <w:jc w:val="both"/>
              <w:rPr>
                <w:rFonts w:ascii="Times New Roman" w:hAnsi="Times New Roman" w:cs="Times New Roman"/>
                <w:sz w:val="18"/>
                <w:szCs w:val="18"/>
              </w:rPr>
            </w:pPr>
          </w:p>
          <w:p w14:paraId="0766FBDF" w14:textId="77777777" w:rsidR="00314559" w:rsidRPr="003B7DC9" w:rsidRDefault="00314559" w:rsidP="00314559">
            <w:pPr>
              <w:spacing w:line="276" w:lineRule="auto"/>
              <w:jc w:val="both"/>
              <w:rPr>
                <w:rFonts w:ascii="Times New Roman" w:hAnsi="Times New Roman" w:cs="Times New Roman"/>
                <w:sz w:val="18"/>
                <w:szCs w:val="18"/>
              </w:rPr>
            </w:pPr>
          </w:p>
          <w:p w14:paraId="14D941E0" w14:textId="77777777" w:rsidR="00314559" w:rsidRPr="003B7DC9" w:rsidRDefault="00314559" w:rsidP="00314559">
            <w:pPr>
              <w:spacing w:line="276" w:lineRule="auto"/>
              <w:jc w:val="both"/>
              <w:rPr>
                <w:rFonts w:ascii="Times New Roman" w:hAnsi="Times New Roman" w:cs="Times New Roman"/>
                <w:sz w:val="18"/>
                <w:szCs w:val="18"/>
              </w:rPr>
            </w:pPr>
          </w:p>
          <w:p w14:paraId="49F21786"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17. </w:t>
            </w:r>
          </w:p>
          <w:p w14:paraId="3DC7D7C3"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Për qëllimet e pikave 15 dhe 16, “ndërmarrje” nënkupton çdo formë të ushtrimit të veprimtarisë ekonomike.</w:t>
            </w:r>
          </w:p>
          <w:p w14:paraId="41E50716" w14:textId="0E6399E1" w:rsidR="00314559" w:rsidRPr="003B7DC9" w:rsidRDefault="00314559" w:rsidP="00314559">
            <w:pPr>
              <w:spacing w:line="276" w:lineRule="auto"/>
              <w:jc w:val="both"/>
              <w:rPr>
                <w:rFonts w:ascii="Times New Roman" w:hAnsi="Times New Roman" w:cs="Times New Roman"/>
                <w:sz w:val="18"/>
                <w:szCs w:val="18"/>
              </w:rPr>
            </w:pPr>
          </w:p>
        </w:tc>
        <w:tc>
          <w:tcPr>
            <w:tcW w:w="1170" w:type="dxa"/>
            <w:shd w:val="clear" w:color="auto" w:fill="FFFFFF" w:themeFill="background1"/>
          </w:tcPr>
          <w:p w14:paraId="0A4DB0AF" w14:textId="14F00358"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617FED4F" w14:textId="77777777" w:rsidR="00314559" w:rsidRPr="003B7DC9" w:rsidRDefault="00314559" w:rsidP="00314559">
            <w:pPr>
              <w:jc w:val="center"/>
              <w:rPr>
                <w:rFonts w:ascii="Times New Roman" w:eastAsia="Calibri" w:hAnsi="Times New Roman" w:cs="Times New Roman"/>
                <w:sz w:val="18"/>
                <w:szCs w:val="18"/>
              </w:rPr>
            </w:pPr>
          </w:p>
        </w:tc>
        <w:tc>
          <w:tcPr>
            <w:tcW w:w="4334" w:type="dxa"/>
            <w:shd w:val="clear" w:color="auto" w:fill="FFFFFF" w:themeFill="background1"/>
          </w:tcPr>
          <w:p w14:paraId="03BFD156" w14:textId="77777777" w:rsidR="00314559" w:rsidRPr="003B7DC9" w:rsidRDefault="00314559" w:rsidP="00314559">
            <w:pPr>
              <w:spacing w:line="276" w:lineRule="auto"/>
              <w:jc w:val="center"/>
              <w:rPr>
                <w:rFonts w:ascii="Times New Roman" w:hAnsi="Times New Roman" w:cs="Times New Roman"/>
                <w:sz w:val="18"/>
                <w:szCs w:val="18"/>
              </w:rPr>
            </w:pPr>
          </w:p>
        </w:tc>
        <w:tc>
          <w:tcPr>
            <w:tcW w:w="1066" w:type="dxa"/>
            <w:shd w:val="clear" w:color="auto" w:fill="FFFFFF" w:themeFill="background1"/>
          </w:tcPr>
          <w:p w14:paraId="70CE775A" w14:textId="2D7299E4"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shd w:val="clear" w:color="auto" w:fill="FFFFFF" w:themeFill="background1"/>
          </w:tcPr>
          <w:p w14:paraId="3BC5B0DB" w14:textId="5A34B2B9"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Këto përkufizime të “transaksionit ndërkufitar” dhe “ndërmarrjes” janë të rëndësishme vetëm në kuadër të DAC3. Duke qenë se DAC3 rregullohet në një projektligj të veçantë, këto përkufizime nuk është e nevojshme të përfshihen këtu.</w:t>
            </w:r>
          </w:p>
        </w:tc>
      </w:tr>
      <w:tr w:rsidR="00314559" w:rsidRPr="003B7DC9" w14:paraId="2DAC248D" w14:textId="77777777" w:rsidTr="00B75638">
        <w:trPr>
          <w:trHeight w:val="1718"/>
        </w:trPr>
        <w:tc>
          <w:tcPr>
            <w:tcW w:w="630" w:type="dxa"/>
            <w:shd w:val="clear" w:color="auto" w:fill="F2F2F2"/>
          </w:tcPr>
          <w:p w14:paraId="24FF894B"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7529E11A"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18. </w:t>
            </w:r>
          </w:p>
          <w:p w14:paraId="66D4B8EC"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“Marrëveshje ndërkufitare” nënkupton një marrëveshje që përfshin më shumë se një shtet anëtar ose një shtet anëtar dhe një vend të tretë, kur plotësohet të paktën një nga kushtet e mëposhtme:</w:t>
            </w:r>
          </w:p>
          <w:p w14:paraId="09C718DE"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(a) jo të gjithë pjesëmarrësit në marrëveshje janë rezidentë për qëllime tatimore në të njëjtin juridiksion;</w:t>
            </w:r>
          </w:p>
          <w:p w14:paraId="3611BC0A"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(b) një ose më shumë nga pjesëmarrësit në marrëveshje janë njëkohësisht rezidentë për qëllime tatimore në më shumë se një juridiksion;</w:t>
            </w:r>
          </w:p>
          <w:p w14:paraId="616798BB"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(c) një ose më shumë nga pjesëmarrësit në marrëveshje ushtrojnë veprimtari në një juridiksion tjetër përmes një njësie të përhershme të vendosur në atë juridiksion dhe marrëveshja përbën pjesë ose tërësi të veprimtarisë së kësaj njësie të përhershme;</w:t>
            </w:r>
          </w:p>
          <w:p w14:paraId="5E5B3A9D"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(d) një ose më shumë nga pjesëmarrësit në marrëveshje ushtrojnë një aktivitet në një juridiksion tjetër pa qenë rezidentë për qëllime tatimore ose pa krijuar një njësi të përhershme në atë juridiksion;</w:t>
            </w:r>
          </w:p>
          <w:p w14:paraId="6CE47C76"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(e) një marrëveshje e tillë ka një ndikim të mundshëm në shkëmbimin automatik të informacionit ose në identifikimin e pronësisë përfituese.</w:t>
            </w:r>
          </w:p>
          <w:p w14:paraId="7A42D2B7" w14:textId="1487BC7F"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Për qëllimet e pikave 18 deri në 25 të këtij neni, nenit 8ab dhe Aneksit IV, një marrëveshje përfshin gjithashtu një seri marrëveshjesh. Një marrëveshje mund të përbëhet nga më shumë se një hap ose pjesë.</w:t>
            </w:r>
          </w:p>
        </w:tc>
        <w:tc>
          <w:tcPr>
            <w:tcW w:w="1170" w:type="dxa"/>
            <w:shd w:val="clear" w:color="auto" w:fill="FFFFFF" w:themeFill="background1"/>
          </w:tcPr>
          <w:p w14:paraId="709AB9D4" w14:textId="56BD05E8"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7AD7E3E3" w14:textId="47F46FE3"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shd w:val="clear" w:color="auto" w:fill="FFFFFF" w:themeFill="background1"/>
          </w:tcPr>
          <w:p w14:paraId="474E6EA1" w14:textId="248B6123" w:rsidR="00314559" w:rsidRPr="003B7DC9" w:rsidRDefault="00314559" w:rsidP="00314559">
            <w:pPr>
              <w:spacing w:line="276" w:lineRule="auto"/>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shd w:val="clear" w:color="auto" w:fill="FFFFFF" w:themeFill="background1"/>
          </w:tcPr>
          <w:p w14:paraId="26F6F75F" w14:textId="5FF7ABBA"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shd w:val="clear" w:color="auto" w:fill="FFFFFF" w:themeFill="background1"/>
          </w:tcPr>
          <w:p w14:paraId="6B7CCC07" w14:textId="32271892"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 Përkufizimi i “marrëveshjes ndërkufitare” i përket regjimit DAC6. Duke qenë se DAC6 rregullohet në një projektligj të veçantë, ky përkufizim nuk përfshihet këtu me qëllim.</w:t>
            </w:r>
          </w:p>
        </w:tc>
      </w:tr>
      <w:tr w:rsidR="00314559" w:rsidRPr="003B7DC9" w14:paraId="2422EB3F" w14:textId="77777777" w:rsidTr="00B75638">
        <w:trPr>
          <w:trHeight w:val="1718"/>
        </w:trPr>
        <w:tc>
          <w:tcPr>
            <w:tcW w:w="630" w:type="dxa"/>
            <w:shd w:val="clear" w:color="auto" w:fill="F2F2F2"/>
          </w:tcPr>
          <w:p w14:paraId="543689E1"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31E99653"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19. </w:t>
            </w:r>
          </w:p>
          <w:p w14:paraId="4B544E1C" w14:textId="038D8FA9"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“Marrëveshje ndërkufitare e raportueshme” nënkupton çdo marrëveshje ndërkufitare që përmban të paktën një nga karakteristikat dalluese të përcaktuara në Aneksin IV.</w:t>
            </w:r>
          </w:p>
        </w:tc>
        <w:tc>
          <w:tcPr>
            <w:tcW w:w="1170" w:type="dxa"/>
            <w:shd w:val="clear" w:color="auto" w:fill="FFFFFF" w:themeFill="background1"/>
          </w:tcPr>
          <w:p w14:paraId="7C456C0C" w14:textId="2C98854D"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0E4F0D6F" w14:textId="797D98C5"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shd w:val="clear" w:color="auto" w:fill="FFFFFF" w:themeFill="background1"/>
          </w:tcPr>
          <w:p w14:paraId="09C32595" w14:textId="6A75FC50" w:rsidR="00314559" w:rsidRPr="003B7DC9" w:rsidRDefault="00314559" w:rsidP="00314559">
            <w:pPr>
              <w:spacing w:line="276" w:lineRule="auto"/>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shd w:val="clear" w:color="auto" w:fill="FFFFFF" w:themeFill="background1"/>
          </w:tcPr>
          <w:p w14:paraId="1E8578D5" w14:textId="09B66A3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shd w:val="clear" w:color="auto" w:fill="FFFFFF" w:themeFill="background1"/>
          </w:tcPr>
          <w:p w14:paraId="01794399" w14:textId="5AFE7F07"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Ky përkufizim i “marrëveshjes ndërkufitare të raportueshme” është një koncept themelor i DAC6. Duke qenë se DAC6 rregullohet në një projektligj të veçantë, ky përkufizim nuk përfshihet këtu me qëllim.</w:t>
            </w:r>
          </w:p>
        </w:tc>
      </w:tr>
      <w:tr w:rsidR="00314559" w:rsidRPr="003B7DC9" w14:paraId="73A802D6" w14:textId="77777777" w:rsidTr="00B75638">
        <w:trPr>
          <w:trHeight w:val="1718"/>
        </w:trPr>
        <w:tc>
          <w:tcPr>
            <w:tcW w:w="630" w:type="dxa"/>
            <w:shd w:val="clear" w:color="auto" w:fill="F2F2F2"/>
          </w:tcPr>
          <w:p w14:paraId="0CB0B601"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4A381ECD"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20. </w:t>
            </w:r>
          </w:p>
          <w:p w14:paraId="7242F776" w14:textId="7356E0BE"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“Karakteristikë dalluese” nënkupton një karakteristikë ose veçori të një marrëveshjeje ndërkufitare që tregon një indikacion për një rrezik të mundshëm të shmangies tatimore, siç përcaktohet në Aneksin IV.</w:t>
            </w:r>
          </w:p>
        </w:tc>
        <w:tc>
          <w:tcPr>
            <w:tcW w:w="1170" w:type="dxa"/>
            <w:shd w:val="clear" w:color="auto" w:fill="FFFFFF" w:themeFill="background1"/>
          </w:tcPr>
          <w:p w14:paraId="0E1C656D" w14:textId="723EA3A6"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726BCE4D" w14:textId="79A88F70"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shd w:val="clear" w:color="auto" w:fill="FFFFFF" w:themeFill="background1"/>
          </w:tcPr>
          <w:p w14:paraId="2CD659A8" w14:textId="3B4F367A" w:rsidR="00314559" w:rsidRPr="003B7DC9" w:rsidRDefault="00314559" w:rsidP="00314559">
            <w:pPr>
              <w:spacing w:line="276" w:lineRule="auto"/>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shd w:val="clear" w:color="auto" w:fill="FFFFFF" w:themeFill="background1"/>
          </w:tcPr>
          <w:p w14:paraId="363A5B46" w14:textId="50204BA2"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shd w:val="clear" w:color="auto" w:fill="FFFFFF" w:themeFill="background1"/>
          </w:tcPr>
          <w:p w14:paraId="77CC4CB7" w14:textId="6D778215"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“Karakteristika dalluese” është një koncept specifik i DAC6 që lidhet me Aneksin IV. Duke qenë se DAC6 rregullohet në një projektligj të veçantë, ky përkufizim nuk përfshihet këtu me qëllim.</w:t>
            </w:r>
          </w:p>
        </w:tc>
      </w:tr>
      <w:tr w:rsidR="00314559" w:rsidRPr="003B7DC9" w14:paraId="4FE1F399" w14:textId="77777777" w:rsidTr="00B75638">
        <w:trPr>
          <w:trHeight w:val="1718"/>
        </w:trPr>
        <w:tc>
          <w:tcPr>
            <w:tcW w:w="630" w:type="dxa"/>
            <w:shd w:val="clear" w:color="auto" w:fill="F2F2F2"/>
          </w:tcPr>
          <w:p w14:paraId="20EA64B7"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3C3A4EF8"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21. </w:t>
            </w:r>
          </w:p>
          <w:p w14:paraId="2F5A6D64"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“Ndërmjetës” nënkupton çdo person që projekton, tregton, organizon ose bën të disponueshme për zbatim, ose menaxhon zbatimin e një marrëveshjeje ndërkufitare të raportueshme.</w:t>
            </w:r>
          </w:p>
          <w:p w14:paraId="3B236221"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Ai përfshin gjithashtu çdo person që, duke marrë parasysh faktet dhe rrethanat përkatëse dhe bazuar në informacionin në dispozicion dhe në ekspertizën dhe njohuritë e nevojshme për ofrimin e këtyre shërbimeve, e di ose mund të pritet në mënyrë të arsyeshme të dijë se ka marrë përsipër të ofrojë, drejtpërdrejt ose nëpërmjet personave të tjerë, ndihmë, asistencë ose këshillim në lidhje me projektimin, tregtimin, organizimin, vënien në dispozicion për zbatim ose menaxhimin e zbatimit të një marrëveshjeje ndërkufitare të raportueshme. Çdo person ka të drejtë të paraqesë prova se nuk ka ditur dhe nuk mund të pritej në mënyrë të arsyeshme të dinte se ishte i përfshirë në një marrëveshje ndërkufitare të raportueshme. Për këtë qëllim, ai person mund t’i referohet të gjitha fakteve dhe rrethanave përkatëse, si dhe informacionit në dispozicion dhe ekspertizës dhe njohurive të tij profesionale.</w:t>
            </w:r>
          </w:p>
          <w:p w14:paraId="57786CCB"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Për t’u konsideruar ndërmjetës, një person duhet të plotësojë të paktën një nga kushtet e mëposhtme:</w:t>
            </w:r>
          </w:p>
          <w:p w14:paraId="41F29BA9"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(a) të jetë rezident për qëllime tatimore në një shtet anëtar;</w:t>
            </w:r>
          </w:p>
          <w:p w14:paraId="134A7C29"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(b) të ketë një njësi të përhershme në një shtet anëtar përmes së cilës ofrohen shërbimet në lidhje me marrëveshjen;</w:t>
            </w:r>
          </w:p>
          <w:p w14:paraId="2B89FB9A"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(c) të jetë themeluar ose të rregullohet nga ligjet e një shteti anëtar;</w:t>
            </w:r>
          </w:p>
          <w:p w14:paraId="23F442B5" w14:textId="6785FA1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(d) të jetë i regjistruar në një organizatë profesionale që lidhet me shërbimet juridike, tatimore ose të konsulencës në një shtet anëtar.</w:t>
            </w:r>
          </w:p>
          <w:p w14:paraId="5B268F3B" w14:textId="2C63830B" w:rsidR="00314559" w:rsidRPr="003B7DC9" w:rsidRDefault="00314559" w:rsidP="00314559">
            <w:pPr>
              <w:spacing w:line="276" w:lineRule="auto"/>
              <w:jc w:val="both"/>
              <w:rPr>
                <w:rFonts w:ascii="Times New Roman" w:hAnsi="Times New Roman" w:cs="Times New Roman"/>
                <w:sz w:val="18"/>
                <w:szCs w:val="18"/>
              </w:rPr>
            </w:pPr>
          </w:p>
        </w:tc>
        <w:tc>
          <w:tcPr>
            <w:tcW w:w="1170" w:type="dxa"/>
            <w:shd w:val="clear" w:color="auto" w:fill="FFFFFF" w:themeFill="background1"/>
          </w:tcPr>
          <w:p w14:paraId="7151A099" w14:textId="68191ED9"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638B0970" w14:textId="371EF5FD"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shd w:val="clear" w:color="auto" w:fill="FFFFFF" w:themeFill="background1"/>
          </w:tcPr>
          <w:p w14:paraId="67F5F144" w14:textId="118596E2" w:rsidR="00314559" w:rsidRPr="003B7DC9" w:rsidRDefault="00314559" w:rsidP="00314559">
            <w:pPr>
              <w:spacing w:line="276" w:lineRule="auto"/>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shd w:val="clear" w:color="auto" w:fill="FFFFFF" w:themeFill="background1"/>
          </w:tcPr>
          <w:p w14:paraId="6135A6E7" w14:textId="2D61D2FB"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shd w:val="clear" w:color="auto" w:fill="FFFFFF" w:themeFill="background1"/>
          </w:tcPr>
          <w:p w14:paraId="6250C6A8" w14:textId="75A1C869"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“Ndërmjetësi” është një koncept thelbësor i DAC6. Duke qenë se DAC6 rregullohet në një projektligj të veçantë, ky përkufizim nuk përfshihet këtu me qëllim.</w:t>
            </w:r>
          </w:p>
        </w:tc>
      </w:tr>
      <w:tr w:rsidR="00314559" w:rsidRPr="003B7DC9" w14:paraId="6995DA5D" w14:textId="77777777" w:rsidTr="00B75638">
        <w:trPr>
          <w:trHeight w:val="1718"/>
        </w:trPr>
        <w:tc>
          <w:tcPr>
            <w:tcW w:w="630" w:type="dxa"/>
            <w:shd w:val="clear" w:color="auto" w:fill="F2F2F2"/>
          </w:tcPr>
          <w:p w14:paraId="7885BFB5"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2D6BCB0B" w14:textId="77777777" w:rsidR="00314559" w:rsidRPr="003B7DC9" w:rsidRDefault="00314559" w:rsidP="00314559">
            <w:pPr>
              <w:spacing w:line="276" w:lineRule="auto"/>
              <w:jc w:val="both"/>
              <w:rPr>
                <w:rFonts w:ascii="Times New Roman" w:hAnsi="Times New Roman" w:cs="Times New Roman"/>
                <w:sz w:val="18"/>
                <w:szCs w:val="18"/>
              </w:rPr>
            </w:pPr>
          </w:p>
          <w:p w14:paraId="3E187372" w14:textId="7C120D8F"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22.  “Tatimpagues përkatës” nënkupton çdo person të cilit i vihet në dispozicion për zbatim një marrëveshje ndërkufitare e raportueshme, ose që është i gatshëm të zbatojë një marrëveshje të tillë, apo që ka zbatuar hapin e parë të saj.</w:t>
            </w:r>
          </w:p>
        </w:tc>
        <w:tc>
          <w:tcPr>
            <w:tcW w:w="1170" w:type="dxa"/>
            <w:shd w:val="clear" w:color="auto" w:fill="FFFFFF" w:themeFill="background1"/>
          </w:tcPr>
          <w:p w14:paraId="4B11BD72" w14:textId="26C15B4D"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029DA0E0" w14:textId="3DE8584C"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shd w:val="clear" w:color="auto" w:fill="FFFFFF" w:themeFill="background1"/>
          </w:tcPr>
          <w:p w14:paraId="74315869" w14:textId="3EBDE8FA" w:rsidR="00314559" w:rsidRPr="003B7DC9" w:rsidRDefault="00314559" w:rsidP="00314559">
            <w:pPr>
              <w:spacing w:line="276" w:lineRule="auto"/>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shd w:val="clear" w:color="auto" w:fill="FFFFFF" w:themeFill="background1"/>
          </w:tcPr>
          <w:p w14:paraId="2419A657" w14:textId="35777139"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shd w:val="clear" w:color="auto" w:fill="FFFFFF" w:themeFill="background1"/>
          </w:tcPr>
          <w:p w14:paraId="26EE9E93" w14:textId="77777777" w:rsidR="00314559" w:rsidRPr="003B7DC9" w:rsidRDefault="00314559" w:rsidP="00314559">
            <w:pPr>
              <w:rPr>
                <w:rFonts w:ascii="Times New Roman" w:eastAsia="Calibri" w:hAnsi="Times New Roman" w:cs="Times New Roman"/>
                <w:sz w:val="18"/>
                <w:szCs w:val="18"/>
              </w:rPr>
            </w:pPr>
          </w:p>
          <w:p w14:paraId="070F1B45" w14:textId="4AA6A552"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Ky përkufizim është specifik për regjimin DAC6 sipas nenit 8ab dhe Aneksit IV dhe rregullohet në një projektligj të veçantë; për rrjedhojë, nuk kërkon transpozim në projektligjin aktual.</w:t>
            </w:r>
          </w:p>
        </w:tc>
      </w:tr>
      <w:tr w:rsidR="00314559" w:rsidRPr="003B7DC9" w14:paraId="7D53A805" w14:textId="77777777" w:rsidTr="00B75638">
        <w:trPr>
          <w:trHeight w:val="1718"/>
        </w:trPr>
        <w:tc>
          <w:tcPr>
            <w:tcW w:w="630" w:type="dxa"/>
            <w:shd w:val="clear" w:color="auto" w:fill="F2F2F2"/>
          </w:tcPr>
          <w:p w14:paraId="2F21FEF7"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29047E9E"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23. </w:t>
            </w:r>
          </w:p>
          <w:p w14:paraId="2FC90E1D"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Për qëllimet e nenit 8ab, “ndërmarrje e lidhur” nënkupton një person që është i lidhur me një person tjetër në të paktën njërën nga mënyrat e mëposhtme:</w:t>
            </w:r>
          </w:p>
          <w:p w14:paraId="4F2F2B4D"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(a) një person merr pjesë në menaxhimin e një personi tjetër duke qenë në një pozitë që i mundëson të ushtrojë ndikim të rëndësishëm mbi të;</w:t>
            </w:r>
          </w:p>
          <w:p w14:paraId="5F9D0EB9"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(b) një person merr pjesë në kontrollin e një personi tjetër përmes një pjesëmarrjeje që tejkalon 25 % të të drejtave të votës;</w:t>
            </w:r>
          </w:p>
          <w:p w14:paraId="274AC2AC"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(c) një person merr pjesë në kapitalin e një personi tjetër përmes një të drejte pronësie që, drejtpërdrejt ose tërthorazi, tejkalon 25 % të kapitalit;</w:t>
            </w:r>
          </w:p>
          <w:p w14:paraId="7A1B16CC"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(d) një person ka të drejtë mbi 25 % ose më shumë të fitimeve të një personi tjetër.</w:t>
            </w:r>
          </w:p>
          <w:p w14:paraId="7C4699E6"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Nëse më shumë se një person merr pjesë, siç parashikohet në shkronjat (a) deri në (d), në menaxhimin, kontrollin, kapitalin ose fitimet e të njëjtit person, të gjithë personat në fjalë konsiderohen si ndërmarrje të lidhura.</w:t>
            </w:r>
          </w:p>
          <w:p w14:paraId="3B8B0E42"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Nëse të njëjtët persona marrin pjesë, siç parashikohet në shkronjat (a) deri në (d), në menaxhimin, kontrollin, kapitalin ose fitimet e më shumë se një personi, të gjithë personat në fjalë konsiderohen si ndërmarrje të lidhura.</w:t>
            </w:r>
          </w:p>
          <w:p w14:paraId="60AEBDA3"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Për qëllimet e kësaj pike, një person që vepron së bashku me një person tjetër në lidhje me të drejtat e votës ose pronësinë e kapitalit të një entiteti trajtohet si zotërues i pjesëmarrjes në të gjitha të drejtat e votës ose në të gjithë kapitalin e atij entiteti që zotërohen nga personi tjetër.</w:t>
            </w:r>
          </w:p>
          <w:p w14:paraId="2AADF0E1"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Në rastet e pjesëmarrjeve të tërthorta, përmbushja e kërkesave sipas shkronjës (c) përcaktohet duke shumëzuar përqindjet e pjesëmarrjes </w:t>
            </w:r>
            <w:r w:rsidRPr="003B7DC9">
              <w:rPr>
                <w:rFonts w:ascii="Times New Roman" w:hAnsi="Times New Roman" w:cs="Times New Roman"/>
                <w:sz w:val="18"/>
                <w:szCs w:val="18"/>
              </w:rPr>
              <w:lastRenderedPageBreak/>
              <w:t>në çdo nivel. Një person që zotëron më shumë se 50 % të të drejtave të votës konsiderohet se zotëron 100 %.</w:t>
            </w:r>
          </w:p>
          <w:p w14:paraId="463F21FF" w14:textId="6DFEB955"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Një individ, bashkëshorti/bashkëshortja e tij/saj dhe paraardhësit ose pasardhësit e drejtpërdrejtë të tij/saj konsiderohen si një person i vetëm.</w:t>
            </w:r>
          </w:p>
        </w:tc>
        <w:tc>
          <w:tcPr>
            <w:tcW w:w="1170" w:type="dxa"/>
            <w:shd w:val="clear" w:color="auto" w:fill="FFFFFF" w:themeFill="background1"/>
          </w:tcPr>
          <w:p w14:paraId="7F080C6C" w14:textId="62D86519"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shd w:val="clear" w:color="auto" w:fill="FFFFFF" w:themeFill="background1"/>
          </w:tcPr>
          <w:p w14:paraId="72D194CD" w14:textId="510C6DD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shd w:val="clear" w:color="auto" w:fill="FFFFFF" w:themeFill="background1"/>
          </w:tcPr>
          <w:p w14:paraId="6D466931" w14:textId="028640A7" w:rsidR="00314559" w:rsidRPr="003B7DC9" w:rsidRDefault="00314559" w:rsidP="00314559">
            <w:pPr>
              <w:spacing w:line="276" w:lineRule="auto"/>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shd w:val="clear" w:color="auto" w:fill="FFFFFF" w:themeFill="background1"/>
          </w:tcPr>
          <w:p w14:paraId="413E6C38" w14:textId="679BA1D0"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shd w:val="clear" w:color="auto" w:fill="FFFFFF" w:themeFill="background1"/>
          </w:tcPr>
          <w:p w14:paraId="6F168C8C" w14:textId="77777777" w:rsidR="00314559" w:rsidRPr="003B7DC9" w:rsidRDefault="00314559" w:rsidP="00314559">
            <w:pPr>
              <w:rPr>
                <w:rFonts w:ascii="Times New Roman" w:eastAsia="Calibri" w:hAnsi="Times New Roman" w:cs="Times New Roman"/>
                <w:sz w:val="18"/>
                <w:szCs w:val="18"/>
              </w:rPr>
            </w:pPr>
          </w:p>
          <w:p w14:paraId="12CA7E15" w14:textId="3CBE4E1E"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Ky përkufizim është specifik për regjimin DAC6 sipas nenit 8ab dhe rregullohet në një projektligj të veçantë; për rrjedhojë, nuk kërkon transpozim në projektligjin aktual.</w:t>
            </w:r>
          </w:p>
        </w:tc>
      </w:tr>
      <w:tr w:rsidR="00314559" w:rsidRPr="003B7DC9" w14:paraId="14ACF290" w14:textId="77777777" w:rsidTr="00B75638">
        <w:trPr>
          <w:trHeight w:val="1718"/>
        </w:trPr>
        <w:tc>
          <w:tcPr>
            <w:tcW w:w="630" w:type="dxa"/>
            <w:shd w:val="clear" w:color="auto" w:fill="F2F2F2"/>
          </w:tcPr>
          <w:p w14:paraId="574E780B"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43B2D09B"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24. </w:t>
            </w:r>
          </w:p>
          <w:p w14:paraId="28CC2FF2"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“Marrëveshje e marketueshme” nënkupton një marrëveshje ndërkufitare që është projektuar, tregtuar, e gatshme për zbatim ose e vënë në dispozicion për zbatim pa pasur nevojë për përshtatje thelbësore.</w:t>
            </w:r>
          </w:p>
          <w:p w14:paraId="786026E5" w14:textId="377891F8" w:rsidR="00314559" w:rsidRPr="003B7DC9" w:rsidRDefault="00314559" w:rsidP="00314559">
            <w:pPr>
              <w:spacing w:line="276" w:lineRule="auto"/>
              <w:jc w:val="both"/>
              <w:rPr>
                <w:rFonts w:ascii="Times New Roman" w:hAnsi="Times New Roman" w:cs="Times New Roman"/>
                <w:sz w:val="18"/>
                <w:szCs w:val="18"/>
              </w:rPr>
            </w:pPr>
          </w:p>
        </w:tc>
        <w:tc>
          <w:tcPr>
            <w:tcW w:w="1170" w:type="dxa"/>
            <w:shd w:val="clear" w:color="auto" w:fill="FFFFFF" w:themeFill="background1"/>
          </w:tcPr>
          <w:p w14:paraId="1BC1046C" w14:textId="22AB5EE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56D365FF" w14:textId="3B67018F"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shd w:val="clear" w:color="auto" w:fill="FFFFFF" w:themeFill="background1"/>
          </w:tcPr>
          <w:p w14:paraId="06FCBB69" w14:textId="00CD70E3" w:rsidR="00314559" w:rsidRPr="003B7DC9" w:rsidRDefault="00314559" w:rsidP="00314559">
            <w:pPr>
              <w:spacing w:line="276" w:lineRule="auto"/>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shd w:val="clear" w:color="auto" w:fill="FFFFFF" w:themeFill="background1"/>
          </w:tcPr>
          <w:p w14:paraId="28AE6178" w14:textId="10094B71"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shd w:val="clear" w:color="auto" w:fill="FFFFFF" w:themeFill="background1"/>
          </w:tcPr>
          <w:p w14:paraId="02AD3894" w14:textId="77777777" w:rsidR="00314559" w:rsidRPr="003B7DC9" w:rsidRDefault="00314559" w:rsidP="00314559">
            <w:pPr>
              <w:rPr>
                <w:rFonts w:ascii="Times New Roman" w:eastAsia="Calibri" w:hAnsi="Times New Roman" w:cs="Times New Roman"/>
                <w:sz w:val="18"/>
                <w:szCs w:val="18"/>
              </w:rPr>
            </w:pPr>
          </w:p>
          <w:p w14:paraId="44DE0685" w14:textId="5ADBA5E8"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Ky përkufizim është specifik për regjimin DAC6 sipas nenit 8ab dhe rregullohet në një projektligj të veçantë; për rrjedhojë, nuk kërkon transpozim në projektligjin aktual.</w:t>
            </w:r>
          </w:p>
        </w:tc>
      </w:tr>
      <w:tr w:rsidR="00314559" w:rsidRPr="003B7DC9" w14:paraId="780B16CA" w14:textId="77777777" w:rsidTr="00B75638">
        <w:trPr>
          <w:trHeight w:val="1718"/>
        </w:trPr>
        <w:tc>
          <w:tcPr>
            <w:tcW w:w="630" w:type="dxa"/>
            <w:shd w:val="clear" w:color="auto" w:fill="F2F2F2"/>
          </w:tcPr>
          <w:p w14:paraId="21017228"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3D333A6C"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25. </w:t>
            </w:r>
          </w:p>
          <w:p w14:paraId="4F85346F" w14:textId="66A8AE2A"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“Marrëveshje e personalizuar” nënkupton çdo marrëveshje ndërkufitare që nuk është një marrëveshje e marketueshme.</w:t>
            </w:r>
          </w:p>
        </w:tc>
        <w:tc>
          <w:tcPr>
            <w:tcW w:w="1170" w:type="dxa"/>
            <w:shd w:val="clear" w:color="auto" w:fill="FFFFFF" w:themeFill="background1"/>
          </w:tcPr>
          <w:p w14:paraId="4439603D" w14:textId="23649032"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682DDCCC" w14:textId="3D40B23C"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shd w:val="clear" w:color="auto" w:fill="FFFFFF" w:themeFill="background1"/>
          </w:tcPr>
          <w:p w14:paraId="427C79BE" w14:textId="6AA9DDC1" w:rsidR="00314559" w:rsidRPr="003B7DC9" w:rsidRDefault="00314559" w:rsidP="00314559">
            <w:pPr>
              <w:spacing w:line="276" w:lineRule="auto"/>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shd w:val="clear" w:color="auto" w:fill="FFFFFF" w:themeFill="background1"/>
          </w:tcPr>
          <w:p w14:paraId="3C573CA0" w14:textId="1588D5F3"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shd w:val="clear" w:color="auto" w:fill="FFFFFF" w:themeFill="background1"/>
          </w:tcPr>
          <w:p w14:paraId="79BD8E5A" w14:textId="410F14A5"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“Marrëveshja e personalizuar” është një koncept i DAC6 që lidhet me detyrimet e raportimit të detyrueshëm. Duke qenë se DAC6 rregullohet në një projektligj të veçantë, ky përkufizim nuk përfshihet këtu me qëllim.</w:t>
            </w:r>
          </w:p>
        </w:tc>
      </w:tr>
      <w:tr w:rsidR="00314559" w:rsidRPr="003B7DC9" w14:paraId="0F6522D8" w14:textId="77777777" w:rsidTr="00B75638">
        <w:trPr>
          <w:trHeight w:val="1718"/>
        </w:trPr>
        <w:tc>
          <w:tcPr>
            <w:tcW w:w="630" w:type="dxa"/>
            <w:shd w:val="clear" w:color="auto" w:fill="F2F2F2"/>
          </w:tcPr>
          <w:p w14:paraId="43580130"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298978F7"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26. </w:t>
            </w:r>
          </w:p>
          <w:p w14:paraId="223267E7" w14:textId="2AEB9731"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“Auditim i përbashkët” nënkupton një hetim administrativ të kryer bashkërisht nga autoritetet kompetente të dy ose më shumë shteteve anëtare dhe që lidhet me një ose më shumë persona me interes të përbashkët ose plotësues për autoritetet kompetente të këtyre shteteve anëtare.</w:t>
            </w:r>
          </w:p>
        </w:tc>
        <w:tc>
          <w:tcPr>
            <w:tcW w:w="1170" w:type="dxa"/>
            <w:shd w:val="clear" w:color="auto" w:fill="FFFFFF" w:themeFill="background1"/>
          </w:tcPr>
          <w:p w14:paraId="02C8DE1E" w14:textId="63FCA48E"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6EFDC62A" w14:textId="0D97D9D5"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Neni 3</w:t>
            </w:r>
          </w:p>
        </w:tc>
        <w:tc>
          <w:tcPr>
            <w:tcW w:w="4334" w:type="dxa"/>
            <w:shd w:val="clear" w:color="auto" w:fill="FFFFFF" w:themeFill="background1"/>
          </w:tcPr>
          <w:p w14:paraId="1E0E7BFB" w14:textId="1B1177AC" w:rsidR="00314559" w:rsidRPr="003B7DC9" w:rsidRDefault="00314559" w:rsidP="00314559">
            <w:pPr>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lang w:val="en-US"/>
              </w:rPr>
              <w:t>14.</w:t>
            </w:r>
            <w:r w:rsidRPr="003B7DC9">
              <w:rPr>
                <w:rFonts w:ascii="Times New Roman" w:hAnsi="Times New Roman" w:cs="Times New Roman"/>
                <w:bCs/>
                <w:color w:val="242424"/>
                <w:sz w:val="18"/>
                <w:szCs w:val="18"/>
                <w:shd w:val="clear" w:color="auto" w:fill="FFFFFF"/>
              </w:rPr>
              <w:t xml:space="preserve">“Auditim i përbashkët” nënkupton një hetim administrativ të kryer bashkërisht nga autoritetet kompetente të dy ose më shumë shteteve anëtare, në lidhje me një ose më shumë persona për të cilët autoritetet kompetente kanë interes të përbashkët ose plotësues. </w:t>
            </w:r>
          </w:p>
          <w:p w14:paraId="18A82BFA" w14:textId="14975D41" w:rsidR="00314559" w:rsidRPr="003B7DC9" w:rsidRDefault="00314559" w:rsidP="00314559">
            <w:pPr>
              <w:spacing w:line="276" w:lineRule="auto"/>
              <w:jc w:val="both"/>
              <w:rPr>
                <w:rFonts w:ascii="Times New Roman" w:hAnsi="Times New Roman" w:cs="Times New Roman"/>
                <w:sz w:val="18"/>
                <w:szCs w:val="18"/>
              </w:rPr>
            </w:pPr>
          </w:p>
        </w:tc>
        <w:tc>
          <w:tcPr>
            <w:tcW w:w="1066" w:type="dxa"/>
            <w:shd w:val="clear" w:color="auto" w:fill="FFFFFF" w:themeFill="background1"/>
          </w:tcPr>
          <w:p w14:paraId="06ABE3D3" w14:textId="719D0B84"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0B4FCC81" w14:textId="77777777" w:rsidR="00314559" w:rsidRPr="003B7DC9" w:rsidRDefault="00314559" w:rsidP="00314559">
            <w:pPr>
              <w:rPr>
                <w:rFonts w:ascii="Times New Roman" w:eastAsia="Calibri" w:hAnsi="Times New Roman" w:cs="Times New Roman"/>
                <w:sz w:val="18"/>
                <w:szCs w:val="18"/>
              </w:rPr>
            </w:pPr>
          </w:p>
        </w:tc>
      </w:tr>
      <w:tr w:rsidR="00314559" w:rsidRPr="003B7DC9" w14:paraId="6AD594BD" w14:textId="77777777" w:rsidTr="00B75638">
        <w:trPr>
          <w:trHeight w:val="1718"/>
        </w:trPr>
        <w:tc>
          <w:tcPr>
            <w:tcW w:w="630" w:type="dxa"/>
            <w:shd w:val="clear" w:color="auto" w:fill="F2F2F2"/>
          </w:tcPr>
          <w:p w14:paraId="55A0DD19"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6632255D"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27. </w:t>
            </w:r>
          </w:p>
          <w:p w14:paraId="174EE033" w14:textId="3F9E596D"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“Shkelje e të dhënave” nënkupton një shkelje të sigurisë që çon në shkatërrim, humbje, ndryshim ose çdo incident të aksesit, zbulimit ose përdorimit të papërshtatshëm ose të paautorizuar të informacionit, përfshirë, por pa u kufizuar në, të dhënat personale të transmetuara, të ruajtura ose të përpunuara në mënyra të tjera, si rezultat i veprimeve të qëllimshme të paligjshme, neglizhencës ose aksidenteve. Një shkelje e të dhënave mund të prekë konfidencialitetin, disponueshmërinë dhe integritetin e të dhënave.</w:t>
            </w:r>
          </w:p>
        </w:tc>
        <w:tc>
          <w:tcPr>
            <w:tcW w:w="1170" w:type="dxa"/>
            <w:shd w:val="clear" w:color="auto" w:fill="FFFFFF" w:themeFill="background1"/>
          </w:tcPr>
          <w:p w14:paraId="47FBCF61" w14:textId="6E41C5FB"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224FA7B0" w14:textId="2435698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Neni 3</w:t>
            </w:r>
          </w:p>
        </w:tc>
        <w:tc>
          <w:tcPr>
            <w:tcW w:w="4334" w:type="dxa"/>
            <w:shd w:val="clear" w:color="auto" w:fill="FFFFFF" w:themeFill="background1"/>
          </w:tcPr>
          <w:p w14:paraId="64E0D08B" w14:textId="006B800B" w:rsidR="00314559" w:rsidRPr="003B7DC9" w:rsidRDefault="00314559" w:rsidP="00314559">
            <w:pPr>
              <w:pStyle w:val="ListParagraph"/>
              <w:numPr>
                <w:ilvl w:val="0"/>
                <w:numId w:val="111"/>
              </w:numPr>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 xml:space="preserve">“Shkelje e të dhënave” nënkupton një shkelje të sigurisë që çon në shkatërrimin, humbjen ose ndryshimin e informacionit, ose çdo incident të aksesit, zbulimit apo përdorimit të papërshtatshëm ose të paautorizuar të informacionit, përfshirë të dhënat personale të transmetuara, të ruajtura ose të përpunuara në një mënyrë tjetër, si rezultat i veprimeve të qëllimshme të paligjshme, neglizhencës ose aksidenteve, dhe që mund të cenojë konfidencialitetin, disponueshmërinë ose integritetin e të dhënave. </w:t>
            </w:r>
          </w:p>
        </w:tc>
        <w:tc>
          <w:tcPr>
            <w:tcW w:w="1066" w:type="dxa"/>
            <w:shd w:val="clear" w:color="auto" w:fill="FFFFFF" w:themeFill="background1"/>
          </w:tcPr>
          <w:p w14:paraId="1FAD5AE3" w14:textId="6CF74B15"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588469A4" w14:textId="77777777" w:rsidR="00314559" w:rsidRPr="003B7DC9" w:rsidRDefault="00314559" w:rsidP="00314559">
            <w:pPr>
              <w:rPr>
                <w:rFonts w:ascii="Times New Roman" w:eastAsia="Calibri" w:hAnsi="Times New Roman" w:cs="Times New Roman"/>
                <w:sz w:val="18"/>
                <w:szCs w:val="18"/>
              </w:rPr>
            </w:pPr>
          </w:p>
        </w:tc>
      </w:tr>
      <w:tr w:rsidR="00314559" w:rsidRPr="003B7DC9" w14:paraId="3742E454" w14:textId="77777777" w:rsidTr="00B75638">
        <w:trPr>
          <w:trHeight w:val="1718"/>
        </w:trPr>
        <w:tc>
          <w:tcPr>
            <w:tcW w:w="630" w:type="dxa"/>
            <w:shd w:val="clear" w:color="auto" w:fill="F2F2F2"/>
          </w:tcPr>
          <w:p w14:paraId="78717E05"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1398545F"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28. </w:t>
            </w:r>
          </w:p>
          <w:p w14:paraId="76B60A23"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“Të ardhura nga dividendët jo‑kujdestarë” nënkupton dividendët ose të ardhurat e tjera të trajtuara si dividendë në shtetin anëtar të paguesit, të cilat paguhen ose kreditohen në një llogari tjetër nga një “Llogari Kujdestare”, siç përcaktohet në Seksionin VIII, nënparagrafin C(3) të Aneksit I.</w:t>
            </w:r>
          </w:p>
          <w:p w14:paraId="34FC7E27" w14:textId="7A4BF249" w:rsidR="00314559" w:rsidRPr="003B7DC9" w:rsidRDefault="00314559" w:rsidP="00314559">
            <w:pPr>
              <w:spacing w:line="276" w:lineRule="auto"/>
              <w:jc w:val="both"/>
              <w:rPr>
                <w:rFonts w:ascii="Times New Roman" w:hAnsi="Times New Roman" w:cs="Times New Roman"/>
                <w:sz w:val="18"/>
                <w:szCs w:val="18"/>
              </w:rPr>
            </w:pPr>
          </w:p>
        </w:tc>
        <w:tc>
          <w:tcPr>
            <w:tcW w:w="1170" w:type="dxa"/>
            <w:shd w:val="clear" w:color="auto" w:fill="FFFFFF" w:themeFill="background1"/>
          </w:tcPr>
          <w:p w14:paraId="55806D37" w14:textId="6C552BB0"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3AEAC906" w14:textId="0E77D4A1"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Neni 3  </w:t>
            </w:r>
          </w:p>
        </w:tc>
        <w:tc>
          <w:tcPr>
            <w:tcW w:w="4334" w:type="dxa"/>
            <w:shd w:val="clear" w:color="auto" w:fill="FFFFFF" w:themeFill="background1"/>
          </w:tcPr>
          <w:p w14:paraId="562CAA61" w14:textId="2251768A" w:rsidR="00314559" w:rsidRPr="003B7DC9" w:rsidRDefault="00314559" w:rsidP="00314559">
            <w:pPr>
              <w:pStyle w:val="ListParagraph"/>
              <w:numPr>
                <w:ilvl w:val="0"/>
                <w:numId w:val="115"/>
              </w:numPr>
              <w:spacing w:after="0" w:line="240" w:lineRule="auto"/>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 xml:space="preserve">“Të ardhura nga dividendët që nuk lidhen me një llogari kujdestare” nënkupton dividendët ose të ardhurat e tjera që trajtohen si dividendë sipas legjislacionit të shtetit të paguesit, të cilat paguhen ose kreditohen në një llogari tjetër nga “llogaria kujdestare”, siç përcaktohet në rregullat për shkëmbimin automatik të informacionit të llogarive financiare. </w:t>
            </w:r>
          </w:p>
          <w:p w14:paraId="5C2EB030" w14:textId="78EA78E4" w:rsidR="00314559" w:rsidRPr="003B7DC9" w:rsidRDefault="00314559" w:rsidP="00314559">
            <w:pPr>
              <w:spacing w:line="276" w:lineRule="auto"/>
              <w:jc w:val="both"/>
              <w:rPr>
                <w:rFonts w:ascii="Times New Roman" w:hAnsi="Times New Roman" w:cs="Times New Roman"/>
                <w:sz w:val="18"/>
                <w:szCs w:val="18"/>
              </w:rPr>
            </w:pPr>
          </w:p>
        </w:tc>
        <w:tc>
          <w:tcPr>
            <w:tcW w:w="1066" w:type="dxa"/>
            <w:shd w:val="clear" w:color="auto" w:fill="FFFFFF" w:themeFill="background1"/>
          </w:tcPr>
          <w:p w14:paraId="062A0672" w14:textId="431BF582"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1545F133" w14:textId="0848B415" w:rsidR="00314559" w:rsidRPr="003B7DC9" w:rsidRDefault="00314559" w:rsidP="00314559">
            <w:pPr>
              <w:rPr>
                <w:rFonts w:ascii="Times New Roman" w:eastAsia="Calibri" w:hAnsi="Times New Roman" w:cs="Times New Roman"/>
                <w:sz w:val="18"/>
                <w:szCs w:val="18"/>
              </w:rPr>
            </w:pPr>
          </w:p>
        </w:tc>
      </w:tr>
      <w:tr w:rsidR="00314559" w:rsidRPr="003B7DC9" w14:paraId="0DC22856" w14:textId="77777777" w:rsidTr="00B75638">
        <w:trPr>
          <w:trHeight w:val="1718"/>
        </w:trPr>
        <w:tc>
          <w:tcPr>
            <w:tcW w:w="630" w:type="dxa"/>
            <w:shd w:val="clear" w:color="auto" w:fill="F2F2F2"/>
          </w:tcPr>
          <w:p w14:paraId="79B40F37"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196E3CE2"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29. </w:t>
            </w:r>
          </w:p>
          <w:p w14:paraId="0BB8A2E0" w14:textId="066F6800"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“Produkte të sigurimit të jetës që nuk mbulohen nga instrumente të tjera juridike të Bashkimit për shkëmbimin e informacionit dhe masa të tjera të ngjashme” nënkupton kontratat e sigurimit, përveç kontratave të sigurimit me vlerë në para që i nënshtrohen raportimit sipas Seksionit I të Aneksit I, në të cilat përfitimet sipas kontratës paguhen në rast të vdekjes së mbajtësit të policës.</w:t>
            </w:r>
          </w:p>
        </w:tc>
        <w:tc>
          <w:tcPr>
            <w:tcW w:w="1170" w:type="dxa"/>
            <w:shd w:val="clear" w:color="auto" w:fill="FFFFFF" w:themeFill="background1"/>
          </w:tcPr>
          <w:p w14:paraId="454D2273" w14:textId="1A79E25F"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3B2F5CA9" w14:textId="6CF701FD"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Neni 3 </w:t>
            </w:r>
          </w:p>
        </w:tc>
        <w:tc>
          <w:tcPr>
            <w:tcW w:w="4334" w:type="dxa"/>
            <w:shd w:val="clear" w:color="auto" w:fill="FFFFFF" w:themeFill="background1"/>
          </w:tcPr>
          <w:p w14:paraId="27AA4F04" w14:textId="34321950" w:rsidR="00314559" w:rsidRPr="003B7DC9" w:rsidRDefault="00314559" w:rsidP="00314559">
            <w:pPr>
              <w:pStyle w:val="ListParagraph"/>
              <w:numPr>
                <w:ilvl w:val="0"/>
                <w:numId w:val="108"/>
              </w:numPr>
              <w:spacing w:after="0" w:line="240" w:lineRule="auto"/>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 xml:space="preserve">“Produkte të sigurimit të jetës që nuk mbulohen nga instrumente të tjera të Bashkimit Evropian për shkëmbimin e informacionit dhe masa të tjera të ngjashme” nënkupton kontratat e sigurimit, të ndryshme nga kontratat e sigurimit me vlerë në para që janë objekt raportimi sipas rregullave për shkëmbimin automatik të informacionit të llogarive financiare, kur përfitimet sipas kontratës paguhen me vdekjen e mbajtësit të policës. </w:t>
            </w:r>
          </w:p>
          <w:p w14:paraId="230292CB" w14:textId="07ECEF70" w:rsidR="00314559" w:rsidRPr="003B7DC9" w:rsidRDefault="00314559" w:rsidP="00314559">
            <w:pPr>
              <w:spacing w:line="276" w:lineRule="auto"/>
              <w:jc w:val="both"/>
              <w:rPr>
                <w:rFonts w:ascii="Times New Roman" w:hAnsi="Times New Roman" w:cs="Times New Roman"/>
                <w:sz w:val="18"/>
                <w:szCs w:val="18"/>
              </w:rPr>
            </w:pPr>
          </w:p>
        </w:tc>
        <w:tc>
          <w:tcPr>
            <w:tcW w:w="1066" w:type="dxa"/>
            <w:shd w:val="clear" w:color="auto" w:fill="FFFFFF" w:themeFill="background1"/>
          </w:tcPr>
          <w:p w14:paraId="34C62F97" w14:textId="58F1B358"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321C9663" w14:textId="77777777" w:rsidR="00314559" w:rsidRPr="003B7DC9" w:rsidRDefault="00314559" w:rsidP="00314559">
            <w:pPr>
              <w:rPr>
                <w:rFonts w:ascii="Times New Roman" w:eastAsia="Calibri" w:hAnsi="Times New Roman" w:cs="Times New Roman"/>
                <w:sz w:val="18"/>
                <w:szCs w:val="18"/>
              </w:rPr>
            </w:pPr>
          </w:p>
        </w:tc>
      </w:tr>
      <w:tr w:rsidR="00314559" w:rsidRPr="003B7DC9" w14:paraId="687B7A39" w14:textId="77777777" w:rsidTr="00B75638">
        <w:trPr>
          <w:trHeight w:val="1718"/>
        </w:trPr>
        <w:tc>
          <w:tcPr>
            <w:tcW w:w="630" w:type="dxa"/>
            <w:shd w:val="clear" w:color="auto" w:fill="F2F2F2"/>
          </w:tcPr>
          <w:p w14:paraId="20893901"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46E3DBE3"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30. </w:t>
            </w:r>
          </w:p>
          <w:p w14:paraId="4B5C961B" w14:textId="1F1DDC74"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“Adresë e regjistrit të shpërndarë” nënkupton adresën e regjistrit të shpërndarë siç përcaktohet në nenin 3, pika (18), të Rregullores (BE) 2023/1113 të Parlamentit Evropian dhe të Këshillit.</w:t>
            </w:r>
          </w:p>
        </w:tc>
        <w:tc>
          <w:tcPr>
            <w:tcW w:w="1170" w:type="dxa"/>
            <w:shd w:val="clear" w:color="auto" w:fill="FFFFFF" w:themeFill="background1"/>
          </w:tcPr>
          <w:p w14:paraId="39F7733C" w14:textId="50EE0B7C"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650C8E13" w14:textId="73D859F8"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shd w:val="clear" w:color="auto" w:fill="FFFFFF" w:themeFill="background1"/>
          </w:tcPr>
          <w:p w14:paraId="2DB36178" w14:textId="01A95DA3" w:rsidR="00314559" w:rsidRPr="003B7DC9" w:rsidRDefault="00314559" w:rsidP="00314559">
            <w:pPr>
              <w:tabs>
                <w:tab w:val="left" w:pos="1130"/>
              </w:tabs>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shd w:val="clear" w:color="auto" w:fill="FFFFFF" w:themeFill="background1"/>
          </w:tcPr>
          <w:p w14:paraId="55AF0804" w14:textId="3A928F3D"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shd w:val="clear" w:color="auto" w:fill="FFFFFF" w:themeFill="background1"/>
          </w:tcPr>
          <w:p w14:paraId="3656EB93" w14:textId="77777777" w:rsidR="00314559" w:rsidRPr="003B7DC9" w:rsidRDefault="00314559" w:rsidP="00314559">
            <w:pPr>
              <w:rPr>
                <w:rFonts w:ascii="Times New Roman" w:eastAsia="Calibri" w:hAnsi="Times New Roman" w:cs="Times New Roman"/>
                <w:sz w:val="18"/>
                <w:szCs w:val="18"/>
              </w:rPr>
            </w:pPr>
          </w:p>
          <w:p w14:paraId="36D36FF9" w14:textId="6245DF8C"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Ky përkufizim i referohet detyrimeve të raportimit për asetet kripto, me referim ndaj Rregullores (BE) 2023/1113. Ai lidhet me një regjim të veçantë të shkëmbimit automatik të informacionit jashtë fushës materiale të DAC1 dhe, për rrjedhojë, nuk kërkon transpozim në projektligjin aktual.</w:t>
            </w:r>
          </w:p>
        </w:tc>
      </w:tr>
      <w:tr w:rsidR="00314559" w:rsidRPr="003B7DC9" w14:paraId="3D2E73A1" w14:textId="77777777" w:rsidTr="00B75638">
        <w:trPr>
          <w:trHeight w:val="1718"/>
        </w:trPr>
        <w:tc>
          <w:tcPr>
            <w:tcW w:w="630" w:type="dxa"/>
            <w:shd w:val="clear" w:color="auto" w:fill="F2F2F2"/>
          </w:tcPr>
          <w:p w14:paraId="22909A68"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7CFC85CD" w14:textId="77777777"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 xml:space="preserve">31. </w:t>
            </w:r>
          </w:p>
          <w:p w14:paraId="20805363" w14:textId="51E6F571" w:rsidR="00314559" w:rsidRPr="003B7DC9" w:rsidRDefault="00314559" w:rsidP="00314559">
            <w:pPr>
              <w:spacing w:line="276" w:lineRule="auto"/>
              <w:jc w:val="both"/>
              <w:rPr>
                <w:rFonts w:ascii="Times New Roman" w:hAnsi="Times New Roman" w:cs="Times New Roman"/>
                <w:sz w:val="18"/>
                <w:szCs w:val="18"/>
              </w:rPr>
            </w:pPr>
            <w:r w:rsidRPr="003B7DC9">
              <w:rPr>
                <w:rFonts w:ascii="Times New Roman" w:hAnsi="Times New Roman" w:cs="Times New Roman"/>
                <w:sz w:val="18"/>
                <w:szCs w:val="18"/>
              </w:rPr>
              <w:t>“Klient” nënkupton, për qëllimet e nenit 8ab, çdo ndërmjetës ose tatimpagues përkatës që merr shërbime, përfshirë asistencë, këshillim ose udhëzim, nga një ndërmjetës që gëzon privilegjin e sekretit profesional, në lidhje me një marrëveshje ndërkufitare të raportueshme.</w:t>
            </w:r>
          </w:p>
        </w:tc>
        <w:tc>
          <w:tcPr>
            <w:tcW w:w="1170" w:type="dxa"/>
            <w:shd w:val="clear" w:color="auto" w:fill="FFFFFF" w:themeFill="background1"/>
          </w:tcPr>
          <w:p w14:paraId="760BBB01" w14:textId="573B7DFF"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3B11FE7D" w14:textId="1D50769F"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shd w:val="clear" w:color="auto" w:fill="FFFFFF" w:themeFill="background1"/>
          </w:tcPr>
          <w:p w14:paraId="3C5CD541" w14:textId="38D74836" w:rsidR="00314559" w:rsidRPr="003B7DC9" w:rsidRDefault="00314559" w:rsidP="00314559">
            <w:pPr>
              <w:tabs>
                <w:tab w:val="left" w:pos="1130"/>
              </w:tabs>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shd w:val="clear" w:color="auto" w:fill="FFFFFF" w:themeFill="background1"/>
          </w:tcPr>
          <w:p w14:paraId="506E0244" w14:textId="7A7E69A5"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shd w:val="clear" w:color="auto" w:fill="FFFFFF" w:themeFill="background1"/>
          </w:tcPr>
          <w:p w14:paraId="2759DADF" w14:textId="58FFC629"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Ky përkufizim zbatohet ekskluzivisht për qëllimet e nenit 8ab, në lidhje me raportimin e detyrueshëm të marrëveshjeve ndërkufitare të raportueshme. Ai lidhet me një regjim të veçantë raportimi jashtë fushës materiale të DAC1 dhe, për rrjedhojë, nuk kërkon transpozim në projektligjin aktual.</w:t>
            </w:r>
          </w:p>
        </w:tc>
      </w:tr>
      <w:tr w:rsidR="00314559" w:rsidRPr="003B7DC9" w14:paraId="40FAE142" w14:textId="77777777" w:rsidTr="00B75638">
        <w:trPr>
          <w:trHeight w:val="1718"/>
        </w:trPr>
        <w:tc>
          <w:tcPr>
            <w:tcW w:w="630" w:type="dxa"/>
            <w:shd w:val="clear" w:color="auto" w:fill="F2F2F2"/>
          </w:tcPr>
          <w:p w14:paraId="60FE620E"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1A048FC6" w14:textId="77777777" w:rsidR="00314559" w:rsidRPr="003B7DC9" w:rsidRDefault="00314559" w:rsidP="00314559">
            <w:pPr>
              <w:spacing w:line="276" w:lineRule="auto"/>
              <w:jc w:val="both"/>
              <w:rPr>
                <w:rFonts w:ascii="Times New Roman" w:hAnsi="Times New Roman" w:cs="Times New Roman"/>
                <w:sz w:val="18"/>
                <w:szCs w:val="18"/>
              </w:rPr>
            </w:pPr>
          </w:p>
        </w:tc>
        <w:tc>
          <w:tcPr>
            <w:tcW w:w="1170" w:type="dxa"/>
            <w:shd w:val="clear" w:color="auto" w:fill="FFFFFF" w:themeFill="background1"/>
          </w:tcPr>
          <w:p w14:paraId="3C0C6CDB" w14:textId="205D7355"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43B8E3CD" w14:textId="197093D6"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Neni 3</w:t>
            </w:r>
          </w:p>
        </w:tc>
        <w:tc>
          <w:tcPr>
            <w:tcW w:w="4334" w:type="dxa"/>
            <w:shd w:val="clear" w:color="auto" w:fill="FFFFFF" w:themeFill="background1"/>
          </w:tcPr>
          <w:p w14:paraId="55AA7C0E" w14:textId="01327520" w:rsidR="00314559" w:rsidRPr="003B7DC9" w:rsidRDefault="00314559" w:rsidP="00314559">
            <w:pPr>
              <w:pStyle w:val="ListParagraph"/>
              <w:numPr>
                <w:ilvl w:val="0"/>
                <w:numId w:val="111"/>
              </w:numPr>
              <w:jc w:val="both"/>
              <w:rPr>
                <w:rFonts w:ascii="Times New Roman" w:hAnsi="Times New Roman" w:cs="Times New Roman"/>
                <w:bCs/>
                <w:color w:val="242424"/>
                <w:sz w:val="18"/>
                <w:szCs w:val="18"/>
                <w:shd w:val="clear" w:color="auto" w:fill="FFFFFF"/>
              </w:rPr>
            </w:pPr>
            <w:r w:rsidRPr="003B7DC9">
              <w:rPr>
                <w:rFonts w:ascii="Times New Roman" w:hAnsi="Times New Roman" w:cs="Times New Roman"/>
                <w:bCs/>
                <w:color w:val="242424"/>
                <w:sz w:val="18"/>
                <w:szCs w:val="18"/>
                <w:shd w:val="clear" w:color="auto" w:fill="FFFFFF"/>
              </w:rPr>
              <w:t xml:space="preserve">“Numri i identifikimit tatimor” ose “TIN” nënkupton numrin ose kodin ekuivalent të përdorur nga një shtet anëtar për identifikimin e një personi për qëllime tatimore. </w:t>
            </w:r>
          </w:p>
          <w:p w14:paraId="27080BF0" w14:textId="77777777" w:rsidR="00314559" w:rsidRPr="003B7DC9" w:rsidRDefault="00314559" w:rsidP="00314559">
            <w:pPr>
              <w:tabs>
                <w:tab w:val="left" w:pos="1130"/>
              </w:tabs>
              <w:jc w:val="center"/>
              <w:rPr>
                <w:rFonts w:ascii="Times New Roman" w:hAnsi="Times New Roman" w:cs="Times New Roman"/>
                <w:sz w:val="18"/>
                <w:szCs w:val="18"/>
              </w:rPr>
            </w:pPr>
          </w:p>
        </w:tc>
        <w:tc>
          <w:tcPr>
            <w:tcW w:w="1066" w:type="dxa"/>
            <w:shd w:val="clear" w:color="auto" w:fill="FFFFFF" w:themeFill="background1"/>
          </w:tcPr>
          <w:p w14:paraId="7ABEAF34" w14:textId="77777777" w:rsidR="00314559" w:rsidRPr="003B7DC9" w:rsidRDefault="00314559" w:rsidP="00314559">
            <w:pPr>
              <w:jc w:val="center"/>
              <w:rPr>
                <w:rFonts w:ascii="Times New Roman" w:eastAsia="Calibri" w:hAnsi="Times New Roman" w:cs="Times New Roman"/>
                <w:sz w:val="18"/>
                <w:szCs w:val="18"/>
              </w:rPr>
            </w:pPr>
          </w:p>
        </w:tc>
        <w:tc>
          <w:tcPr>
            <w:tcW w:w="3060" w:type="dxa"/>
            <w:shd w:val="clear" w:color="auto" w:fill="FFFFFF" w:themeFill="background1"/>
          </w:tcPr>
          <w:p w14:paraId="005466DD" w14:textId="30DE91DB" w:rsidR="00314559" w:rsidRPr="003B7DC9" w:rsidRDefault="00314559" w:rsidP="00314559">
            <w:pPr>
              <w:jc w:val="both"/>
              <w:rPr>
                <w:rFonts w:ascii="Times New Roman" w:eastAsia="Calibri" w:hAnsi="Times New Roman" w:cs="Times New Roman"/>
                <w:b/>
                <w:sz w:val="18"/>
                <w:szCs w:val="18"/>
              </w:rPr>
            </w:pPr>
            <w:r w:rsidRPr="003B7DC9">
              <w:rPr>
                <w:rStyle w:val="Strong"/>
                <w:rFonts w:ascii="Times New Roman" w:hAnsi="Times New Roman" w:cs="Times New Roman"/>
                <w:b w:val="0"/>
                <w:sz w:val="18"/>
                <w:szCs w:val="18"/>
              </w:rPr>
              <w:t>Përkufizimi i TIN është përfshirë në nenin e përkufizimeve të projektligjit për arsye të teknikës legjislative. Në Direktivën 2011/16/BE, të ndryshuar, përkufizimi i TIN gjendet në Aneksin I (Seksioni VIII, pika E(5), i futur me Direktivën 2014/107/BE) dhe në Aneksin V (Seksioni I, pika 3, i futur me Direktivën (BE) 2021/514).</w:t>
            </w:r>
          </w:p>
        </w:tc>
      </w:tr>
      <w:tr w:rsidR="00314559" w:rsidRPr="003B7DC9" w14:paraId="233BA96F" w14:textId="77777777" w:rsidTr="00B75638">
        <w:trPr>
          <w:trHeight w:val="1718"/>
        </w:trPr>
        <w:tc>
          <w:tcPr>
            <w:tcW w:w="630" w:type="dxa"/>
            <w:shd w:val="clear" w:color="auto" w:fill="F2F2F2"/>
          </w:tcPr>
          <w:p w14:paraId="1C3906B7"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52C357D9" w14:textId="77777777" w:rsidR="00314559" w:rsidRPr="003B7DC9" w:rsidRDefault="00314559" w:rsidP="00314559">
            <w:pPr>
              <w:spacing w:line="276" w:lineRule="auto"/>
              <w:jc w:val="both"/>
              <w:rPr>
                <w:rFonts w:ascii="Times New Roman" w:hAnsi="Times New Roman" w:cs="Times New Roman"/>
                <w:sz w:val="18"/>
                <w:szCs w:val="18"/>
              </w:rPr>
            </w:pPr>
          </w:p>
        </w:tc>
        <w:tc>
          <w:tcPr>
            <w:tcW w:w="1170" w:type="dxa"/>
            <w:shd w:val="clear" w:color="auto" w:fill="FFFFFF" w:themeFill="background1"/>
          </w:tcPr>
          <w:p w14:paraId="2B0DF09B" w14:textId="3C1E5999"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50D43CCE" w14:textId="411EBFDB"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Neni 3</w:t>
            </w:r>
          </w:p>
        </w:tc>
        <w:tc>
          <w:tcPr>
            <w:tcW w:w="4334" w:type="dxa"/>
            <w:shd w:val="clear" w:color="auto" w:fill="FFFFFF" w:themeFill="background1"/>
          </w:tcPr>
          <w:p w14:paraId="431FE936" w14:textId="77777777" w:rsidR="00314559" w:rsidRPr="003B7DC9" w:rsidRDefault="00314559" w:rsidP="00314559">
            <w:pPr>
              <w:numPr>
                <w:ilvl w:val="0"/>
                <w:numId w:val="111"/>
              </w:numPr>
              <w:spacing w:after="200" w:line="276" w:lineRule="auto"/>
              <w:jc w:val="both"/>
              <w:rPr>
                <w:rFonts w:ascii="Times New Roman" w:hAnsi="Times New Roman" w:cs="Times New Roman"/>
                <w:bCs/>
                <w:color w:val="242424"/>
                <w:sz w:val="18"/>
                <w:szCs w:val="18"/>
                <w:shd w:val="clear" w:color="auto" w:fill="FFFFFF"/>
                <w:lang w:val="en-US"/>
              </w:rPr>
            </w:pPr>
            <w:r w:rsidRPr="003B7DC9">
              <w:rPr>
                <w:rFonts w:ascii="Times New Roman" w:hAnsi="Times New Roman" w:cs="Times New Roman"/>
                <w:bCs/>
                <w:color w:val="242424"/>
                <w:sz w:val="18"/>
                <w:szCs w:val="18"/>
                <w:shd w:val="clear" w:color="auto" w:fill="FFFFFF"/>
                <w:lang w:val="en-US"/>
              </w:rPr>
              <w:t xml:space="preserve">“Person raportues” </w:t>
            </w:r>
            <w:r w:rsidRPr="003B7DC9">
              <w:rPr>
                <w:rFonts w:ascii="Times New Roman" w:eastAsia="Times New Roman" w:hAnsi="Times New Roman" w:cs="Times New Roman"/>
                <w:sz w:val="18"/>
                <w:szCs w:val="18"/>
                <w:lang w:eastAsia="sq-AL"/>
              </w:rPr>
              <w:t xml:space="preserve">nënkupton çdo person fizik, person juridik, organizim juridik ose organ publik që, sipas këtij ligji ose një ligji të posaçëm që zbaton Direktivën 2011/16/BE, ka detyrimin t’i paraqesë ose t’i vërë në dispozicion Drejtorisë së Përgjithshme të Tatimeve informacion dhe, sipas rastit, ta mbledhë, verifikojë, ruajë ose korrigjojë atë për qëllime raportimi. Ky term nuk përfshin Drejtorinë e Përgjithshme të Tatimeve kur vepron si autoritet kompetent dhe as strukturat </w:t>
            </w:r>
            <w:r w:rsidRPr="003B7DC9">
              <w:rPr>
                <w:rFonts w:ascii="Times New Roman" w:eastAsia="Times New Roman" w:hAnsi="Times New Roman" w:cs="Times New Roman"/>
                <w:sz w:val="18"/>
                <w:szCs w:val="18"/>
                <w:lang w:eastAsia="sq-AL"/>
              </w:rPr>
              <w:lastRenderedPageBreak/>
              <w:t>ose nëpunësit e saj kur kryejnë komunikimin e informacionit ndërmjet autoriteteve kompetente.</w:t>
            </w:r>
          </w:p>
          <w:p w14:paraId="792D8426" w14:textId="77777777" w:rsidR="00314559" w:rsidRPr="003B7DC9" w:rsidRDefault="00314559" w:rsidP="00314559">
            <w:pPr>
              <w:ind w:left="360"/>
              <w:jc w:val="both"/>
              <w:rPr>
                <w:rFonts w:ascii="Times New Roman" w:hAnsi="Times New Roman" w:cs="Times New Roman"/>
                <w:bCs/>
                <w:color w:val="242424"/>
                <w:sz w:val="18"/>
                <w:szCs w:val="18"/>
                <w:shd w:val="clear" w:color="auto" w:fill="FFFFFF"/>
              </w:rPr>
            </w:pPr>
          </w:p>
        </w:tc>
        <w:tc>
          <w:tcPr>
            <w:tcW w:w="1066" w:type="dxa"/>
            <w:shd w:val="clear" w:color="auto" w:fill="FFFFFF" w:themeFill="background1"/>
          </w:tcPr>
          <w:p w14:paraId="6233936C" w14:textId="77777777" w:rsidR="00314559" w:rsidRPr="003B7DC9" w:rsidRDefault="00314559" w:rsidP="00314559">
            <w:pPr>
              <w:jc w:val="center"/>
              <w:rPr>
                <w:rFonts w:ascii="Times New Roman" w:eastAsia="Calibri" w:hAnsi="Times New Roman" w:cs="Times New Roman"/>
                <w:sz w:val="18"/>
                <w:szCs w:val="18"/>
              </w:rPr>
            </w:pPr>
          </w:p>
        </w:tc>
        <w:tc>
          <w:tcPr>
            <w:tcW w:w="3060" w:type="dxa"/>
            <w:shd w:val="clear" w:color="auto" w:fill="FFFFFF" w:themeFill="background1"/>
          </w:tcPr>
          <w:p w14:paraId="6FAB8C8B" w14:textId="7B27708E" w:rsidR="00314559" w:rsidRPr="003B7DC9" w:rsidRDefault="00314559" w:rsidP="00314559">
            <w:pPr>
              <w:jc w:val="both"/>
              <w:rPr>
                <w:rStyle w:val="Strong"/>
                <w:rFonts w:ascii="Times New Roman" w:hAnsi="Times New Roman" w:cs="Times New Roman"/>
                <w:b w:val="0"/>
                <w:sz w:val="18"/>
                <w:szCs w:val="18"/>
              </w:rPr>
            </w:pPr>
            <w:r w:rsidRPr="003B7DC9">
              <w:rPr>
                <w:rFonts w:ascii="Times New Roman" w:hAnsi="Times New Roman" w:cs="Times New Roman"/>
                <w:sz w:val="18"/>
                <w:szCs w:val="18"/>
              </w:rPr>
              <w:t xml:space="preserve">Përkufizimi "Person raportues" është shtuar si dispozitë kombëtare për arsye të teknikës legjislative, me qëllim unifikimin e terminologjisë së përdorur në ligjin horizontal dhe në ligjet e posaçme që zbatojnë Direktivën 2011/16/BE. Direktiva nuk parashikon një përkufizim horizontal të këtij termi, por përdor kategori të ndryshme subjektesh raportuese sipas fushës së secilit instrument (p.sh. Reporting Financial Institution, Reporting </w:t>
            </w:r>
            <w:r w:rsidRPr="003B7DC9">
              <w:rPr>
                <w:rFonts w:ascii="Times New Roman" w:hAnsi="Times New Roman" w:cs="Times New Roman"/>
                <w:sz w:val="18"/>
                <w:szCs w:val="18"/>
              </w:rPr>
              <w:lastRenderedPageBreak/>
              <w:t>Platform Operator, Reporting Crypto-Asset Service Provider, etj.).</w:t>
            </w:r>
          </w:p>
        </w:tc>
      </w:tr>
      <w:tr w:rsidR="00314559" w:rsidRPr="003B7DC9" w14:paraId="7FF99548" w14:textId="77777777" w:rsidTr="00B75638">
        <w:trPr>
          <w:trHeight w:val="1853"/>
        </w:trPr>
        <w:tc>
          <w:tcPr>
            <w:tcW w:w="630" w:type="dxa"/>
            <w:shd w:val="clear" w:color="auto" w:fill="F2F2F2"/>
          </w:tcPr>
          <w:p w14:paraId="5550CB02" w14:textId="77777777" w:rsidR="00314559" w:rsidRPr="003B7DC9" w:rsidRDefault="00314559" w:rsidP="00314559">
            <w:pPr>
              <w:jc w:val="center"/>
              <w:rPr>
                <w:rFonts w:ascii="Times New Roman" w:eastAsia="Calibri" w:hAnsi="Times New Roman" w:cs="Times New Roman"/>
                <w:i/>
                <w:sz w:val="18"/>
                <w:szCs w:val="18"/>
              </w:rPr>
            </w:pPr>
          </w:p>
        </w:tc>
        <w:tc>
          <w:tcPr>
            <w:tcW w:w="5220" w:type="dxa"/>
            <w:shd w:val="clear" w:color="auto" w:fill="FFFFFF" w:themeFill="background1"/>
          </w:tcPr>
          <w:p w14:paraId="178900B1" w14:textId="77777777" w:rsidR="00314559" w:rsidRPr="003B7DC9" w:rsidRDefault="00314559" w:rsidP="00314559">
            <w:pPr>
              <w:spacing w:line="276" w:lineRule="auto"/>
              <w:jc w:val="both"/>
              <w:rPr>
                <w:rFonts w:ascii="Times New Roman" w:hAnsi="Times New Roman" w:cs="Times New Roman"/>
                <w:sz w:val="18"/>
                <w:szCs w:val="18"/>
              </w:rPr>
            </w:pPr>
          </w:p>
        </w:tc>
        <w:tc>
          <w:tcPr>
            <w:tcW w:w="1170" w:type="dxa"/>
            <w:shd w:val="clear" w:color="auto" w:fill="FFFFFF" w:themeFill="background1"/>
          </w:tcPr>
          <w:p w14:paraId="7DEC4E87" w14:textId="736014A0"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6D8D9524" w14:textId="2FF80935"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Neni 3</w:t>
            </w:r>
          </w:p>
        </w:tc>
        <w:tc>
          <w:tcPr>
            <w:tcW w:w="4334" w:type="dxa"/>
            <w:shd w:val="clear" w:color="auto" w:fill="FFFFFF" w:themeFill="background1"/>
          </w:tcPr>
          <w:p w14:paraId="6B9F68E8" w14:textId="632204D3" w:rsidR="00314559" w:rsidRPr="003B7DC9" w:rsidRDefault="00314559" w:rsidP="00314559">
            <w:pPr>
              <w:numPr>
                <w:ilvl w:val="0"/>
                <w:numId w:val="111"/>
              </w:numPr>
              <w:spacing w:after="200" w:line="276" w:lineRule="auto"/>
              <w:jc w:val="both"/>
              <w:rPr>
                <w:rFonts w:ascii="Times New Roman" w:hAnsi="Times New Roman" w:cs="Times New Roman"/>
                <w:bCs/>
                <w:color w:val="242424"/>
                <w:sz w:val="18"/>
                <w:szCs w:val="18"/>
                <w:shd w:val="clear" w:color="auto" w:fill="FFFFFF"/>
                <w:lang w:val="en-US"/>
              </w:rPr>
            </w:pPr>
            <w:r w:rsidRPr="003B7DC9">
              <w:rPr>
                <w:rFonts w:ascii="Times New Roman" w:hAnsi="Times New Roman" w:cs="Times New Roman"/>
                <w:bCs/>
                <w:color w:val="242424"/>
                <w:sz w:val="18"/>
                <w:szCs w:val="18"/>
                <w:shd w:val="clear" w:color="auto" w:fill="FFFFFF"/>
                <w:lang w:val="en-US"/>
              </w:rPr>
              <w:t>“Vend i tretë”</w:t>
            </w:r>
            <w:r w:rsidRPr="003B7DC9">
              <w:rPr>
                <w:rFonts w:ascii="Times New Roman" w:eastAsia="Times New Roman" w:hAnsi="Times New Roman" w:cs="Times New Roman"/>
                <w:sz w:val="18"/>
                <w:szCs w:val="18"/>
                <w:lang w:eastAsia="sq-AL"/>
              </w:rPr>
              <w:t xml:space="preserve"> nënkupton çdo juridiksion që nuk është shtet anëtar i Bashkimit Evropian.</w:t>
            </w:r>
          </w:p>
        </w:tc>
        <w:tc>
          <w:tcPr>
            <w:tcW w:w="1066" w:type="dxa"/>
            <w:shd w:val="clear" w:color="auto" w:fill="FFFFFF" w:themeFill="background1"/>
          </w:tcPr>
          <w:p w14:paraId="5D887C99" w14:textId="77777777" w:rsidR="00314559" w:rsidRPr="003B7DC9" w:rsidRDefault="00314559" w:rsidP="00314559">
            <w:pPr>
              <w:jc w:val="center"/>
              <w:rPr>
                <w:rFonts w:ascii="Times New Roman" w:eastAsia="Calibri" w:hAnsi="Times New Roman" w:cs="Times New Roman"/>
                <w:sz w:val="18"/>
                <w:szCs w:val="18"/>
              </w:rPr>
            </w:pPr>
          </w:p>
        </w:tc>
        <w:tc>
          <w:tcPr>
            <w:tcW w:w="3060" w:type="dxa"/>
            <w:shd w:val="clear" w:color="auto" w:fill="FFFFFF" w:themeFill="background1"/>
          </w:tcPr>
          <w:p w14:paraId="5820DE36" w14:textId="38D45FA3" w:rsidR="00314559" w:rsidRPr="003B7DC9" w:rsidRDefault="00314559" w:rsidP="00314559">
            <w:pPr>
              <w:jc w:val="both"/>
              <w:rPr>
                <w:rFonts w:ascii="Times New Roman" w:hAnsi="Times New Roman" w:cs="Times New Roman"/>
                <w:sz w:val="18"/>
                <w:szCs w:val="18"/>
              </w:rPr>
            </w:pPr>
            <w:r w:rsidRPr="004A5803">
              <w:rPr>
                <w:rFonts w:ascii="Times New Roman" w:hAnsi="Times New Roman" w:cs="Times New Roman"/>
                <w:sz w:val="18"/>
                <w:szCs w:val="18"/>
              </w:rPr>
              <w:t xml:space="preserve">Përkufizimi i termit </w:t>
            </w:r>
            <w:r w:rsidRPr="004A5803">
              <w:rPr>
                <w:rStyle w:val="Strong"/>
                <w:rFonts w:ascii="Times New Roman" w:hAnsi="Times New Roman" w:cs="Times New Roman"/>
                <w:sz w:val="18"/>
                <w:szCs w:val="18"/>
              </w:rPr>
              <w:t>"Vend i tretë"</w:t>
            </w:r>
            <w:r w:rsidRPr="004A5803">
              <w:rPr>
                <w:rFonts w:ascii="Times New Roman" w:hAnsi="Times New Roman" w:cs="Times New Roman"/>
                <w:sz w:val="18"/>
                <w:szCs w:val="18"/>
              </w:rPr>
              <w:t xml:space="preserve"> është shtuar për arsye të teknikës legjislative, pasi termi përdoret në Direktivën 2011/16/BE, por nuk përkufizohet prej saj.</w:t>
            </w:r>
          </w:p>
        </w:tc>
      </w:tr>
      <w:tr w:rsidR="00314559" w:rsidRPr="003B7DC9" w14:paraId="65C77C64" w14:textId="77777777" w:rsidTr="00B75638">
        <w:trPr>
          <w:trHeight w:val="2085"/>
        </w:trPr>
        <w:tc>
          <w:tcPr>
            <w:tcW w:w="630" w:type="dxa"/>
          </w:tcPr>
          <w:p w14:paraId="6050527A" w14:textId="424C66A8" w:rsidR="00314559" w:rsidRPr="003B7DC9" w:rsidRDefault="00314559" w:rsidP="00314559">
            <w:pPr>
              <w:jc w:val="both"/>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1</w:t>
            </w:r>
          </w:p>
        </w:tc>
        <w:tc>
          <w:tcPr>
            <w:tcW w:w="5220" w:type="dxa"/>
          </w:tcPr>
          <w:p w14:paraId="48AFAF1F" w14:textId="77777777" w:rsidR="00314559" w:rsidRPr="003B7DC9" w:rsidRDefault="00314559" w:rsidP="00314559">
            <w:pPr>
              <w:jc w:val="both"/>
              <w:rPr>
                <w:rFonts w:ascii="Times New Roman" w:eastAsia="Calibri" w:hAnsi="Times New Roman" w:cs="Times New Roman"/>
                <w:iCs/>
                <w:sz w:val="18"/>
                <w:szCs w:val="18"/>
                <w:lang w:val="en-US"/>
              </w:rPr>
            </w:pPr>
          </w:p>
          <w:p w14:paraId="4D45052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Neni 4</w:t>
            </w:r>
          </w:p>
          <w:p w14:paraId="6BE334C8"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Organizimi</w:t>
            </w:r>
          </w:p>
          <w:p w14:paraId="066CBC6B" w14:textId="77777777" w:rsidR="00314559" w:rsidRPr="003B7DC9" w:rsidRDefault="00314559" w:rsidP="00314559">
            <w:pPr>
              <w:numPr>
                <w:ilvl w:val="0"/>
                <w:numId w:val="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Çdo shtet anëtar njofton Komisionin, brenda një muaji nga data 11 mars 2011, për autoritetin e tij kompetent për qëllimet e kësaj direktive dhe e informon Komisionin pa vonesë për çdo ndryshim lidhur me këtë autoritet.</w:t>
            </w:r>
            <w:r w:rsidRPr="003B7DC9">
              <w:rPr>
                <w:rFonts w:ascii="Times New Roman" w:eastAsia="Calibri" w:hAnsi="Times New Roman" w:cs="Times New Roman"/>
                <w:iCs/>
                <w:sz w:val="18"/>
                <w:szCs w:val="18"/>
              </w:rPr>
              <w:br/>
              <w:t>Komisioni e vë këtë informacion në dispozicion të shteteve të tjera anëtare dhe publikon një listë të autoriteteve të shteteve anëtare në Gazetën Zyrtare të Bashkimit Evropian.</w:t>
            </w:r>
          </w:p>
          <w:p w14:paraId="14850DBF" w14:textId="77777777" w:rsidR="00314559" w:rsidRPr="003B7DC9" w:rsidRDefault="00314559" w:rsidP="00314559">
            <w:pPr>
              <w:numPr>
                <w:ilvl w:val="0"/>
                <w:numId w:val="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cakton një Zyrë Qendrore Ndërlidhëse të vetme. Autoriteti kompetent është përgjegjës për informimin e Komisionit dhe të shteteve të tjera anëtare lidhur me këtë.</w:t>
            </w:r>
            <w:r w:rsidRPr="003B7DC9">
              <w:rPr>
                <w:rFonts w:ascii="Times New Roman" w:eastAsia="Calibri" w:hAnsi="Times New Roman" w:cs="Times New Roman"/>
                <w:iCs/>
                <w:sz w:val="18"/>
                <w:szCs w:val="18"/>
              </w:rPr>
              <w:br/>
              <w:t>Zyra Qendrore Ndërlidhëse mund të caktohet edhe si përgjegjëse për kontaktet me Komisionin. Autoriteti kompetent është përgjegjës për informimin e Komisionit në këtë drejtim.</w:t>
            </w:r>
          </w:p>
          <w:p w14:paraId="4F6D06B1" w14:textId="77777777" w:rsidR="00314559" w:rsidRPr="003B7DC9" w:rsidRDefault="00314559" w:rsidP="00314559">
            <w:pPr>
              <w:numPr>
                <w:ilvl w:val="0"/>
                <w:numId w:val="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Autoriteti kompetent i çdo shteti anëtar mund të caktojë departamente ndërlidhëse me kompetencat e përcaktuara sipas legjislacionit ose politikave të tij kombëtare. Zyra Qendrore Ndërlidhëse është përgjegjëse për mbajtjen e listës së përditësuar të këtyre departamenteve dhe për vënien </w:t>
            </w:r>
            <w:r w:rsidRPr="003B7DC9">
              <w:rPr>
                <w:rFonts w:ascii="Times New Roman" w:eastAsia="Calibri" w:hAnsi="Times New Roman" w:cs="Times New Roman"/>
                <w:iCs/>
                <w:sz w:val="18"/>
                <w:szCs w:val="18"/>
              </w:rPr>
              <w:lastRenderedPageBreak/>
              <w:t>e saj në dispozicion të zyrave qendrore ndërlidhëse të shteteve të tjera anëtare përkatëse dhe të Komisionit.</w:t>
            </w:r>
          </w:p>
          <w:p w14:paraId="24A697E2" w14:textId="77777777" w:rsidR="00314559" w:rsidRPr="003B7DC9" w:rsidRDefault="00314559" w:rsidP="00314559">
            <w:pPr>
              <w:numPr>
                <w:ilvl w:val="0"/>
                <w:numId w:val="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i çdo shteti anëtar mund të caktojë nëpunës kompetentë. Zyra Qendrore Ndërlidhëse është përgjegjëse për mbajtjen e listës së përditësuar të nëpunësve kompetentë dhe për vënien e saj në dispozicion të zyrave qendrore ndërlidhëse të shteteve të tjera anëtare përkatëse dhe të Komisionit.</w:t>
            </w:r>
          </w:p>
          <w:p w14:paraId="261D7BF1" w14:textId="77777777" w:rsidR="00314559" w:rsidRPr="003B7DC9" w:rsidRDefault="00314559" w:rsidP="00314559">
            <w:pPr>
              <w:numPr>
                <w:ilvl w:val="0"/>
                <w:numId w:val="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Nëpunësit e angazhuar në bashkëpunimin administrativ sipas kësaj direktive konsiderohen në çdo rast si nëpunës kompetentë për këtë qëllim, në përputhje me rregullimet e përcaktuara nga autoritetet kompetente.</w:t>
            </w:r>
          </w:p>
          <w:p w14:paraId="542880ED" w14:textId="77777777" w:rsidR="00314559" w:rsidRPr="003B7DC9" w:rsidRDefault="00314559" w:rsidP="00314559">
            <w:pPr>
              <w:numPr>
                <w:ilvl w:val="0"/>
                <w:numId w:val="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një departament ndërlidhës ose një nëpunës kompetent dërgon ose merr një kërkesë apo një përgjigje ndaj një kërkese për bashkëpunim, ai informon Zyrën Qendrore Ndërlidhëse të shtetit të tij anëtar në përputhje me procedurat e përcaktuara nga ai shtet anëtar.</w:t>
            </w:r>
          </w:p>
          <w:p w14:paraId="30E6DCAA" w14:textId="77777777" w:rsidR="00314559" w:rsidRPr="003B7DC9" w:rsidRDefault="00314559" w:rsidP="00314559">
            <w:pPr>
              <w:numPr>
                <w:ilvl w:val="0"/>
                <w:numId w:val="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një departament ndërlidhës ose një nëpunës kompetent merr një kërkesë për bashkëpunim që kërkon veprime jashtë kompetencave të tij sipas legjislacionit apo politikave kombëtare, ai e përcjell këtë kërkesë pa vonesë tek Zyra Qendrore Ndërlidhëse e shtetit të tij anëtar dhe informon për këtë autoritetin kërkues. Në këtë rast, afati i përcaktuar në nenin 7 fillon ditën pas dërgimit të kërkesës për bashkëpunim tek Zyra Qendrore Ndërlidhëse.</w:t>
            </w:r>
          </w:p>
          <w:p w14:paraId="13191D8A" w14:textId="3E5B1E8C" w:rsidR="00314559" w:rsidRPr="003B7DC9" w:rsidRDefault="00314559" w:rsidP="00314559">
            <w:pPr>
              <w:jc w:val="both"/>
              <w:rPr>
                <w:rFonts w:ascii="Times New Roman" w:eastAsia="Calibri" w:hAnsi="Times New Roman" w:cs="Times New Roman"/>
                <w:iCs/>
                <w:sz w:val="18"/>
                <w:szCs w:val="18"/>
                <w:lang w:val="en-US"/>
              </w:rPr>
            </w:pPr>
          </w:p>
        </w:tc>
        <w:tc>
          <w:tcPr>
            <w:tcW w:w="1170" w:type="dxa"/>
          </w:tcPr>
          <w:p w14:paraId="73A9F1D9" w14:textId="0EDFAED2"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tcPr>
          <w:p w14:paraId="16B43562" w14:textId="78670922"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 xml:space="preserve">Neni 4 </w:t>
            </w:r>
          </w:p>
        </w:tc>
        <w:tc>
          <w:tcPr>
            <w:tcW w:w="4334" w:type="dxa"/>
            <w:tcBorders>
              <w:bottom w:val="dashed" w:sz="4" w:space="0" w:color="auto"/>
            </w:tcBorders>
          </w:tcPr>
          <w:p w14:paraId="23D652C4" w14:textId="77777777" w:rsidR="00314559" w:rsidRPr="003B7DC9" w:rsidRDefault="00314559" w:rsidP="00314559">
            <w:pPr>
              <w:spacing w:before="100" w:beforeAutospacing="1" w:after="100" w:afterAutospacing="1"/>
              <w:ind w:left="720"/>
              <w:jc w:val="center"/>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4</w:t>
            </w:r>
          </w:p>
          <w:p w14:paraId="7031F4F4" w14:textId="77777777" w:rsidR="00314559" w:rsidRPr="003B7DC9" w:rsidRDefault="00314559" w:rsidP="00314559">
            <w:pPr>
              <w:spacing w:before="100" w:beforeAutospacing="1" w:after="100" w:afterAutospacing="1"/>
              <w:ind w:left="720"/>
              <w:jc w:val="center"/>
              <w:rPr>
                <w:rFonts w:ascii="Times New Roman" w:eastAsia="Times New Roman" w:hAnsi="Times New Roman" w:cs="Times New Roman"/>
                <w:bCs/>
                <w:sz w:val="18"/>
                <w:szCs w:val="18"/>
                <w:lang w:val="en-US"/>
              </w:rPr>
            </w:pPr>
            <w:r w:rsidRPr="003B7DC9">
              <w:rPr>
                <w:rFonts w:ascii="Times New Roman" w:eastAsia="Times New Roman" w:hAnsi="Times New Roman" w:cs="Times New Roman"/>
                <w:b/>
                <w:bCs/>
                <w:sz w:val="18"/>
                <w:szCs w:val="18"/>
                <w:lang w:val="en-US"/>
              </w:rPr>
              <w:t>Autoriteti kompetent dhe zyra qendrore ndërlidhëse</w:t>
            </w:r>
          </w:p>
          <w:p w14:paraId="478F26FB" w14:textId="77777777" w:rsidR="00314559" w:rsidRPr="003B7DC9" w:rsidRDefault="00314559" w:rsidP="00314559">
            <w:pPr>
              <w:numPr>
                <w:ilvl w:val="0"/>
                <w:numId w:val="112"/>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Drejtoria e Përgjithshme e Tatimeve caktohet si autoriteti kompetent për qëllimet e këtij ligji. Ajo njofton Komisionin Evropian për këtë caktim, si dhe për çdo ndryshim të mëvonshëm. </w:t>
            </w:r>
          </w:p>
          <w:p w14:paraId="59D74C37" w14:textId="77777777" w:rsidR="00314559" w:rsidRPr="003B7DC9" w:rsidRDefault="00314559" w:rsidP="00314559">
            <w:pPr>
              <w:pStyle w:val="ListParagraph"/>
              <w:numPr>
                <w:ilvl w:val="0"/>
                <w:numId w:val="112"/>
              </w:numPr>
              <w:spacing w:before="100" w:beforeAutospacing="1" w:after="100" w:afterAutospacing="1" w:line="240" w:lineRule="auto"/>
              <w:jc w:val="both"/>
              <w:rPr>
                <w:rFonts w:ascii="Times New Roman" w:eastAsia="Times New Roman" w:hAnsi="Times New Roman" w:cs="Times New Roman"/>
                <w:sz w:val="18"/>
                <w:szCs w:val="18"/>
                <w:lang w:val="sq-AL"/>
              </w:rPr>
            </w:pPr>
            <w:r w:rsidRPr="003B7DC9">
              <w:rPr>
                <w:rFonts w:ascii="Times New Roman" w:eastAsia="Times New Roman" w:hAnsi="Times New Roman" w:cs="Times New Roman"/>
                <w:sz w:val="18"/>
                <w:szCs w:val="18"/>
                <w:lang w:val="sq-AL"/>
              </w:rPr>
              <w:t>Në Drejtorinë e Përgjithshme të Tatimeve krijohet zyra qendrore ndërlidhëse, e cila është përgjegjëse për kontaktet me autoritetet kompetente të shteteve anëtare dhe me Komisionin Evropian në fushën e bashkëpunimit administrativ. Drejtoria e Përgjithshme e Tatimeve i komunikon Komisionit Evropian dhe autoriteteve kompetente të shteteve anëtare caktimin e zyrës qendrore ndërlidhëse dhe çdo ndryshim të mëvonshëm.</w:t>
            </w:r>
          </w:p>
          <w:p w14:paraId="3393BC70" w14:textId="77777777" w:rsidR="00314559" w:rsidRPr="003B7DC9" w:rsidRDefault="00314559" w:rsidP="00314559">
            <w:pPr>
              <w:pStyle w:val="ListParagraph"/>
              <w:spacing w:before="100" w:beforeAutospacing="1" w:after="100" w:afterAutospacing="1" w:line="240" w:lineRule="auto"/>
              <w:jc w:val="both"/>
              <w:rPr>
                <w:rFonts w:ascii="Times New Roman" w:eastAsia="Times New Roman" w:hAnsi="Times New Roman" w:cs="Times New Roman"/>
                <w:sz w:val="18"/>
                <w:szCs w:val="18"/>
                <w:lang w:val="sq-AL"/>
              </w:rPr>
            </w:pPr>
          </w:p>
          <w:p w14:paraId="45B0E217" w14:textId="77777777" w:rsidR="00314559" w:rsidRPr="003B7DC9" w:rsidRDefault="00314559" w:rsidP="00314559">
            <w:pPr>
              <w:pStyle w:val="ListParagraph"/>
              <w:numPr>
                <w:ilvl w:val="0"/>
                <w:numId w:val="112"/>
              </w:numPr>
              <w:jc w:val="both"/>
              <w:rPr>
                <w:rFonts w:ascii="Times New Roman" w:hAnsi="Times New Roman" w:cs="Times New Roman"/>
                <w:sz w:val="18"/>
                <w:szCs w:val="18"/>
              </w:rPr>
            </w:pPr>
            <w:r w:rsidRPr="003B7DC9">
              <w:rPr>
                <w:rFonts w:ascii="Times New Roman" w:hAnsi="Times New Roman" w:cs="Times New Roman"/>
                <w:sz w:val="18"/>
                <w:szCs w:val="18"/>
              </w:rPr>
              <w:lastRenderedPageBreak/>
              <w:t>Drejtoria e Përgjithshme e Tatimeve cakton një ose më shumë departamente ndërlidhëse dhe nëpunës kompetentë. Zyra qendrore ndërlidhëse mban dhe përditëson listën e tyre dhe ua vë atë, si dhe çdo ndryshim të saj, pa vonesë, në dispozicion zyrave qendrore ndërlidhëse të shteteve të tjera anëtare të interesuara dhe Komisionit Evropian, në përputhje me rregullimet praktike të miratuara në nivel të Bashkimit Evropian</w:t>
            </w:r>
            <w:r w:rsidRPr="003B7DC9">
              <w:rPr>
                <w:rFonts w:ascii="Times New Roman" w:eastAsia="Times New Roman" w:hAnsi="Times New Roman" w:cs="Times New Roman"/>
                <w:bCs/>
                <w:sz w:val="18"/>
                <w:szCs w:val="18"/>
                <w:lang w:val="en-US"/>
              </w:rPr>
              <w:t xml:space="preserve">. </w:t>
            </w:r>
            <w:r w:rsidRPr="003B7DC9">
              <w:rPr>
                <w:rFonts w:ascii="Times New Roman" w:eastAsia="Times New Roman" w:hAnsi="Times New Roman" w:cs="Times New Roman"/>
                <w:sz w:val="18"/>
                <w:szCs w:val="18"/>
                <w:lang w:eastAsia="sq-AL"/>
              </w:rPr>
              <w:t>Nëpunësit që angazhohen në bashkëpunimin administrativ sipas këtij ligji konsiderohen nëpunës kompetentë për qëllimin përkatës, në përputhje me rregullimet e miratuara nga Drejtoria e Përgjithshme e Tatimeve.</w:t>
            </w:r>
          </w:p>
          <w:p w14:paraId="2DDE582F" w14:textId="77777777" w:rsidR="00314559" w:rsidRPr="003B7DC9" w:rsidRDefault="00314559" w:rsidP="00314559">
            <w:pPr>
              <w:numPr>
                <w:ilvl w:val="0"/>
                <w:numId w:val="112"/>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Departamentet ndërlidhëse dhe nëpunësit kompetentë informojnë zyrën qendrore ndërlidhëse për çdo veprim të ndërmarrë ose informacion të shkëmbyer sipas këtij ligji. Procedurat e brendshme sigurojnë që zyra qendrore ndërlidhëse </w:t>
            </w:r>
            <w:r w:rsidRPr="003B7DC9">
              <w:rPr>
                <w:rFonts w:ascii="Times New Roman" w:eastAsia="Times New Roman" w:hAnsi="Times New Roman" w:cs="Times New Roman"/>
                <w:sz w:val="18"/>
                <w:szCs w:val="18"/>
                <w:lang w:eastAsia="sq-AL"/>
              </w:rPr>
              <w:t>të informohet</w:t>
            </w:r>
            <w:r w:rsidRPr="003B7DC9">
              <w:rPr>
                <w:rFonts w:ascii="Times New Roman" w:eastAsia="Times New Roman" w:hAnsi="Times New Roman" w:cs="Times New Roman"/>
                <w:bCs/>
                <w:sz w:val="18"/>
                <w:szCs w:val="18"/>
                <w:lang w:val="en-US"/>
              </w:rPr>
              <w:t xml:space="preserve"> për komunikimet hyrëse dhe dalëse dhe të ketë akses në dokumentacionin përkatës. </w:t>
            </w:r>
          </w:p>
          <w:p w14:paraId="45E9D605" w14:textId="77777777" w:rsidR="00314559" w:rsidRPr="003B7DC9" w:rsidRDefault="00314559" w:rsidP="00314559">
            <w:pPr>
              <w:numPr>
                <w:ilvl w:val="0"/>
                <w:numId w:val="112"/>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sz w:val="18"/>
                <w:szCs w:val="18"/>
                <w:lang w:eastAsia="sq-AL"/>
              </w:rPr>
              <w:t xml:space="preserve">Komunikimet sipas këtij ligji kryhen nga zyra qendrore ndërlidhëse ose drejtpërdrejt nga departamentet ndërlidhëse dhe nëpunësit kompetentë, brenda kufijve të kompetencave të caktuara. Kur komunikimi kryhet drejtpërdrejt, departamenti ndërlidhës ose nëpunësi kompetent informon pa vonesë zyrën qendrore ndërlidhëse, në përputhje me pikën 4 të këtij neni. Procedurat e brendshme mund të përcaktojnë rastet që kërkojnë miratim </w:t>
            </w:r>
            <w:r w:rsidRPr="003B7DC9">
              <w:rPr>
                <w:rFonts w:ascii="Times New Roman" w:eastAsia="Times New Roman" w:hAnsi="Times New Roman" w:cs="Times New Roman"/>
                <w:sz w:val="18"/>
                <w:szCs w:val="18"/>
                <w:lang w:eastAsia="sq-AL"/>
              </w:rPr>
              <w:lastRenderedPageBreak/>
              <w:t>paraprak, pa cenuar afatet e përcaktuara në këtë ligj.</w:t>
            </w:r>
          </w:p>
          <w:p w14:paraId="36C45A94" w14:textId="77777777" w:rsidR="00314559" w:rsidRPr="003B7DC9" w:rsidRDefault="00314559" w:rsidP="00314559">
            <w:pPr>
              <w:numPr>
                <w:ilvl w:val="0"/>
                <w:numId w:val="112"/>
              </w:numPr>
              <w:spacing w:before="100" w:beforeAutospacing="1" w:after="100" w:afterAutospacing="1" w:line="276" w:lineRule="auto"/>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Zyra qendrore ndërlidhëse ushtron këto funksione:</w:t>
            </w:r>
            <w:r w:rsidRPr="003B7DC9">
              <w:rPr>
                <w:rFonts w:ascii="Times New Roman" w:eastAsia="Times New Roman" w:hAnsi="Times New Roman" w:cs="Times New Roman"/>
                <w:bCs/>
                <w:sz w:val="18"/>
                <w:szCs w:val="18"/>
                <w:lang w:val="en-US"/>
              </w:rPr>
              <w:br/>
              <w:t>a) monitoron funksionimin e sistemeve të shkëmbimit të informacionit;</w:t>
            </w:r>
          </w:p>
          <w:p w14:paraId="25D3B4A9" w14:textId="77777777" w:rsidR="00314559" w:rsidRPr="003B7DC9" w:rsidRDefault="00314559" w:rsidP="00314559">
            <w:pPr>
              <w:spacing w:before="100" w:beforeAutospacing="1" w:after="100" w:afterAutospacing="1"/>
              <w:ind w:left="720"/>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b) përpilon statistikat vjetore mbi shkëmbimin e informacionit dhe bashkëpunon me Komisionin Evropian për çështjet e bashkëpunimit administrativ.</w:t>
            </w:r>
          </w:p>
          <w:p w14:paraId="45C68984" w14:textId="77777777" w:rsidR="00314559" w:rsidRPr="003B7DC9" w:rsidRDefault="00314559" w:rsidP="00314559">
            <w:pPr>
              <w:numPr>
                <w:ilvl w:val="0"/>
                <w:numId w:val="112"/>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Kur një departament ndërlidhës ose një nëpunës kompetent merr një kërkesë për bashkëpunim që nuk i përket fushës së përgjegjësisë së tij, ai ia përcjell atë pa vonesë zyrës qendrore ndërlidhëse dhe informon autoritetin kërkues. Në këtë rast, afatet e përcaktuara në pikën 1, 2 dhe 3 të nenit 8, të këtij ligji fillojnë ditën pas përcjelljes së kërkesës te zyra qendrore ndërlidhëse. </w:t>
            </w:r>
          </w:p>
          <w:p w14:paraId="6C9669C9" w14:textId="77777777" w:rsidR="00314559" w:rsidRPr="003B7DC9" w:rsidRDefault="00314559" w:rsidP="00314559">
            <w:pPr>
              <w:numPr>
                <w:ilvl w:val="0"/>
                <w:numId w:val="112"/>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Procedurat e brendshme të zyrës qendrore ndërlidhëse, departamenteve ndërlidhëse dhe nëpunësve kompetentë, përfshirë regjistrimin, përcjelljen, monitorimin dhe ruajtjen e komunikimeve, përcaktohen me vendim të Këshillit të Ministrave.</w:t>
            </w:r>
          </w:p>
          <w:p w14:paraId="05CBA041" w14:textId="17AFAC8E" w:rsidR="00314559" w:rsidRPr="003B7DC9" w:rsidRDefault="00314559" w:rsidP="00314559">
            <w:pPr>
              <w:pStyle w:val="ListParagraph"/>
              <w:numPr>
                <w:ilvl w:val="0"/>
                <w:numId w:val="112"/>
              </w:numPr>
              <w:jc w:val="both"/>
              <w:rPr>
                <w:rFonts w:ascii="Times New Roman" w:hAnsi="Times New Roman" w:cs="Times New Roman"/>
                <w:sz w:val="18"/>
                <w:szCs w:val="18"/>
              </w:rPr>
            </w:pPr>
            <w:r w:rsidRPr="003B7DC9">
              <w:rPr>
                <w:rFonts w:ascii="Times New Roman" w:hAnsi="Times New Roman" w:cs="Times New Roman"/>
                <w:sz w:val="18"/>
                <w:szCs w:val="18"/>
              </w:rPr>
              <w:t>Drejtoria e Përgjithshme e Tatimeve, nëpërmjet zyrës qendrore ndërlidhëse, departamenteve ndërlidhëse dhe nëpunësve kompetentë, vepron si autoritet kërkues dhe si autoritet i kërkuar dhe mund të paraqesë, të marrë dhe të zbatojë kërkesat dhe komunikimet e parashikuara në këtë ligj.</w:t>
            </w:r>
          </w:p>
        </w:tc>
        <w:tc>
          <w:tcPr>
            <w:tcW w:w="1066" w:type="dxa"/>
            <w:tcBorders>
              <w:bottom w:val="dashed" w:sz="4" w:space="0" w:color="auto"/>
            </w:tcBorders>
          </w:tcPr>
          <w:p w14:paraId="6FCF9030" w14:textId="7E85D828"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tcBorders>
              <w:bottom w:val="dashed" w:sz="4" w:space="0" w:color="auto"/>
            </w:tcBorders>
          </w:tcPr>
          <w:p w14:paraId="08DB7295" w14:textId="6CD8B951" w:rsidR="00314559" w:rsidRPr="003B7DC9" w:rsidRDefault="00314559" w:rsidP="00314559">
            <w:pPr>
              <w:rPr>
                <w:rFonts w:ascii="Times New Roman" w:eastAsia="Calibri" w:hAnsi="Times New Roman" w:cs="Times New Roman"/>
                <w:sz w:val="18"/>
                <w:szCs w:val="18"/>
                <w:lang w:val="en-US"/>
              </w:rPr>
            </w:pPr>
          </w:p>
        </w:tc>
      </w:tr>
      <w:tr w:rsidR="00314559" w:rsidRPr="003B7DC9" w14:paraId="307841CB" w14:textId="77777777" w:rsidTr="00B75638">
        <w:trPr>
          <w:trHeight w:val="836"/>
        </w:trPr>
        <w:tc>
          <w:tcPr>
            <w:tcW w:w="630" w:type="dxa"/>
          </w:tcPr>
          <w:p w14:paraId="30FC065C" w14:textId="4F80A36D" w:rsidR="00314559" w:rsidRPr="003B7DC9" w:rsidRDefault="00314559" w:rsidP="00314559">
            <w:pPr>
              <w:jc w:val="both"/>
              <w:rPr>
                <w:rFonts w:ascii="Times New Roman" w:eastAsia="Calibri" w:hAnsi="Times New Roman" w:cs="Times New Roman"/>
                <w:i/>
                <w:iCs/>
                <w:sz w:val="18"/>
                <w:szCs w:val="18"/>
                <w:lang w:val="en-US"/>
              </w:rPr>
            </w:pPr>
            <w:r w:rsidRPr="003B7DC9">
              <w:rPr>
                <w:rFonts w:ascii="Times New Roman" w:eastAsia="Calibri" w:hAnsi="Times New Roman" w:cs="Times New Roman"/>
                <w:i/>
                <w:iCs/>
                <w:sz w:val="18"/>
                <w:szCs w:val="18"/>
                <w:lang w:val="en-US"/>
              </w:rPr>
              <w:lastRenderedPageBreak/>
              <w:t>1</w:t>
            </w:r>
          </w:p>
        </w:tc>
        <w:tc>
          <w:tcPr>
            <w:tcW w:w="5220" w:type="dxa"/>
          </w:tcPr>
          <w:p w14:paraId="421C9F61" w14:textId="77777777" w:rsidR="00314559" w:rsidRPr="003B7DC9" w:rsidRDefault="00314559" w:rsidP="00314559">
            <w:pPr>
              <w:jc w:val="both"/>
              <w:rPr>
                <w:rFonts w:ascii="Times New Roman" w:eastAsia="Calibri" w:hAnsi="Times New Roman" w:cs="Times New Roman"/>
                <w:b/>
                <w:iCs/>
                <w:sz w:val="18"/>
                <w:szCs w:val="18"/>
                <w:lang w:val="en-US"/>
              </w:rPr>
            </w:pPr>
            <w:r w:rsidRPr="003B7DC9">
              <w:rPr>
                <w:rFonts w:ascii="Times New Roman" w:eastAsia="Calibri" w:hAnsi="Times New Roman" w:cs="Times New Roman"/>
                <w:b/>
                <w:iCs/>
                <w:sz w:val="18"/>
                <w:szCs w:val="18"/>
                <w:lang w:val="en-US"/>
              </w:rPr>
              <w:t>KREU II</w:t>
            </w:r>
          </w:p>
          <w:p w14:paraId="5282CA05" w14:textId="77777777" w:rsidR="00314559" w:rsidRPr="003B7DC9" w:rsidRDefault="00314559" w:rsidP="00314559">
            <w:pPr>
              <w:jc w:val="both"/>
              <w:rPr>
                <w:rFonts w:ascii="Times New Roman" w:eastAsia="Calibri" w:hAnsi="Times New Roman" w:cs="Times New Roman"/>
                <w:b/>
                <w:iCs/>
                <w:sz w:val="18"/>
                <w:szCs w:val="18"/>
                <w:lang w:val="en-US"/>
              </w:rPr>
            </w:pPr>
          </w:p>
          <w:p w14:paraId="5F1B3091" w14:textId="0C2715FA" w:rsidR="00314559" w:rsidRPr="003B7DC9" w:rsidRDefault="00314559" w:rsidP="00314559">
            <w:pPr>
              <w:jc w:val="both"/>
              <w:rPr>
                <w:rFonts w:ascii="Times New Roman" w:eastAsia="Calibri" w:hAnsi="Times New Roman" w:cs="Times New Roman"/>
                <w:b/>
                <w:iCs/>
                <w:sz w:val="18"/>
                <w:szCs w:val="18"/>
                <w:lang w:val="en-US"/>
              </w:rPr>
            </w:pPr>
            <w:r w:rsidRPr="003B7DC9">
              <w:rPr>
                <w:rFonts w:ascii="Times New Roman" w:eastAsia="Calibri" w:hAnsi="Times New Roman" w:cs="Times New Roman"/>
                <w:b/>
                <w:iCs/>
                <w:sz w:val="18"/>
                <w:szCs w:val="18"/>
                <w:lang w:val="en-US"/>
              </w:rPr>
              <w:t>SHKËMBIMI I INFORMACIONIT</w:t>
            </w:r>
          </w:p>
          <w:p w14:paraId="05A43F69" w14:textId="77777777" w:rsidR="00314559" w:rsidRPr="003B7DC9" w:rsidRDefault="00314559" w:rsidP="00314559">
            <w:pPr>
              <w:jc w:val="both"/>
              <w:rPr>
                <w:rFonts w:ascii="Times New Roman" w:eastAsia="Calibri" w:hAnsi="Times New Roman" w:cs="Times New Roman"/>
                <w:b/>
                <w:iCs/>
                <w:sz w:val="18"/>
                <w:szCs w:val="18"/>
                <w:lang w:val="en-US"/>
              </w:rPr>
            </w:pPr>
          </w:p>
          <w:p w14:paraId="31230CD5" w14:textId="7E8D167A" w:rsidR="00314559" w:rsidRPr="003B7DC9" w:rsidRDefault="00314559" w:rsidP="00314559">
            <w:pPr>
              <w:jc w:val="both"/>
              <w:rPr>
                <w:rFonts w:ascii="Times New Roman" w:eastAsia="Calibri" w:hAnsi="Times New Roman" w:cs="Times New Roman"/>
                <w:b/>
                <w:iCs/>
                <w:sz w:val="18"/>
                <w:szCs w:val="18"/>
                <w:lang w:val="en-US"/>
              </w:rPr>
            </w:pPr>
            <w:r w:rsidRPr="003B7DC9">
              <w:rPr>
                <w:rFonts w:ascii="Times New Roman" w:eastAsia="Calibri" w:hAnsi="Times New Roman" w:cs="Times New Roman"/>
                <w:b/>
                <w:iCs/>
                <w:sz w:val="18"/>
                <w:szCs w:val="18"/>
                <w:lang w:val="en-US"/>
              </w:rPr>
              <w:t>SEKSIONI I</w:t>
            </w:r>
          </w:p>
          <w:p w14:paraId="01E1E00C" w14:textId="77777777" w:rsidR="00314559" w:rsidRPr="003B7DC9" w:rsidRDefault="00314559" w:rsidP="00314559">
            <w:pPr>
              <w:jc w:val="both"/>
              <w:rPr>
                <w:rFonts w:ascii="Times New Roman" w:eastAsia="Calibri" w:hAnsi="Times New Roman" w:cs="Times New Roman"/>
                <w:iCs/>
                <w:sz w:val="18"/>
                <w:szCs w:val="18"/>
                <w:lang w:val="en-US"/>
              </w:rPr>
            </w:pPr>
          </w:p>
          <w:p w14:paraId="28B01F46" w14:textId="789B88F4" w:rsidR="00314559" w:rsidRPr="003B7DC9" w:rsidRDefault="00314559" w:rsidP="00314559">
            <w:pPr>
              <w:jc w:val="both"/>
              <w:rPr>
                <w:rFonts w:ascii="Times New Roman" w:eastAsia="Calibri" w:hAnsi="Times New Roman" w:cs="Times New Roman"/>
                <w:b/>
                <w:iCs/>
                <w:sz w:val="18"/>
                <w:szCs w:val="18"/>
                <w:lang w:val="en-US"/>
              </w:rPr>
            </w:pPr>
            <w:r w:rsidRPr="003B7DC9">
              <w:rPr>
                <w:rFonts w:ascii="Times New Roman" w:eastAsia="Calibri" w:hAnsi="Times New Roman" w:cs="Times New Roman"/>
                <w:b/>
                <w:iCs/>
                <w:sz w:val="18"/>
                <w:szCs w:val="18"/>
                <w:lang w:val="en-US"/>
              </w:rPr>
              <w:t>Shkëmbimi i informacionit sipas kërkesës</w:t>
            </w:r>
          </w:p>
          <w:p w14:paraId="71157CA8" w14:textId="77777777" w:rsidR="00314559" w:rsidRPr="003B7DC9" w:rsidRDefault="00314559" w:rsidP="00314559">
            <w:pPr>
              <w:jc w:val="both"/>
              <w:rPr>
                <w:rFonts w:ascii="Times New Roman" w:eastAsia="Calibri" w:hAnsi="Times New Roman" w:cs="Times New Roman"/>
                <w:b/>
                <w:iCs/>
                <w:sz w:val="18"/>
                <w:szCs w:val="18"/>
                <w:lang w:val="en-US"/>
              </w:rPr>
            </w:pPr>
          </w:p>
          <w:p w14:paraId="07AC7662" w14:textId="515CD2F2" w:rsidR="00314559" w:rsidRPr="003B7DC9" w:rsidRDefault="00314559" w:rsidP="00314559">
            <w:pPr>
              <w:jc w:val="both"/>
              <w:rPr>
                <w:rFonts w:ascii="Times New Roman" w:eastAsia="Calibri" w:hAnsi="Times New Roman" w:cs="Times New Roman"/>
                <w:b/>
                <w:iCs/>
                <w:sz w:val="18"/>
                <w:szCs w:val="18"/>
                <w:lang w:val="en-US"/>
              </w:rPr>
            </w:pPr>
            <w:r w:rsidRPr="003B7DC9">
              <w:rPr>
                <w:rFonts w:ascii="Times New Roman" w:eastAsia="Calibri" w:hAnsi="Times New Roman" w:cs="Times New Roman"/>
                <w:b/>
                <w:iCs/>
                <w:sz w:val="18"/>
                <w:szCs w:val="18"/>
                <w:lang w:val="en-US"/>
              </w:rPr>
              <w:t>Neni 5</w:t>
            </w:r>
          </w:p>
          <w:p w14:paraId="5BB98E78" w14:textId="77777777" w:rsidR="00314559" w:rsidRPr="003B7DC9" w:rsidRDefault="00314559" w:rsidP="00314559">
            <w:pPr>
              <w:jc w:val="both"/>
              <w:rPr>
                <w:rFonts w:ascii="Times New Roman" w:eastAsia="Calibri" w:hAnsi="Times New Roman" w:cs="Times New Roman"/>
                <w:b/>
                <w:iCs/>
                <w:sz w:val="18"/>
                <w:szCs w:val="18"/>
                <w:lang w:val="en-US"/>
              </w:rPr>
            </w:pPr>
          </w:p>
          <w:p w14:paraId="7E4638AF" w14:textId="092140A4" w:rsidR="00314559" w:rsidRPr="003B7DC9" w:rsidRDefault="00314559" w:rsidP="00314559">
            <w:pPr>
              <w:jc w:val="both"/>
              <w:rPr>
                <w:rFonts w:ascii="Times New Roman" w:eastAsia="Calibri" w:hAnsi="Times New Roman" w:cs="Times New Roman"/>
                <w:b/>
                <w:iCs/>
                <w:sz w:val="18"/>
                <w:szCs w:val="18"/>
                <w:lang w:val="en-US"/>
              </w:rPr>
            </w:pPr>
            <w:r w:rsidRPr="003B7DC9">
              <w:rPr>
                <w:rFonts w:ascii="Times New Roman" w:eastAsia="Calibri" w:hAnsi="Times New Roman" w:cs="Times New Roman"/>
                <w:b/>
                <w:iCs/>
                <w:sz w:val="18"/>
                <w:szCs w:val="18"/>
                <w:lang w:val="en-US"/>
              </w:rPr>
              <w:t>Procedura për shkëmbimin e informacionit sipas kërkesës</w:t>
            </w:r>
          </w:p>
          <w:p w14:paraId="4D6B6033" w14:textId="77777777" w:rsidR="00314559" w:rsidRPr="003B7DC9" w:rsidRDefault="00314559" w:rsidP="00314559">
            <w:pPr>
              <w:jc w:val="both"/>
              <w:rPr>
                <w:rFonts w:ascii="Times New Roman" w:eastAsia="Calibri" w:hAnsi="Times New Roman" w:cs="Times New Roman"/>
                <w:iCs/>
                <w:sz w:val="18"/>
                <w:szCs w:val="18"/>
                <w:lang w:val="en-US"/>
              </w:rPr>
            </w:pPr>
          </w:p>
          <w:p w14:paraId="4F8CBED4" w14:textId="605C3BB4"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Me kërkesë të autoritetit kërkues, autoriteti i kërkuar i komunikon autoritetit kërkues çdo informacion të përmendur në nenin 1(1) që ai ka në zotërim ose që e siguron si rezultat i hetimeve administrative.</w:t>
            </w:r>
          </w:p>
        </w:tc>
        <w:tc>
          <w:tcPr>
            <w:tcW w:w="1170" w:type="dxa"/>
          </w:tcPr>
          <w:p w14:paraId="531B1028" w14:textId="534B545D" w:rsidR="00314559" w:rsidRPr="003B7DC9" w:rsidRDefault="00314559" w:rsidP="00314559">
            <w:pPr>
              <w:jc w:val="center"/>
              <w:rPr>
                <w:rFonts w:ascii="Times New Roman" w:eastAsia="Calibri" w:hAnsi="Times New Roman" w:cs="Times New Roman"/>
                <w:i/>
                <w:iCs/>
                <w:sz w:val="18"/>
                <w:szCs w:val="18"/>
              </w:rPr>
            </w:pPr>
            <w:r w:rsidRPr="003B7DC9">
              <w:rPr>
                <w:rFonts w:ascii="Times New Roman" w:eastAsia="Calibri" w:hAnsi="Times New Roman" w:cs="Times New Roman"/>
                <w:sz w:val="18"/>
                <w:szCs w:val="18"/>
              </w:rPr>
              <w:t>1</w:t>
            </w:r>
          </w:p>
        </w:tc>
        <w:tc>
          <w:tcPr>
            <w:tcW w:w="720" w:type="dxa"/>
          </w:tcPr>
          <w:p w14:paraId="3A369060" w14:textId="48985317"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5 dhe neni 6</w:t>
            </w:r>
          </w:p>
        </w:tc>
        <w:tc>
          <w:tcPr>
            <w:tcW w:w="4334" w:type="dxa"/>
            <w:tcBorders>
              <w:bottom w:val="dashed" w:sz="4" w:space="0" w:color="auto"/>
            </w:tcBorders>
          </w:tcPr>
          <w:p w14:paraId="4DE8FFD1" w14:textId="77777777" w:rsidR="00314559" w:rsidRPr="003B7DC9" w:rsidRDefault="00314559" w:rsidP="00314559">
            <w:pPr>
              <w:spacing w:before="100" w:beforeAutospacing="1" w:after="100" w:afterAutospacing="1"/>
              <w:ind w:left="720"/>
              <w:jc w:val="center"/>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5</w:t>
            </w:r>
          </w:p>
          <w:p w14:paraId="7EAAC206" w14:textId="77777777" w:rsidR="00314559" w:rsidRPr="003B7DC9" w:rsidRDefault="00314559" w:rsidP="00314559">
            <w:pPr>
              <w:spacing w:before="100" w:beforeAutospacing="1" w:after="100" w:afterAutospacing="1"/>
              <w:ind w:left="720"/>
              <w:jc w:val="center"/>
              <w:rPr>
                <w:rFonts w:ascii="Times New Roman" w:eastAsia="Times New Roman" w:hAnsi="Times New Roman" w:cs="Times New Roman"/>
                <w:bCs/>
                <w:sz w:val="18"/>
                <w:szCs w:val="18"/>
                <w:lang w:val="en-US"/>
              </w:rPr>
            </w:pPr>
            <w:r w:rsidRPr="003B7DC9">
              <w:rPr>
                <w:rFonts w:ascii="Times New Roman" w:eastAsia="Times New Roman" w:hAnsi="Times New Roman" w:cs="Times New Roman"/>
                <w:b/>
                <w:bCs/>
                <w:sz w:val="18"/>
                <w:szCs w:val="18"/>
                <w:lang w:val="en-US"/>
              </w:rPr>
              <w:t xml:space="preserve">Shkëmbimi i informacionit sipas kërkesës </w:t>
            </w:r>
          </w:p>
          <w:p w14:paraId="77E25CDB" w14:textId="77777777" w:rsidR="00314559" w:rsidRPr="003B7DC9" w:rsidRDefault="00314559" w:rsidP="00314559">
            <w:pPr>
              <w:numPr>
                <w:ilvl w:val="0"/>
                <w:numId w:val="113"/>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3B7DC9">
              <w:rPr>
                <w:rFonts w:ascii="Times New Roman" w:hAnsi="Times New Roman" w:cs="Times New Roman"/>
                <w:sz w:val="18"/>
                <w:szCs w:val="18"/>
              </w:rPr>
              <w:t>Drejtoria e Përgjithshme e Tatimeve, si autoriteti kompetent i Republikës së Shqipërisë, me kërkesë të autoritetit kërkues, i komunikon atij çdo informacion me rëndësi të parashikueshme</w:t>
            </w:r>
            <w:r w:rsidRPr="003B7DC9">
              <w:rPr>
                <w:rFonts w:ascii="Times New Roman" w:eastAsia="Times New Roman" w:hAnsi="Times New Roman" w:cs="Times New Roman"/>
                <w:bCs/>
                <w:sz w:val="18"/>
                <w:szCs w:val="18"/>
                <w:lang w:val="en-US"/>
              </w:rPr>
              <w:t xml:space="preserve"> për administrimin dhe zbatimin e tatimeve të mbuluara nga ky ligj, të cilin e ka në dispozicion ose që mund ta sigurojë nëpërmjet hetimeve administrative. </w:t>
            </w:r>
          </w:p>
          <w:p w14:paraId="4211475A" w14:textId="77777777" w:rsidR="00314559" w:rsidRPr="003B7DC9" w:rsidRDefault="00314559" w:rsidP="00314559">
            <w:pPr>
              <w:pStyle w:val="ListParagraph"/>
              <w:numPr>
                <w:ilvl w:val="0"/>
                <w:numId w:val="113"/>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Kërkesa e parashikuar në pikën 1 mund të përfshijë edhe një kërkesë të arsyetuar për kryerjen e një hetimi administrativ të posaçëm</w:t>
            </w:r>
            <w:r w:rsidRPr="003B7DC9">
              <w:rPr>
                <w:rFonts w:ascii="Times New Roman" w:eastAsia="Times New Roman" w:hAnsi="Times New Roman" w:cs="Times New Roman"/>
                <w:bCs/>
                <w:sz w:val="18"/>
                <w:szCs w:val="18"/>
                <w:lang w:val="en-US"/>
              </w:rPr>
              <w:t xml:space="preserve">. Nëse Drejtoria e Përgjithshme e Tatimeve vlerëson se një hetim i tillë nuk është i nevojshëm, ajo njofton pa vonesë autoritetin kërkues, duke paraqitur arsyet përkatëse. </w:t>
            </w:r>
          </w:p>
          <w:p w14:paraId="76ABD3DA" w14:textId="607FAA72" w:rsidR="00314559" w:rsidRPr="003B7DC9" w:rsidRDefault="00314559" w:rsidP="00314559">
            <w:pPr>
              <w:pStyle w:val="ListParagraph"/>
              <w:numPr>
                <w:ilvl w:val="0"/>
                <w:numId w:val="113"/>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bCs/>
                <w:sz w:val="18"/>
                <w:szCs w:val="18"/>
                <w:lang w:val="en-US"/>
              </w:rPr>
              <w:t xml:space="preserve">Drejtoria e Përgjithshme e Tatimeve siguron kryerjen e hetimeve administrative të nevojshme për të marrë informacionin e kërkuar, edhe kur ky informacion nuk i nevojitet për qëllimet e veta tatimore. </w:t>
            </w:r>
            <w:r w:rsidRPr="003B7DC9">
              <w:rPr>
                <w:rFonts w:ascii="Times New Roman" w:eastAsia="Times New Roman" w:hAnsi="Times New Roman" w:cs="Times New Roman"/>
                <w:sz w:val="18"/>
                <w:szCs w:val="18"/>
                <w:lang w:eastAsia="sq-AL"/>
              </w:rPr>
              <w:t>Kur autoriteti kërkues e kërkon shprehimisht, Drejtoria e Përgjithshme e Tatimeve i komunikon dokumentet origjinale, për aq sa kjo nuk bie në kundërshtim me legjislacionin shqiptar.</w:t>
            </w:r>
          </w:p>
          <w:p w14:paraId="38EB4C41" w14:textId="2CF4587B" w:rsidR="00314559" w:rsidRPr="003B7DC9" w:rsidRDefault="00314559" w:rsidP="00314559">
            <w:pPr>
              <w:numPr>
                <w:ilvl w:val="0"/>
                <w:numId w:val="113"/>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Për përmbushjen e kërkesave sipas këtij neni, Drejtoria e Përgjithshme e Tatimeve zbaton të njëjtat procedura që do të ndiqte kur vepron me nismën e vet ose në përgjigje të një kërkese nga një autoritet tjetër në Republikën e Shqipërisë. </w:t>
            </w:r>
          </w:p>
          <w:p w14:paraId="73A01F1B" w14:textId="77777777" w:rsidR="00314559" w:rsidRPr="003B7DC9" w:rsidRDefault="00314559" w:rsidP="00314559">
            <w:pPr>
              <w:spacing w:before="100" w:beforeAutospacing="1" w:after="100" w:afterAutospacing="1"/>
              <w:ind w:left="720"/>
              <w:jc w:val="center"/>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6</w:t>
            </w:r>
          </w:p>
          <w:p w14:paraId="60D64DF6" w14:textId="77777777" w:rsidR="00314559" w:rsidRPr="003B7DC9" w:rsidRDefault="00314559" w:rsidP="00314559">
            <w:pPr>
              <w:spacing w:before="100" w:beforeAutospacing="1" w:after="100" w:afterAutospacing="1"/>
              <w:ind w:left="720"/>
              <w:jc w:val="center"/>
              <w:rPr>
                <w:rFonts w:ascii="Times New Roman" w:eastAsia="Times New Roman" w:hAnsi="Times New Roman" w:cs="Times New Roman"/>
                <w:bCs/>
                <w:sz w:val="18"/>
                <w:szCs w:val="18"/>
                <w:lang w:val="en-US"/>
              </w:rPr>
            </w:pPr>
            <w:r w:rsidRPr="003B7DC9">
              <w:rPr>
                <w:rFonts w:ascii="Times New Roman" w:eastAsia="Times New Roman" w:hAnsi="Times New Roman" w:cs="Times New Roman"/>
                <w:b/>
                <w:bCs/>
                <w:sz w:val="18"/>
                <w:szCs w:val="18"/>
                <w:lang w:val="en-US"/>
              </w:rPr>
              <w:lastRenderedPageBreak/>
              <w:t>Kërkesat për informacion dhe mjetet efektive të mbrojtjes</w:t>
            </w:r>
          </w:p>
          <w:p w14:paraId="1879B9A6" w14:textId="77777777" w:rsidR="00314559" w:rsidRPr="003B7DC9" w:rsidRDefault="00314559" w:rsidP="00314559">
            <w:pPr>
              <w:numPr>
                <w:ilvl w:val="0"/>
                <w:numId w:val="143"/>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Për qëllimet e nenit 5 të këtij ligji, Drejtoria e Përgjithshme e Tatimeve mund t’i kërkojë çdo personi në Republikën e Shqipërisë të paraqesë informacionin e nevojshëm, në përputhje me këtë ligj dhe legjislacionin për procedurat tatimore. </w:t>
            </w:r>
          </w:p>
          <w:p w14:paraId="10D3E2A2" w14:textId="77777777" w:rsidR="00314559" w:rsidRPr="003B7DC9" w:rsidRDefault="00314559" w:rsidP="00314559">
            <w:pPr>
              <w:numPr>
                <w:ilvl w:val="0"/>
                <w:numId w:val="143"/>
              </w:numPr>
              <w:spacing w:before="100" w:beforeAutospacing="1" w:after="100" w:afterAutospacing="1" w:line="276" w:lineRule="auto"/>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Kërkesa për informacion përmban të paktën:</w:t>
            </w:r>
            <w:r w:rsidRPr="003B7DC9">
              <w:rPr>
                <w:rFonts w:ascii="Times New Roman" w:eastAsia="Times New Roman" w:hAnsi="Times New Roman" w:cs="Times New Roman"/>
                <w:bCs/>
                <w:sz w:val="18"/>
                <w:szCs w:val="18"/>
                <w:lang w:val="en-US"/>
              </w:rPr>
              <w:br/>
              <w:t>a) bazën ligjore;</w:t>
            </w:r>
            <w:r w:rsidRPr="003B7DC9">
              <w:rPr>
                <w:rFonts w:ascii="Times New Roman" w:eastAsia="Times New Roman" w:hAnsi="Times New Roman" w:cs="Times New Roman"/>
                <w:bCs/>
                <w:sz w:val="18"/>
                <w:szCs w:val="18"/>
                <w:lang w:val="en-US"/>
              </w:rPr>
              <w:br/>
              <w:t>b) identitetin e personit ose personave të përfshirë ose, në rastin e një kërkese në grup, përshkrimin e grupit sipas kritereve objektive;</w:t>
            </w:r>
            <w:r w:rsidRPr="003B7DC9">
              <w:rPr>
                <w:rFonts w:ascii="Times New Roman" w:eastAsia="Times New Roman" w:hAnsi="Times New Roman" w:cs="Times New Roman"/>
                <w:bCs/>
                <w:sz w:val="18"/>
                <w:szCs w:val="18"/>
                <w:lang w:val="en-US"/>
              </w:rPr>
              <w:br/>
              <w:t>c) periudhën ose periudhat përkatëse;</w:t>
            </w:r>
            <w:r w:rsidRPr="003B7DC9">
              <w:rPr>
                <w:rFonts w:ascii="Times New Roman" w:eastAsia="Times New Roman" w:hAnsi="Times New Roman" w:cs="Times New Roman"/>
                <w:bCs/>
                <w:sz w:val="18"/>
                <w:szCs w:val="18"/>
                <w:lang w:val="en-US"/>
              </w:rPr>
              <w:br/>
              <w:t>ç) qëllimin tatimor;</w:t>
            </w:r>
            <w:r w:rsidRPr="003B7DC9">
              <w:rPr>
                <w:rFonts w:ascii="Times New Roman" w:eastAsia="Times New Roman" w:hAnsi="Times New Roman" w:cs="Times New Roman"/>
                <w:bCs/>
                <w:sz w:val="18"/>
                <w:szCs w:val="18"/>
                <w:lang w:val="en-US"/>
              </w:rPr>
              <w:br/>
              <w:t>d) llojin dhe kategorinë e informacionit të kërkuar;</w:t>
            </w:r>
            <w:r w:rsidRPr="003B7DC9">
              <w:rPr>
                <w:rFonts w:ascii="Times New Roman" w:eastAsia="Times New Roman" w:hAnsi="Times New Roman" w:cs="Times New Roman"/>
                <w:bCs/>
                <w:sz w:val="18"/>
                <w:szCs w:val="18"/>
                <w:lang w:val="en-US"/>
              </w:rPr>
              <w:br/>
              <w:t>dh) një përmbledhje të fakteve dhe rrethanave që demonstrojnë rëndësinë e parashikueshme të informacionit;</w:t>
            </w:r>
            <w:r w:rsidRPr="003B7DC9">
              <w:rPr>
                <w:rFonts w:ascii="Times New Roman" w:eastAsia="Times New Roman" w:hAnsi="Times New Roman" w:cs="Times New Roman"/>
                <w:bCs/>
                <w:sz w:val="18"/>
                <w:szCs w:val="18"/>
                <w:lang w:val="en-US"/>
              </w:rPr>
              <w:br/>
              <w:t>e) afatin dhe mënyrën e paraqitjes;</w:t>
            </w:r>
            <w:r w:rsidRPr="003B7DC9">
              <w:rPr>
                <w:rFonts w:ascii="Times New Roman" w:eastAsia="Times New Roman" w:hAnsi="Times New Roman" w:cs="Times New Roman"/>
                <w:bCs/>
                <w:sz w:val="18"/>
                <w:szCs w:val="18"/>
                <w:lang w:val="en-US"/>
              </w:rPr>
              <w:br/>
              <w:t xml:space="preserve">ë) informacionin mbi të drejtën për ankim. </w:t>
            </w:r>
          </w:p>
          <w:p w14:paraId="2BAA25B6" w14:textId="77777777" w:rsidR="00314559" w:rsidRPr="003B7DC9" w:rsidRDefault="00314559" w:rsidP="00314559">
            <w:pPr>
              <w:pStyle w:val="ListParagraph"/>
              <w:numPr>
                <w:ilvl w:val="0"/>
                <w:numId w:val="143"/>
              </w:numPr>
              <w:spacing w:before="100" w:beforeAutospacing="1" w:after="100" w:afterAutospacing="1" w:line="240" w:lineRule="auto"/>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sz w:val="18"/>
                <w:szCs w:val="18"/>
                <w:lang w:eastAsia="sq-AL"/>
              </w:rPr>
              <w:t>Personi të cilit i drejtohet kërkesa ka të drejtë të ushtrojë mjetet e ankimit administrativ dhe gjyqësor të parashikuara nga legjislacioni në fuqi, si dhe të kundërshtojë kërkesën ose sanksionin e vendosur për mospërmbushjen e saj</w:t>
            </w:r>
            <w:r w:rsidRPr="003B7DC9">
              <w:rPr>
                <w:rFonts w:ascii="Times New Roman" w:eastAsia="Times New Roman" w:hAnsi="Times New Roman" w:cs="Times New Roman"/>
                <w:bCs/>
                <w:sz w:val="18"/>
                <w:szCs w:val="18"/>
                <w:lang w:val="en-US"/>
              </w:rPr>
              <w:t>.</w:t>
            </w:r>
          </w:p>
          <w:p w14:paraId="39758E2F" w14:textId="77777777" w:rsidR="00314559" w:rsidRPr="003B7DC9" w:rsidRDefault="00314559" w:rsidP="00314559">
            <w:pPr>
              <w:pStyle w:val="ListParagraph"/>
              <w:numPr>
                <w:ilvl w:val="0"/>
                <w:numId w:val="143"/>
              </w:numPr>
              <w:jc w:val="both"/>
              <w:rPr>
                <w:rFonts w:ascii="Times New Roman" w:hAnsi="Times New Roman" w:cs="Times New Roman"/>
                <w:sz w:val="18"/>
                <w:szCs w:val="18"/>
              </w:rPr>
            </w:pPr>
            <w:r w:rsidRPr="003B7DC9">
              <w:rPr>
                <w:rFonts w:ascii="Times New Roman" w:hAnsi="Times New Roman" w:cs="Times New Roman"/>
                <w:sz w:val="18"/>
                <w:szCs w:val="18"/>
              </w:rPr>
              <w:t xml:space="preserve">Gjykatës administrative kompetente i vihet në dispozicion kërkesa e autoritetit kërkues në formën e saj të plotë, si dhe dosja e plotë e administruar në Republikën e Shqipërisë. Gjykata kontrollon, ndër të tjera, nëse </w:t>
            </w:r>
            <w:r w:rsidRPr="003B7DC9">
              <w:rPr>
                <w:rFonts w:ascii="Times New Roman" w:hAnsi="Times New Roman" w:cs="Times New Roman"/>
                <w:sz w:val="18"/>
                <w:szCs w:val="18"/>
              </w:rPr>
              <w:lastRenderedPageBreak/>
              <w:t>informacioni i kërkuar përmbush kriterin e rëndësisë së parashikueshme.</w:t>
            </w:r>
          </w:p>
          <w:p w14:paraId="6DDC7D75" w14:textId="77777777" w:rsidR="00314559" w:rsidRPr="003B7DC9" w:rsidRDefault="00314559" w:rsidP="00314559">
            <w:pPr>
              <w:numPr>
                <w:ilvl w:val="0"/>
                <w:numId w:val="143"/>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Personit i vihen në dispozicion elementet thelbësore të kërkesës që i nevojiten për ushtrimin efektiv të së drejtës së mbrojtjes. Pjesët e ndjeshme mund të përmblidhen ose të mos zbulohen vetëm kur zbulimi do të dëmtonte seriozisht hetimin dhe kufizimi i nënshtrohet kontrollit gjyqësor. </w:t>
            </w:r>
          </w:p>
          <w:p w14:paraId="3EC5F048" w14:textId="77777777" w:rsidR="00314559" w:rsidRPr="003B7DC9" w:rsidRDefault="00314559" w:rsidP="00314559">
            <w:pPr>
              <w:numPr>
                <w:ilvl w:val="0"/>
                <w:numId w:val="143"/>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Gjykata mund të vendosë masa të përkohshme kur ato janë të nevojshme për garantimin e një mjeti juridik efektiv, duke marrë parasysh afatet e shkëmbimit të informacionit të parashikuara në këtë ligj. </w:t>
            </w:r>
            <w:r w:rsidRPr="003B7DC9">
              <w:rPr>
                <w:rFonts w:ascii="Times New Roman" w:eastAsia="Times New Roman" w:hAnsi="Times New Roman" w:cs="Times New Roman"/>
                <w:sz w:val="18"/>
                <w:szCs w:val="18"/>
                <w:lang w:eastAsia="sq-AL"/>
              </w:rPr>
              <w:t>Masat e përkohshme nuk duhet të pengojnë respektimin e afateve të përcaktuara në nenin 8, përveçse në masën e domosdoshme për garantimin e një mjeti juridik efektiv.</w:t>
            </w:r>
          </w:p>
          <w:p w14:paraId="34F344B8" w14:textId="77777777" w:rsidR="00314559" w:rsidRPr="003B7DC9" w:rsidRDefault="00314559" w:rsidP="00314559">
            <w:pPr>
              <w:spacing w:before="100" w:beforeAutospacing="1" w:after="100" w:afterAutospacing="1" w:line="276" w:lineRule="auto"/>
              <w:jc w:val="both"/>
              <w:rPr>
                <w:rFonts w:ascii="Times New Roman" w:eastAsia="Times New Roman" w:hAnsi="Times New Roman" w:cs="Times New Roman"/>
                <w:bCs/>
                <w:sz w:val="18"/>
                <w:szCs w:val="18"/>
                <w:lang w:val="en-US"/>
              </w:rPr>
            </w:pPr>
          </w:p>
          <w:p w14:paraId="5A4D9807" w14:textId="6D358600" w:rsidR="00314559" w:rsidRPr="003B7DC9" w:rsidRDefault="00314559" w:rsidP="00314559">
            <w:pPr>
              <w:spacing w:before="100" w:beforeAutospacing="1" w:after="100" w:afterAutospacing="1" w:line="276" w:lineRule="auto"/>
              <w:ind w:left="720"/>
              <w:jc w:val="both"/>
              <w:rPr>
                <w:rFonts w:ascii="Times New Roman" w:hAnsi="Times New Roman" w:cs="Times New Roman"/>
                <w:i/>
                <w:iCs/>
                <w:sz w:val="18"/>
                <w:szCs w:val="18"/>
              </w:rPr>
            </w:pPr>
          </w:p>
        </w:tc>
        <w:tc>
          <w:tcPr>
            <w:tcW w:w="1066" w:type="dxa"/>
            <w:tcBorders>
              <w:bottom w:val="dashed" w:sz="4" w:space="0" w:color="auto"/>
            </w:tcBorders>
          </w:tcPr>
          <w:p w14:paraId="6DCE269F" w14:textId="4EDBC2F8"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tcBorders>
              <w:bottom w:val="dashed" w:sz="4" w:space="0" w:color="auto"/>
            </w:tcBorders>
          </w:tcPr>
          <w:p w14:paraId="2ECEBD1B" w14:textId="77777777" w:rsidR="00314559" w:rsidRPr="004A5803" w:rsidRDefault="00314559" w:rsidP="00314559">
            <w:pPr>
              <w:rPr>
                <w:rFonts w:ascii="Times New Roman" w:hAnsi="Times New Roman" w:cs="Times New Roman"/>
                <w:sz w:val="18"/>
                <w:szCs w:val="18"/>
              </w:rPr>
            </w:pPr>
          </w:p>
          <w:p w14:paraId="57EB7EEC" w14:textId="77777777" w:rsidR="00314559" w:rsidRPr="004A5803" w:rsidRDefault="00314559" w:rsidP="00314559">
            <w:pPr>
              <w:rPr>
                <w:rFonts w:ascii="Times New Roman" w:hAnsi="Times New Roman" w:cs="Times New Roman"/>
                <w:sz w:val="18"/>
                <w:szCs w:val="18"/>
              </w:rPr>
            </w:pPr>
          </w:p>
          <w:p w14:paraId="0C6EA30A" w14:textId="77777777" w:rsidR="00314559" w:rsidRPr="004A5803" w:rsidRDefault="00314559" w:rsidP="00314559">
            <w:pPr>
              <w:rPr>
                <w:rFonts w:ascii="Times New Roman" w:hAnsi="Times New Roman" w:cs="Times New Roman"/>
                <w:sz w:val="18"/>
                <w:szCs w:val="18"/>
              </w:rPr>
            </w:pPr>
          </w:p>
          <w:p w14:paraId="1A3143A4" w14:textId="77777777" w:rsidR="00314559" w:rsidRPr="004A5803" w:rsidRDefault="00314559" w:rsidP="00314559">
            <w:pPr>
              <w:rPr>
                <w:rFonts w:ascii="Times New Roman" w:hAnsi="Times New Roman" w:cs="Times New Roman"/>
                <w:sz w:val="18"/>
                <w:szCs w:val="18"/>
              </w:rPr>
            </w:pPr>
          </w:p>
          <w:p w14:paraId="6C2FE1DB" w14:textId="77777777" w:rsidR="00314559" w:rsidRPr="004A5803" w:rsidRDefault="00314559" w:rsidP="00314559">
            <w:pPr>
              <w:rPr>
                <w:rFonts w:ascii="Times New Roman" w:hAnsi="Times New Roman" w:cs="Times New Roman"/>
                <w:sz w:val="18"/>
                <w:szCs w:val="18"/>
              </w:rPr>
            </w:pPr>
          </w:p>
          <w:p w14:paraId="6E1A0828" w14:textId="77777777" w:rsidR="00314559" w:rsidRPr="004A5803" w:rsidRDefault="00314559" w:rsidP="00314559">
            <w:pPr>
              <w:rPr>
                <w:rFonts w:ascii="Times New Roman" w:hAnsi="Times New Roman" w:cs="Times New Roman"/>
                <w:sz w:val="18"/>
                <w:szCs w:val="18"/>
              </w:rPr>
            </w:pPr>
          </w:p>
          <w:p w14:paraId="6557E940" w14:textId="77777777" w:rsidR="00314559" w:rsidRPr="004A5803" w:rsidRDefault="00314559" w:rsidP="00314559">
            <w:pPr>
              <w:rPr>
                <w:rFonts w:ascii="Times New Roman" w:hAnsi="Times New Roman" w:cs="Times New Roman"/>
                <w:sz w:val="18"/>
                <w:szCs w:val="18"/>
              </w:rPr>
            </w:pPr>
          </w:p>
          <w:p w14:paraId="1B411167" w14:textId="77777777" w:rsidR="00314559" w:rsidRPr="004A5803" w:rsidRDefault="00314559" w:rsidP="00314559">
            <w:pPr>
              <w:rPr>
                <w:rFonts w:ascii="Times New Roman" w:hAnsi="Times New Roman" w:cs="Times New Roman"/>
                <w:sz w:val="18"/>
                <w:szCs w:val="18"/>
              </w:rPr>
            </w:pPr>
          </w:p>
          <w:p w14:paraId="438C2E08" w14:textId="77777777" w:rsidR="00314559" w:rsidRPr="004A5803" w:rsidRDefault="00314559" w:rsidP="00314559">
            <w:pPr>
              <w:rPr>
                <w:rFonts w:ascii="Times New Roman" w:hAnsi="Times New Roman" w:cs="Times New Roman"/>
                <w:sz w:val="18"/>
                <w:szCs w:val="18"/>
              </w:rPr>
            </w:pPr>
          </w:p>
          <w:p w14:paraId="5D823186" w14:textId="77777777" w:rsidR="00314559" w:rsidRPr="004A5803" w:rsidRDefault="00314559" w:rsidP="00314559">
            <w:pPr>
              <w:rPr>
                <w:rFonts w:ascii="Times New Roman" w:hAnsi="Times New Roman" w:cs="Times New Roman"/>
                <w:sz w:val="18"/>
                <w:szCs w:val="18"/>
              </w:rPr>
            </w:pPr>
          </w:p>
          <w:p w14:paraId="73E19730" w14:textId="77777777" w:rsidR="00314559" w:rsidRPr="004A5803" w:rsidRDefault="00314559" w:rsidP="00314559">
            <w:pPr>
              <w:rPr>
                <w:rFonts w:ascii="Times New Roman" w:hAnsi="Times New Roman" w:cs="Times New Roman"/>
                <w:sz w:val="18"/>
                <w:szCs w:val="18"/>
              </w:rPr>
            </w:pPr>
          </w:p>
          <w:p w14:paraId="23A37295" w14:textId="77777777" w:rsidR="00314559" w:rsidRPr="004A5803" w:rsidRDefault="00314559" w:rsidP="00314559">
            <w:pPr>
              <w:rPr>
                <w:rFonts w:ascii="Times New Roman" w:hAnsi="Times New Roman" w:cs="Times New Roman"/>
                <w:sz w:val="18"/>
                <w:szCs w:val="18"/>
              </w:rPr>
            </w:pPr>
          </w:p>
          <w:p w14:paraId="63B5BBCF" w14:textId="77777777" w:rsidR="00314559" w:rsidRPr="004A5803" w:rsidRDefault="00314559" w:rsidP="00314559">
            <w:pPr>
              <w:rPr>
                <w:rFonts w:ascii="Times New Roman" w:hAnsi="Times New Roman" w:cs="Times New Roman"/>
                <w:sz w:val="18"/>
                <w:szCs w:val="18"/>
              </w:rPr>
            </w:pPr>
          </w:p>
          <w:p w14:paraId="77DCBB88" w14:textId="77777777" w:rsidR="00314559" w:rsidRPr="004A5803" w:rsidRDefault="00314559" w:rsidP="00314559">
            <w:pPr>
              <w:rPr>
                <w:rFonts w:ascii="Times New Roman" w:hAnsi="Times New Roman" w:cs="Times New Roman"/>
                <w:sz w:val="18"/>
                <w:szCs w:val="18"/>
              </w:rPr>
            </w:pPr>
          </w:p>
          <w:p w14:paraId="03419440" w14:textId="77777777" w:rsidR="00314559" w:rsidRPr="004A5803" w:rsidRDefault="00314559" w:rsidP="00314559">
            <w:pPr>
              <w:rPr>
                <w:rFonts w:ascii="Times New Roman" w:hAnsi="Times New Roman" w:cs="Times New Roman"/>
                <w:sz w:val="18"/>
                <w:szCs w:val="18"/>
              </w:rPr>
            </w:pPr>
          </w:p>
          <w:p w14:paraId="2799D4C1" w14:textId="77777777" w:rsidR="00314559" w:rsidRPr="004A5803" w:rsidRDefault="00314559" w:rsidP="00314559">
            <w:pPr>
              <w:rPr>
                <w:rFonts w:ascii="Times New Roman" w:hAnsi="Times New Roman" w:cs="Times New Roman"/>
                <w:sz w:val="18"/>
                <w:szCs w:val="18"/>
              </w:rPr>
            </w:pPr>
          </w:p>
          <w:p w14:paraId="7D74BE8C" w14:textId="77777777" w:rsidR="00314559" w:rsidRPr="004A5803" w:rsidRDefault="00314559" w:rsidP="00314559">
            <w:pPr>
              <w:rPr>
                <w:rFonts w:ascii="Times New Roman" w:hAnsi="Times New Roman" w:cs="Times New Roman"/>
                <w:sz w:val="18"/>
                <w:szCs w:val="18"/>
              </w:rPr>
            </w:pPr>
          </w:p>
          <w:p w14:paraId="74F77037" w14:textId="77777777" w:rsidR="00314559" w:rsidRPr="004A5803" w:rsidRDefault="00314559" w:rsidP="00314559">
            <w:pPr>
              <w:rPr>
                <w:rFonts w:ascii="Times New Roman" w:hAnsi="Times New Roman" w:cs="Times New Roman"/>
                <w:sz w:val="18"/>
                <w:szCs w:val="18"/>
              </w:rPr>
            </w:pPr>
          </w:p>
          <w:p w14:paraId="29C32EAF" w14:textId="77777777" w:rsidR="00314559" w:rsidRPr="004A5803" w:rsidRDefault="00314559" w:rsidP="00314559">
            <w:pPr>
              <w:rPr>
                <w:rFonts w:ascii="Times New Roman" w:hAnsi="Times New Roman" w:cs="Times New Roman"/>
                <w:sz w:val="18"/>
                <w:szCs w:val="18"/>
              </w:rPr>
            </w:pPr>
          </w:p>
          <w:p w14:paraId="77BDB70D" w14:textId="77777777" w:rsidR="00314559" w:rsidRPr="004A5803" w:rsidRDefault="00314559" w:rsidP="00314559">
            <w:pPr>
              <w:rPr>
                <w:rFonts w:ascii="Times New Roman" w:hAnsi="Times New Roman" w:cs="Times New Roman"/>
                <w:sz w:val="18"/>
                <w:szCs w:val="18"/>
              </w:rPr>
            </w:pPr>
          </w:p>
          <w:p w14:paraId="43779BFB" w14:textId="77777777" w:rsidR="00314559" w:rsidRPr="004A5803" w:rsidRDefault="00314559" w:rsidP="00314559">
            <w:pPr>
              <w:rPr>
                <w:rFonts w:ascii="Times New Roman" w:hAnsi="Times New Roman" w:cs="Times New Roman"/>
                <w:sz w:val="18"/>
                <w:szCs w:val="18"/>
              </w:rPr>
            </w:pPr>
          </w:p>
          <w:p w14:paraId="668CB887" w14:textId="77777777" w:rsidR="00314559" w:rsidRPr="004A5803" w:rsidRDefault="00314559" w:rsidP="00314559">
            <w:pPr>
              <w:rPr>
                <w:rFonts w:ascii="Times New Roman" w:hAnsi="Times New Roman" w:cs="Times New Roman"/>
                <w:sz w:val="18"/>
                <w:szCs w:val="18"/>
              </w:rPr>
            </w:pPr>
          </w:p>
          <w:p w14:paraId="14CF0E9B" w14:textId="77777777" w:rsidR="00314559" w:rsidRPr="004A5803" w:rsidRDefault="00314559" w:rsidP="00314559">
            <w:pPr>
              <w:rPr>
                <w:rFonts w:ascii="Times New Roman" w:hAnsi="Times New Roman" w:cs="Times New Roman"/>
                <w:sz w:val="18"/>
                <w:szCs w:val="18"/>
              </w:rPr>
            </w:pPr>
          </w:p>
          <w:p w14:paraId="73539BEB" w14:textId="77777777" w:rsidR="00314559" w:rsidRPr="004A5803" w:rsidRDefault="00314559" w:rsidP="00314559">
            <w:pPr>
              <w:rPr>
                <w:rFonts w:ascii="Times New Roman" w:hAnsi="Times New Roman" w:cs="Times New Roman"/>
                <w:sz w:val="18"/>
                <w:szCs w:val="18"/>
              </w:rPr>
            </w:pPr>
          </w:p>
          <w:p w14:paraId="101DD8FB" w14:textId="77777777" w:rsidR="00314559" w:rsidRPr="004A5803" w:rsidRDefault="00314559" w:rsidP="00314559">
            <w:pPr>
              <w:rPr>
                <w:rFonts w:ascii="Times New Roman" w:hAnsi="Times New Roman" w:cs="Times New Roman"/>
                <w:sz w:val="18"/>
                <w:szCs w:val="18"/>
              </w:rPr>
            </w:pPr>
          </w:p>
          <w:p w14:paraId="4DCEDA92" w14:textId="77777777" w:rsidR="00314559" w:rsidRPr="004A5803" w:rsidRDefault="00314559" w:rsidP="00314559">
            <w:pPr>
              <w:rPr>
                <w:rFonts w:ascii="Times New Roman" w:hAnsi="Times New Roman" w:cs="Times New Roman"/>
                <w:sz w:val="18"/>
                <w:szCs w:val="18"/>
              </w:rPr>
            </w:pPr>
          </w:p>
          <w:p w14:paraId="165DFBE6" w14:textId="77777777" w:rsidR="00314559" w:rsidRPr="004A5803" w:rsidRDefault="00314559" w:rsidP="00314559">
            <w:pPr>
              <w:rPr>
                <w:rFonts w:ascii="Times New Roman" w:hAnsi="Times New Roman" w:cs="Times New Roman"/>
                <w:sz w:val="18"/>
                <w:szCs w:val="18"/>
              </w:rPr>
            </w:pPr>
          </w:p>
          <w:p w14:paraId="35943515" w14:textId="77777777" w:rsidR="00314559" w:rsidRPr="004A5803" w:rsidRDefault="00314559" w:rsidP="00314559">
            <w:pPr>
              <w:rPr>
                <w:rFonts w:ascii="Times New Roman" w:hAnsi="Times New Roman" w:cs="Times New Roman"/>
                <w:sz w:val="18"/>
                <w:szCs w:val="18"/>
              </w:rPr>
            </w:pPr>
          </w:p>
          <w:p w14:paraId="583B6246" w14:textId="77777777" w:rsidR="00314559" w:rsidRPr="004A5803" w:rsidRDefault="00314559" w:rsidP="00314559">
            <w:pPr>
              <w:rPr>
                <w:rFonts w:ascii="Times New Roman" w:hAnsi="Times New Roman" w:cs="Times New Roman"/>
                <w:sz w:val="18"/>
                <w:szCs w:val="18"/>
              </w:rPr>
            </w:pPr>
          </w:p>
          <w:p w14:paraId="24A3DF2E" w14:textId="77777777" w:rsidR="00314559" w:rsidRPr="004A5803" w:rsidRDefault="00314559" w:rsidP="00314559">
            <w:pPr>
              <w:rPr>
                <w:rFonts w:ascii="Times New Roman" w:hAnsi="Times New Roman" w:cs="Times New Roman"/>
                <w:sz w:val="18"/>
                <w:szCs w:val="18"/>
              </w:rPr>
            </w:pPr>
          </w:p>
          <w:p w14:paraId="7FD7DB03" w14:textId="77777777" w:rsidR="00314559" w:rsidRPr="004A5803" w:rsidRDefault="00314559" w:rsidP="00314559">
            <w:pPr>
              <w:rPr>
                <w:rFonts w:ascii="Times New Roman" w:hAnsi="Times New Roman" w:cs="Times New Roman"/>
                <w:sz w:val="18"/>
                <w:szCs w:val="18"/>
              </w:rPr>
            </w:pPr>
          </w:p>
          <w:p w14:paraId="118439FF" w14:textId="77777777" w:rsidR="00314559" w:rsidRPr="004A5803" w:rsidRDefault="00314559" w:rsidP="00314559">
            <w:pPr>
              <w:rPr>
                <w:rFonts w:ascii="Times New Roman" w:hAnsi="Times New Roman" w:cs="Times New Roman"/>
                <w:sz w:val="18"/>
                <w:szCs w:val="18"/>
              </w:rPr>
            </w:pPr>
          </w:p>
          <w:p w14:paraId="6F85A079" w14:textId="77777777" w:rsidR="00314559" w:rsidRPr="004A5803" w:rsidRDefault="00314559" w:rsidP="00314559">
            <w:pPr>
              <w:rPr>
                <w:rFonts w:ascii="Times New Roman" w:hAnsi="Times New Roman" w:cs="Times New Roman"/>
                <w:sz w:val="18"/>
                <w:szCs w:val="18"/>
              </w:rPr>
            </w:pPr>
          </w:p>
          <w:p w14:paraId="2B7050F5" w14:textId="77777777" w:rsidR="00314559" w:rsidRPr="004A5803" w:rsidRDefault="00314559" w:rsidP="00314559">
            <w:pPr>
              <w:rPr>
                <w:rFonts w:ascii="Times New Roman" w:hAnsi="Times New Roman" w:cs="Times New Roman"/>
                <w:sz w:val="18"/>
                <w:szCs w:val="18"/>
              </w:rPr>
            </w:pPr>
          </w:p>
          <w:p w14:paraId="09D97DAB" w14:textId="77777777" w:rsidR="00314559" w:rsidRPr="004A5803" w:rsidRDefault="00314559" w:rsidP="00314559">
            <w:pPr>
              <w:rPr>
                <w:rFonts w:ascii="Times New Roman" w:hAnsi="Times New Roman" w:cs="Times New Roman"/>
                <w:sz w:val="18"/>
                <w:szCs w:val="18"/>
              </w:rPr>
            </w:pPr>
          </w:p>
          <w:p w14:paraId="3748D872" w14:textId="77777777" w:rsidR="00314559" w:rsidRPr="004A5803" w:rsidRDefault="00314559" w:rsidP="00314559">
            <w:pPr>
              <w:rPr>
                <w:rFonts w:ascii="Times New Roman" w:hAnsi="Times New Roman" w:cs="Times New Roman"/>
                <w:sz w:val="18"/>
                <w:szCs w:val="18"/>
              </w:rPr>
            </w:pPr>
          </w:p>
          <w:p w14:paraId="3DC97DE8" w14:textId="77777777" w:rsidR="00314559" w:rsidRPr="004A5803" w:rsidRDefault="00314559" w:rsidP="00314559">
            <w:pPr>
              <w:rPr>
                <w:rFonts w:ascii="Times New Roman" w:hAnsi="Times New Roman" w:cs="Times New Roman"/>
                <w:sz w:val="18"/>
                <w:szCs w:val="18"/>
              </w:rPr>
            </w:pPr>
          </w:p>
          <w:p w14:paraId="14484DA9" w14:textId="77777777" w:rsidR="00314559" w:rsidRPr="004A5803" w:rsidRDefault="00314559" w:rsidP="00314559">
            <w:pPr>
              <w:rPr>
                <w:rFonts w:ascii="Times New Roman" w:hAnsi="Times New Roman" w:cs="Times New Roman"/>
                <w:sz w:val="18"/>
                <w:szCs w:val="18"/>
              </w:rPr>
            </w:pPr>
          </w:p>
          <w:p w14:paraId="5D7A1FF1" w14:textId="77777777" w:rsidR="00314559" w:rsidRPr="004A5803" w:rsidRDefault="00314559" w:rsidP="00314559">
            <w:pPr>
              <w:rPr>
                <w:rFonts w:ascii="Times New Roman" w:hAnsi="Times New Roman" w:cs="Times New Roman"/>
                <w:sz w:val="18"/>
                <w:szCs w:val="18"/>
              </w:rPr>
            </w:pPr>
          </w:p>
          <w:p w14:paraId="707FD28C" w14:textId="77777777" w:rsidR="00314559" w:rsidRPr="004A5803" w:rsidRDefault="00314559" w:rsidP="00314559">
            <w:pPr>
              <w:rPr>
                <w:rFonts w:ascii="Times New Roman" w:hAnsi="Times New Roman" w:cs="Times New Roman"/>
                <w:sz w:val="18"/>
                <w:szCs w:val="18"/>
              </w:rPr>
            </w:pPr>
          </w:p>
          <w:p w14:paraId="610114B7" w14:textId="77777777" w:rsidR="00314559" w:rsidRPr="004A5803" w:rsidRDefault="00314559" w:rsidP="00314559">
            <w:pPr>
              <w:rPr>
                <w:rFonts w:ascii="Times New Roman" w:hAnsi="Times New Roman" w:cs="Times New Roman"/>
                <w:sz w:val="18"/>
                <w:szCs w:val="18"/>
              </w:rPr>
            </w:pPr>
          </w:p>
          <w:p w14:paraId="5647EB9D" w14:textId="77777777" w:rsidR="00314559" w:rsidRPr="004A5803" w:rsidRDefault="00314559" w:rsidP="00314559">
            <w:pPr>
              <w:rPr>
                <w:rFonts w:ascii="Times New Roman" w:hAnsi="Times New Roman" w:cs="Times New Roman"/>
                <w:sz w:val="18"/>
                <w:szCs w:val="18"/>
              </w:rPr>
            </w:pPr>
          </w:p>
          <w:p w14:paraId="0A8D46A7" w14:textId="77777777" w:rsidR="00314559" w:rsidRPr="004A5803" w:rsidRDefault="00314559" w:rsidP="00314559">
            <w:pPr>
              <w:rPr>
                <w:rFonts w:ascii="Times New Roman" w:hAnsi="Times New Roman" w:cs="Times New Roman"/>
                <w:sz w:val="18"/>
                <w:szCs w:val="18"/>
              </w:rPr>
            </w:pPr>
          </w:p>
          <w:p w14:paraId="5F959547" w14:textId="77777777" w:rsidR="00314559" w:rsidRPr="004A5803" w:rsidRDefault="00314559" w:rsidP="00314559">
            <w:pPr>
              <w:rPr>
                <w:rFonts w:ascii="Times New Roman" w:hAnsi="Times New Roman" w:cs="Times New Roman"/>
                <w:sz w:val="18"/>
                <w:szCs w:val="18"/>
              </w:rPr>
            </w:pPr>
          </w:p>
          <w:p w14:paraId="18AC990D" w14:textId="2CE006F7" w:rsidR="00314559" w:rsidRPr="003B7DC9" w:rsidRDefault="00314559" w:rsidP="00314559">
            <w:pPr>
              <w:jc w:val="both"/>
              <w:rPr>
                <w:rFonts w:ascii="Times New Roman" w:eastAsia="Calibri" w:hAnsi="Times New Roman" w:cs="Times New Roman"/>
                <w:i/>
                <w:iCs/>
                <w:color w:val="FFFFFF" w:themeColor="background1"/>
                <w:sz w:val="18"/>
                <w:szCs w:val="18"/>
                <w:lang w:val="en-US"/>
              </w:rPr>
            </w:pPr>
            <w:r w:rsidRPr="003B7DC9">
              <w:rPr>
                <w:rFonts w:ascii="Times New Roman" w:hAnsi="Times New Roman" w:cs="Times New Roman"/>
                <w:sz w:val="18"/>
                <w:szCs w:val="18"/>
              </w:rPr>
              <w:t>Dispozitat e nenit 6 reflektojnë gjithashtu standardet e përcaktuara nga Gjykata e Drejtësisë së Bashkimit Evropian në çështjen Berlioz Investment Fund SA (C-682/15), lidhur me të drejtën për mjet juridik efektiv dhe kontrollin gjyqësor të kërkesave për informacion, veçanërisht për verifikimin e kriterit të rëndësisë së parashikueshme të informacionit.</w:t>
            </w:r>
          </w:p>
        </w:tc>
      </w:tr>
      <w:tr w:rsidR="00314559" w:rsidRPr="003B7DC9" w14:paraId="7D4505B4" w14:textId="77777777" w:rsidTr="00B75638">
        <w:trPr>
          <w:trHeight w:val="645"/>
        </w:trPr>
        <w:tc>
          <w:tcPr>
            <w:tcW w:w="630" w:type="dxa"/>
          </w:tcPr>
          <w:p w14:paraId="1080D9D2" w14:textId="139AC4B4"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5320AA29"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Neni 5a</w:t>
            </w:r>
          </w:p>
          <w:p w14:paraId="272CBC8A"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Rëndësia e parashikueshme</w:t>
            </w:r>
          </w:p>
          <w:p w14:paraId="7A49C535" w14:textId="77777777" w:rsidR="00314559" w:rsidRPr="003B7DC9" w:rsidRDefault="00314559" w:rsidP="00314559">
            <w:pPr>
              <w:numPr>
                <w:ilvl w:val="0"/>
                <w:numId w:val="4"/>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Për qëllimet e një kërkese të përmendur në nenin 5, informacioni i kërkuar konsiderohet të ketë rëndësi të parashikueshme kur, në kohën e paraqitjes së kërkesës, autoriteti kërkues vlerëson se, në përputhje me legjislacionin e tij kombëtar, ekziston një mundësi e arsyeshme që informacioni i kërkuar të jetë i rëndësishëm për çështjet tatimore të një ose disa tatimpaguesve, pavarësisht nëse ata janë të identifikuar me emër ose jo, dhe se kërkesa është e justifikuar për qëllimet e hetimit.</w:t>
            </w:r>
          </w:p>
          <w:p w14:paraId="7B1F829A" w14:textId="77777777" w:rsidR="00314559" w:rsidRPr="003B7DC9" w:rsidRDefault="00314559" w:rsidP="00314559">
            <w:pPr>
              <w:numPr>
                <w:ilvl w:val="0"/>
                <w:numId w:val="4"/>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Për të demonstruar rëndësinë e parashikueshme të informacionit të kërkuar, autoriteti kërkues i ofron autoritetit të kërkuar të paktën informacionin e mëposhtëm:</w:t>
            </w:r>
            <w:r w:rsidRPr="003B7DC9">
              <w:rPr>
                <w:rFonts w:ascii="Times New Roman" w:eastAsia="Calibri" w:hAnsi="Times New Roman" w:cs="Times New Roman"/>
                <w:iCs/>
                <w:sz w:val="18"/>
                <w:szCs w:val="18"/>
              </w:rPr>
              <w:br/>
              <w:t>(a) qëllimin tatimor për të cilin kërkohet informacioni; dhe</w:t>
            </w:r>
            <w:r w:rsidRPr="003B7DC9">
              <w:rPr>
                <w:rFonts w:ascii="Times New Roman" w:eastAsia="Calibri" w:hAnsi="Times New Roman" w:cs="Times New Roman"/>
                <w:iCs/>
                <w:sz w:val="18"/>
                <w:szCs w:val="18"/>
              </w:rPr>
              <w:br/>
            </w:r>
            <w:r w:rsidRPr="003B7DC9">
              <w:rPr>
                <w:rFonts w:ascii="Times New Roman" w:eastAsia="Calibri" w:hAnsi="Times New Roman" w:cs="Times New Roman"/>
                <w:iCs/>
                <w:sz w:val="18"/>
                <w:szCs w:val="18"/>
              </w:rPr>
              <w:lastRenderedPageBreak/>
              <w:t>(b) një specifikim të informacionit të kërkuar për administrimin ose zbatimin e legjislacionit të tij kombëtar.</w:t>
            </w:r>
          </w:p>
          <w:p w14:paraId="02E253FF" w14:textId="77777777" w:rsidR="00314559" w:rsidRPr="003B7DC9" w:rsidRDefault="00314559" w:rsidP="00314559">
            <w:pPr>
              <w:numPr>
                <w:ilvl w:val="0"/>
                <w:numId w:val="4"/>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një kërkesë e përmendur në nenin 5 lidhet me një grup tatimpaguesish që nuk mund të identifikohen individualisht, autoriteti kërkues i ofron autoritetit të kërkuar të paktën informacionin e mëposhtëm:</w:t>
            </w:r>
            <w:r w:rsidRPr="003B7DC9">
              <w:rPr>
                <w:rFonts w:ascii="Times New Roman" w:eastAsia="Calibri" w:hAnsi="Times New Roman" w:cs="Times New Roman"/>
                <w:iCs/>
                <w:sz w:val="18"/>
                <w:szCs w:val="18"/>
              </w:rPr>
              <w:br/>
              <w:t>(a) një përshkrim të detajuar të grupit;</w:t>
            </w:r>
            <w:r w:rsidRPr="003B7DC9">
              <w:rPr>
                <w:rFonts w:ascii="Times New Roman" w:eastAsia="Calibri" w:hAnsi="Times New Roman" w:cs="Times New Roman"/>
                <w:iCs/>
                <w:sz w:val="18"/>
                <w:szCs w:val="18"/>
              </w:rPr>
              <w:br/>
              <w:t>(b) një shpjegim të legjislacionit në fuqi dhe të fakteve mbi bazën e të cilave ekziston arsye për të besuar se tatimpaguesit në grup nuk kanë respektuar legjislacionin në fuqi;</w:t>
            </w:r>
            <w:r w:rsidRPr="003B7DC9">
              <w:rPr>
                <w:rFonts w:ascii="Times New Roman" w:eastAsia="Calibri" w:hAnsi="Times New Roman" w:cs="Times New Roman"/>
                <w:iCs/>
                <w:sz w:val="18"/>
                <w:szCs w:val="18"/>
              </w:rPr>
              <w:br/>
              <w:t>(c) një shpjegim se si informacioni i kërkuar do të ndihmonte në përcaktimin e pajtueshmërisë së tatimpaguesve në grup; dhe</w:t>
            </w:r>
            <w:r w:rsidRPr="003B7DC9">
              <w:rPr>
                <w:rFonts w:ascii="Times New Roman" w:eastAsia="Calibri" w:hAnsi="Times New Roman" w:cs="Times New Roman"/>
                <w:iCs/>
                <w:sz w:val="18"/>
                <w:szCs w:val="18"/>
              </w:rPr>
              <w:br/>
              <w:t>(d) kur është e aplikueshme, fakte dhe rrethana përkatëse që lidhen me përfshirjen e një pale të tretë që ka kontribuar në mënyrë aktive në mospërputhjen e mundshme të tatimpaguesve në grup me legjislacionin në fuqi.</w:t>
            </w:r>
          </w:p>
          <w:p w14:paraId="3A31154C" w14:textId="6E9B3C9E" w:rsidR="00314559" w:rsidRPr="003B7DC9" w:rsidRDefault="00314559" w:rsidP="00314559">
            <w:pPr>
              <w:jc w:val="both"/>
              <w:rPr>
                <w:rFonts w:ascii="Times New Roman" w:eastAsia="Calibri" w:hAnsi="Times New Roman" w:cs="Times New Roman"/>
                <w:iCs/>
                <w:sz w:val="18"/>
                <w:szCs w:val="18"/>
                <w:lang w:val="en-US"/>
              </w:rPr>
            </w:pPr>
          </w:p>
        </w:tc>
        <w:tc>
          <w:tcPr>
            <w:tcW w:w="1170" w:type="dxa"/>
          </w:tcPr>
          <w:p w14:paraId="68273547" w14:textId="0BF04C4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tcPr>
          <w:p w14:paraId="217830CF" w14:textId="34368C14"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 xml:space="preserve">Neni 7 </w:t>
            </w:r>
          </w:p>
        </w:tc>
        <w:tc>
          <w:tcPr>
            <w:tcW w:w="4334" w:type="dxa"/>
            <w:tcBorders>
              <w:bottom w:val="dashed" w:sz="4" w:space="0" w:color="auto"/>
            </w:tcBorders>
          </w:tcPr>
          <w:p w14:paraId="2F2F9710" w14:textId="4654545E" w:rsidR="00314559" w:rsidRPr="003B7DC9" w:rsidRDefault="00314559" w:rsidP="00314559">
            <w:pPr>
              <w:spacing w:before="100" w:beforeAutospacing="1" w:after="100" w:afterAutospacing="1" w:line="276" w:lineRule="auto"/>
              <w:outlineLvl w:val="2"/>
              <w:rPr>
                <w:rFonts w:ascii="Times New Roman" w:eastAsia="Times New Roman" w:hAnsi="Times New Roman" w:cs="Times New Roman"/>
                <w:bCs/>
                <w:sz w:val="18"/>
                <w:szCs w:val="18"/>
              </w:rPr>
            </w:pPr>
          </w:p>
          <w:p w14:paraId="490BBD82" w14:textId="77777777" w:rsidR="00314559" w:rsidRPr="003B7DC9" w:rsidRDefault="00314559" w:rsidP="00314559">
            <w:pPr>
              <w:pStyle w:val="ListParagraph"/>
              <w:jc w:val="center"/>
              <w:rPr>
                <w:rFonts w:ascii="Times New Roman" w:eastAsia="Times New Roman" w:hAnsi="Times New Roman" w:cs="Times New Roman"/>
                <w:b/>
                <w:bCs/>
                <w:sz w:val="18"/>
                <w:szCs w:val="18"/>
                <w:lang w:val="en-US" w:eastAsia="sq-AL"/>
              </w:rPr>
            </w:pPr>
            <w:r w:rsidRPr="003B7DC9">
              <w:rPr>
                <w:rFonts w:ascii="Times New Roman" w:eastAsia="Times New Roman" w:hAnsi="Times New Roman" w:cs="Times New Roman"/>
                <w:b/>
                <w:bCs/>
                <w:sz w:val="18"/>
                <w:szCs w:val="18"/>
                <w:lang w:val="en-US" w:eastAsia="sq-AL"/>
              </w:rPr>
              <w:t>Neni 7</w:t>
            </w:r>
          </w:p>
          <w:p w14:paraId="6271FC57" w14:textId="77777777" w:rsidR="00314559" w:rsidRPr="003B7DC9" w:rsidRDefault="00314559" w:rsidP="00314559">
            <w:pPr>
              <w:pStyle w:val="ListParagraph"/>
              <w:jc w:val="center"/>
              <w:rPr>
                <w:rFonts w:ascii="Times New Roman" w:eastAsia="Times New Roman" w:hAnsi="Times New Roman" w:cs="Times New Roman"/>
                <w:b/>
                <w:bCs/>
                <w:sz w:val="18"/>
                <w:szCs w:val="18"/>
                <w:lang w:val="en-US" w:eastAsia="sq-AL"/>
              </w:rPr>
            </w:pPr>
            <w:r w:rsidRPr="003B7DC9">
              <w:rPr>
                <w:rFonts w:ascii="Times New Roman" w:eastAsia="Times New Roman" w:hAnsi="Times New Roman" w:cs="Times New Roman"/>
                <w:b/>
                <w:bCs/>
                <w:sz w:val="18"/>
                <w:szCs w:val="18"/>
                <w:lang w:val="en-US" w:eastAsia="sq-AL"/>
              </w:rPr>
              <w:t>Rëndësia e parashikueshme e informacionit</w:t>
            </w:r>
          </w:p>
          <w:p w14:paraId="49EA86D2" w14:textId="77777777" w:rsidR="00314559" w:rsidRPr="003B7DC9" w:rsidRDefault="00314559" w:rsidP="00314559">
            <w:pPr>
              <w:pStyle w:val="ListParagraph"/>
              <w:jc w:val="both"/>
              <w:rPr>
                <w:rFonts w:ascii="Times New Roman" w:eastAsia="Times New Roman" w:hAnsi="Times New Roman" w:cs="Times New Roman"/>
                <w:bCs/>
                <w:sz w:val="18"/>
                <w:szCs w:val="18"/>
                <w:lang w:val="en-US" w:eastAsia="sq-AL"/>
              </w:rPr>
            </w:pPr>
          </w:p>
          <w:p w14:paraId="454311BC" w14:textId="77777777" w:rsidR="00314559" w:rsidRPr="003B7DC9" w:rsidRDefault="00314559" w:rsidP="00314559">
            <w:pPr>
              <w:pStyle w:val="ListParagraph"/>
              <w:numPr>
                <w:ilvl w:val="0"/>
                <w:numId w:val="116"/>
              </w:numPr>
              <w:jc w:val="both"/>
              <w:rPr>
                <w:rFonts w:ascii="Times New Roman" w:eastAsia="Times New Roman" w:hAnsi="Times New Roman" w:cs="Times New Roman"/>
                <w:bCs/>
                <w:sz w:val="18"/>
                <w:szCs w:val="18"/>
                <w:lang w:val="en-US" w:eastAsia="sq-AL"/>
              </w:rPr>
            </w:pPr>
            <w:r w:rsidRPr="003B7DC9">
              <w:rPr>
                <w:rFonts w:ascii="Times New Roman" w:eastAsia="Times New Roman" w:hAnsi="Times New Roman" w:cs="Times New Roman"/>
                <w:bCs/>
                <w:sz w:val="18"/>
                <w:szCs w:val="18"/>
                <w:lang w:val="en-US" w:eastAsia="sq-AL"/>
              </w:rPr>
              <w:t xml:space="preserve">Për qëllimet e nenit 5, informacioni i kërkuar konsiderohet me rëndësi të parashikueshme kur, në kohën e paraqitjes së kërkesës, autoriteti kërkues vlerëson se, në përputhje me legjislacionin e tij </w:t>
            </w:r>
            <w:r w:rsidRPr="003B7DC9">
              <w:rPr>
                <w:rFonts w:ascii="Times New Roman" w:eastAsia="Times New Roman" w:hAnsi="Times New Roman" w:cs="Times New Roman"/>
                <w:sz w:val="18"/>
                <w:szCs w:val="18"/>
                <w:lang w:eastAsia="sq-AL"/>
              </w:rPr>
              <w:t>të brendshëm</w:t>
            </w:r>
            <w:r w:rsidRPr="003B7DC9">
              <w:rPr>
                <w:rFonts w:ascii="Times New Roman" w:eastAsia="Times New Roman" w:hAnsi="Times New Roman" w:cs="Times New Roman"/>
                <w:bCs/>
                <w:sz w:val="18"/>
                <w:szCs w:val="18"/>
                <w:lang w:val="en-US" w:eastAsia="sq-AL"/>
              </w:rPr>
              <w:t xml:space="preserve">, ekziston një mundësi e arsyeshme që informacioni i kërkuar të jetë i rëndësishëm për çështjet tatimore të një </w:t>
            </w:r>
            <w:r w:rsidRPr="003B7DC9">
              <w:rPr>
                <w:rFonts w:ascii="Times New Roman" w:eastAsia="Times New Roman" w:hAnsi="Times New Roman" w:cs="Times New Roman"/>
                <w:bCs/>
                <w:sz w:val="18"/>
                <w:szCs w:val="18"/>
                <w:lang w:val="en-US" w:eastAsia="sq-AL"/>
              </w:rPr>
              <w:lastRenderedPageBreak/>
              <w:t xml:space="preserve">ose disa tatimpaguesve, pavarësisht nëse janë të identifikuar me emër ose jo, dhe se kërkesa është e justifikuar për qëllimet e hetimit administrativ. </w:t>
            </w:r>
          </w:p>
          <w:p w14:paraId="390C4545" w14:textId="77777777" w:rsidR="00314559" w:rsidRPr="003B7DC9" w:rsidRDefault="00314559" w:rsidP="00314559">
            <w:pPr>
              <w:pStyle w:val="ListParagraph"/>
              <w:numPr>
                <w:ilvl w:val="0"/>
                <w:numId w:val="116"/>
              </w:numPr>
              <w:jc w:val="both"/>
              <w:rPr>
                <w:rFonts w:ascii="Times New Roman" w:eastAsia="Times New Roman" w:hAnsi="Times New Roman" w:cs="Times New Roman"/>
                <w:bCs/>
                <w:sz w:val="18"/>
                <w:szCs w:val="18"/>
                <w:lang w:val="en-US" w:eastAsia="sq-AL"/>
              </w:rPr>
            </w:pPr>
            <w:r w:rsidRPr="003B7DC9">
              <w:rPr>
                <w:rFonts w:ascii="Times New Roman" w:eastAsia="Times New Roman" w:hAnsi="Times New Roman" w:cs="Times New Roman"/>
                <w:bCs/>
                <w:sz w:val="18"/>
                <w:szCs w:val="18"/>
                <w:lang w:val="en-US" w:eastAsia="sq-AL"/>
              </w:rPr>
              <w:t>Për të demonstruar rëndësinë e parashikueshme të informacionit të kërkuar, autoriteti kërkues i jep autoritetit të kërkuar të paktën informacionin e mëposhtëm:</w:t>
            </w:r>
          </w:p>
          <w:p w14:paraId="26CA3817" w14:textId="77777777" w:rsidR="00314559" w:rsidRPr="003B7DC9" w:rsidRDefault="00314559" w:rsidP="00314559">
            <w:pPr>
              <w:pStyle w:val="ListParagraph"/>
              <w:rPr>
                <w:rFonts w:ascii="Times New Roman" w:eastAsia="Times New Roman" w:hAnsi="Times New Roman" w:cs="Times New Roman"/>
                <w:bCs/>
                <w:sz w:val="18"/>
                <w:szCs w:val="18"/>
                <w:lang w:val="en-US" w:eastAsia="sq-AL"/>
              </w:rPr>
            </w:pPr>
            <w:r w:rsidRPr="003B7DC9">
              <w:rPr>
                <w:rFonts w:ascii="Times New Roman" w:eastAsia="Times New Roman" w:hAnsi="Times New Roman" w:cs="Times New Roman"/>
                <w:bCs/>
                <w:sz w:val="18"/>
                <w:szCs w:val="18"/>
                <w:lang w:val="en-US" w:eastAsia="sq-AL"/>
              </w:rPr>
              <w:br/>
              <w:t>a) qëllimin tatimor për të cilin kërkohet informacioni; dhe</w:t>
            </w:r>
            <w:r w:rsidRPr="003B7DC9">
              <w:rPr>
                <w:rFonts w:ascii="Times New Roman" w:eastAsia="Times New Roman" w:hAnsi="Times New Roman" w:cs="Times New Roman"/>
                <w:bCs/>
                <w:sz w:val="18"/>
                <w:szCs w:val="18"/>
                <w:lang w:val="en-US" w:eastAsia="sq-AL"/>
              </w:rPr>
              <w:br/>
              <w:t>b) një specifikim të informacionit të kërkuar për administrimin ose zbatimin e legjislacionit të tij të brendshëm.</w:t>
            </w:r>
          </w:p>
          <w:p w14:paraId="36D6A3E5" w14:textId="77777777" w:rsidR="00314559" w:rsidRPr="003B7DC9" w:rsidRDefault="00314559" w:rsidP="00314559">
            <w:pPr>
              <w:pStyle w:val="ListParagraph"/>
              <w:jc w:val="both"/>
              <w:rPr>
                <w:rFonts w:ascii="Times New Roman" w:eastAsia="Times New Roman" w:hAnsi="Times New Roman" w:cs="Times New Roman"/>
                <w:bCs/>
                <w:sz w:val="18"/>
                <w:szCs w:val="18"/>
                <w:lang w:val="en-US" w:eastAsia="sq-AL"/>
              </w:rPr>
            </w:pPr>
          </w:p>
          <w:p w14:paraId="635A645A" w14:textId="77777777" w:rsidR="00314559" w:rsidRPr="003B7DC9" w:rsidRDefault="00314559" w:rsidP="00314559">
            <w:pPr>
              <w:pStyle w:val="ListParagraph"/>
              <w:numPr>
                <w:ilvl w:val="0"/>
                <w:numId w:val="116"/>
              </w:numPr>
              <w:jc w:val="both"/>
              <w:rPr>
                <w:rFonts w:ascii="Times New Roman" w:eastAsia="Times New Roman" w:hAnsi="Times New Roman" w:cs="Times New Roman"/>
                <w:bCs/>
                <w:sz w:val="18"/>
                <w:szCs w:val="18"/>
                <w:lang w:val="en-US" w:eastAsia="sq-AL"/>
              </w:rPr>
            </w:pPr>
            <w:r w:rsidRPr="003B7DC9">
              <w:rPr>
                <w:rFonts w:ascii="Times New Roman" w:eastAsia="Times New Roman" w:hAnsi="Times New Roman" w:cs="Times New Roman"/>
                <w:bCs/>
                <w:sz w:val="18"/>
                <w:szCs w:val="18"/>
                <w:lang w:val="en-US" w:eastAsia="sq-AL"/>
              </w:rPr>
              <w:t>Kur një kërkesë e përmendur në nenin 5 lidhet me një grup tatimpaguesish që nuk mund të identifikohen individualisht, autoriteti kërkues i jep autoritetit të kërkuar të paktën informacionin e mëposhtëm:</w:t>
            </w:r>
          </w:p>
          <w:p w14:paraId="1DC8BA92" w14:textId="77777777" w:rsidR="00314559" w:rsidRPr="003B7DC9" w:rsidRDefault="00314559" w:rsidP="00314559">
            <w:pPr>
              <w:pStyle w:val="ListParagraph"/>
              <w:jc w:val="both"/>
              <w:rPr>
                <w:rFonts w:ascii="Times New Roman" w:eastAsia="Times New Roman" w:hAnsi="Times New Roman" w:cs="Times New Roman"/>
                <w:bCs/>
                <w:sz w:val="18"/>
                <w:szCs w:val="18"/>
                <w:lang w:val="en-US" w:eastAsia="sq-AL"/>
              </w:rPr>
            </w:pPr>
          </w:p>
          <w:p w14:paraId="38AA3FC4" w14:textId="77777777" w:rsidR="00314559" w:rsidRPr="003B7DC9" w:rsidRDefault="00314559" w:rsidP="00314559">
            <w:pPr>
              <w:pStyle w:val="ListParagraph"/>
              <w:rPr>
                <w:rFonts w:ascii="Times New Roman" w:eastAsia="Times New Roman" w:hAnsi="Times New Roman" w:cs="Times New Roman"/>
                <w:bCs/>
                <w:sz w:val="18"/>
                <w:szCs w:val="18"/>
                <w:lang w:val="en-US" w:eastAsia="sq-AL"/>
              </w:rPr>
            </w:pPr>
            <w:r w:rsidRPr="003B7DC9">
              <w:rPr>
                <w:rFonts w:ascii="Times New Roman" w:eastAsia="Times New Roman" w:hAnsi="Times New Roman" w:cs="Times New Roman"/>
                <w:bCs/>
                <w:sz w:val="18"/>
                <w:szCs w:val="18"/>
                <w:lang w:val="en-US" w:eastAsia="sq-AL"/>
              </w:rPr>
              <w:t>a) një përshkrim të detajuar të grupit;</w:t>
            </w:r>
            <w:r w:rsidRPr="003B7DC9">
              <w:rPr>
                <w:rFonts w:ascii="Times New Roman" w:eastAsia="Times New Roman" w:hAnsi="Times New Roman" w:cs="Times New Roman"/>
                <w:bCs/>
                <w:sz w:val="18"/>
                <w:szCs w:val="18"/>
                <w:lang w:val="en-US" w:eastAsia="sq-AL"/>
              </w:rPr>
              <w:br/>
              <w:t>b) një shpjegim të legjislacionit të zbatueshëm, të fakteve dhe të rrethanave përkatëse mbi bazën e të cilave ka arsye të besohet se tatimpaguesit e grupit nuk kanë respektuar legjislacionin e zbatueshëm;</w:t>
            </w:r>
          </w:p>
          <w:p w14:paraId="765D1C0A" w14:textId="77777777" w:rsidR="00314559" w:rsidRPr="003B7DC9" w:rsidRDefault="00314559" w:rsidP="00314559">
            <w:pPr>
              <w:pStyle w:val="ListParagraph"/>
              <w:jc w:val="both"/>
              <w:rPr>
                <w:rFonts w:ascii="Times New Roman" w:eastAsia="Times New Roman" w:hAnsi="Times New Roman" w:cs="Times New Roman"/>
                <w:bCs/>
                <w:sz w:val="18"/>
                <w:szCs w:val="18"/>
                <w:lang w:val="en-US" w:eastAsia="sq-AL"/>
              </w:rPr>
            </w:pPr>
            <w:r w:rsidRPr="003B7DC9">
              <w:rPr>
                <w:rFonts w:ascii="Times New Roman" w:eastAsia="Times New Roman" w:hAnsi="Times New Roman" w:cs="Times New Roman"/>
                <w:bCs/>
                <w:sz w:val="18"/>
                <w:szCs w:val="18"/>
                <w:lang w:val="en-US" w:eastAsia="sq-AL"/>
              </w:rPr>
              <w:t xml:space="preserve">c) një shpjegim se si informacioni i kërkuar do të ndihmonte </w:t>
            </w:r>
            <w:r w:rsidRPr="003B7DC9">
              <w:rPr>
                <w:rFonts w:ascii="Times New Roman" w:eastAsia="Times New Roman" w:hAnsi="Times New Roman" w:cs="Times New Roman"/>
                <w:sz w:val="18"/>
                <w:szCs w:val="18"/>
                <w:lang w:eastAsia="sq-AL"/>
              </w:rPr>
              <w:t>në përcaktimin nëse tatimpaguesit e grupit kanë respektuar legjislacionin e zbatueshëm</w:t>
            </w:r>
            <w:r w:rsidRPr="003B7DC9">
              <w:rPr>
                <w:rFonts w:ascii="Times New Roman" w:eastAsia="Times New Roman" w:hAnsi="Times New Roman" w:cs="Times New Roman"/>
                <w:bCs/>
                <w:sz w:val="18"/>
                <w:szCs w:val="18"/>
                <w:lang w:val="en-US" w:eastAsia="sq-AL"/>
              </w:rPr>
              <w:t>; dhe</w:t>
            </w:r>
            <w:r w:rsidRPr="003B7DC9">
              <w:rPr>
                <w:rFonts w:ascii="Times New Roman" w:eastAsia="Times New Roman" w:hAnsi="Times New Roman" w:cs="Times New Roman"/>
                <w:bCs/>
                <w:sz w:val="18"/>
                <w:szCs w:val="18"/>
                <w:lang w:val="en-US" w:eastAsia="sq-AL"/>
              </w:rPr>
              <w:br/>
            </w:r>
            <w:r w:rsidRPr="003B7DC9">
              <w:rPr>
                <w:rFonts w:ascii="Times New Roman" w:eastAsia="Times New Roman" w:hAnsi="Times New Roman" w:cs="Times New Roman"/>
                <w:sz w:val="18"/>
                <w:szCs w:val="18"/>
                <w:lang w:val="sq-AL"/>
              </w:rPr>
              <w:t xml:space="preserve">d) sipas rastit, faktet dhe rrethanat që lidhen me përfshirjen e çdo pale të tretë që ka kontribuar në mënyrë aktive në mospërputhjen e </w:t>
            </w:r>
            <w:r w:rsidRPr="003B7DC9">
              <w:rPr>
                <w:rFonts w:ascii="Times New Roman" w:eastAsia="Times New Roman" w:hAnsi="Times New Roman" w:cs="Times New Roman"/>
                <w:sz w:val="18"/>
                <w:szCs w:val="18"/>
                <w:lang w:val="sq-AL"/>
              </w:rPr>
              <w:lastRenderedPageBreak/>
              <w:t>mundshme të tatimpaguesve të grupit me legjislacionin e zbatueshëm.</w:t>
            </w:r>
          </w:p>
          <w:p w14:paraId="1AF536FD" w14:textId="5A1AEB5B" w:rsidR="00314559" w:rsidRPr="003B7DC9" w:rsidRDefault="00314559" w:rsidP="00314559">
            <w:pPr>
              <w:spacing w:before="100" w:beforeAutospacing="1" w:after="100" w:afterAutospacing="1" w:line="276" w:lineRule="auto"/>
              <w:rPr>
                <w:rFonts w:ascii="Times New Roman" w:eastAsia="Calibri" w:hAnsi="Times New Roman" w:cs="Times New Roman"/>
                <w:sz w:val="18"/>
                <w:szCs w:val="18"/>
              </w:rPr>
            </w:pPr>
          </w:p>
        </w:tc>
        <w:tc>
          <w:tcPr>
            <w:tcW w:w="1066" w:type="dxa"/>
            <w:tcBorders>
              <w:bottom w:val="dashed" w:sz="4" w:space="0" w:color="auto"/>
            </w:tcBorders>
          </w:tcPr>
          <w:p w14:paraId="4C4B4DD1" w14:textId="54EC29F6"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tcBorders>
              <w:bottom w:val="dashed" w:sz="4" w:space="0" w:color="auto"/>
            </w:tcBorders>
          </w:tcPr>
          <w:p w14:paraId="7FF536D2" w14:textId="379511CD" w:rsidR="00314559" w:rsidRPr="003B7DC9" w:rsidRDefault="00314559" w:rsidP="00314559">
            <w:pPr>
              <w:rPr>
                <w:rFonts w:ascii="Times New Roman" w:eastAsia="Calibri" w:hAnsi="Times New Roman" w:cs="Times New Roman"/>
                <w:sz w:val="18"/>
                <w:szCs w:val="18"/>
                <w:lang w:val="en-US"/>
              </w:rPr>
            </w:pPr>
          </w:p>
        </w:tc>
      </w:tr>
      <w:tr w:rsidR="00314559" w:rsidRPr="003B7DC9" w14:paraId="176342C5" w14:textId="77777777" w:rsidTr="00B75638">
        <w:tc>
          <w:tcPr>
            <w:tcW w:w="630" w:type="dxa"/>
          </w:tcPr>
          <w:p w14:paraId="5BF8CE7D" w14:textId="4193C503"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3097A2F6"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Neni 6</w:t>
            </w:r>
          </w:p>
          <w:p w14:paraId="44538751"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Hetimet administrative</w:t>
            </w:r>
          </w:p>
          <w:p w14:paraId="537B00FF" w14:textId="77777777" w:rsidR="00314559" w:rsidRPr="003B7DC9" w:rsidRDefault="00314559" w:rsidP="00314559">
            <w:pPr>
              <w:numPr>
                <w:ilvl w:val="0"/>
                <w:numId w:val="5"/>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i kërkuar organizon kryerjen e çdo hetimi administrativ të nevojshëm për të siguruar informacionin e përmendur në nenin 5.</w:t>
            </w:r>
          </w:p>
          <w:p w14:paraId="30E216EC" w14:textId="1E099182" w:rsidR="00314559" w:rsidRPr="003B7DC9" w:rsidRDefault="00314559" w:rsidP="00314559">
            <w:pPr>
              <w:jc w:val="both"/>
              <w:rPr>
                <w:rFonts w:ascii="Times New Roman" w:eastAsia="Calibri" w:hAnsi="Times New Roman" w:cs="Times New Roman"/>
                <w:iCs/>
                <w:sz w:val="18"/>
                <w:szCs w:val="18"/>
              </w:rPr>
            </w:pPr>
          </w:p>
          <w:p w14:paraId="6C961EDE" w14:textId="77777777" w:rsidR="00314559" w:rsidRPr="003B7DC9" w:rsidRDefault="00314559" w:rsidP="00314559">
            <w:pPr>
              <w:numPr>
                <w:ilvl w:val="0"/>
                <w:numId w:val="6"/>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Kërkesa e përmendur në nenin 5 mund të përmbajë një kërkesë të arsyetuar për kryerjen e një hetimi administrativ. Nëse autoriteti i kërkuar vlerëson se një hetim i tillë nuk është i nevojshëm, ai informon menjëherë autoritetin kërkues për arsyet përkatëse.</w:t>
            </w:r>
          </w:p>
          <w:p w14:paraId="562B2142" w14:textId="5C8F71DB" w:rsidR="00314559" w:rsidRPr="003B7DC9" w:rsidRDefault="00314559" w:rsidP="00314559">
            <w:pPr>
              <w:jc w:val="both"/>
              <w:rPr>
                <w:rFonts w:ascii="Times New Roman" w:eastAsia="Calibri" w:hAnsi="Times New Roman" w:cs="Times New Roman"/>
                <w:iCs/>
                <w:sz w:val="18"/>
                <w:szCs w:val="18"/>
              </w:rPr>
            </w:pPr>
          </w:p>
          <w:p w14:paraId="4FA7CF7F" w14:textId="77777777" w:rsidR="00314559" w:rsidRPr="003B7DC9" w:rsidRDefault="00314559" w:rsidP="00314559">
            <w:pPr>
              <w:numPr>
                <w:ilvl w:val="0"/>
                <w:numId w:val="7"/>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Për të siguruar informacionin e kërkuar ose për të kryer hetimin administrativ të kërkuar, autoriteti i kërkuar ndjek të njëjtat procedura që do të ndiqte nëse do të vepronte me nismën e tij ose me kërkesë të një autoriteti tjetër brenda shtetit të tij anëtar.</w:t>
            </w:r>
          </w:p>
          <w:p w14:paraId="73D011E7" w14:textId="77777777" w:rsidR="00314559" w:rsidRPr="003B7DC9" w:rsidRDefault="00314559" w:rsidP="00314559">
            <w:pPr>
              <w:numPr>
                <w:ilvl w:val="0"/>
                <w:numId w:val="7"/>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kërkohet në mënyrë specifike nga autoriteti kërkues, autoriteti i kërkuar komunikon dokumente origjinale, me kusht që kjo të mos bie në kundërshtim me dispozitat në fuqi në shtetin anëtar të autoritetit të kërkuar.</w:t>
            </w:r>
          </w:p>
          <w:p w14:paraId="7316743D" w14:textId="50E78E03" w:rsidR="00314559" w:rsidRPr="003B7DC9" w:rsidRDefault="00314559" w:rsidP="00314559">
            <w:pPr>
              <w:jc w:val="both"/>
              <w:rPr>
                <w:rFonts w:ascii="Times New Roman" w:eastAsia="Calibri" w:hAnsi="Times New Roman" w:cs="Times New Roman"/>
                <w:iCs/>
                <w:sz w:val="18"/>
                <w:szCs w:val="18"/>
                <w:lang w:val="en-US"/>
              </w:rPr>
            </w:pPr>
          </w:p>
        </w:tc>
        <w:tc>
          <w:tcPr>
            <w:tcW w:w="1170" w:type="dxa"/>
          </w:tcPr>
          <w:p w14:paraId="3480EEE0" w14:textId="1CAB0721" w:rsidR="00314559" w:rsidRPr="003B7DC9" w:rsidRDefault="00314559" w:rsidP="00314559">
            <w:pPr>
              <w:jc w:val="center"/>
              <w:rPr>
                <w:rFonts w:ascii="Times New Roman" w:eastAsia="Calibri" w:hAnsi="Times New Roman" w:cs="Times New Roman"/>
                <w:i/>
                <w:iCs/>
                <w:sz w:val="18"/>
                <w:szCs w:val="18"/>
              </w:rPr>
            </w:pPr>
            <w:r w:rsidRPr="003B7DC9">
              <w:rPr>
                <w:rFonts w:ascii="Times New Roman" w:eastAsia="Calibri" w:hAnsi="Times New Roman" w:cs="Times New Roman"/>
                <w:sz w:val="18"/>
                <w:szCs w:val="18"/>
              </w:rPr>
              <w:t>1</w:t>
            </w:r>
          </w:p>
        </w:tc>
        <w:tc>
          <w:tcPr>
            <w:tcW w:w="720" w:type="dxa"/>
          </w:tcPr>
          <w:p w14:paraId="355EA527" w14:textId="7BA6F201"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 xml:space="preserve">Neni5  </w:t>
            </w:r>
          </w:p>
        </w:tc>
        <w:tc>
          <w:tcPr>
            <w:tcW w:w="4334" w:type="dxa"/>
          </w:tcPr>
          <w:p w14:paraId="7F741C26" w14:textId="77777777" w:rsidR="00314559" w:rsidRPr="003B7DC9" w:rsidRDefault="00314559" w:rsidP="00314559">
            <w:pPr>
              <w:spacing w:before="100" w:beforeAutospacing="1" w:after="100" w:afterAutospacing="1"/>
              <w:ind w:left="720"/>
              <w:jc w:val="center"/>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5</w:t>
            </w:r>
          </w:p>
          <w:p w14:paraId="2468DC49" w14:textId="77777777" w:rsidR="00314559" w:rsidRPr="003B7DC9" w:rsidRDefault="00314559" w:rsidP="00314559">
            <w:pPr>
              <w:spacing w:before="100" w:beforeAutospacing="1" w:after="100" w:afterAutospacing="1"/>
              <w:ind w:left="720"/>
              <w:jc w:val="center"/>
              <w:rPr>
                <w:rFonts w:ascii="Times New Roman" w:eastAsia="Times New Roman" w:hAnsi="Times New Roman" w:cs="Times New Roman"/>
                <w:bCs/>
                <w:sz w:val="18"/>
                <w:szCs w:val="18"/>
                <w:lang w:val="en-US"/>
              </w:rPr>
            </w:pPr>
            <w:r w:rsidRPr="003B7DC9">
              <w:rPr>
                <w:rFonts w:ascii="Times New Roman" w:eastAsia="Times New Roman" w:hAnsi="Times New Roman" w:cs="Times New Roman"/>
                <w:b/>
                <w:bCs/>
                <w:sz w:val="18"/>
                <w:szCs w:val="18"/>
                <w:lang w:val="en-US"/>
              </w:rPr>
              <w:t xml:space="preserve">Shkëmbimi i informacionit sipas kërkesës </w:t>
            </w:r>
          </w:p>
          <w:p w14:paraId="65D7A75F" w14:textId="77777777" w:rsidR="00314559" w:rsidRPr="003B7DC9" w:rsidRDefault="00314559" w:rsidP="00314559">
            <w:pPr>
              <w:numPr>
                <w:ilvl w:val="0"/>
                <w:numId w:val="113"/>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3B7DC9">
              <w:rPr>
                <w:rFonts w:ascii="Times New Roman" w:hAnsi="Times New Roman" w:cs="Times New Roman"/>
                <w:sz w:val="18"/>
                <w:szCs w:val="18"/>
              </w:rPr>
              <w:t>Drejtoria e Përgjithshme e Tatimeve, si autoriteti kompetent i Republikës së Shqipërisë, me kërkesë të autoritetit kërkues, i komunikon atij çdo informacion me rëndësi të parashikueshme</w:t>
            </w:r>
            <w:r w:rsidRPr="003B7DC9">
              <w:rPr>
                <w:rFonts w:ascii="Times New Roman" w:eastAsia="Times New Roman" w:hAnsi="Times New Roman" w:cs="Times New Roman"/>
                <w:bCs/>
                <w:sz w:val="18"/>
                <w:szCs w:val="18"/>
                <w:lang w:val="en-US"/>
              </w:rPr>
              <w:t xml:space="preserve"> për administrimin dhe zbatimin e tatimeve të mbuluara nga ky ligj, të cilin e ka në dispozicion ose që mund ta sigurojë nëpërmjet hetimeve administrative. </w:t>
            </w:r>
          </w:p>
          <w:p w14:paraId="1D3CD2F6" w14:textId="77777777" w:rsidR="00314559" w:rsidRPr="003B7DC9" w:rsidRDefault="00314559" w:rsidP="00314559">
            <w:pPr>
              <w:pStyle w:val="ListParagraph"/>
              <w:numPr>
                <w:ilvl w:val="0"/>
                <w:numId w:val="113"/>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Kërkesa e parashikuar në pikën 1 mund të përfshijë edhe një kërkesë të arsyetuar për kryerjen e një hetimi administrativ të posaçëm</w:t>
            </w:r>
            <w:r w:rsidRPr="003B7DC9">
              <w:rPr>
                <w:rFonts w:ascii="Times New Roman" w:eastAsia="Times New Roman" w:hAnsi="Times New Roman" w:cs="Times New Roman"/>
                <w:bCs/>
                <w:sz w:val="18"/>
                <w:szCs w:val="18"/>
                <w:lang w:val="en-US"/>
              </w:rPr>
              <w:t xml:space="preserve">. Nëse Drejtoria e Përgjithshme e Tatimeve vlerëson se një hetim i tillë nuk është i nevojshëm, ajo njofton pa vonesë autoritetin kërkues, duke paraqitur arsyet përkatëse. </w:t>
            </w:r>
          </w:p>
          <w:p w14:paraId="4175ECFA" w14:textId="77777777" w:rsidR="00314559" w:rsidRPr="003B7DC9" w:rsidRDefault="00314559" w:rsidP="00314559">
            <w:pPr>
              <w:pStyle w:val="ListParagraph"/>
              <w:numPr>
                <w:ilvl w:val="0"/>
                <w:numId w:val="113"/>
              </w:numPr>
              <w:spacing w:before="100" w:beforeAutospacing="1" w:after="100" w:afterAutospacing="1" w:line="240" w:lineRule="auto"/>
              <w:jc w:val="both"/>
              <w:rPr>
                <w:rFonts w:ascii="Times New Roman" w:eastAsia="Times New Roman" w:hAnsi="Times New Roman" w:cs="Times New Roman"/>
                <w:sz w:val="18"/>
                <w:szCs w:val="18"/>
                <w:lang w:val="sq" w:eastAsia="sq-AL"/>
              </w:rPr>
            </w:pPr>
            <w:r w:rsidRPr="003B7DC9">
              <w:rPr>
                <w:rFonts w:ascii="Times New Roman" w:eastAsia="Times New Roman" w:hAnsi="Times New Roman" w:cs="Times New Roman"/>
                <w:bCs/>
                <w:sz w:val="18"/>
                <w:szCs w:val="18"/>
                <w:lang w:val="en-US"/>
              </w:rPr>
              <w:t xml:space="preserve">Drejtoria e Përgjithshme e Tatimeve siguron kryerjen e hetimeve administrative të nevojshme për të marrë informacionin e kërkuar, edhe kur ky informacion nuk i nevojitet për qëllimet e veta tatimore. </w:t>
            </w:r>
            <w:r w:rsidRPr="003B7DC9">
              <w:rPr>
                <w:rFonts w:ascii="Times New Roman" w:eastAsia="Times New Roman" w:hAnsi="Times New Roman" w:cs="Times New Roman"/>
                <w:sz w:val="18"/>
                <w:szCs w:val="18"/>
                <w:lang w:eastAsia="sq-AL"/>
              </w:rPr>
              <w:t>Kur autoriteti kërkues e kërkon shprehimisht, Drejtoria e Përgjithshme e Tatimeve i komunikon dokumentet origjinale, për aq sa kjo nuk bie në kundërshtim me legjislacionin shqiptar.</w:t>
            </w:r>
          </w:p>
          <w:p w14:paraId="0AF2ABED" w14:textId="6C6E1A97" w:rsidR="00314559" w:rsidRPr="003B7DC9" w:rsidRDefault="00314559" w:rsidP="00314559">
            <w:pPr>
              <w:numPr>
                <w:ilvl w:val="0"/>
                <w:numId w:val="113"/>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Për përmbushjen e kërkesave sipas këtij neni, Drejtoria e Përgjithshme e Tatimeve zbaton të njëjtat procedura që do të ndiqte kur vepron me </w:t>
            </w:r>
            <w:r w:rsidRPr="003B7DC9">
              <w:rPr>
                <w:rFonts w:ascii="Times New Roman" w:eastAsia="Times New Roman" w:hAnsi="Times New Roman" w:cs="Times New Roman"/>
                <w:bCs/>
                <w:sz w:val="18"/>
                <w:szCs w:val="18"/>
                <w:lang w:val="en-US"/>
              </w:rPr>
              <w:lastRenderedPageBreak/>
              <w:t xml:space="preserve">nismën e vet ose në përgjigje të një kërkese nga një autoritet tjetër në Republikën e Shqipërisë. </w:t>
            </w:r>
          </w:p>
        </w:tc>
        <w:tc>
          <w:tcPr>
            <w:tcW w:w="1066" w:type="dxa"/>
          </w:tcPr>
          <w:p w14:paraId="1ABA6603" w14:textId="4EE23912"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tcPr>
          <w:p w14:paraId="7BE83C6E" w14:textId="07D4A64D" w:rsidR="00314559" w:rsidRPr="003B7DC9" w:rsidRDefault="00314559" w:rsidP="00314559">
            <w:pPr>
              <w:rPr>
                <w:rFonts w:ascii="Times New Roman" w:eastAsia="Calibri" w:hAnsi="Times New Roman" w:cs="Times New Roman"/>
                <w:i/>
                <w:iCs/>
                <w:sz w:val="18"/>
                <w:szCs w:val="18"/>
                <w:lang w:val="en-US"/>
              </w:rPr>
            </w:pPr>
          </w:p>
        </w:tc>
      </w:tr>
      <w:tr w:rsidR="00314559" w:rsidRPr="003B7DC9" w14:paraId="05E7A252" w14:textId="77777777" w:rsidTr="00B75638">
        <w:trPr>
          <w:trHeight w:val="870"/>
        </w:trPr>
        <w:tc>
          <w:tcPr>
            <w:tcW w:w="630" w:type="dxa"/>
          </w:tcPr>
          <w:p w14:paraId="56054E51" w14:textId="1549FBFD"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20DDD877" w14:textId="77777777" w:rsidR="00314559" w:rsidRPr="003B7DC9" w:rsidRDefault="00314559" w:rsidP="00314559">
            <w:p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Neni 7</w:t>
            </w:r>
          </w:p>
          <w:p w14:paraId="40ECE753" w14:textId="5D862A6D" w:rsidR="00314559" w:rsidRPr="003B7DC9" w:rsidRDefault="00314559" w:rsidP="00314559">
            <w:p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Afatet kohore</w:t>
            </w:r>
          </w:p>
          <w:p w14:paraId="7F1690FA" w14:textId="77777777" w:rsidR="00314559" w:rsidRPr="003B7DC9" w:rsidRDefault="00314559" w:rsidP="00314559">
            <w:pPr>
              <w:spacing w:line="276" w:lineRule="auto"/>
              <w:jc w:val="both"/>
              <w:rPr>
                <w:rFonts w:ascii="Times New Roman" w:eastAsia="Calibri" w:hAnsi="Times New Roman" w:cs="Times New Roman"/>
                <w:iCs/>
                <w:sz w:val="18"/>
                <w:szCs w:val="18"/>
              </w:rPr>
            </w:pPr>
          </w:p>
          <w:p w14:paraId="5B732B66" w14:textId="77777777" w:rsidR="00314559" w:rsidRPr="003B7DC9" w:rsidRDefault="00314559" w:rsidP="00314559">
            <w:pPr>
              <w:numPr>
                <w:ilvl w:val="0"/>
                <w:numId w:val="8"/>
              </w:num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i kërkuar siguron informacionin e përmendur në nenin 5 sa më shpejt të jetë e mundur dhe, në çdo rast, jo më vonë se tre muaj nga data e marrjes së kërkesës. Megjithatë, kur autoriteti i kërkuar nuk është në gjendje t’i përgjigjet kërkesës brenda këtij afati, ai informon menjëherë autoritetin kërkues dhe, në çdo rast, brenda tre muajve nga marrja e kërkesës, për arsyet e mosplotësimit të saj si dhe për datën në të cilën vlerëson se mund të japë përgjigje. Afati nuk duhet të jetë më i gjatë se gjashtë muaj nga data e marrjes së kërkesës.</w:t>
            </w:r>
            <w:r w:rsidRPr="003B7DC9">
              <w:rPr>
                <w:rFonts w:ascii="Times New Roman" w:eastAsia="Calibri" w:hAnsi="Times New Roman" w:cs="Times New Roman"/>
                <w:iCs/>
                <w:sz w:val="18"/>
                <w:szCs w:val="18"/>
              </w:rPr>
              <w:br/>
              <w:t>Megjithatë, nëse autoriteti i kërkuar disponon tashmë informacionin, ai transmetohet brenda dy muajve nga ajo datë.</w:t>
            </w:r>
          </w:p>
          <w:p w14:paraId="6C54D67F" w14:textId="03C1EFFE" w:rsidR="00314559" w:rsidRPr="003B7DC9" w:rsidRDefault="00314559" w:rsidP="00314559">
            <w:pPr>
              <w:spacing w:line="276" w:lineRule="auto"/>
              <w:jc w:val="both"/>
              <w:rPr>
                <w:rFonts w:ascii="Times New Roman" w:eastAsia="Calibri" w:hAnsi="Times New Roman" w:cs="Times New Roman"/>
                <w:iCs/>
                <w:sz w:val="18"/>
                <w:szCs w:val="18"/>
              </w:rPr>
            </w:pPr>
          </w:p>
          <w:p w14:paraId="0DB5BC4D" w14:textId="77777777" w:rsidR="00314559" w:rsidRPr="003B7DC9" w:rsidRDefault="00314559" w:rsidP="00314559">
            <w:pPr>
              <w:numPr>
                <w:ilvl w:val="0"/>
                <w:numId w:val="9"/>
              </w:num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Në raste të veçanta, autoriteti i kërkuar dhe autoriteti kërkues mund të bien dakord për afate të ndryshme nga ato të parashikuara në pikën 1.</w:t>
            </w:r>
          </w:p>
          <w:p w14:paraId="10059AAF" w14:textId="77777777" w:rsidR="00314559" w:rsidRPr="003B7DC9" w:rsidRDefault="00314559" w:rsidP="00314559">
            <w:pPr>
              <w:numPr>
                <w:ilvl w:val="0"/>
                <w:numId w:val="9"/>
              </w:num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i kërkuar konfirmon menjëherë marrjen e kërkesës ndaj autoritetit kërkues dhe, në çdo rast, jo më vonë se shtatë ditë pune nga marrja e saj, nëse është e mundur me mjete elektronike.</w:t>
            </w:r>
          </w:p>
          <w:p w14:paraId="420BF4B4" w14:textId="77777777" w:rsidR="00314559" w:rsidRPr="003B7DC9" w:rsidRDefault="00314559" w:rsidP="00314559">
            <w:pPr>
              <w:numPr>
                <w:ilvl w:val="0"/>
                <w:numId w:val="9"/>
              </w:num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Brenda një muaji nga marrja e kërkesës, autoriteti i kërkuar njofton autoritetin kërkues për çdo mangësi në kërkesë si dhe për nevojën për informacion shtesë. Në këtë rast, afatet e parashikuara në pikën 1 fillojnë nga dita pas marrjes së informacionit shtesë të nevojshëm nga autoriteti i kërkuar.</w:t>
            </w:r>
          </w:p>
          <w:p w14:paraId="1E03D17C" w14:textId="36CAE92D" w:rsidR="00314559" w:rsidRPr="003B7DC9" w:rsidRDefault="00314559" w:rsidP="00314559">
            <w:pPr>
              <w:spacing w:line="276" w:lineRule="auto"/>
              <w:jc w:val="both"/>
              <w:rPr>
                <w:rFonts w:ascii="Times New Roman" w:eastAsia="Calibri" w:hAnsi="Times New Roman" w:cs="Times New Roman"/>
                <w:iCs/>
                <w:sz w:val="18"/>
                <w:szCs w:val="18"/>
              </w:rPr>
            </w:pPr>
          </w:p>
          <w:p w14:paraId="13884975" w14:textId="77777777" w:rsidR="00314559" w:rsidRPr="003B7DC9" w:rsidRDefault="00314559" w:rsidP="00314559">
            <w:pPr>
              <w:numPr>
                <w:ilvl w:val="0"/>
                <w:numId w:val="10"/>
              </w:num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Kur autoriteti i kërkuar nuk e ka në zotërim informacionin e kërkuar dhe nuk është në gjendje t’i përgjigjet kërkesës për </w:t>
            </w:r>
            <w:r w:rsidRPr="003B7DC9">
              <w:rPr>
                <w:rFonts w:ascii="Times New Roman" w:eastAsia="Calibri" w:hAnsi="Times New Roman" w:cs="Times New Roman"/>
                <w:iCs/>
                <w:sz w:val="18"/>
                <w:szCs w:val="18"/>
              </w:rPr>
              <w:lastRenderedPageBreak/>
              <w:t>informacion, ose refuzon ta bëjë këtë mbi bazat e parashikuara në nenin 17, ai informon autoritetin kërkues për arsyet përkatëse menjëherë dhe, në çdo rast, brenda një muaji nga marrja e kërkesës.</w:t>
            </w:r>
          </w:p>
          <w:p w14:paraId="249A4F98" w14:textId="4EE329A9" w:rsidR="00314559" w:rsidRPr="003B7DC9" w:rsidRDefault="00314559" w:rsidP="00314559">
            <w:pPr>
              <w:spacing w:line="276" w:lineRule="auto"/>
              <w:jc w:val="both"/>
              <w:rPr>
                <w:rFonts w:ascii="Times New Roman" w:eastAsia="Calibri" w:hAnsi="Times New Roman" w:cs="Times New Roman"/>
                <w:iCs/>
                <w:sz w:val="18"/>
                <w:szCs w:val="18"/>
                <w:lang w:val="en-US"/>
              </w:rPr>
            </w:pPr>
          </w:p>
        </w:tc>
        <w:tc>
          <w:tcPr>
            <w:tcW w:w="1170" w:type="dxa"/>
          </w:tcPr>
          <w:p w14:paraId="59B66D4C" w14:textId="683D2D7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tcPr>
          <w:p w14:paraId="5ABADC9F" w14:textId="2D6D5B2D"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8</w:t>
            </w:r>
          </w:p>
        </w:tc>
        <w:tc>
          <w:tcPr>
            <w:tcW w:w="4334" w:type="dxa"/>
            <w:tcBorders>
              <w:bottom w:val="dashed" w:sz="4" w:space="0" w:color="auto"/>
            </w:tcBorders>
          </w:tcPr>
          <w:p w14:paraId="73F8C448" w14:textId="77777777" w:rsidR="00314559" w:rsidRPr="003B7DC9" w:rsidRDefault="00314559" w:rsidP="00314559">
            <w:pPr>
              <w:pStyle w:val="ListParagraph"/>
              <w:jc w:val="center"/>
              <w:rPr>
                <w:rFonts w:ascii="Times New Roman" w:eastAsia="Times New Roman" w:hAnsi="Times New Roman" w:cs="Times New Roman"/>
                <w:b/>
                <w:bCs/>
                <w:sz w:val="18"/>
                <w:szCs w:val="18"/>
                <w:lang w:val="en-US" w:eastAsia="sq-AL"/>
              </w:rPr>
            </w:pPr>
            <w:r w:rsidRPr="003B7DC9">
              <w:rPr>
                <w:rFonts w:ascii="Times New Roman" w:eastAsia="Times New Roman" w:hAnsi="Times New Roman" w:cs="Times New Roman"/>
                <w:b/>
                <w:bCs/>
                <w:sz w:val="18"/>
                <w:szCs w:val="18"/>
                <w:lang w:val="en-US" w:eastAsia="sq-AL"/>
              </w:rPr>
              <w:t>Neni 8</w:t>
            </w:r>
          </w:p>
          <w:p w14:paraId="298EE2C9" w14:textId="77777777" w:rsidR="00314559" w:rsidRPr="003B7DC9" w:rsidRDefault="00314559" w:rsidP="00314559">
            <w:pPr>
              <w:pStyle w:val="ListParagraph"/>
              <w:jc w:val="center"/>
              <w:rPr>
                <w:rFonts w:ascii="Times New Roman" w:eastAsia="Times New Roman" w:hAnsi="Times New Roman" w:cs="Times New Roman"/>
                <w:b/>
                <w:bCs/>
                <w:sz w:val="18"/>
                <w:szCs w:val="18"/>
                <w:lang w:val="en-US" w:eastAsia="sq-AL"/>
              </w:rPr>
            </w:pPr>
            <w:r w:rsidRPr="003B7DC9">
              <w:rPr>
                <w:rFonts w:ascii="Times New Roman" w:eastAsia="Times New Roman" w:hAnsi="Times New Roman" w:cs="Times New Roman"/>
                <w:b/>
                <w:bCs/>
                <w:sz w:val="18"/>
                <w:szCs w:val="18"/>
                <w:lang w:val="en-US" w:eastAsia="sq-AL"/>
              </w:rPr>
              <w:t>Afatet kohore për shkëmbimin e informacionit sipas kërkesës</w:t>
            </w:r>
          </w:p>
          <w:p w14:paraId="699F10C2" w14:textId="77777777" w:rsidR="00314559" w:rsidRPr="003B7DC9" w:rsidRDefault="00314559" w:rsidP="00314559">
            <w:pPr>
              <w:pStyle w:val="ListParagraph"/>
              <w:jc w:val="center"/>
              <w:rPr>
                <w:rFonts w:ascii="Times New Roman" w:eastAsia="Times New Roman" w:hAnsi="Times New Roman" w:cs="Times New Roman"/>
                <w:bCs/>
                <w:sz w:val="18"/>
                <w:szCs w:val="18"/>
                <w:lang w:val="en-US" w:eastAsia="sq-AL"/>
              </w:rPr>
            </w:pPr>
          </w:p>
          <w:p w14:paraId="1652D738" w14:textId="77777777" w:rsidR="00314559" w:rsidRPr="003B7DC9" w:rsidRDefault="00314559" w:rsidP="00314559">
            <w:pPr>
              <w:pStyle w:val="ListParagraph"/>
              <w:numPr>
                <w:ilvl w:val="0"/>
                <w:numId w:val="117"/>
              </w:numPr>
              <w:jc w:val="both"/>
              <w:rPr>
                <w:rFonts w:ascii="Times New Roman" w:eastAsia="Times New Roman" w:hAnsi="Times New Roman" w:cs="Times New Roman"/>
                <w:bCs/>
                <w:sz w:val="18"/>
                <w:szCs w:val="18"/>
                <w:lang w:val="en-US" w:eastAsia="sq-AL"/>
              </w:rPr>
            </w:pPr>
            <w:r w:rsidRPr="003B7DC9">
              <w:rPr>
                <w:rFonts w:ascii="Times New Roman" w:eastAsia="Times New Roman" w:hAnsi="Times New Roman" w:cs="Times New Roman"/>
                <w:bCs/>
                <w:sz w:val="18"/>
                <w:szCs w:val="18"/>
                <w:lang w:val="en-US" w:eastAsia="sq-AL"/>
              </w:rPr>
              <w:t xml:space="preserve">Autoriteti i kërkuar siguron informacionin e parashikuar në nenin 5 të këtij ligji sa më shpejt që të jetë e mundur dhe, në çdo rast, jo më vonë se tre muaj nga data e marrjes së kërkesës. </w:t>
            </w:r>
          </w:p>
          <w:p w14:paraId="031732AC" w14:textId="77777777" w:rsidR="00314559" w:rsidRPr="003B7DC9" w:rsidRDefault="00314559" w:rsidP="00314559">
            <w:pPr>
              <w:pStyle w:val="ListParagraph"/>
              <w:numPr>
                <w:ilvl w:val="0"/>
                <w:numId w:val="117"/>
              </w:numPr>
              <w:jc w:val="both"/>
              <w:rPr>
                <w:rFonts w:ascii="Times New Roman" w:eastAsia="Times New Roman" w:hAnsi="Times New Roman" w:cs="Times New Roman"/>
                <w:bCs/>
                <w:sz w:val="18"/>
                <w:szCs w:val="18"/>
                <w:lang w:val="en-US" w:eastAsia="sq-AL"/>
              </w:rPr>
            </w:pPr>
            <w:r w:rsidRPr="003B7DC9">
              <w:rPr>
                <w:rFonts w:ascii="Times New Roman" w:eastAsia="Times New Roman" w:hAnsi="Times New Roman" w:cs="Times New Roman"/>
                <w:bCs/>
                <w:sz w:val="18"/>
                <w:szCs w:val="18"/>
                <w:lang w:val="en-US" w:eastAsia="sq-AL"/>
              </w:rPr>
              <w:t xml:space="preserve">Kur autoriteti i kërkuar nuk është në gjendje të përgjigjet brenda afatit të përcaktuar në pikën 1 të këtij neni, ai njofton autoritetin kërkues pa vonesë dhe, në çdo rast, jo më vonë se tre muaj nga data e marrjes së kërkesës, duke paraqitur arsyet e mosplotësimit të saj, si dhe datën e parashikuar kur mund të japë përgjigje. Në çdo rast, afati përfundimtar për dhënien e përgjigjes nuk duhet të tejkalojë gjashtë muaj nga data e marrjes së kërkesës. </w:t>
            </w:r>
          </w:p>
          <w:p w14:paraId="2BFFB439" w14:textId="77777777" w:rsidR="00314559" w:rsidRPr="003B7DC9" w:rsidRDefault="00314559" w:rsidP="00314559">
            <w:pPr>
              <w:pStyle w:val="ListParagraph"/>
              <w:numPr>
                <w:ilvl w:val="0"/>
                <w:numId w:val="117"/>
              </w:numPr>
              <w:jc w:val="both"/>
              <w:rPr>
                <w:rFonts w:ascii="Times New Roman" w:eastAsia="Times New Roman" w:hAnsi="Times New Roman" w:cs="Times New Roman"/>
                <w:bCs/>
                <w:sz w:val="18"/>
                <w:szCs w:val="18"/>
                <w:lang w:val="en-US" w:eastAsia="sq-AL"/>
              </w:rPr>
            </w:pPr>
            <w:r w:rsidRPr="003B7DC9">
              <w:rPr>
                <w:rFonts w:ascii="Times New Roman" w:eastAsia="Times New Roman" w:hAnsi="Times New Roman" w:cs="Times New Roman"/>
                <w:bCs/>
                <w:sz w:val="18"/>
                <w:szCs w:val="18"/>
                <w:lang w:val="en-US" w:eastAsia="sq-AL"/>
              </w:rPr>
              <w:t xml:space="preserve">Kur informacioni i kërkuar disponohet tashmë nga autoriteti i kërkuar, ai transmetohet brenda dy muajve nga data e marrjes së kërkesës. </w:t>
            </w:r>
          </w:p>
          <w:p w14:paraId="0BB1A9FB" w14:textId="77777777" w:rsidR="00314559" w:rsidRPr="003B7DC9" w:rsidRDefault="00314559" w:rsidP="00314559">
            <w:pPr>
              <w:pStyle w:val="ListParagraph"/>
              <w:numPr>
                <w:ilvl w:val="0"/>
                <w:numId w:val="117"/>
              </w:numPr>
              <w:rPr>
                <w:rFonts w:ascii="Times New Roman" w:hAnsi="Times New Roman" w:cs="Times New Roman"/>
                <w:sz w:val="18"/>
                <w:szCs w:val="18"/>
              </w:rPr>
            </w:pPr>
            <w:r w:rsidRPr="003B7DC9">
              <w:rPr>
                <w:rFonts w:ascii="Times New Roman" w:hAnsi="Times New Roman" w:cs="Times New Roman"/>
                <w:sz w:val="18"/>
                <w:szCs w:val="18"/>
              </w:rPr>
              <w:t>Në raste të veçanta, autoriteti i kërkuar dhe autoriteti kërkues mund të bien dakord për afate të ndryshme nga ato të përcaktuara në pikat 1, 2 dhe 3 të këtij neni.</w:t>
            </w:r>
          </w:p>
          <w:p w14:paraId="39D2C04D" w14:textId="77777777" w:rsidR="00314559" w:rsidRPr="003B7DC9" w:rsidRDefault="00314559" w:rsidP="00314559">
            <w:pPr>
              <w:pStyle w:val="ListParagraph"/>
              <w:numPr>
                <w:ilvl w:val="0"/>
                <w:numId w:val="117"/>
              </w:numPr>
              <w:jc w:val="both"/>
              <w:rPr>
                <w:rFonts w:ascii="Times New Roman" w:eastAsia="Times New Roman" w:hAnsi="Times New Roman" w:cs="Times New Roman"/>
                <w:bCs/>
                <w:sz w:val="18"/>
                <w:szCs w:val="18"/>
                <w:lang w:val="en-US" w:eastAsia="sq-AL"/>
              </w:rPr>
            </w:pPr>
            <w:r w:rsidRPr="003B7DC9">
              <w:rPr>
                <w:rFonts w:ascii="Times New Roman" w:eastAsia="Times New Roman" w:hAnsi="Times New Roman" w:cs="Times New Roman"/>
                <w:bCs/>
                <w:sz w:val="18"/>
                <w:szCs w:val="18"/>
                <w:lang w:val="en-US" w:eastAsia="sq-AL"/>
              </w:rPr>
              <w:t xml:space="preserve">Autoriteti i kërkuar konfirmon marrjen e kërkesës pa vonesë dhe, në çdo rast, jo më vonë se shtatë ditë pune nga data e marrjes së saj, mundësisht nëpërmjet mjeteve elektronike. </w:t>
            </w:r>
          </w:p>
          <w:p w14:paraId="652813B3" w14:textId="77777777" w:rsidR="00314559" w:rsidRPr="003B7DC9" w:rsidRDefault="00314559" w:rsidP="00314559">
            <w:pPr>
              <w:pStyle w:val="ListParagraph"/>
              <w:numPr>
                <w:ilvl w:val="0"/>
                <w:numId w:val="117"/>
              </w:numPr>
              <w:jc w:val="both"/>
              <w:rPr>
                <w:rFonts w:ascii="Times New Roman" w:eastAsia="Times New Roman" w:hAnsi="Times New Roman" w:cs="Times New Roman"/>
                <w:bCs/>
                <w:sz w:val="18"/>
                <w:szCs w:val="18"/>
                <w:lang w:val="en-US" w:eastAsia="sq-AL"/>
              </w:rPr>
            </w:pPr>
            <w:r w:rsidRPr="003B7DC9">
              <w:rPr>
                <w:rFonts w:ascii="Times New Roman" w:eastAsia="Times New Roman" w:hAnsi="Times New Roman" w:cs="Times New Roman"/>
                <w:bCs/>
                <w:sz w:val="18"/>
                <w:szCs w:val="18"/>
                <w:lang w:val="en-US" w:eastAsia="sq-AL"/>
              </w:rPr>
              <w:t xml:space="preserve">Brenda një muaji nga marrja e kërkesës, autoriteti i kërkuar njofton autoritetin kërkues për çdo mangësi në kërkesë dhe për nevojën për </w:t>
            </w:r>
            <w:r w:rsidRPr="003B7DC9">
              <w:rPr>
                <w:rFonts w:ascii="Times New Roman" w:eastAsia="Times New Roman" w:hAnsi="Times New Roman" w:cs="Times New Roman"/>
                <w:bCs/>
                <w:sz w:val="18"/>
                <w:szCs w:val="18"/>
                <w:lang w:val="en-US" w:eastAsia="sq-AL"/>
              </w:rPr>
              <w:lastRenderedPageBreak/>
              <w:t xml:space="preserve">informacion shtesë. Në këtë rast, afatet kohore të parashikuara në pikën 1, 2 dhe 3 të këtij neni fillojnë nga dita pas marrjes së informacionit të plotë shtesë. </w:t>
            </w:r>
          </w:p>
          <w:p w14:paraId="02FA816D" w14:textId="3810AB96" w:rsidR="00314559" w:rsidRPr="003B7DC9" w:rsidRDefault="00314559" w:rsidP="00314559">
            <w:pPr>
              <w:pStyle w:val="ListParagraph"/>
              <w:numPr>
                <w:ilvl w:val="0"/>
                <w:numId w:val="117"/>
              </w:numPr>
              <w:jc w:val="both"/>
              <w:rPr>
                <w:rFonts w:ascii="Times New Roman" w:eastAsia="Times New Roman" w:hAnsi="Times New Roman" w:cs="Times New Roman"/>
                <w:bCs/>
                <w:sz w:val="18"/>
                <w:szCs w:val="18"/>
                <w:lang w:val="en-US" w:eastAsia="sq-AL"/>
              </w:rPr>
            </w:pPr>
            <w:r w:rsidRPr="003B7DC9">
              <w:rPr>
                <w:rFonts w:ascii="Times New Roman" w:eastAsia="Times New Roman" w:hAnsi="Times New Roman" w:cs="Times New Roman"/>
                <w:bCs/>
                <w:sz w:val="18"/>
                <w:szCs w:val="18"/>
                <w:lang w:val="en-US" w:eastAsia="sq-AL"/>
              </w:rPr>
              <w:t xml:space="preserve">Kur autoriteti i kërkuar nuk disponon informacionin e kërkuar, nuk është në gjendje t’i përgjigjet kërkesës ose refuzon dhënien e informacionit </w:t>
            </w:r>
            <w:r w:rsidRPr="003B7DC9">
              <w:rPr>
                <w:rFonts w:ascii="Times New Roman" w:eastAsia="Times New Roman" w:hAnsi="Times New Roman" w:cs="Times New Roman"/>
                <w:sz w:val="18"/>
                <w:szCs w:val="18"/>
                <w:lang w:eastAsia="sq-AL"/>
              </w:rPr>
              <w:t>për një nga shkaqet e parashikuara në nenin 9 të këtij ligji</w:t>
            </w:r>
            <w:r w:rsidRPr="003B7DC9">
              <w:rPr>
                <w:rFonts w:ascii="Times New Roman" w:eastAsia="Times New Roman" w:hAnsi="Times New Roman" w:cs="Times New Roman"/>
                <w:bCs/>
                <w:sz w:val="18"/>
                <w:szCs w:val="18"/>
                <w:lang w:val="en-US" w:eastAsia="sq-AL"/>
              </w:rPr>
              <w:t>, ai njofton autoritetin kërkues për arsyet përkatëse pa vonesë dhe, në çdo rast, brenda një muaji nga marrja e kërkesës.</w:t>
            </w:r>
          </w:p>
          <w:p w14:paraId="711A9649" w14:textId="77777777" w:rsidR="00314559" w:rsidRPr="003B7DC9" w:rsidRDefault="00314559" w:rsidP="00314559">
            <w:pPr>
              <w:spacing w:line="312" w:lineRule="atLeast"/>
              <w:jc w:val="both"/>
              <w:rPr>
                <w:rFonts w:ascii="Times New Roman" w:eastAsia="Calibri" w:hAnsi="Times New Roman" w:cs="Times New Roman"/>
                <w:sz w:val="18"/>
                <w:szCs w:val="18"/>
              </w:rPr>
            </w:pPr>
          </w:p>
        </w:tc>
        <w:tc>
          <w:tcPr>
            <w:tcW w:w="1066" w:type="dxa"/>
            <w:tcBorders>
              <w:bottom w:val="dashed" w:sz="4" w:space="0" w:color="auto"/>
            </w:tcBorders>
          </w:tcPr>
          <w:p w14:paraId="3F896C22" w14:textId="636DF9E2"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tcBorders>
              <w:bottom w:val="dashed" w:sz="4" w:space="0" w:color="auto"/>
            </w:tcBorders>
          </w:tcPr>
          <w:p w14:paraId="76BFEABA" w14:textId="4DC75375" w:rsidR="00314559" w:rsidRPr="003B7DC9" w:rsidRDefault="00314559" w:rsidP="00314559">
            <w:pPr>
              <w:rPr>
                <w:rFonts w:ascii="Times New Roman" w:eastAsia="Calibri" w:hAnsi="Times New Roman" w:cs="Times New Roman"/>
                <w:iCs/>
                <w:sz w:val="18"/>
                <w:szCs w:val="18"/>
                <w:lang w:val="en-US"/>
              </w:rPr>
            </w:pPr>
          </w:p>
          <w:p w14:paraId="16062C8C" w14:textId="2C8AF68A" w:rsidR="00314559" w:rsidRPr="003B7DC9" w:rsidRDefault="00314559" w:rsidP="00314559">
            <w:pPr>
              <w:rPr>
                <w:rFonts w:ascii="Times New Roman" w:eastAsia="Calibri" w:hAnsi="Times New Roman" w:cs="Times New Roman"/>
                <w:sz w:val="18"/>
                <w:szCs w:val="18"/>
                <w:lang w:val="en-US"/>
              </w:rPr>
            </w:pPr>
          </w:p>
        </w:tc>
      </w:tr>
      <w:tr w:rsidR="00314559" w:rsidRPr="003B7DC9" w14:paraId="58B319CC" w14:textId="77777777" w:rsidTr="00B75638">
        <w:trPr>
          <w:trHeight w:val="710"/>
        </w:trPr>
        <w:tc>
          <w:tcPr>
            <w:tcW w:w="630" w:type="dxa"/>
          </w:tcPr>
          <w:p w14:paraId="224AE4C1" w14:textId="0D30AC43"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3369F798"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KREU II</w:t>
            </w:r>
          </w:p>
          <w:p w14:paraId="034C3F97"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SHKËMBIMI I INFORMACIONIT</w:t>
            </w:r>
          </w:p>
          <w:p w14:paraId="1F302E44"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SEKSIONI II</w:t>
            </w:r>
          </w:p>
          <w:p w14:paraId="6B9EBEB7" w14:textId="77777777" w:rsidR="00314559" w:rsidRPr="003B7DC9" w:rsidRDefault="00314559" w:rsidP="00314559">
            <w:pPr>
              <w:jc w:val="both"/>
              <w:rPr>
                <w:rFonts w:ascii="Times New Roman" w:eastAsia="Calibri" w:hAnsi="Times New Roman" w:cs="Times New Roman"/>
                <w:b/>
                <w:bCs/>
                <w:iCs/>
                <w:sz w:val="18"/>
                <w:szCs w:val="18"/>
              </w:rPr>
            </w:pPr>
          </w:p>
          <w:p w14:paraId="166BB934" w14:textId="5C8168CF"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Shkëmbimi automatik i detyrueshëm i informacionit</w:t>
            </w:r>
          </w:p>
          <w:p w14:paraId="3366603F" w14:textId="77777777" w:rsidR="00314559" w:rsidRPr="003B7DC9" w:rsidRDefault="00314559" w:rsidP="00314559">
            <w:pPr>
              <w:jc w:val="both"/>
              <w:rPr>
                <w:rFonts w:ascii="Times New Roman" w:eastAsia="Calibri" w:hAnsi="Times New Roman" w:cs="Times New Roman"/>
                <w:b/>
                <w:bCs/>
                <w:iCs/>
                <w:sz w:val="18"/>
                <w:szCs w:val="18"/>
              </w:rPr>
            </w:pPr>
          </w:p>
          <w:p w14:paraId="3DACC9D8" w14:textId="1A3D0E9D"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Neni 8</w:t>
            </w:r>
          </w:p>
          <w:p w14:paraId="6818CB53" w14:textId="77777777" w:rsidR="00314559" w:rsidRPr="003B7DC9" w:rsidRDefault="00314559" w:rsidP="00314559">
            <w:pPr>
              <w:jc w:val="both"/>
              <w:rPr>
                <w:rFonts w:ascii="Times New Roman" w:eastAsia="Calibri" w:hAnsi="Times New Roman" w:cs="Times New Roman"/>
                <w:b/>
                <w:bCs/>
                <w:iCs/>
                <w:sz w:val="18"/>
                <w:szCs w:val="18"/>
              </w:rPr>
            </w:pPr>
          </w:p>
          <w:p w14:paraId="28C84806" w14:textId="44075370"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Fusha e zbatimit dhe kushtet për shkëmbimin automatik të detyrueshëm të informacionit</w:t>
            </w:r>
          </w:p>
          <w:p w14:paraId="267FDEE1" w14:textId="7AA5F0D0" w:rsidR="00314559" w:rsidRPr="003B7DC9" w:rsidRDefault="00314559" w:rsidP="00314559">
            <w:pPr>
              <w:jc w:val="both"/>
              <w:rPr>
                <w:rFonts w:ascii="Times New Roman" w:eastAsia="Calibri" w:hAnsi="Times New Roman" w:cs="Times New Roman"/>
                <w:iCs/>
                <w:sz w:val="18"/>
                <w:szCs w:val="18"/>
              </w:rPr>
            </w:pPr>
          </w:p>
          <w:p w14:paraId="12962945" w14:textId="77777777" w:rsidR="00314559" w:rsidRPr="003B7DC9" w:rsidRDefault="00314559" w:rsidP="00314559">
            <w:pPr>
              <w:numPr>
                <w:ilvl w:val="0"/>
                <w:numId w:val="11"/>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i çdo shteti anëtar, nëpërmjet shkëmbimit automatik, i komunikon autoritetit kompetent të çdo shteti tjetër anëtar çdo informacion në dispozicion që lidhet me personat rezidentë të atij shteti tjetër anëtar, për kategoritë specifike të mëposhtme të të ardhurave dhe kapitalit, siç kuptohen sipas legjislacionit kombëtar të shtetit anëtar që komunikon informacionin:</w:t>
            </w:r>
          </w:p>
          <w:p w14:paraId="25B9F324"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të ardhurat nga punësimi;</w:t>
            </w:r>
            <w:r w:rsidRPr="003B7DC9">
              <w:rPr>
                <w:rFonts w:ascii="Times New Roman" w:eastAsia="Calibri" w:hAnsi="Times New Roman" w:cs="Times New Roman"/>
                <w:iCs/>
                <w:sz w:val="18"/>
                <w:szCs w:val="18"/>
              </w:rPr>
              <w:br/>
              <w:t>(b) shpërblimet e drejtuesve;</w:t>
            </w:r>
            <w:r w:rsidRPr="003B7DC9">
              <w:rPr>
                <w:rFonts w:ascii="Times New Roman" w:eastAsia="Calibri" w:hAnsi="Times New Roman" w:cs="Times New Roman"/>
                <w:iCs/>
                <w:sz w:val="18"/>
                <w:szCs w:val="18"/>
              </w:rPr>
              <w:br/>
              <w:t>(c) të ardhurat nga produktet e sigurimit të jetës që nuk mbulohen nga instrumente të tjera juridike të Bashkimit për shkëmbimin e informacionit dhe masa të tjera të ngjashme;</w:t>
            </w:r>
            <w:r w:rsidRPr="003B7DC9">
              <w:rPr>
                <w:rFonts w:ascii="Times New Roman" w:eastAsia="Calibri" w:hAnsi="Times New Roman" w:cs="Times New Roman"/>
                <w:iCs/>
                <w:sz w:val="18"/>
                <w:szCs w:val="18"/>
              </w:rPr>
              <w:br/>
              <w:t>(d) pensionet;</w:t>
            </w:r>
            <w:r w:rsidRPr="003B7DC9">
              <w:rPr>
                <w:rFonts w:ascii="Times New Roman" w:eastAsia="Calibri" w:hAnsi="Times New Roman" w:cs="Times New Roman"/>
                <w:iCs/>
                <w:sz w:val="18"/>
                <w:szCs w:val="18"/>
              </w:rPr>
              <w:br/>
            </w:r>
            <w:r w:rsidRPr="003B7DC9">
              <w:rPr>
                <w:rFonts w:ascii="Times New Roman" w:eastAsia="Calibri" w:hAnsi="Times New Roman" w:cs="Times New Roman"/>
                <w:iCs/>
                <w:sz w:val="18"/>
                <w:szCs w:val="18"/>
              </w:rPr>
              <w:lastRenderedPageBreak/>
              <w:t>(e) pronësia dhe të ardhurat nga pasuritë e paluajtshme;</w:t>
            </w:r>
            <w:r w:rsidRPr="003B7DC9">
              <w:rPr>
                <w:rFonts w:ascii="Times New Roman" w:eastAsia="Calibri" w:hAnsi="Times New Roman" w:cs="Times New Roman"/>
                <w:iCs/>
                <w:sz w:val="18"/>
                <w:szCs w:val="18"/>
              </w:rPr>
              <w:br/>
              <w:t>(f) honoraret;</w:t>
            </w:r>
            <w:r w:rsidRPr="003B7DC9">
              <w:rPr>
                <w:rFonts w:ascii="Times New Roman" w:eastAsia="Calibri" w:hAnsi="Times New Roman" w:cs="Times New Roman"/>
                <w:iCs/>
                <w:sz w:val="18"/>
                <w:szCs w:val="18"/>
              </w:rPr>
              <w:br/>
              <w:t>(g) të ardhurat nga dividendët jo</w:t>
            </w:r>
            <w:r w:rsidRPr="003B7DC9">
              <w:rPr>
                <w:rFonts w:ascii="Times New Roman" w:eastAsia="Calibri" w:hAnsi="Times New Roman" w:cs="Times New Roman"/>
                <w:iCs/>
                <w:sz w:val="18"/>
                <w:szCs w:val="18"/>
              </w:rPr>
              <w:noBreakHyphen/>
              <w:t>kujdestarë, përveç të ardhurave nga dividendët e përjashtuara nga tatimi mbi të ardhurat e korporatave sipas neneve 4, 5 ose 6 të Direktivës së Këshillit 2011/96/BE.</w:t>
            </w:r>
          </w:p>
          <w:p w14:paraId="69B172F5" w14:textId="04A2056C" w:rsidR="00314559" w:rsidRPr="003B7DC9" w:rsidRDefault="00314559" w:rsidP="00314559">
            <w:pPr>
              <w:jc w:val="both"/>
              <w:rPr>
                <w:rFonts w:ascii="Times New Roman" w:eastAsia="Calibri" w:hAnsi="Times New Roman" w:cs="Times New Roman"/>
                <w:iCs/>
                <w:sz w:val="18"/>
                <w:szCs w:val="18"/>
              </w:rPr>
            </w:pPr>
          </w:p>
          <w:p w14:paraId="57941AC3"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Për periudhat tatimore që fillojnë më ose pas 1 janarit 2024, shtetet anëtare përpiqen të përfshijnë numrin e identifikimit tatimor (TIN) të rezidentëve, të lëshuar nga shteti anëtar i rezidencës, në komunikimin e informacionit të përmendur në nënparagrafin e parë.</w:t>
            </w:r>
          </w:p>
          <w:p w14:paraId="67D38B0C"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Shtetet anëtare informojnë Komisionin çdo vit për të paktën dy kategori të të ardhurave dhe kapitalit të listuara në nënparagrafin e parë, për të cilat ato komunikojnë informacion mbi rezidentët e një shteti tjetër anëtar.</w:t>
            </w:r>
          </w:p>
          <w:p w14:paraId="398A2DE4" w14:textId="77777777" w:rsidR="00314559" w:rsidRPr="003B7DC9" w:rsidRDefault="00314559" w:rsidP="00314559">
            <w:pPr>
              <w:numPr>
                <w:ilvl w:val="0"/>
                <w:numId w:val="12"/>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Përpara 1 janarit 2024, shtetet anëtare informojnë Komisionin për të paktën katër kategori të listuara në nënparagrafin e parë të pikës 1, për të cilat autoriteti kompetent i çdo shteti anëtar, nëpërmjet shkëmbimit automatik, komunikon informacion ndaj autoritetit kompetent të çdo shteti tjetër anëtar për rezidentët e atij shteti anëtar tjetër. Ky informacion lidhet me periudhat tatimore që fillojnë më ose pas 1 janarit 2025.</w:t>
            </w:r>
          </w:p>
          <w:p w14:paraId="050F5834" w14:textId="7C66975E" w:rsidR="00314559" w:rsidRPr="003B7DC9" w:rsidRDefault="00314559" w:rsidP="00314559">
            <w:pPr>
              <w:jc w:val="both"/>
              <w:rPr>
                <w:rFonts w:ascii="Times New Roman" w:eastAsia="Calibri" w:hAnsi="Times New Roman" w:cs="Times New Roman"/>
                <w:iCs/>
                <w:sz w:val="18"/>
                <w:szCs w:val="18"/>
              </w:rPr>
            </w:pPr>
          </w:p>
          <w:p w14:paraId="38B7643C"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Përpara 1 janarit 2026, shtetet anëtare informojnë Komisionin për të paktën pesë kategori të listuara në pikën 1, nënparagrafin e parë, për të cilat autoriteti kompetent i çdo shteti anëtar, nëpërmjet shkëmbimit automatik, komunikon informacion ndaj autoritetit kompetent të çdo shteti tjetër anëtar për rezidentët e këtij të fundit. Ky informacion lidhet me periudhat tatimore që fillojnë më ose pas 1 janarit 2026.</w:t>
            </w:r>
          </w:p>
          <w:p w14:paraId="6E8D251D" w14:textId="7E8E3630" w:rsidR="00314559" w:rsidRPr="003B7DC9" w:rsidRDefault="00314559" w:rsidP="00314559">
            <w:pPr>
              <w:jc w:val="both"/>
              <w:rPr>
                <w:rFonts w:ascii="Times New Roman" w:eastAsia="Calibri" w:hAnsi="Times New Roman" w:cs="Times New Roman"/>
                <w:iCs/>
                <w:sz w:val="18"/>
                <w:szCs w:val="18"/>
              </w:rPr>
            </w:pPr>
          </w:p>
          <w:p w14:paraId="37D5C924" w14:textId="77777777" w:rsidR="00314559" w:rsidRPr="003B7DC9" w:rsidRDefault="00314559" w:rsidP="00314559">
            <w:pPr>
              <w:numPr>
                <w:ilvl w:val="0"/>
                <w:numId w:val="1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i një shteti anëtar mund t’i tregojë autoritetit kompetent të çdo shteti tjetër anëtar se nuk dëshiron të marrë informacion për një ose disa nga kategoritë e të ardhurave dhe kapitalit të përmendura në pikën 1. Ai gjithashtu informon Komisionin për këtë.</w:t>
            </w:r>
          </w:p>
          <w:p w14:paraId="45730C04" w14:textId="19085F74" w:rsidR="00314559" w:rsidRPr="003B7DC9" w:rsidRDefault="00314559" w:rsidP="00314559">
            <w:pPr>
              <w:jc w:val="both"/>
              <w:rPr>
                <w:rFonts w:ascii="Times New Roman" w:eastAsia="Calibri" w:hAnsi="Times New Roman" w:cs="Times New Roman"/>
                <w:iCs/>
                <w:sz w:val="18"/>
                <w:szCs w:val="18"/>
              </w:rPr>
            </w:pPr>
          </w:p>
          <w:p w14:paraId="69A0BC8F"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3a. Çdo shtet anëtar merr masat e nevojshme për të kërkuar që institucionet financiare raportuese të zbatojnë rregullat e raportimit dhe të kujdesit të duhur të përfshira në Aneksin I dhe II dhe për të </w:t>
            </w:r>
            <w:r w:rsidRPr="003B7DC9">
              <w:rPr>
                <w:rFonts w:ascii="Times New Roman" w:eastAsia="Calibri" w:hAnsi="Times New Roman" w:cs="Times New Roman"/>
                <w:iCs/>
                <w:sz w:val="18"/>
                <w:szCs w:val="18"/>
              </w:rPr>
              <w:lastRenderedPageBreak/>
              <w:t>siguruar zbatimin efektiv dhe respektimin e këtyre rregullave në përputhje me Seksionin IX të Aneksit I.</w:t>
            </w:r>
          </w:p>
          <w:p w14:paraId="566EA240"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Në përputhje me rregullat e raportimit dhe të kujdesit të duhur të përcaktuara në Aneksin I dhe II, autoriteti kompetent i çdo shteti anëtar, nëpërmjet shkëmbimit automatik dhe brenda afatit të përcaktuar në pikën 6(b), komunikon tek autoriteti kompetent i çdo shteti tjetër anëtar informacionin e mëposhtëm për periudhat tatimore që nga 1 janari 2016 në lidhje me një Llogari të Raportueshme:</w:t>
            </w:r>
          </w:p>
          <w:p w14:paraId="6D534518"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emrin, adresën, TIN-in/et dhe datën dhe vendin e lindjes (në rastin e një individi) të çdo Personi të Raportueshëm që është mbajtës llogarie dhe, në rastin e një entiteti që është mbajtës llogarie dhe që, pas zbatimit të rregullave të kujdesit të duhur, identifikohet se ka një ose më shumë Persona Kontrollues që janë Persona të Raportueshëm, emrin, adresën dhe TIN-in/et e entitetit, si dhe emrin, adresën, TIN-in/et, datën dhe vendin e lindjes së secilit Person të Raportueshëm;</w:t>
            </w:r>
          </w:p>
          <w:p w14:paraId="2E8E8D60"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 numrin e llogarisë (ose ekuivalentin funksional kur mungon);</w:t>
            </w:r>
          </w:p>
          <w:p w14:paraId="2DD265D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(c) emrin dhe numrin identifikues (nëse ka) të institucionit financiar raportues;</w:t>
            </w:r>
          </w:p>
          <w:p w14:paraId="7B995A91"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(d) gjendjen ose vlerën e llogarisë (përfshirë vlerën monetare në kontratat e sigurimit ose anuitetit), në fund të vitit kalendarik ose periudhës raportuese, ose mbylljen e llogarisë gjatë kësaj periudhe;</w:t>
            </w:r>
          </w:p>
          <w:p w14:paraId="453463BD"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(e) për llogaritë kujdestare:</w:t>
            </w:r>
            <w:r w:rsidRPr="003B7DC9">
              <w:rPr>
                <w:rFonts w:ascii="Times New Roman" w:eastAsia="Calibri" w:hAnsi="Times New Roman" w:cs="Times New Roman"/>
                <w:iCs/>
                <w:sz w:val="18"/>
                <w:szCs w:val="18"/>
              </w:rPr>
              <w:br/>
              <w:t>(i) shumën totale bruto të interesit, dividendëve dhe të ardhurave të tjera; dhe</w:t>
            </w:r>
            <w:r w:rsidRPr="003B7DC9">
              <w:rPr>
                <w:rFonts w:ascii="Times New Roman" w:eastAsia="Calibri" w:hAnsi="Times New Roman" w:cs="Times New Roman"/>
                <w:iCs/>
                <w:sz w:val="18"/>
                <w:szCs w:val="18"/>
              </w:rPr>
              <w:br/>
              <w:t>(ii) të ardhurat bruto nga shitja ose shlyerja e aktiveve financiare;</w:t>
            </w:r>
          </w:p>
          <w:p w14:paraId="05E31544"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(f) për llogaritë depozituese: shumën totale bruto të interesit;</w:t>
            </w:r>
          </w:p>
          <w:p w14:paraId="73B38FBE"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(g) për çdo llogari tjetër: shumën totale bruto të paguar ose kredituar;</w:t>
            </w:r>
          </w:p>
          <w:p w14:paraId="4A9E5526"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(h) nëse është paraqitur vetë</w:t>
            </w:r>
            <w:r w:rsidRPr="003B7DC9">
              <w:rPr>
                <w:rFonts w:ascii="Times New Roman" w:eastAsia="Calibri" w:hAnsi="Times New Roman" w:cs="Times New Roman"/>
                <w:iCs/>
                <w:sz w:val="18"/>
                <w:szCs w:val="18"/>
              </w:rPr>
              <w:noBreakHyphen/>
              <w:t>deklarim i vlefshëm për çdo mbajtës llogarie;</w:t>
            </w:r>
          </w:p>
          <w:p w14:paraId="373566A6"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(i) rolin e personave kontrollues dhe vlefshmërinë e vetë</w:t>
            </w:r>
            <w:r w:rsidRPr="003B7DC9">
              <w:rPr>
                <w:rFonts w:ascii="Times New Roman" w:eastAsia="Calibri" w:hAnsi="Times New Roman" w:cs="Times New Roman"/>
                <w:iCs/>
                <w:sz w:val="18"/>
                <w:szCs w:val="18"/>
              </w:rPr>
              <w:noBreakHyphen/>
              <w:t>deklarimit;</w:t>
            </w:r>
          </w:p>
          <w:p w14:paraId="16AFD1F6"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(j) llojin e llogarisë (ekzistuese, e re, e përbashkët);</w:t>
            </w:r>
          </w:p>
          <w:p w14:paraId="7216942B"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 rolin e poseduesit të interesit në kapital në një entitet investimi.</w:t>
            </w:r>
          </w:p>
          <w:p w14:paraId="673F3299"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Për qëllimet e këtij shkëmbimi, shuma dhe karakterizimi i pagesave përcaktohen sipas legjislacionit kombëtar të shtetit që komunikon informacionin.</w:t>
            </w:r>
          </w:p>
          <w:p w14:paraId="7E8516E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Nënparagrafët e mësipërm mbizotërojnë ndaj dispozitave të tjera të ngjashme, në masën që një shkëmbim i tillë do të binte në fushën e tyre.</w:t>
            </w:r>
          </w:p>
          <w:p w14:paraId="52CBCD3E"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komunikon informacionin sipas shkronjave (h)–(k) për periudhat tatimore nga 1 janari 2026.</w:t>
            </w:r>
          </w:p>
          <w:p w14:paraId="6F8DA826" w14:textId="5F49AE96" w:rsidR="00314559" w:rsidRPr="003B7DC9" w:rsidRDefault="00314559" w:rsidP="00314559">
            <w:pPr>
              <w:jc w:val="both"/>
              <w:rPr>
                <w:rFonts w:ascii="Times New Roman" w:eastAsia="Calibri" w:hAnsi="Times New Roman" w:cs="Times New Roman"/>
                <w:iCs/>
                <w:sz w:val="18"/>
                <w:szCs w:val="18"/>
              </w:rPr>
            </w:pPr>
          </w:p>
          <w:p w14:paraId="2878B7D6" w14:textId="77777777" w:rsidR="00314559" w:rsidRPr="003B7DC9" w:rsidRDefault="00314559" w:rsidP="00314559">
            <w:pPr>
              <w:numPr>
                <w:ilvl w:val="0"/>
                <w:numId w:val="14"/>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Komunikimi i informacionit bëhet si më poshtë:</w:t>
            </w:r>
            <w:r w:rsidRPr="003B7DC9">
              <w:rPr>
                <w:rFonts w:ascii="Times New Roman" w:eastAsia="Calibri" w:hAnsi="Times New Roman" w:cs="Times New Roman"/>
                <w:iCs/>
                <w:sz w:val="18"/>
                <w:szCs w:val="18"/>
              </w:rPr>
              <w:br/>
              <w:t>(a) për kategoritë e pikës 1: të paktën një herë në vit, brenda gjashtë muajve nga përfundimi i vitit tatimor;</w:t>
            </w:r>
            <w:r w:rsidRPr="003B7DC9">
              <w:rPr>
                <w:rFonts w:ascii="Times New Roman" w:eastAsia="Calibri" w:hAnsi="Times New Roman" w:cs="Times New Roman"/>
                <w:iCs/>
                <w:sz w:val="18"/>
                <w:szCs w:val="18"/>
              </w:rPr>
              <w:br/>
              <w:t>(b) për informacionin sipas pikës 3a: çdo vit, brenda nëntë muajve nga përfundimi i periudhës raportuese.</w:t>
            </w:r>
          </w:p>
          <w:p w14:paraId="3A31544D" w14:textId="3F23C020" w:rsidR="00314559" w:rsidRPr="003B7DC9" w:rsidRDefault="00314559" w:rsidP="00314559">
            <w:pPr>
              <w:jc w:val="both"/>
              <w:rPr>
                <w:rFonts w:ascii="Times New Roman" w:eastAsia="Calibri" w:hAnsi="Times New Roman" w:cs="Times New Roman"/>
                <w:iCs/>
                <w:sz w:val="18"/>
                <w:szCs w:val="18"/>
              </w:rPr>
            </w:pPr>
          </w:p>
          <w:p w14:paraId="117BD35C" w14:textId="77777777" w:rsidR="00314559" w:rsidRPr="003B7DC9" w:rsidRDefault="00314559" w:rsidP="00314559">
            <w:pPr>
              <w:numPr>
                <w:ilvl w:val="0"/>
                <w:numId w:val="15"/>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Komisioni miraton rregullimet praktike për shkëmbimin automatik, sipas procedurës së nenit 26(2).</w:t>
            </w:r>
          </w:p>
          <w:p w14:paraId="56682B8A" w14:textId="0D0348F5" w:rsidR="00314559" w:rsidRPr="003B7DC9" w:rsidRDefault="00314559" w:rsidP="00314559">
            <w:pPr>
              <w:jc w:val="both"/>
              <w:rPr>
                <w:rFonts w:ascii="Times New Roman" w:eastAsia="Calibri" w:hAnsi="Times New Roman" w:cs="Times New Roman"/>
                <w:iCs/>
                <w:sz w:val="18"/>
                <w:szCs w:val="18"/>
              </w:rPr>
            </w:pPr>
          </w:p>
          <w:p w14:paraId="755B3308"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7a. Shtetet anëtare sigurojnë që institucionet financiare jo</w:t>
            </w:r>
            <w:r w:rsidRPr="003B7DC9">
              <w:rPr>
                <w:rFonts w:ascii="Times New Roman" w:eastAsia="Calibri" w:hAnsi="Times New Roman" w:cs="Times New Roman"/>
                <w:iCs/>
                <w:sz w:val="18"/>
                <w:szCs w:val="18"/>
              </w:rPr>
              <w:noBreakHyphen/>
              <w:t>raportuese dhe llogaritë e përjashtuara të përmbushin kërkesat e Aneksit I dhe të mos pengojnë qëllimet e kësaj direktive.</w:t>
            </w:r>
          </w:p>
          <w:p w14:paraId="46C1BB4F" w14:textId="2FFCEE2A" w:rsidR="00314559" w:rsidRPr="003B7DC9" w:rsidRDefault="00314559" w:rsidP="00314559">
            <w:pPr>
              <w:jc w:val="both"/>
              <w:rPr>
                <w:rFonts w:ascii="Times New Roman" w:eastAsia="Calibri" w:hAnsi="Times New Roman" w:cs="Times New Roman"/>
                <w:iCs/>
                <w:sz w:val="18"/>
                <w:szCs w:val="18"/>
              </w:rPr>
            </w:pPr>
          </w:p>
          <w:p w14:paraId="113B93DA" w14:textId="77777777" w:rsidR="00314559" w:rsidRPr="003B7DC9" w:rsidRDefault="00314559" w:rsidP="00314559">
            <w:pPr>
              <w:numPr>
                <w:ilvl w:val="0"/>
                <w:numId w:val="16"/>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shtetet anëtare bien dakord për shkëmbim automatik për kategori shtesë të të ardhurave dhe kapitalit në marrëveshje dypalëshe ose shumëpalëshe, ato i komunikojnë këto marrëveshje Komisionit, i cili i bën të disponueshme për shtetet e tjera anëtare.</w:t>
            </w:r>
          </w:p>
          <w:p w14:paraId="7CC33995" w14:textId="366AB060" w:rsidR="00314559" w:rsidRPr="003B7DC9" w:rsidRDefault="00314559" w:rsidP="00314559">
            <w:pPr>
              <w:jc w:val="both"/>
              <w:rPr>
                <w:rFonts w:ascii="Times New Roman" w:eastAsia="Calibri" w:hAnsi="Times New Roman" w:cs="Times New Roman"/>
                <w:iCs/>
                <w:sz w:val="18"/>
                <w:szCs w:val="18"/>
                <w:lang w:val="en-US"/>
              </w:rPr>
            </w:pPr>
          </w:p>
        </w:tc>
        <w:tc>
          <w:tcPr>
            <w:tcW w:w="1170" w:type="dxa"/>
          </w:tcPr>
          <w:p w14:paraId="00B408AA" w14:textId="0E061C14" w:rsidR="00314559" w:rsidRPr="003B7DC9" w:rsidRDefault="00314559" w:rsidP="00314559">
            <w:pPr>
              <w:jc w:val="center"/>
              <w:rPr>
                <w:rFonts w:ascii="Times New Roman" w:eastAsia="Calibri" w:hAnsi="Times New Roman" w:cs="Times New Roman"/>
                <w:i/>
                <w:iCs/>
                <w:sz w:val="18"/>
                <w:szCs w:val="18"/>
              </w:rPr>
            </w:pPr>
            <w:r w:rsidRPr="003B7DC9">
              <w:rPr>
                <w:rFonts w:ascii="Times New Roman" w:eastAsia="Calibri" w:hAnsi="Times New Roman" w:cs="Times New Roman"/>
                <w:sz w:val="18"/>
                <w:szCs w:val="18"/>
              </w:rPr>
              <w:lastRenderedPageBreak/>
              <w:t>1</w:t>
            </w:r>
          </w:p>
        </w:tc>
        <w:tc>
          <w:tcPr>
            <w:tcW w:w="720" w:type="dxa"/>
          </w:tcPr>
          <w:p w14:paraId="1C647092" w14:textId="4B268C2A"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12</w:t>
            </w:r>
          </w:p>
          <w:p w14:paraId="1D0E6CC7" w14:textId="77777777" w:rsidR="00314559" w:rsidRPr="003B7DC9" w:rsidRDefault="00314559" w:rsidP="00314559">
            <w:pPr>
              <w:jc w:val="center"/>
              <w:rPr>
                <w:rFonts w:ascii="Times New Roman" w:eastAsia="Calibri" w:hAnsi="Times New Roman" w:cs="Times New Roman"/>
                <w:sz w:val="18"/>
                <w:szCs w:val="18"/>
                <w:lang w:val="en-US"/>
              </w:rPr>
            </w:pPr>
          </w:p>
          <w:p w14:paraId="50757E0A" w14:textId="75A8309D"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13, pika 1</w:t>
            </w:r>
          </w:p>
          <w:p w14:paraId="7E1EA7A0" w14:textId="77777777" w:rsidR="00314559" w:rsidRPr="003B7DC9" w:rsidRDefault="00314559" w:rsidP="00314559">
            <w:pPr>
              <w:jc w:val="center"/>
              <w:rPr>
                <w:rFonts w:ascii="Times New Roman" w:eastAsia="Calibri" w:hAnsi="Times New Roman" w:cs="Times New Roman"/>
                <w:sz w:val="18"/>
                <w:szCs w:val="18"/>
                <w:lang w:val="en-US"/>
              </w:rPr>
            </w:pPr>
          </w:p>
          <w:p w14:paraId="4FA1D7A2" w14:textId="7FBED7E2"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 xml:space="preserve">Neni 14 </w:t>
            </w:r>
          </w:p>
        </w:tc>
        <w:tc>
          <w:tcPr>
            <w:tcW w:w="4334" w:type="dxa"/>
            <w:tcBorders>
              <w:bottom w:val="dashed" w:sz="4" w:space="0" w:color="auto"/>
            </w:tcBorders>
          </w:tcPr>
          <w:p w14:paraId="301F13A0" w14:textId="77777777" w:rsidR="00314559" w:rsidRPr="003B7DC9" w:rsidRDefault="00314559" w:rsidP="00314559">
            <w:pPr>
              <w:spacing w:before="100" w:beforeAutospacing="1" w:after="100" w:afterAutospacing="1"/>
              <w:rPr>
                <w:rFonts w:ascii="Times New Roman" w:eastAsia="Times New Roman" w:hAnsi="Times New Roman" w:cs="Times New Roman"/>
                <w:b/>
                <w:bCs/>
                <w:sz w:val="18"/>
                <w:szCs w:val="18"/>
                <w:lang w:val="en-US"/>
              </w:rPr>
            </w:pPr>
          </w:p>
          <w:p w14:paraId="4539C1B0" w14:textId="37BB8661" w:rsidR="00314559" w:rsidRPr="003B7DC9" w:rsidRDefault="00314559" w:rsidP="00314559">
            <w:pPr>
              <w:spacing w:before="100" w:beforeAutospacing="1" w:after="100" w:afterAutospacing="1"/>
              <w:ind w:left="360"/>
              <w:jc w:val="center"/>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12</w:t>
            </w:r>
          </w:p>
          <w:p w14:paraId="2E58AFB8" w14:textId="4A58A188" w:rsidR="00314559" w:rsidRPr="003B7DC9" w:rsidRDefault="00314559" w:rsidP="00314559">
            <w:pPr>
              <w:spacing w:before="100" w:beforeAutospacing="1" w:after="100" w:afterAutospacing="1"/>
              <w:ind w:left="360"/>
              <w:jc w:val="center"/>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Shkëmbimi automatik i detyrueshëm i informacionit për kategoritë e të ardhurave dhe kapitalit</w:t>
            </w:r>
          </w:p>
          <w:p w14:paraId="1B59F1AC" w14:textId="77777777" w:rsidR="00314559" w:rsidRPr="003B7DC9" w:rsidRDefault="00314559" w:rsidP="00314559">
            <w:pPr>
              <w:numPr>
                <w:ilvl w:val="0"/>
                <w:numId w:val="118"/>
              </w:numPr>
              <w:spacing w:before="100" w:beforeAutospacing="1" w:after="100" w:afterAutospacing="1"/>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Drejtoria e Përgjithshme e Tatimeve i komunikon autoritetit kompetent të çdo shteti tjetër</w:t>
            </w:r>
            <w:r w:rsidRPr="003B7DC9">
              <w:rPr>
                <w:rFonts w:ascii="Times New Roman" w:eastAsia="Times New Roman" w:hAnsi="Times New Roman" w:cs="Times New Roman"/>
                <w:sz w:val="18"/>
                <w:szCs w:val="18"/>
                <w:lang w:eastAsia="sq-AL"/>
              </w:rPr>
              <w:t xml:space="preserve"> anëtar</w:t>
            </w:r>
            <w:r w:rsidRPr="003B7DC9">
              <w:rPr>
                <w:rFonts w:ascii="Times New Roman" w:eastAsia="Times New Roman" w:hAnsi="Times New Roman" w:cs="Times New Roman"/>
                <w:bCs/>
                <w:sz w:val="18"/>
                <w:szCs w:val="18"/>
                <w:lang w:val="en-US"/>
              </w:rPr>
              <w:t xml:space="preserve">, nëpërmjet shkëmbimit automatik të informacionit, informacionin e disponueshëm që ka në lidhje me personat rezidentë për qëllime tatimore në atë shtet, </w:t>
            </w:r>
            <w:r w:rsidRPr="003B7DC9">
              <w:rPr>
                <w:rFonts w:ascii="Times New Roman" w:eastAsia="Times New Roman" w:hAnsi="Times New Roman" w:cs="Times New Roman"/>
                <w:sz w:val="18"/>
                <w:szCs w:val="18"/>
                <w:lang w:eastAsia="sq-AL"/>
              </w:rPr>
              <w:t>për kategoritë e mëposhtme të të ardhurave dhe kapitalit, sipas kuptimit që ato kanë në legjislacionin e shtetit anëtar që komunikon informacionin:</w:t>
            </w:r>
          </w:p>
          <w:p w14:paraId="6499266E"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a) të ardhurat nga punësimi;</w:t>
            </w:r>
          </w:p>
          <w:p w14:paraId="626426B8"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lastRenderedPageBreak/>
              <w:t>b) të ardhura nga pjesëmarrja në bordet drejtuese;</w:t>
            </w:r>
          </w:p>
          <w:p w14:paraId="372E5C1A"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c) të ardhurat nga produktet e sigurimit të jetës që nuk mbulohen nga instrumente të tjera të Bashkimit Evropian për shkëmbimin e informacionit ose nga masa të tjera të ngjashme;</w:t>
            </w:r>
          </w:p>
          <w:p w14:paraId="08902392"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d) pensionet;</w:t>
            </w:r>
          </w:p>
          <w:p w14:paraId="1CB14E84"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e) pronësia dhe të ardhurat nga pasuria e paluajtshme;</w:t>
            </w:r>
          </w:p>
          <w:p w14:paraId="591DD373"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f) të ardhurat nga honoraret;</w:t>
            </w:r>
          </w:p>
          <w:p w14:paraId="6845D724"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g) të ardhurat nga dividendët që nuk lidhen me një llogari kujdestare, </w:t>
            </w:r>
            <w:r w:rsidRPr="003B7DC9">
              <w:rPr>
                <w:rFonts w:ascii="Times New Roman" w:eastAsia="Times New Roman" w:hAnsi="Times New Roman" w:cs="Times New Roman"/>
                <w:sz w:val="18"/>
                <w:szCs w:val="18"/>
                <w:lang w:eastAsia="sq-AL"/>
              </w:rPr>
              <w:t>me përjashtim të të ardhurave nga dividendët që përjashtohen nga tatimi mbi fitimin korporativ në zbatim të neneve 4, 5 ose 6 të Direktivës së Këshillit 2011/96/BE.</w:t>
            </w:r>
          </w:p>
          <w:p w14:paraId="5A5B5D4A" w14:textId="77777777" w:rsidR="00314559" w:rsidRPr="003B7DC9" w:rsidRDefault="00314559" w:rsidP="00314559">
            <w:pPr>
              <w:numPr>
                <w:ilvl w:val="0"/>
                <w:numId w:val="119"/>
              </w:numPr>
              <w:spacing w:before="100" w:beforeAutospacing="1" w:after="100" w:afterAutospacing="1"/>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Shkëmbimi automatik i informacionit sipas pikës 1 kryhet të paktën një herë në vit, brenda gjashtë muajve pas përfundimit të vitit tatimor gjatë të cilit informacioni është bërë i disponueshëm. </w:t>
            </w:r>
          </w:p>
          <w:p w14:paraId="7E16B838" w14:textId="77777777" w:rsidR="00314559" w:rsidRPr="003B7DC9" w:rsidRDefault="00314559" w:rsidP="00314559">
            <w:pPr>
              <w:numPr>
                <w:ilvl w:val="0"/>
                <w:numId w:val="119"/>
              </w:numPr>
              <w:spacing w:before="100" w:beforeAutospacing="1" w:after="100" w:afterAutospacing="1"/>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sz w:val="18"/>
                <w:szCs w:val="18"/>
                <w:lang w:eastAsia="sq-AL"/>
              </w:rPr>
              <w:t>Për informacionin e përcaktuar në pikën 1 të këtij neni, Drejtoria e Përgjithshme e Tatimeve bën përpjekjet e nevojshme për të përfshirë TIN-in e rezidentit, të lëshuar nga shteti anëtar i rezidencës, si dhe elementet e tjera identifikuese. Për kategoritë e përcaktuara në nenin 15, pika 2, të këtij ligji, zbatohen kërkesat e posaçme të parashikuara në atë nen.</w:t>
            </w:r>
          </w:p>
          <w:p w14:paraId="48A64277" w14:textId="77777777" w:rsidR="00314559" w:rsidRPr="003B7DC9" w:rsidRDefault="00314559" w:rsidP="00314559">
            <w:pPr>
              <w:numPr>
                <w:ilvl w:val="0"/>
                <w:numId w:val="119"/>
              </w:numPr>
              <w:spacing w:before="100" w:beforeAutospacing="1" w:after="100" w:afterAutospacing="1"/>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Drejtoria e Përgjithshme e Tatimeve siguron që shkëmbimi automatik sipas këtij neni të kryhet </w:t>
            </w:r>
            <w:r w:rsidRPr="003B7DC9">
              <w:rPr>
                <w:rFonts w:ascii="Times New Roman" w:eastAsia="Times New Roman" w:hAnsi="Times New Roman" w:cs="Times New Roman"/>
                <w:bCs/>
                <w:sz w:val="18"/>
                <w:szCs w:val="18"/>
                <w:lang w:val="en-US"/>
              </w:rPr>
              <w:lastRenderedPageBreak/>
              <w:t xml:space="preserve">për të paktën pesë nga kategoritë e përcaktuara në pikën 1. Këshilli i Ministrave përcakton burimet e të dhënave, procedurat e mbledhjes, formatet dhe rregullat teknike, pa cenuar detyrimin për shkëmbimin e të paktën pesë kategorive. </w:t>
            </w:r>
          </w:p>
          <w:p w14:paraId="2D50AE77" w14:textId="77777777" w:rsidR="00314559" w:rsidRPr="003B7DC9" w:rsidRDefault="00314559" w:rsidP="00314559">
            <w:pPr>
              <w:numPr>
                <w:ilvl w:val="0"/>
                <w:numId w:val="119"/>
              </w:numPr>
              <w:spacing w:before="100" w:beforeAutospacing="1" w:after="100" w:afterAutospacing="1"/>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sz w:val="18"/>
                <w:szCs w:val="18"/>
                <w:lang w:eastAsia="sq-AL"/>
              </w:rPr>
              <w:t>Drejtoria e Përgjithshme e Tatimeve njofton çdo vit Komisionin Evropian për kategoritë e të ardhurave dhe kapitalit për të cilat komunikon informacion dhe siguron që njoftimi të mbulojë të paktën pesë nga kategoritë e përcaktuara në pikën 1 të këtij neni.</w:t>
            </w:r>
          </w:p>
          <w:p w14:paraId="79375E22" w14:textId="5FE14A17" w:rsidR="00314559" w:rsidRPr="003B7DC9" w:rsidRDefault="00314559" w:rsidP="00314559">
            <w:pPr>
              <w:pStyle w:val="ListParagraph"/>
              <w:numPr>
                <w:ilvl w:val="0"/>
                <w:numId w:val="119"/>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Drejtoria e Përgjithshme e Tatimeve mund të njoftojë autoritetin kompetent të një shteti tjetër anëtar se Republika e Shqipërisë nuk dëshiron të marrë informacion për një ose më shumë nga kategoritë e përcaktuara në pikën 1 dhe njofton njëkohësisht Komisionin Evropian.</w:t>
            </w:r>
          </w:p>
          <w:p w14:paraId="58B51BA0" w14:textId="77777777" w:rsidR="00314559" w:rsidRPr="003B7DC9" w:rsidRDefault="00314559" w:rsidP="00314559">
            <w:pPr>
              <w:jc w:val="center"/>
              <w:outlineLvl w:val="2"/>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13</w:t>
            </w:r>
          </w:p>
          <w:p w14:paraId="36F1A164" w14:textId="77777777" w:rsidR="00314559" w:rsidRPr="003B7DC9" w:rsidRDefault="00314559" w:rsidP="00314559">
            <w:pPr>
              <w:jc w:val="center"/>
              <w:outlineLvl w:val="2"/>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 xml:space="preserve">Mbledhja dhe paraqitja e informacionit për qëllime të shkëmbimit automatik </w:t>
            </w:r>
          </w:p>
          <w:p w14:paraId="6EC9521E" w14:textId="77777777" w:rsidR="00314559" w:rsidRPr="003B7DC9" w:rsidRDefault="00314559" w:rsidP="00314559">
            <w:pPr>
              <w:jc w:val="center"/>
              <w:outlineLvl w:val="2"/>
              <w:rPr>
                <w:rFonts w:ascii="Times New Roman" w:eastAsia="Times New Roman" w:hAnsi="Times New Roman" w:cs="Times New Roman"/>
                <w:bCs/>
                <w:sz w:val="18"/>
                <w:szCs w:val="18"/>
                <w:lang w:val="en-US"/>
              </w:rPr>
            </w:pPr>
          </w:p>
          <w:p w14:paraId="3C602C1B" w14:textId="698F07B2" w:rsidR="00314559" w:rsidRPr="003B7DC9" w:rsidRDefault="00314559" w:rsidP="00314559">
            <w:pPr>
              <w:pStyle w:val="ListParagraph"/>
              <w:numPr>
                <w:ilvl w:val="0"/>
                <w:numId w:val="144"/>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bCs/>
                <w:sz w:val="18"/>
                <w:szCs w:val="18"/>
                <w:lang w:val="en-US"/>
              </w:rPr>
              <w:t xml:space="preserve">Për qëllimet e </w:t>
            </w:r>
            <w:r w:rsidRPr="003B7DC9">
              <w:rPr>
                <w:rFonts w:ascii="Times New Roman" w:eastAsia="Times New Roman" w:hAnsi="Times New Roman" w:cs="Times New Roman"/>
                <w:sz w:val="18"/>
                <w:szCs w:val="18"/>
                <w:lang w:val="en-US"/>
              </w:rPr>
              <w:t>nenit 12,</w:t>
            </w:r>
            <w:r w:rsidRPr="003B7DC9">
              <w:rPr>
                <w:rFonts w:ascii="Times New Roman" w:eastAsia="Times New Roman" w:hAnsi="Times New Roman" w:cs="Times New Roman"/>
                <w:bCs/>
                <w:sz w:val="18"/>
                <w:szCs w:val="18"/>
                <w:lang w:val="en-US"/>
              </w:rPr>
              <w:t xml:space="preserve"> personat që disponojnë ose administrojnë informacion mbi kategoritë e të ardhurave dhe kapitalit të përcaktuara në atë nen, përfshirë punëdhënësit, paguesit e të ardhurave nga pjesëmarrja në bordet drejtuese, shoqëritë e sigurimit të jetës, fondet e pensionit dhe administratorët e tyre, organet që administrojnë regjistrat e pasurive të paluajtshme, paguesit e honorareve dhe paguesit </w:t>
            </w:r>
            <w:r w:rsidRPr="003B7DC9">
              <w:rPr>
                <w:rFonts w:ascii="Times New Roman" w:hAnsi="Times New Roman" w:cs="Times New Roman"/>
                <w:sz w:val="18"/>
                <w:szCs w:val="18"/>
              </w:rPr>
              <w:t xml:space="preserve">e të ardhurave nga dividendët </w:t>
            </w:r>
            <w:r w:rsidRPr="003B7DC9">
              <w:rPr>
                <w:rFonts w:ascii="Times New Roman" w:eastAsia="Times New Roman" w:hAnsi="Times New Roman" w:cs="Times New Roman"/>
                <w:bCs/>
                <w:sz w:val="18"/>
                <w:szCs w:val="18"/>
                <w:lang w:val="en-US"/>
              </w:rPr>
              <w:t xml:space="preserve">që nuk lidhen me një llogari kujdestare, ia paraqesin informacionin Drejtorisë së Përgjithshme të Tatimeve. </w:t>
            </w:r>
            <w:r w:rsidRPr="003B7DC9">
              <w:rPr>
                <w:rFonts w:ascii="Times New Roman" w:eastAsia="Times New Roman" w:hAnsi="Times New Roman" w:cs="Times New Roman"/>
                <w:sz w:val="18"/>
                <w:szCs w:val="18"/>
                <w:lang w:eastAsia="sq-AL"/>
              </w:rPr>
              <w:t xml:space="preserve">Personat e përmendur në këtë pikë paraqesin vetëm informacionin që është i nevojshëm për shkëmbimin automatik dhe që </w:t>
            </w:r>
            <w:r w:rsidRPr="003B7DC9">
              <w:rPr>
                <w:rFonts w:ascii="Times New Roman" w:eastAsia="Times New Roman" w:hAnsi="Times New Roman" w:cs="Times New Roman"/>
                <w:sz w:val="18"/>
                <w:szCs w:val="18"/>
                <w:lang w:eastAsia="sq-AL"/>
              </w:rPr>
              <w:lastRenderedPageBreak/>
              <w:t>ata zotërojnë ose administrojnë në mënyrë të ligjshme.</w:t>
            </w:r>
          </w:p>
          <w:p w14:paraId="5088CE2A" w14:textId="77777777" w:rsidR="00314559" w:rsidRPr="003B7DC9" w:rsidRDefault="00314559" w:rsidP="00314559">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2B5A109A" w14:textId="77777777" w:rsidR="00314559" w:rsidRPr="003B7DC9" w:rsidRDefault="00314559" w:rsidP="00314559">
            <w:pPr>
              <w:pStyle w:val="ListParagraph"/>
              <w:numPr>
                <w:ilvl w:val="0"/>
                <w:numId w:val="144"/>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 xml:space="preserve">Informacioni përmban të dhënat e nevojshme për identifikimin e personit, shtetin e rezidencës tatimore, </w:t>
            </w:r>
            <w:r w:rsidRPr="003B7DC9">
              <w:rPr>
                <w:rFonts w:ascii="Times New Roman" w:hAnsi="Times New Roman" w:cs="Times New Roman"/>
                <w:sz w:val="18"/>
                <w:szCs w:val="18"/>
              </w:rPr>
              <w:t>kategorinë e të ardhurave ose kapitalit dhe periudhën përkatëse</w:t>
            </w:r>
            <w:r w:rsidRPr="003B7DC9">
              <w:rPr>
                <w:rFonts w:ascii="Times New Roman" w:eastAsia="Times New Roman" w:hAnsi="Times New Roman" w:cs="Times New Roman"/>
                <w:sz w:val="18"/>
                <w:szCs w:val="18"/>
                <w:lang w:eastAsia="sq-AL"/>
              </w:rPr>
              <w:t>, shumën dhe monedhën, kur është e zbatueshme, si dhe të dhënat e burimit të informacionit. Fushat e detajuara të të dhënave dhe rregullat për plotësimin e tyre përcaktohen me vendim të Këshillit të Ministrave, në përputhje me formatin e kompjuterizuar të Bashkimit Evropian.</w:t>
            </w:r>
          </w:p>
          <w:p w14:paraId="64D60133" w14:textId="10E26D1F" w:rsidR="00314559" w:rsidRPr="003B7DC9" w:rsidRDefault="00314559" w:rsidP="00314559">
            <w:pPr>
              <w:spacing w:before="100" w:beforeAutospacing="1" w:after="100" w:afterAutospacing="1"/>
              <w:jc w:val="both"/>
              <w:outlineLvl w:val="2"/>
              <w:rPr>
                <w:rFonts w:ascii="Times New Roman" w:eastAsia="Times New Roman" w:hAnsi="Times New Roman" w:cs="Times New Roman"/>
                <w:bCs/>
                <w:sz w:val="18"/>
                <w:szCs w:val="18"/>
                <w:lang w:val="sq-AL"/>
              </w:rPr>
            </w:pPr>
          </w:p>
          <w:p w14:paraId="576CE692" w14:textId="77777777" w:rsidR="00314559" w:rsidRPr="003B7DC9" w:rsidRDefault="00314559" w:rsidP="00314559">
            <w:pPr>
              <w:jc w:val="center"/>
              <w:outlineLvl w:val="2"/>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Cs/>
                <w:sz w:val="18"/>
                <w:szCs w:val="18"/>
                <w:lang w:val="sq-AL"/>
              </w:rPr>
              <w:t xml:space="preserve"> </w:t>
            </w:r>
            <w:r w:rsidRPr="003B7DC9">
              <w:rPr>
                <w:rFonts w:ascii="Times New Roman" w:eastAsia="Times New Roman" w:hAnsi="Times New Roman" w:cs="Times New Roman"/>
                <w:b/>
                <w:bCs/>
                <w:sz w:val="18"/>
                <w:szCs w:val="18"/>
                <w:lang w:val="en-US"/>
              </w:rPr>
              <w:t>Neni 14</w:t>
            </w:r>
          </w:p>
          <w:p w14:paraId="07D6576B" w14:textId="77777777" w:rsidR="00314559" w:rsidRPr="003B7DC9" w:rsidRDefault="00314559" w:rsidP="00314559">
            <w:pPr>
              <w:jc w:val="center"/>
              <w:outlineLvl w:val="2"/>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Formati i shkëmbimit automatik dhe marrëveshjet për kategori shtesë</w:t>
            </w:r>
          </w:p>
          <w:p w14:paraId="44E45852" w14:textId="77777777" w:rsidR="00314559" w:rsidRPr="003B7DC9" w:rsidRDefault="00314559" w:rsidP="00314559">
            <w:pPr>
              <w:jc w:val="both"/>
              <w:outlineLvl w:val="2"/>
              <w:rPr>
                <w:rFonts w:ascii="Times New Roman" w:eastAsia="Times New Roman" w:hAnsi="Times New Roman" w:cs="Times New Roman"/>
                <w:bCs/>
                <w:sz w:val="18"/>
                <w:szCs w:val="18"/>
                <w:lang w:val="en-US"/>
              </w:rPr>
            </w:pPr>
          </w:p>
          <w:p w14:paraId="071D2154" w14:textId="77777777" w:rsidR="00314559" w:rsidRPr="003B7DC9" w:rsidRDefault="00314559" w:rsidP="00314559">
            <w:pPr>
              <w:numPr>
                <w:ilvl w:val="0"/>
                <w:numId w:val="120"/>
              </w:numPr>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Shkëmbimet automatike sipas </w:t>
            </w:r>
            <w:r w:rsidRPr="003B7DC9">
              <w:rPr>
                <w:rFonts w:ascii="Times New Roman" w:eastAsia="Times New Roman" w:hAnsi="Times New Roman" w:cs="Times New Roman"/>
                <w:sz w:val="18"/>
                <w:szCs w:val="18"/>
                <w:lang w:val="en-US"/>
              </w:rPr>
              <w:t>nenit 12</w:t>
            </w:r>
            <w:r w:rsidRPr="003B7DC9">
              <w:rPr>
                <w:rFonts w:ascii="Times New Roman" w:eastAsia="Times New Roman" w:hAnsi="Times New Roman" w:cs="Times New Roman"/>
                <w:bCs/>
                <w:sz w:val="18"/>
                <w:szCs w:val="18"/>
                <w:lang w:val="en-US"/>
              </w:rPr>
              <w:t xml:space="preserve"> kryhen përmes rrjetit CCN, </w:t>
            </w:r>
            <w:bookmarkStart w:id="1" w:name="_Hlk235100041"/>
            <w:r w:rsidRPr="003B7DC9">
              <w:rPr>
                <w:rFonts w:ascii="Times New Roman" w:eastAsia="Times New Roman" w:hAnsi="Times New Roman" w:cs="Times New Roman"/>
                <w:sz w:val="18"/>
                <w:szCs w:val="18"/>
                <w:lang w:eastAsia="sq-AL"/>
              </w:rPr>
              <w:t>duke përdorur formatin e kompjuterizuar të përcaktuar në aneksin V të Rregullores Zbatuese të Komisionit (BE) 2015/2378, të ndryshuar.</w:t>
            </w:r>
            <w:bookmarkEnd w:id="1"/>
          </w:p>
          <w:p w14:paraId="03943756" w14:textId="77777777" w:rsidR="00314559" w:rsidRPr="003B7DC9" w:rsidRDefault="00314559" w:rsidP="00314559">
            <w:pPr>
              <w:numPr>
                <w:ilvl w:val="0"/>
                <w:numId w:val="120"/>
              </w:numPr>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Kur Republika e Shqipërisë </w:t>
            </w:r>
            <w:r w:rsidRPr="003B7DC9">
              <w:rPr>
                <w:rFonts w:ascii="Times New Roman" w:eastAsia="Times New Roman" w:hAnsi="Times New Roman" w:cs="Times New Roman"/>
                <w:sz w:val="18"/>
                <w:szCs w:val="18"/>
                <w:lang w:val="en-US"/>
              </w:rPr>
              <w:t>lidh me</w:t>
            </w:r>
            <w:r w:rsidRPr="003B7DC9">
              <w:rPr>
                <w:rFonts w:ascii="Times New Roman" w:eastAsia="Times New Roman" w:hAnsi="Times New Roman" w:cs="Times New Roman"/>
                <w:bCs/>
                <w:sz w:val="18"/>
                <w:szCs w:val="18"/>
                <w:lang w:val="en-US"/>
              </w:rPr>
              <w:t xml:space="preserve"> një ose më shumë shtete anëtare marrëveshje dypalëshe ose shumëpalëshe për shkëmbimin automatik të kategorive shtesë të të ardhurave dhe kapitalit, Drejtoria e Përgjithshme e Tatimeve ia komunikon këto marrëveshje Komisionit Evropian sipas procedurave </w:t>
            </w:r>
            <w:r w:rsidRPr="003B7DC9">
              <w:rPr>
                <w:rFonts w:ascii="Times New Roman" w:eastAsia="Times New Roman" w:hAnsi="Times New Roman" w:cs="Times New Roman"/>
                <w:sz w:val="18"/>
                <w:szCs w:val="18"/>
                <w:lang w:val="sq-AL"/>
              </w:rPr>
              <w:t xml:space="preserve">të përcaktuara </w:t>
            </w:r>
            <w:r w:rsidRPr="003B7DC9">
              <w:rPr>
                <w:rFonts w:ascii="Times New Roman" w:eastAsia="Times New Roman" w:hAnsi="Times New Roman" w:cs="Times New Roman"/>
                <w:sz w:val="18"/>
                <w:szCs w:val="18"/>
                <w:lang w:eastAsia="sq-AL"/>
              </w:rPr>
              <w:t xml:space="preserve">në të drejtën e </w:t>
            </w:r>
            <w:r w:rsidRPr="003B7DC9">
              <w:rPr>
                <w:rFonts w:ascii="Times New Roman" w:eastAsia="Times New Roman" w:hAnsi="Times New Roman" w:cs="Times New Roman"/>
                <w:bCs/>
                <w:sz w:val="18"/>
                <w:szCs w:val="18"/>
                <w:lang w:val="en-US"/>
              </w:rPr>
              <w:t>Bashkimit Evropian.</w:t>
            </w:r>
          </w:p>
          <w:p w14:paraId="681B8AF9" w14:textId="77777777" w:rsidR="00314559" w:rsidRPr="003B7DC9" w:rsidRDefault="00314559" w:rsidP="00314559">
            <w:pPr>
              <w:jc w:val="both"/>
              <w:outlineLvl w:val="2"/>
              <w:rPr>
                <w:rFonts w:ascii="Times New Roman" w:eastAsia="Times New Roman" w:hAnsi="Times New Roman" w:cs="Times New Roman"/>
                <w:bCs/>
                <w:sz w:val="18"/>
                <w:szCs w:val="18"/>
              </w:rPr>
            </w:pPr>
          </w:p>
          <w:p w14:paraId="48B4CDB0" w14:textId="16540735" w:rsidR="00314559" w:rsidRPr="003B7DC9" w:rsidRDefault="00314559" w:rsidP="00314559">
            <w:pPr>
              <w:spacing w:before="100" w:beforeAutospacing="1" w:after="100" w:afterAutospacing="1"/>
              <w:jc w:val="both"/>
              <w:outlineLvl w:val="2"/>
              <w:rPr>
                <w:rFonts w:ascii="Times New Roman" w:eastAsia="Times New Roman" w:hAnsi="Times New Roman" w:cs="Times New Roman"/>
                <w:bCs/>
                <w:sz w:val="18"/>
                <w:szCs w:val="18"/>
                <w:lang w:val="sq-AL"/>
              </w:rPr>
            </w:pPr>
          </w:p>
          <w:p w14:paraId="7D52EDA0" w14:textId="77777777" w:rsidR="00314559" w:rsidRPr="003B7DC9" w:rsidRDefault="00314559" w:rsidP="00314559">
            <w:pPr>
              <w:rPr>
                <w:rFonts w:ascii="Times New Roman" w:eastAsia="Calibri" w:hAnsi="Times New Roman" w:cs="Times New Roman"/>
                <w:sz w:val="18"/>
                <w:szCs w:val="18"/>
                <w:lang w:val="en-US"/>
              </w:rPr>
            </w:pPr>
          </w:p>
          <w:p w14:paraId="0EDA3A1F" w14:textId="213F14E9" w:rsidR="00314559" w:rsidRPr="003B7DC9" w:rsidRDefault="00314559" w:rsidP="00314559">
            <w:pPr>
              <w:rPr>
                <w:rFonts w:ascii="Times New Roman" w:eastAsia="Calibri" w:hAnsi="Times New Roman" w:cs="Times New Roman"/>
                <w:sz w:val="18"/>
                <w:szCs w:val="18"/>
                <w:lang w:val="en-US"/>
              </w:rPr>
            </w:pPr>
          </w:p>
        </w:tc>
        <w:tc>
          <w:tcPr>
            <w:tcW w:w="1066" w:type="dxa"/>
            <w:tcBorders>
              <w:bottom w:val="dashed" w:sz="4" w:space="0" w:color="auto"/>
            </w:tcBorders>
          </w:tcPr>
          <w:p w14:paraId="154040DF" w14:textId="77777777" w:rsidR="00314559" w:rsidRPr="003B7DC9" w:rsidRDefault="00314559" w:rsidP="00314559">
            <w:pPr>
              <w:jc w:val="center"/>
              <w:rPr>
                <w:rFonts w:ascii="Times New Roman" w:eastAsia="Calibri" w:hAnsi="Times New Roman" w:cs="Times New Roman"/>
                <w:sz w:val="18"/>
                <w:szCs w:val="18"/>
                <w:lang w:val="en-US"/>
              </w:rPr>
            </w:pPr>
          </w:p>
          <w:p w14:paraId="64F469B0" w14:textId="5FF3563D"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F</w:t>
            </w:r>
          </w:p>
        </w:tc>
        <w:tc>
          <w:tcPr>
            <w:tcW w:w="3060" w:type="dxa"/>
            <w:tcBorders>
              <w:bottom w:val="dashed" w:sz="4" w:space="0" w:color="auto"/>
            </w:tcBorders>
          </w:tcPr>
          <w:p w14:paraId="7395A46A" w14:textId="77777777" w:rsidR="00314559" w:rsidRPr="003B7DC9" w:rsidRDefault="00314559" w:rsidP="00314559">
            <w:pPr>
              <w:rPr>
                <w:rFonts w:ascii="Times New Roman" w:eastAsia="Calibri" w:hAnsi="Times New Roman" w:cs="Times New Roman"/>
                <w:sz w:val="18"/>
                <w:szCs w:val="18"/>
                <w:lang w:val="en-US"/>
              </w:rPr>
            </w:pPr>
          </w:p>
          <w:p w14:paraId="20DBDE74" w14:textId="77777777" w:rsidR="00314559" w:rsidRPr="003B7DC9" w:rsidRDefault="00314559" w:rsidP="00314559">
            <w:pP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8 (Seksioni II) i Direktivës 2011/16/BE përcakton kuadrin për shkëmbimin automatik të detyrueshëm të informacionit. Kërkesat e tij zbatohen përmes neneve 11 (fusha e zbatimit dhe kategoritë), 12 (mbledhja e informacionit nga palët e treta) dhe 13 (frekuenca, formati dhe përdorimi i rrjetit CCN) të projektligjit.</w:t>
            </w:r>
          </w:p>
          <w:p w14:paraId="0F876825" w14:textId="2E780568" w:rsidR="00314559" w:rsidRPr="003B7DC9" w:rsidRDefault="00314559" w:rsidP="00314559">
            <w:pPr>
              <w:rPr>
                <w:rFonts w:ascii="Times New Roman" w:eastAsia="Calibri" w:hAnsi="Times New Roman" w:cs="Times New Roman"/>
                <w:sz w:val="18"/>
                <w:szCs w:val="18"/>
                <w:lang w:val="en-US"/>
              </w:rPr>
            </w:pPr>
          </w:p>
        </w:tc>
      </w:tr>
      <w:tr w:rsidR="00314559" w:rsidRPr="003B7DC9" w14:paraId="69F77E82" w14:textId="77777777" w:rsidTr="00B75638">
        <w:tc>
          <w:tcPr>
            <w:tcW w:w="630" w:type="dxa"/>
          </w:tcPr>
          <w:p w14:paraId="69F19673" w14:textId="7B3D6D02"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6C26E04D" w14:textId="2A77CE01" w:rsidR="00314559" w:rsidRPr="003B7DC9" w:rsidRDefault="00314559" w:rsidP="00314559">
            <w:pPr>
              <w:jc w:val="both"/>
              <w:rPr>
                <w:rFonts w:ascii="Times New Roman" w:eastAsia="Calibri" w:hAnsi="Times New Roman" w:cs="Times New Roman"/>
                <w:b/>
                <w:bCs/>
                <w:iCs/>
                <w:sz w:val="18"/>
                <w:szCs w:val="18"/>
              </w:rPr>
            </w:pPr>
          </w:p>
          <w:p w14:paraId="5126C2B8" w14:textId="5E990B2A"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lang w:val="en-US"/>
              </w:rPr>
              <w:t>Article 8a</w:t>
            </w:r>
          </w:p>
          <w:p w14:paraId="61442075" w14:textId="77777777" w:rsidR="00314559" w:rsidRPr="003B7DC9" w:rsidRDefault="00314559" w:rsidP="00314559">
            <w:pPr>
              <w:jc w:val="both"/>
              <w:rPr>
                <w:rFonts w:ascii="Times New Roman" w:eastAsia="Calibri" w:hAnsi="Times New Roman" w:cs="Times New Roman"/>
                <w:b/>
                <w:bCs/>
                <w:iCs/>
                <w:sz w:val="18"/>
                <w:szCs w:val="18"/>
              </w:rPr>
            </w:pPr>
          </w:p>
          <w:p w14:paraId="2AF0EE21" w14:textId="41EDF7B1"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Fusha e zbatimit dhe kushtet e shkëmbimit automatik të detyrueshëm të informacionit për vendimet paraprake ndërkufitare dhe marrëveshjet paraprake për çmimet e transferimit</w:t>
            </w:r>
          </w:p>
          <w:p w14:paraId="77EC286C" w14:textId="77777777" w:rsidR="00314559" w:rsidRPr="003B7DC9" w:rsidRDefault="00314559" w:rsidP="00314559">
            <w:pPr>
              <w:numPr>
                <w:ilvl w:val="0"/>
                <w:numId w:val="17"/>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i një shteti anëtar, kur një vendim paraprak ndërkufitar ose një marrëveshje paraprake për çmimet e transferimit është lëshuar, ndryshuar ose rinovuar pas 31 dhjetorit 2016, komunikon, nëpërmjet shkëmbimit automatik, informacion në lidhje me të tek autoritetet kompetente të të gjitha shteteve të tjera anëtare, si dhe tek Komisioni Evropian, me kufizimin e rasteve të përcaktuara në pikën 8 të këtij neni, në përputhje me rregullimet praktike të zbatueshme të miratuara sipas nenit 21.</w:t>
            </w:r>
          </w:p>
          <w:p w14:paraId="39D7BF88" w14:textId="77777777" w:rsidR="00314559" w:rsidRPr="003B7DC9" w:rsidRDefault="00314559" w:rsidP="00314559">
            <w:pPr>
              <w:numPr>
                <w:ilvl w:val="0"/>
                <w:numId w:val="17"/>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i një shteti anëtar, në përputhje me rregullimet praktike të zbatueshme të miratuara sipas nenit 21, komunikon gjithashtu informacion tek autoritetet kompetente të të gjitha shteteve të tjera anëtare, si dhe tek Komisioni Evropian, me kufizimin e rasteve të përcaktuara në pikën 8 të këtij neni, mbi vendimet paraprake ndërkufitare dhe marrëveshjet paraprake për çmimet e transferimit të lëshuara, ndryshuara ose rinovuara brenda një periudhe që fillon pesë vjet përpara 1 janarit 2017.</w:t>
            </w:r>
          </w:p>
          <w:p w14:paraId="24DB8778"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Nëse vendimet paraprake ndërkufitare dhe marrëveshjet paraprake për çmimet e transferimit janë lëshuar, ndryshuar ose rinovuar ndërmjet 1 janarit 2012 dhe 31 dhjetorit 2013, një komunikim i tillë realizohet me kusht që ato të ishin ende të vlefshme më 1 janar 2014.</w:t>
            </w:r>
          </w:p>
          <w:p w14:paraId="14E8CFE0"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Nëse vendimet paraprake ndërkufitare dhe marrëveshjet paraprake për çmimet e transferimit janë lëshuar, ndryshuar ose rinovuar ndërmjet 1 janarit 2014 dhe 31 dhjetorit 2016, një komunikim i tillë realizohet pavarësisht nëse ato janë ende të vlefshme.</w:t>
            </w:r>
          </w:p>
          <w:p w14:paraId="427B9094"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Shtetet anëtare mund të përjashtojnë nga komunikimi i përmendur në këtë pikë informacionin mbi vendimet paraprake ndërkufitare dhe marrëveshjet paraprake për çmimet e transferimit të lëshuara, ndryshuara ose rinovuara përpara 1 prillit 2016 për një person të </w:t>
            </w:r>
            <w:r w:rsidRPr="003B7DC9">
              <w:rPr>
                <w:rFonts w:ascii="Times New Roman" w:eastAsia="Calibri" w:hAnsi="Times New Roman" w:cs="Times New Roman"/>
                <w:iCs/>
                <w:sz w:val="18"/>
                <w:szCs w:val="18"/>
              </w:rPr>
              <w:lastRenderedPageBreak/>
              <w:t>caktuar ose për një grup personash, duke përjashtuar ata që ushtrojnë kryesisht aktivitete financiare ose investimi, me një xhiro neto vjetore në nivel grupi, siç përcaktohet në pikën (5) të nenit 2 të Direktivës 2013/34/BE të Parlamentit Evropian dhe të Këshillit, më të vogël se 40 000 000 EUR (ose shumën ekuivalente në çdo monedhë tjetër) në vitin fiskal që i paraprin datës së lëshimit, ndryshimit ose rinovimit të këtyre vendimeve paraprake ndërkufitare dhe marrëveshjeve paraprake për çmimet e transferimit.</w:t>
            </w:r>
          </w:p>
          <w:p w14:paraId="19664D31" w14:textId="77777777" w:rsidR="00314559" w:rsidRPr="003B7DC9" w:rsidRDefault="00314559" w:rsidP="00314559">
            <w:pPr>
              <w:numPr>
                <w:ilvl w:val="0"/>
                <w:numId w:val="18"/>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Marrëveshjet paraprake dypalëshe ose shumëpalëshe për çmimet e transferimit me vende të treta përjashtohen nga fusha e shkëmbimit automatik të informacionit sipas këtij neni, kur marrëveshja ndërkombëtare tatimore sipas së cilës është negociuar marrëveshja për çmimet e transferimit nuk lejon zbulimin e saj tek palë të treta. Marrëveshje të tilla paraprake dypalëshe ose shumëpalëshe për çmimet e transferimit shkëmbehen sipas nenit 9, kur marrëveshja ndërkombëtare tatimore sipas së cilës është negociuar marrëveshja për çmimet e transferimit lejon zbulimin e saj, dhe autoriteti kompetent i vendit të tretë jep leje për zbulimin e informacionit.</w:t>
            </w:r>
          </w:p>
          <w:p w14:paraId="04AC18F6"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Megjithatë, kur marrëveshjet paraprake dypalëshe ose shumëpalëshe për çmimet e transferimit do të përjashtoheshin nga shkëmbimi automatik i informacionit sipas fjalisë së parë të nënparagrafit të parë të kësaj pike, informacioni i identifikuar në pikën 6 të këtij neni, i referuar në kërkesën që çoi në lëshimin e një marrëveshjeje të tillë paraprake dypalëshe ose shumëpalëshe për çmimet e transferimit, shkëmbehet në vend të kësaj sipas pikave 1 dhe 2 të këtij neni.</w:t>
            </w:r>
          </w:p>
          <w:p w14:paraId="594645C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▼M8</w:t>
            </w:r>
          </w:p>
          <w:p w14:paraId="77EF7D71" w14:textId="77777777" w:rsidR="00314559" w:rsidRPr="003B7DC9" w:rsidRDefault="00314559" w:rsidP="00314559">
            <w:pPr>
              <w:numPr>
                <w:ilvl w:val="0"/>
                <w:numId w:val="19"/>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Pikat 1 dhe 2 nuk zbatohen në një rast kur një vendim paraprak ndërkufitar lidhet dhe përfshin në mënyrë ekskluzive çështjet tatimore të një ose më shumë personave fizikë, përveç kur një vendim i tillë paraprak ndërkufitar është lëshuar, ndryshuar ose rinovuar pas 1 janarit 2026 dhe kur:</w:t>
            </w:r>
          </w:p>
          <w:p w14:paraId="39AC40F3"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shuma e transaksionit ose serisë së transaksioneve të vendimit paraprak ndërkufitar tejkalon 1 500 000 EUR (ose shumën ekuivalente në çdo monedhë tjetër), nëse një shumë e tillë përmendet në vendimin paraprak ndërkufitar; ose</w:t>
            </w:r>
          </w:p>
          <w:p w14:paraId="20448F8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lastRenderedPageBreak/>
              <w:t>(b) vendimi paraprak ndërkufitar përcakton nëse një person është ose nuk është rezident për qëllime tatimore në shtetin anëtar që lëshon vendimin.</w:t>
            </w:r>
          </w:p>
          <w:p w14:paraId="014230EB"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Për qëllimet e nënparagrafit të parë, shkronja (a), dhe pa cenuar shumën e përmendur në vendimin paraprak ndërkufitar, në një seri transaksionesh që lidhen me mallra, shërbime ose asete të ndryshme, shuma e vendimit paraprak ndërkufitar përfshin vlerën totale bazë. Shumat nuk agregohen nëse të njëjtat mallra, shërbime ose asete janë objekt i transaksioneve disa herë.</w:t>
            </w:r>
          </w:p>
          <w:p w14:paraId="635B4DCF"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Pavarësisht nga nënparagrafi i parë, shkronja (b), shkëmbimi i informacionit mbi vendimet paraprake ndërkufitare që lidhen me persona fizikë nuk përfshin vendime të tilla mbi tatimin në burim në lidhje me të ardhurat e jorezidentëve nga punësimi, shpërblimet e drejtuesve ose pensionet.</w:t>
            </w:r>
          </w:p>
          <w:p w14:paraId="40C4DF0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▼M2</w:t>
            </w:r>
          </w:p>
          <w:p w14:paraId="5BAC28BD" w14:textId="77777777" w:rsidR="00314559" w:rsidRPr="003B7DC9" w:rsidRDefault="00314559" w:rsidP="00314559">
            <w:pPr>
              <w:numPr>
                <w:ilvl w:val="0"/>
                <w:numId w:val="20"/>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Shkëmbimi i informacionit realizohet si më poshtë:</w:t>
            </w:r>
          </w:p>
          <w:p w14:paraId="76A3D2C4"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▼M7</w:t>
            </w:r>
          </w:p>
          <w:p w14:paraId="05D9AFEE"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në lidhje me informacionin e shkëmbyer sipas pikës 1 – pa vonesë pas lëshimit, ndryshimit ose rinovimit të vendimeve paraprake ndërkufitare ose marrëveshjeve paraprake për çmimet e transferimit dhe jo më vonë se tre muaj pas përfundimit të gjysmës së vitit kalendarik gjatë së cilës këto vendime ose marrëveshje janë lëshuar, ndryshuar ose rinovuar;</w:t>
            </w:r>
          </w:p>
          <w:p w14:paraId="0B3EE15B"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▼M2</w:t>
            </w:r>
          </w:p>
          <w:p w14:paraId="065813C3"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 në lidhje me informacionin e shkëmbyer sipas pikës 2 — përpara 1 janarit 2018.</w:t>
            </w:r>
          </w:p>
          <w:p w14:paraId="7BFAE00D" w14:textId="77777777" w:rsidR="00314559" w:rsidRPr="003B7DC9" w:rsidRDefault="00314559" w:rsidP="00314559">
            <w:pPr>
              <w:numPr>
                <w:ilvl w:val="0"/>
                <w:numId w:val="21"/>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Informacioni që do të komunikohet nga një shtet anëtar sipas pikave 1 dhe 2 të këtij neni përfshin sa më poshtë:</w:t>
            </w:r>
          </w:p>
          <w:p w14:paraId="6272461C"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▼M8</w:t>
            </w:r>
          </w:p>
          <w:p w14:paraId="54F895E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identifikimin e personit, përveç një personi fizik, përveç kur vendimi paraprak ndërkufitar lidhet me një person fizik dhe do të komunikohet sipas pikave 1 dhe 4, dhe kur është e përshtatshme, grupin e personave të cilit i përket;</w:t>
            </w:r>
          </w:p>
          <w:p w14:paraId="5F9AE6A7"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▼M7</w:t>
            </w:r>
          </w:p>
          <w:p w14:paraId="548F6F8E"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(b) një përmbledhje të vendimit paraprak ndërkufitar ose marrëveshjes paraprake për çmimet e transferimit, duke përfshirë një përshkrim të aktiviteteve përkatëse të biznesit ose transaksioneve ose serisë së transaksioneve dhe çdo informacion tjetër që mund të ndihmojë autoritetin kompetent në vlerësimin e një rreziku të mundshëm tatimor, pa çuar në zbulimin e një sekreti tregtar, industrial ose </w:t>
            </w:r>
            <w:r w:rsidRPr="003B7DC9">
              <w:rPr>
                <w:rFonts w:ascii="Times New Roman" w:eastAsia="Calibri" w:hAnsi="Times New Roman" w:cs="Times New Roman"/>
                <w:iCs/>
                <w:sz w:val="18"/>
                <w:szCs w:val="18"/>
              </w:rPr>
              <w:lastRenderedPageBreak/>
              <w:t>profesional, ose të një procesi tregtar, ose të informacionit zbulimi i të cilit do të ishte në kundërshtim me politikën publike;</w:t>
            </w:r>
          </w:p>
          <w:p w14:paraId="1DB78117"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▼M2</w:t>
            </w:r>
          </w:p>
          <w:p w14:paraId="23E0156A"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(c) datat e lëshimit, ndryshimit ose rinovimit të vendimit paraprak ndërkufitar ose marrëveshjes paraprake për çmimet e transferimit;</w:t>
            </w:r>
          </w:p>
          <w:p w14:paraId="66A256FA"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(d) data e fillimit të periudhës së vlefshmërisë, nëse specifikohet;</w:t>
            </w:r>
          </w:p>
          <w:p w14:paraId="7CEF9BFE"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(e) data e përfundimit të periudhës së vlefshmërisë, nëse specifikohet;</w:t>
            </w:r>
          </w:p>
          <w:p w14:paraId="0F40640D"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(f) lloji i vendimit paraprak ndërkufitar ose marrëveshjes paraprake për çmimet e transferimit;</w:t>
            </w:r>
          </w:p>
          <w:p w14:paraId="344AF51B"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(g) shuma e transaksionit ose serisë së transaksioneve, nëse ajo përmendet;</w:t>
            </w:r>
          </w:p>
          <w:p w14:paraId="3AA9D0FE"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(h) përshkrimi i grupit të kritereve të përdorura për përcaktimin e çmimeve të transferimit ose vetë çmimit të transferimit;</w:t>
            </w:r>
          </w:p>
          <w:p w14:paraId="1FC3855B"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(i) identifikimi i metodës së përdorur për përcaktimin e çmimeve të transferimit;</w:t>
            </w:r>
          </w:p>
          <w:p w14:paraId="2ADFA8CF"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(j) identifikimi i shteteve të tjera anëtare që mund të jenë të përfshira;</w:t>
            </w:r>
          </w:p>
          <w:p w14:paraId="615BE23E"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 identifikimi i çdo personi tjetër, përveç personit fizik, në shtetet e tjera anëtare që mund të preken; dhe</w:t>
            </w:r>
          </w:p>
          <w:p w14:paraId="1D03449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(l) tregimi nëse informacioni bazohet në vetë vendimin/marrëveshjen apo në kërkesën përkatëse.</w:t>
            </w:r>
          </w:p>
          <w:p w14:paraId="216ADCBA" w14:textId="77777777" w:rsidR="00314559" w:rsidRPr="003B7DC9" w:rsidRDefault="00314559" w:rsidP="00314559">
            <w:pPr>
              <w:numPr>
                <w:ilvl w:val="0"/>
                <w:numId w:val="22"/>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Për të lehtësuar shkëmbimin e informacionit të përmendur në pikën 6, Komisioni miraton rregullimet praktike të nevojshme për zbatimin e këtij neni.</w:t>
            </w:r>
          </w:p>
          <w:p w14:paraId="1BA281D2" w14:textId="77777777" w:rsidR="00314559" w:rsidRPr="003B7DC9" w:rsidRDefault="00314559" w:rsidP="00314559">
            <w:pPr>
              <w:numPr>
                <w:ilvl w:val="0"/>
                <w:numId w:val="22"/>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Informacioni sipas shkronjave (a), (b), (h) dhe (k) nuk i komunikohet Komisionit Evropian.</w:t>
            </w:r>
          </w:p>
          <w:p w14:paraId="445B1C3F" w14:textId="77777777" w:rsidR="00314559" w:rsidRPr="003B7DC9" w:rsidRDefault="00314559" w:rsidP="00314559">
            <w:pPr>
              <w:numPr>
                <w:ilvl w:val="0"/>
                <w:numId w:val="22"/>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konfirmon marrjen e informacionit brenda 7 ditëve pune, nëse është e mundur me mjete elektronike.</w:t>
            </w:r>
          </w:p>
          <w:p w14:paraId="7657773F" w14:textId="77777777" w:rsidR="00314559" w:rsidRPr="003B7DC9" w:rsidRDefault="00314559" w:rsidP="00314559">
            <w:pPr>
              <w:numPr>
                <w:ilvl w:val="0"/>
                <w:numId w:val="22"/>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Shtetet anëtare mund të kërkojnë informacion shtesë, përfshirë tekstin e plotë të vendimit ose marrëveshjes.</w:t>
            </w:r>
          </w:p>
          <w:p w14:paraId="7379828A" w14:textId="407D0D46" w:rsidR="00314559" w:rsidRPr="003B7DC9" w:rsidRDefault="00314559" w:rsidP="00314559">
            <w:pPr>
              <w:jc w:val="both"/>
              <w:rPr>
                <w:rFonts w:ascii="Times New Roman" w:eastAsia="Calibri" w:hAnsi="Times New Roman" w:cs="Times New Roman"/>
                <w:iCs/>
                <w:sz w:val="18"/>
                <w:szCs w:val="18"/>
                <w:lang w:val="en-US"/>
              </w:rPr>
            </w:pPr>
          </w:p>
        </w:tc>
        <w:tc>
          <w:tcPr>
            <w:tcW w:w="1170" w:type="dxa"/>
          </w:tcPr>
          <w:p w14:paraId="126B8A65" w14:textId="1B6FE9AF"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tcPr>
          <w:p w14:paraId="4F71CC44" w14:textId="03824C95"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N/A</w:t>
            </w:r>
          </w:p>
        </w:tc>
        <w:tc>
          <w:tcPr>
            <w:tcW w:w="4334" w:type="dxa"/>
          </w:tcPr>
          <w:p w14:paraId="5BB63C0C" w14:textId="41D595DF" w:rsidR="00314559" w:rsidRPr="003B7DC9" w:rsidRDefault="00314559" w:rsidP="00314559">
            <w:pPr>
              <w:ind w:left="360"/>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N/A</w:t>
            </w:r>
          </w:p>
        </w:tc>
        <w:tc>
          <w:tcPr>
            <w:tcW w:w="1066" w:type="dxa"/>
          </w:tcPr>
          <w:p w14:paraId="792A6F0C" w14:textId="2AE9AF99"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N/A</w:t>
            </w:r>
          </w:p>
        </w:tc>
        <w:tc>
          <w:tcPr>
            <w:tcW w:w="3060" w:type="dxa"/>
          </w:tcPr>
          <w:p w14:paraId="44ADCA8C" w14:textId="77777777" w:rsidR="00314559" w:rsidRPr="003B7DC9" w:rsidRDefault="00314559" w:rsidP="00314559">
            <w:pPr>
              <w:spacing w:line="276" w:lineRule="auto"/>
              <w:jc w:val="both"/>
              <w:rPr>
                <w:rFonts w:ascii="Times New Roman" w:eastAsia="Calibri" w:hAnsi="Times New Roman" w:cs="Times New Roman"/>
                <w:sz w:val="18"/>
                <w:szCs w:val="18"/>
                <w:lang w:val="en-US"/>
              </w:rPr>
            </w:pPr>
          </w:p>
          <w:p w14:paraId="6BF325A1" w14:textId="5B74BF8C" w:rsidR="00314559" w:rsidRPr="003B7DC9" w:rsidRDefault="00314559" w:rsidP="00314559">
            <w:pPr>
              <w:spacing w:line="276" w:lineRule="auto"/>
              <w:jc w:val="both"/>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8a rregullon një regjim specifik të shkëmbimit automatik të informacionit që lidhet me vendimet paraprake ndërkufitare dhe marrëveshjet paraprake për çmimet e transferimit. Projektligji aktual nuk e trajton këtë fushë; për rrjedhojë, kjo dispozitë nuk kërkon transpozim. Ajo transpozohet përmes një projektligji të veçantë që rregullon detyrimet e DAC6 dhe, për këtë arsye, nuk bën pjesë në fushën e projektligjit aktual DAC1.</w:t>
            </w:r>
          </w:p>
        </w:tc>
      </w:tr>
      <w:tr w:rsidR="00314559" w:rsidRPr="003B7DC9" w14:paraId="795D9D6B" w14:textId="77777777" w:rsidTr="00B75638">
        <w:tc>
          <w:tcPr>
            <w:tcW w:w="630" w:type="dxa"/>
          </w:tcPr>
          <w:p w14:paraId="56BD2627" w14:textId="0304CB92"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1E2CB2BB" w14:textId="77777777"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8aa</w:t>
            </w:r>
          </w:p>
          <w:p w14:paraId="33D18115" w14:textId="163CFC4E"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Fusha e zbatimit dhe kushtet e shkëmbimit automatik të detyrueshëm të informacionit për raportin vend</w:t>
            </w:r>
            <w:r w:rsidRPr="003B7DC9">
              <w:rPr>
                <w:rFonts w:ascii="Times New Roman" w:eastAsia="Calibri" w:hAnsi="Times New Roman" w:cs="Times New Roman"/>
                <w:b/>
                <w:bCs/>
                <w:iCs/>
                <w:sz w:val="18"/>
                <w:szCs w:val="18"/>
              </w:rPr>
              <w:noBreakHyphen/>
              <w:t>më</w:t>
            </w:r>
            <w:r w:rsidRPr="003B7DC9">
              <w:rPr>
                <w:rFonts w:ascii="Times New Roman" w:eastAsia="Calibri" w:hAnsi="Times New Roman" w:cs="Times New Roman"/>
                <w:b/>
                <w:bCs/>
                <w:iCs/>
                <w:sz w:val="18"/>
                <w:szCs w:val="18"/>
              </w:rPr>
              <w:noBreakHyphen/>
              <w:t>vend</w:t>
            </w:r>
          </w:p>
          <w:p w14:paraId="3CA7F07D" w14:textId="77777777" w:rsidR="00314559" w:rsidRPr="003B7DC9" w:rsidRDefault="00314559" w:rsidP="00314559">
            <w:pPr>
              <w:jc w:val="both"/>
              <w:rPr>
                <w:rFonts w:ascii="Times New Roman" w:eastAsia="Calibri" w:hAnsi="Times New Roman" w:cs="Times New Roman"/>
                <w:iCs/>
                <w:sz w:val="18"/>
                <w:szCs w:val="18"/>
              </w:rPr>
            </w:pPr>
          </w:p>
          <w:p w14:paraId="0751D19B" w14:textId="77777777" w:rsidR="00314559" w:rsidRPr="003B7DC9" w:rsidRDefault="00314559" w:rsidP="00314559">
            <w:pPr>
              <w:numPr>
                <w:ilvl w:val="0"/>
                <w:numId w:val="2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Çdo shtet anëtar merr masat e nevojshme për të kërkuar që Entiteti Mëmë Përfundimtar i një grupi shumëkombësh (MNE) që është rezident për qëllime tatimore në territorin e tij, ose çdo Entitet tjetër Raportues në përputhje me Seksionin II të Aneksit III, të paraqesë një raport </w:t>
            </w:r>
            <w:r w:rsidRPr="003B7DC9">
              <w:rPr>
                <w:rFonts w:ascii="Times New Roman" w:eastAsia="Calibri" w:hAnsi="Times New Roman" w:cs="Times New Roman"/>
                <w:iCs/>
                <w:sz w:val="18"/>
                <w:szCs w:val="18"/>
              </w:rPr>
              <w:lastRenderedPageBreak/>
              <w:t>vend</w:t>
            </w:r>
            <w:r w:rsidRPr="003B7DC9">
              <w:rPr>
                <w:rFonts w:ascii="Times New Roman" w:eastAsia="Calibri" w:hAnsi="Times New Roman" w:cs="Times New Roman"/>
                <w:iCs/>
                <w:sz w:val="18"/>
                <w:szCs w:val="18"/>
              </w:rPr>
              <w:noBreakHyphen/>
              <w:t>më</w:t>
            </w:r>
            <w:r w:rsidRPr="003B7DC9">
              <w:rPr>
                <w:rFonts w:ascii="Times New Roman" w:eastAsia="Calibri" w:hAnsi="Times New Roman" w:cs="Times New Roman"/>
                <w:iCs/>
                <w:sz w:val="18"/>
                <w:szCs w:val="18"/>
              </w:rPr>
              <w:noBreakHyphen/>
              <w:t>vend në lidhje me vitin e tij fiskal raportues brenda 12 muajve nga dita e fundit e vitit fiskal raportues të grupit shumëkombësh, në përputhje me Seksionin II të Aneksit III.</w:t>
            </w:r>
          </w:p>
          <w:p w14:paraId="68E2EC04" w14:textId="77777777" w:rsidR="00314559" w:rsidRPr="003B7DC9" w:rsidRDefault="00314559" w:rsidP="00314559">
            <w:pPr>
              <w:numPr>
                <w:ilvl w:val="0"/>
                <w:numId w:val="2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i një shteti anëtar ku raporti vend</w:t>
            </w:r>
            <w:r w:rsidRPr="003B7DC9">
              <w:rPr>
                <w:rFonts w:ascii="Times New Roman" w:eastAsia="Calibri" w:hAnsi="Times New Roman" w:cs="Times New Roman"/>
                <w:iCs/>
                <w:sz w:val="18"/>
                <w:szCs w:val="18"/>
              </w:rPr>
              <w:noBreakHyphen/>
              <w:t>më</w:t>
            </w:r>
            <w:r w:rsidRPr="003B7DC9">
              <w:rPr>
                <w:rFonts w:ascii="Times New Roman" w:eastAsia="Calibri" w:hAnsi="Times New Roman" w:cs="Times New Roman"/>
                <w:iCs/>
                <w:sz w:val="18"/>
                <w:szCs w:val="18"/>
              </w:rPr>
              <w:noBreakHyphen/>
              <w:t>vend është marrë në përputhje me pikën 1, komunikon, nëpërmjet shkëmbimit automatik dhe brenda afatit të përcaktuar në pikën 4, raportin vend</w:t>
            </w:r>
            <w:r w:rsidRPr="003B7DC9">
              <w:rPr>
                <w:rFonts w:ascii="Times New Roman" w:eastAsia="Calibri" w:hAnsi="Times New Roman" w:cs="Times New Roman"/>
                <w:iCs/>
                <w:sz w:val="18"/>
                <w:szCs w:val="18"/>
              </w:rPr>
              <w:noBreakHyphen/>
              <w:t>më</w:t>
            </w:r>
            <w:r w:rsidRPr="003B7DC9">
              <w:rPr>
                <w:rFonts w:ascii="Times New Roman" w:eastAsia="Calibri" w:hAnsi="Times New Roman" w:cs="Times New Roman"/>
                <w:iCs/>
                <w:sz w:val="18"/>
                <w:szCs w:val="18"/>
              </w:rPr>
              <w:noBreakHyphen/>
              <w:t>vend tek çdo shtet tjetër anëtar në të cilin, në bazë të informacionit në raportin vend</w:t>
            </w:r>
            <w:r w:rsidRPr="003B7DC9">
              <w:rPr>
                <w:rFonts w:ascii="Times New Roman" w:eastAsia="Calibri" w:hAnsi="Times New Roman" w:cs="Times New Roman"/>
                <w:iCs/>
                <w:sz w:val="18"/>
                <w:szCs w:val="18"/>
              </w:rPr>
              <w:noBreakHyphen/>
              <w:t>më</w:t>
            </w:r>
            <w:r w:rsidRPr="003B7DC9">
              <w:rPr>
                <w:rFonts w:ascii="Times New Roman" w:eastAsia="Calibri" w:hAnsi="Times New Roman" w:cs="Times New Roman"/>
                <w:iCs/>
                <w:sz w:val="18"/>
                <w:szCs w:val="18"/>
              </w:rPr>
              <w:noBreakHyphen/>
              <w:t>vend, një ose më shumë entitete përbërëse të grupit shumëkombësh të entitetit raportues janë ose rezidentë për qëllime tatimore ose i nënshtrohen tatimit në lidhje me veprimtarinë e kryer përmes një njësie të përhershme.</w:t>
            </w:r>
          </w:p>
          <w:p w14:paraId="648544F2" w14:textId="77777777" w:rsidR="00314559" w:rsidRPr="003B7DC9" w:rsidRDefault="00314559" w:rsidP="00314559">
            <w:pPr>
              <w:numPr>
                <w:ilvl w:val="0"/>
                <w:numId w:val="2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Raporti vend</w:t>
            </w:r>
            <w:r w:rsidRPr="003B7DC9">
              <w:rPr>
                <w:rFonts w:ascii="Times New Roman" w:eastAsia="Calibri" w:hAnsi="Times New Roman" w:cs="Times New Roman"/>
                <w:iCs/>
                <w:sz w:val="18"/>
                <w:szCs w:val="18"/>
              </w:rPr>
              <w:noBreakHyphen/>
              <w:t>më</w:t>
            </w:r>
            <w:r w:rsidRPr="003B7DC9">
              <w:rPr>
                <w:rFonts w:ascii="Times New Roman" w:eastAsia="Calibri" w:hAnsi="Times New Roman" w:cs="Times New Roman"/>
                <w:iCs/>
                <w:sz w:val="18"/>
                <w:szCs w:val="18"/>
              </w:rPr>
              <w:noBreakHyphen/>
              <w:t>vend përmban informacionin e mëposhtëm në lidhje me grupin shumëkombësh:</w:t>
            </w:r>
          </w:p>
          <w:p w14:paraId="67B2DC8A"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informacion të agreguar në lidhje me shumën e të ardhurave, fitimin (humbjen) përpara tatimit mbi të ardhurat, tatimin mbi të ardhurat e paguar, tatimin mbi të ardhurat e përllogaritur, kapitalin e deklaruar, fitimet e akumuluara, numrin e punonjësve dhe asetet materiale përveç parasë ose ekuivalentëve të parasë për çdo juridiksion në të cilin grupi shumëkombësh operon;</w:t>
            </w:r>
          </w:p>
          <w:p w14:paraId="53C39829"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 identifikimin e çdo entiteti përbërës të grupit shumëkombësh, duke përcaktuar juridiksionin e rezidencës tatimore të atij entiteti përbërës dhe, kur është i ndryshëm nga ai juridiksion i rezidencës tatimore, juridiksionin sipas ligjeve të të cilit është organizuar ai entitet përbërës, si dhe natyrën e aktivitetit ose aktiviteteve kryesore të këtij entiteti përbërës.</w:t>
            </w:r>
          </w:p>
          <w:p w14:paraId="11B14AAB" w14:textId="77777777" w:rsidR="00314559" w:rsidRPr="003B7DC9" w:rsidRDefault="00314559" w:rsidP="00314559">
            <w:pPr>
              <w:numPr>
                <w:ilvl w:val="0"/>
                <w:numId w:val="24"/>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Komunikimi realizohet brenda 15 muajve nga dita e fundit e vitit fiskal të grupit shumëkombësh me të cilin lidhet raporti vend</w:t>
            </w:r>
            <w:r w:rsidRPr="003B7DC9">
              <w:rPr>
                <w:rFonts w:ascii="Times New Roman" w:eastAsia="Calibri" w:hAnsi="Times New Roman" w:cs="Times New Roman"/>
                <w:iCs/>
                <w:sz w:val="18"/>
                <w:szCs w:val="18"/>
              </w:rPr>
              <w:noBreakHyphen/>
              <w:t>më</w:t>
            </w:r>
            <w:r w:rsidRPr="003B7DC9">
              <w:rPr>
                <w:rFonts w:ascii="Times New Roman" w:eastAsia="Calibri" w:hAnsi="Times New Roman" w:cs="Times New Roman"/>
                <w:iCs/>
                <w:sz w:val="18"/>
                <w:szCs w:val="18"/>
              </w:rPr>
              <w:noBreakHyphen/>
              <w:t>vend. Raporti i parë vend</w:t>
            </w:r>
            <w:r w:rsidRPr="003B7DC9">
              <w:rPr>
                <w:rFonts w:ascii="Times New Roman" w:eastAsia="Calibri" w:hAnsi="Times New Roman" w:cs="Times New Roman"/>
                <w:iCs/>
                <w:sz w:val="18"/>
                <w:szCs w:val="18"/>
              </w:rPr>
              <w:noBreakHyphen/>
              <w:t>më</w:t>
            </w:r>
            <w:r w:rsidRPr="003B7DC9">
              <w:rPr>
                <w:rFonts w:ascii="Times New Roman" w:eastAsia="Calibri" w:hAnsi="Times New Roman" w:cs="Times New Roman"/>
                <w:iCs/>
                <w:sz w:val="18"/>
                <w:szCs w:val="18"/>
              </w:rPr>
              <w:noBreakHyphen/>
              <w:t>vend komunikohet për vitin fiskal të grupit shumëkombësh që fillon më ose pas 1 janarit 2016 dhe ai komunikim realizohet brenda 18 muajve nga dita e fundit e atij viti fiskal.</w:t>
            </w:r>
          </w:p>
          <w:p w14:paraId="316D99B5" w14:textId="2DE44609" w:rsidR="00314559" w:rsidRPr="003B7DC9" w:rsidRDefault="00314559" w:rsidP="00314559">
            <w:pPr>
              <w:jc w:val="both"/>
              <w:rPr>
                <w:rFonts w:ascii="Times New Roman" w:eastAsia="Calibri" w:hAnsi="Times New Roman" w:cs="Times New Roman"/>
                <w:iCs/>
                <w:sz w:val="18"/>
                <w:szCs w:val="18"/>
                <w:lang w:val="en-US"/>
              </w:rPr>
            </w:pPr>
          </w:p>
        </w:tc>
        <w:tc>
          <w:tcPr>
            <w:tcW w:w="1170" w:type="dxa"/>
          </w:tcPr>
          <w:p w14:paraId="68A57B73" w14:textId="2F649DD1" w:rsidR="00314559" w:rsidRPr="003B7DC9" w:rsidRDefault="00314559" w:rsidP="00314559">
            <w:pPr>
              <w:jc w:val="center"/>
              <w:rPr>
                <w:rFonts w:ascii="Times New Roman" w:eastAsia="Calibri" w:hAnsi="Times New Roman" w:cs="Times New Roman"/>
                <w:i/>
                <w:iCs/>
                <w:sz w:val="18"/>
                <w:szCs w:val="18"/>
              </w:rPr>
            </w:pPr>
            <w:r w:rsidRPr="003B7DC9">
              <w:rPr>
                <w:rFonts w:ascii="Times New Roman" w:eastAsia="Calibri" w:hAnsi="Times New Roman" w:cs="Times New Roman"/>
                <w:sz w:val="18"/>
                <w:szCs w:val="18"/>
              </w:rPr>
              <w:lastRenderedPageBreak/>
              <w:t>1</w:t>
            </w:r>
          </w:p>
        </w:tc>
        <w:tc>
          <w:tcPr>
            <w:tcW w:w="720" w:type="dxa"/>
          </w:tcPr>
          <w:p w14:paraId="0878DC85" w14:textId="77777777" w:rsidR="00314559" w:rsidRPr="003B7DC9" w:rsidRDefault="00314559" w:rsidP="00314559">
            <w:pPr>
              <w:jc w:val="center"/>
              <w:rPr>
                <w:rFonts w:ascii="Times New Roman" w:eastAsia="Calibri" w:hAnsi="Times New Roman" w:cs="Times New Roman"/>
                <w:sz w:val="18"/>
                <w:szCs w:val="18"/>
                <w:lang w:val="en-US"/>
              </w:rPr>
            </w:pPr>
          </w:p>
          <w:p w14:paraId="482568F1" w14:textId="2F526EFE"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N/A</w:t>
            </w:r>
          </w:p>
        </w:tc>
        <w:tc>
          <w:tcPr>
            <w:tcW w:w="4334" w:type="dxa"/>
          </w:tcPr>
          <w:p w14:paraId="0BFF979F" w14:textId="77777777" w:rsidR="00314559" w:rsidRPr="003B7DC9" w:rsidRDefault="00314559" w:rsidP="00314559">
            <w:pPr>
              <w:jc w:val="center"/>
              <w:rPr>
                <w:rFonts w:ascii="Times New Roman" w:eastAsia="Calibri" w:hAnsi="Times New Roman" w:cs="Times New Roman"/>
                <w:i/>
                <w:iCs/>
                <w:sz w:val="18"/>
                <w:szCs w:val="18"/>
                <w:lang w:val="en-US"/>
              </w:rPr>
            </w:pPr>
          </w:p>
          <w:p w14:paraId="296B3CE5" w14:textId="77777777" w:rsidR="00314559" w:rsidRPr="003B7DC9" w:rsidRDefault="00314559" w:rsidP="00314559">
            <w:pPr>
              <w:jc w:val="center"/>
              <w:rPr>
                <w:rFonts w:ascii="Times New Roman" w:eastAsia="Calibri" w:hAnsi="Times New Roman" w:cs="Times New Roman"/>
                <w:i/>
                <w:iCs/>
                <w:sz w:val="18"/>
                <w:szCs w:val="18"/>
                <w:lang w:val="en-US"/>
              </w:rPr>
            </w:pPr>
          </w:p>
          <w:p w14:paraId="5E37C130" w14:textId="0CBE153C" w:rsidR="00314559" w:rsidRPr="003B7DC9" w:rsidRDefault="00314559" w:rsidP="00314559">
            <w:pPr>
              <w:jc w:val="center"/>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N/A</w:t>
            </w:r>
          </w:p>
        </w:tc>
        <w:tc>
          <w:tcPr>
            <w:tcW w:w="1066" w:type="dxa"/>
          </w:tcPr>
          <w:p w14:paraId="14A53718" w14:textId="77777777" w:rsidR="00314559" w:rsidRPr="003B7DC9" w:rsidRDefault="00314559" w:rsidP="00314559">
            <w:pPr>
              <w:jc w:val="center"/>
              <w:rPr>
                <w:rFonts w:ascii="Times New Roman" w:eastAsia="Calibri" w:hAnsi="Times New Roman" w:cs="Times New Roman"/>
                <w:i/>
                <w:iCs/>
                <w:sz w:val="18"/>
                <w:szCs w:val="18"/>
                <w:lang w:val="en-US"/>
              </w:rPr>
            </w:pPr>
          </w:p>
          <w:p w14:paraId="1607FEE8" w14:textId="77777777" w:rsidR="00314559" w:rsidRPr="003B7DC9" w:rsidRDefault="00314559" w:rsidP="00314559">
            <w:pPr>
              <w:jc w:val="center"/>
              <w:rPr>
                <w:rFonts w:ascii="Times New Roman" w:eastAsia="Calibri" w:hAnsi="Times New Roman" w:cs="Times New Roman"/>
                <w:i/>
                <w:iCs/>
                <w:sz w:val="18"/>
                <w:szCs w:val="18"/>
                <w:lang w:val="en-US"/>
              </w:rPr>
            </w:pPr>
          </w:p>
          <w:p w14:paraId="1BFB2DE6" w14:textId="0198443A" w:rsidR="00314559" w:rsidRPr="003B7DC9" w:rsidRDefault="00314559" w:rsidP="00314559">
            <w:pPr>
              <w:jc w:val="center"/>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N/A</w:t>
            </w:r>
          </w:p>
        </w:tc>
        <w:tc>
          <w:tcPr>
            <w:tcW w:w="3060" w:type="dxa"/>
          </w:tcPr>
          <w:p w14:paraId="7B7018F4" w14:textId="77777777" w:rsidR="00314559" w:rsidRPr="003B7DC9" w:rsidRDefault="00314559" w:rsidP="00314559">
            <w:pPr>
              <w:rPr>
                <w:rFonts w:ascii="Times New Roman" w:eastAsia="Calibri" w:hAnsi="Times New Roman" w:cs="Times New Roman"/>
                <w:sz w:val="18"/>
                <w:szCs w:val="18"/>
                <w:lang w:val="en-US"/>
              </w:rPr>
            </w:pPr>
          </w:p>
          <w:p w14:paraId="2FF6816F" w14:textId="77777777" w:rsidR="00314559" w:rsidRPr="003B7DC9" w:rsidRDefault="00314559" w:rsidP="00314559">
            <w:pPr>
              <w:spacing w:line="276" w:lineRule="auto"/>
              <w:rPr>
                <w:rFonts w:ascii="Times New Roman" w:eastAsia="Calibri" w:hAnsi="Times New Roman" w:cs="Times New Roman"/>
                <w:sz w:val="18"/>
                <w:szCs w:val="18"/>
              </w:rPr>
            </w:pPr>
            <w:r w:rsidRPr="003B7DC9">
              <w:rPr>
                <w:rFonts w:ascii="Times New Roman" w:eastAsia="Calibri" w:hAnsi="Times New Roman" w:cs="Times New Roman"/>
                <w:sz w:val="18"/>
                <w:szCs w:val="18"/>
              </w:rPr>
              <w:t>Neni 8aa prezanton një detyrim të veçantë për shkëmbimin automatik të informacionit në lidhje me raportimin vend</w:t>
            </w:r>
            <w:r w:rsidRPr="003B7DC9">
              <w:rPr>
                <w:rFonts w:ascii="Times New Roman" w:eastAsia="Calibri" w:hAnsi="Times New Roman" w:cs="Times New Roman"/>
                <w:sz w:val="18"/>
                <w:szCs w:val="18"/>
              </w:rPr>
              <w:noBreakHyphen/>
              <w:t>më</w:t>
            </w:r>
            <w:r w:rsidRPr="003B7DC9">
              <w:rPr>
                <w:rFonts w:ascii="Times New Roman" w:eastAsia="Calibri" w:hAnsi="Times New Roman" w:cs="Times New Roman"/>
                <w:sz w:val="18"/>
                <w:szCs w:val="18"/>
              </w:rPr>
              <w:noBreakHyphen/>
              <w:t>vend. Duke qenë se ky projektligj nuk rregullon detyrimet për raportimin vend</w:t>
            </w:r>
            <w:r w:rsidRPr="003B7DC9">
              <w:rPr>
                <w:rFonts w:ascii="Times New Roman" w:eastAsia="Calibri" w:hAnsi="Times New Roman" w:cs="Times New Roman"/>
                <w:sz w:val="18"/>
                <w:szCs w:val="18"/>
              </w:rPr>
              <w:noBreakHyphen/>
              <w:t>më</w:t>
            </w:r>
            <w:r w:rsidRPr="003B7DC9">
              <w:rPr>
                <w:rFonts w:ascii="Times New Roman" w:eastAsia="Calibri" w:hAnsi="Times New Roman" w:cs="Times New Roman"/>
                <w:sz w:val="18"/>
                <w:szCs w:val="18"/>
              </w:rPr>
              <w:noBreakHyphen/>
              <w:t xml:space="preserve">vend, kjo dispozitë nuk kërkon transpozim. Ajo </w:t>
            </w:r>
            <w:r w:rsidRPr="003B7DC9">
              <w:rPr>
                <w:rFonts w:ascii="Times New Roman" w:eastAsia="Calibri" w:hAnsi="Times New Roman" w:cs="Times New Roman"/>
                <w:sz w:val="18"/>
                <w:szCs w:val="18"/>
              </w:rPr>
              <w:lastRenderedPageBreak/>
              <w:t>transpozohet përmes një projektligji të veçantë.</w:t>
            </w:r>
          </w:p>
          <w:p w14:paraId="0E1C93C5" w14:textId="33EA12BA" w:rsidR="00314559" w:rsidRPr="003B7DC9" w:rsidRDefault="00314559" w:rsidP="00314559">
            <w:pPr>
              <w:spacing w:line="276" w:lineRule="auto"/>
              <w:rPr>
                <w:rFonts w:ascii="Times New Roman" w:eastAsia="Calibri" w:hAnsi="Times New Roman" w:cs="Times New Roman"/>
                <w:sz w:val="18"/>
                <w:szCs w:val="18"/>
                <w:lang w:val="en-US"/>
              </w:rPr>
            </w:pPr>
          </w:p>
        </w:tc>
      </w:tr>
      <w:tr w:rsidR="00314559" w:rsidRPr="003B7DC9" w14:paraId="602A0892" w14:textId="77777777" w:rsidTr="00B75638">
        <w:trPr>
          <w:trHeight w:val="900"/>
        </w:trPr>
        <w:tc>
          <w:tcPr>
            <w:tcW w:w="630" w:type="dxa"/>
          </w:tcPr>
          <w:p w14:paraId="176CFC32" w14:textId="7CC0D92E"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57904C32" w14:textId="77777777"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8ab</w:t>
            </w:r>
          </w:p>
          <w:p w14:paraId="55C80F6D"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Fusha e zbatimit dhe kushtet e shkëmbimit automatik të detyrueshëm të informacionit për marrëveshjet ndërkufitare të raportueshme</w:t>
            </w:r>
          </w:p>
          <w:p w14:paraId="7704ACB3" w14:textId="77777777" w:rsidR="00314559" w:rsidRPr="003B7DC9" w:rsidRDefault="00314559" w:rsidP="00314559">
            <w:pPr>
              <w:numPr>
                <w:ilvl w:val="0"/>
                <w:numId w:val="25"/>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Çdo shtet anëtar merr masat e nevojshme për të kërkuar që ndërmjetësit të paraqesin informacion që ndodhet në </w:t>
            </w:r>
            <w:r w:rsidRPr="003B7DC9">
              <w:rPr>
                <w:rFonts w:ascii="Times New Roman" w:eastAsia="Calibri" w:hAnsi="Times New Roman" w:cs="Times New Roman"/>
                <w:iCs/>
                <w:sz w:val="18"/>
                <w:szCs w:val="18"/>
              </w:rPr>
              <w:lastRenderedPageBreak/>
              <w:t>dijeninë, posedimin ose kontrollin e tyre mbi marrëveshjet ndërkufitare të raportueshme tek autoritetet kompetente brenda 30 ditëve, duke filluar:</w:t>
            </w:r>
          </w:p>
          <w:p w14:paraId="096242A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në ditën pas asaj në të cilën marrëveshja ndërkufitare e raportueshme vihet në dispozicion për zbatim; ose</w:t>
            </w:r>
          </w:p>
          <w:p w14:paraId="19A371E9"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 në ditën pas asaj në të cilën marrëveshja ndërkufitare e raportueshme është e gatshme për zbatim; ose</w:t>
            </w:r>
          </w:p>
          <w:p w14:paraId="2E55B370"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(c) kur është ndërmarrë hapi i parë në zbatimin e marrëveshjes ndërkufitare të raportueshme,</w:t>
            </w:r>
          </w:p>
          <w:p w14:paraId="28D1A79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cilado që ndodh e para.</w:t>
            </w:r>
          </w:p>
          <w:p w14:paraId="0E16B51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Pavarësisht nga nënparagrafi i parë, ndërmjetësit e përmendur në paragrafin e dytë të pikës 21 të nenit 3 janë gjithashtu të detyruar të paraqesin informacion brenda 30 ditëve, duke filluar nga dita pas asaj në të cilën ata kanë ofruar, drejtpërdrejt ose nëpërmjet personave të tjerë, ndihmë, asistencë ose këshillim.</w:t>
            </w:r>
          </w:p>
          <w:p w14:paraId="182D91B7" w14:textId="77777777" w:rsidR="00314559" w:rsidRPr="003B7DC9" w:rsidRDefault="00314559" w:rsidP="00314559">
            <w:pPr>
              <w:numPr>
                <w:ilvl w:val="0"/>
                <w:numId w:val="26"/>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Në rastin e marrëveshjeve të marketueshme, shtetet anëtare marrin masat e nevojshme për të kërkuar që një raport periodik të paraqitet nga ndërmjetësi çdo 3 muaj, duke dhënë një përditësim që përmban informacion të ri të raportueshëm siç përmendet në shkronjat (a), (d), (g) dhe (h) të pikës 14, që është bërë i disponueshëm që nga raporti i fundit i paraqitur.</w:t>
            </w:r>
          </w:p>
          <w:p w14:paraId="273BDDF7" w14:textId="77777777" w:rsidR="00314559" w:rsidRPr="003B7DC9" w:rsidRDefault="00314559" w:rsidP="00314559">
            <w:pPr>
              <w:numPr>
                <w:ilvl w:val="0"/>
                <w:numId w:val="26"/>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ndërmjetësi ka detyrimin të paraqesë informacion mbi marrëveshjet ndërkufitare të raportueshme tek autoritetet kompetente të më shumë se një shteti anëtar, ky informacion paraqitet vetëm në shtetin anëtar që renditet i pari në listën më poshtë:</w:t>
            </w:r>
          </w:p>
          <w:p w14:paraId="3EBF275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shteti anëtar ku ndërmjetësi është rezident për qëllime tatimore;</w:t>
            </w:r>
          </w:p>
          <w:p w14:paraId="46543F6B"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 shteti anëtar ku ndërmjetësi ka një njësi të përhershme përmes së cilës ofrohen shërbimet në lidhje me marrëveshjen;</w:t>
            </w:r>
          </w:p>
          <w:p w14:paraId="2911C26A"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(c) shteti anëtar sipas ligjeve të të cilit ndërmjetësi është i themeluar ose rregullohet;</w:t>
            </w:r>
          </w:p>
          <w:p w14:paraId="295C2E7B"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(d) shteti anëtar ku ndërmjetësi është i regjistruar në një organizatë profesionale që lidhet me shërbimet juridike, tatimore ose të konsulencës.</w:t>
            </w:r>
          </w:p>
          <w:p w14:paraId="506FF395" w14:textId="77777777" w:rsidR="00314559" w:rsidRPr="003B7DC9" w:rsidRDefault="00314559" w:rsidP="00314559">
            <w:pPr>
              <w:numPr>
                <w:ilvl w:val="0"/>
                <w:numId w:val="27"/>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sipas pikës 3, ekziston një detyrim i shumëfishtë raportimi, ndërmjetësi përjashtohet nga paraqitja e informacionit nëse ai ka prova, në përputhje me legjislacionin kombëtar, se i njëjti informacion është paraqitur në një shtet tjetër anëtar.</w:t>
            </w:r>
          </w:p>
          <w:p w14:paraId="71E07F3B"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lastRenderedPageBreak/>
              <w:t>▼M8</w:t>
            </w:r>
          </w:p>
          <w:p w14:paraId="4C7DEE0C" w14:textId="77777777" w:rsidR="00314559" w:rsidRPr="003B7DC9" w:rsidRDefault="00314559" w:rsidP="00314559">
            <w:pPr>
              <w:numPr>
                <w:ilvl w:val="0"/>
                <w:numId w:val="28"/>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Çdo shtet anëtar mund të marrë masat e nevojshme për t’u dhënë ndërmjetësve të drejtën për përjashtim nga paraqitja e informacionit mbi një marrëveshje ndërkufitare të raportueshme kur detyrimi i raportimit do të shkelte sekretin profesional ligjor sipas legjislacionit kombëtar të atij shteti anëtar. Në rrethana të tilla, çdo shtet anëtar merr masat e nevojshme për të kërkuar që çdo ndërmjetës që ka përfituar nga një përjashtim i tillë të njoftojë, pa vonesë, klientin e tij, nëse ky klient është ndërmjetës ose, kur nuk ka një ndërmjetës të tillë, ky klient është tatimpaguesi përkatës, për detyrimet e raportimit të këtij klienti sipas pikës 6.</w:t>
            </w:r>
          </w:p>
          <w:p w14:paraId="162226B1"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▼M5</w:t>
            </w:r>
          </w:p>
          <w:p w14:paraId="37331018"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Ndërmjetësit mund të kenë të drejtën e një përjashtimi sipas nënparagrafit të parë vetëm në masën që ata veprojnë brenda kufijve të legjislacionit kombëtar përkatës që përcakton profesionet e tyre.</w:t>
            </w:r>
          </w:p>
          <w:p w14:paraId="3CFD409C" w14:textId="77777777" w:rsidR="00314559" w:rsidRPr="003B7DC9" w:rsidRDefault="00314559" w:rsidP="00314559">
            <w:pPr>
              <w:numPr>
                <w:ilvl w:val="0"/>
                <w:numId w:val="29"/>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Çdo shtet anëtar merr masat e nevojshme për të kërkuar që, kur nuk ka ndërmjetës ose ndërmjetësi njofton tatimpaguesin përkatës ose një ndërmjetës tjetër për zbatimin e një përjashtimi sipas pikës 5, detyrimi për të paraqitur informacion mbi një marrëveshje ndërkufitare të raportueshme t’i takojë ndërmjetësit tjetër të njoftuar ose, nëse nuk ekziston një ndërmjetës i tillë, tatimpaguesit përkatës.</w:t>
            </w:r>
          </w:p>
          <w:p w14:paraId="5AA47CFB" w14:textId="77777777" w:rsidR="00314559" w:rsidRPr="003B7DC9" w:rsidRDefault="00314559" w:rsidP="00314559">
            <w:pPr>
              <w:numPr>
                <w:ilvl w:val="0"/>
                <w:numId w:val="29"/>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Tatimpaguesi përkatës mbi të cilin bie detyrimi i raportimit paraqet informacionin brenda 30 ditëve, duke filluar nga dita pas asaj në të cilën marrëveshja ndërkufitare e raportueshme vihet në dispozicion për zbatim për atë tatimpagues përkatës, ose është e gatshme për zbatim nga ky tatimpagues përkatës, ose kur është ndërmarrë hapi i parë në zbatimin e saj në lidhje me tatimpaguesin përkatës, cilado që ndodh e para.</w:t>
            </w:r>
          </w:p>
          <w:p w14:paraId="735BA0FE"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tatimpaguesi përkatës ka një detyrim për të paraqitur informacion mbi marrëveshjen ndërkufitare të raportueshme tek autoritetet kompetente të më shumë se një shteti anëtar, ky informacion paraqitet vetëm tek autoritetet kompetente të shtetit anëtar që renditet i pari në listën më poshtë:</w:t>
            </w:r>
          </w:p>
          <w:p w14:paraId="1D3C1B20"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shteti anëtar ku tatimpaguesi përkatës është rezident për qëllime tatimore;</w:t>
            </w:r>
          </w:p>
          <w:p w14:paraId="25E94F00"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lastRenderedPageBreak/>
              <w:t>(b) shteti anëtar ku tatimpaguesi përkatës ka një njësi të përhershme që përfiton nga marrëveshja;</w:t>
            </w:r>
          </w:p>
          <w:p w14:paraId="02888B9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(c) shteti anëtar ku tatimpaguesi përkatës merr të ardhura ose gjeneron fitime, megjithëse tatimpaguesi përkatës nuk është rezident për qëllime tatimore dhe nuk ka një njësi të përhershme në asnjë shtet anëtar;</w:t>
            </w:r>
          </w:p>
          <w:p w14:paraId="4B5F07FA"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(d) shteti anëtar ku tatimpaguesi përkatës ushtron një aktivitet, megjithëse nuk është rezident për qëllime tatimore dhe nuk ka një njësi të përhershme në asnjë shtet anëtar.</w:t>
            </w:r>
          </w:p>
          <w:p w14:paraId="17C1D48C" w14:textId="77777777" w:rsidR="00314559" w:rsidRPr="003B7DC9" w:rsidRDefault="00314559" w:rsidP="00314559">
            <w:pPr>
              <w:numPr>
                <w:ilvl w:val="0"/>
                <w:numId w:val="30"/>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sipas pikës 7, ekziston një detyrim i shumëfishtë raportimi, tatimpaguesi përkatës përjashtohet nga paraqitja e informacionit nëse ai ka prova, në përputhje me legjislacionin kombëtar, se i njëjti informacion është paraqitur në një shtet tjetër anëtar.</w:t>
            </w:r>
          </w:p>
          <w:p w14:paraId="0203B75C" w14:textId="77777777" w:rsidR="00314559" w:rsidRPr="003B7DC9" w:rsidRDefault="00314559" w:rsidP="00314559">
            <w:pPr>
              <w:numPr>
                <w:ilvl w:val="0"/>
                <w:numId w:val="30"/>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Çdo shtet anëtar merr masat e nevojshme për të kërkuar që, kur ka më shumë se një ndërmjetës, detyrimi për të paraqitur informacion mbi marrëveshjen ndërkufitare të raportueshme t’u takojë të gjithë ndërmjetësve të përfshirë në të njëjtën marrëveshje ndërkufitare të raportueshme.</w:t>
            </w:r>
            <w:r w:rsidRPr="003B7DC9">
              <w:rPr>
                <w:rFonts w:ascii="Times New Roman" w:eastAsia="Calibri" w:hAnsi="Times New Roman" w:cs="Times New Roman"/>
                <w:iCs/>
                <w:sz w:val="18"/>
                <w:szCs w:val="18"/>
              </w:rPr>
              <w:br/>
              <w:t>Një ndërmjetës përjashtohet nga paraqitja e informacionit vetëm në masën që ai ka prova, në përputhje me legjislacionin kombëtar, se i njëjti informacion i përmendur në pikën 14 është paraqitur tashmë nga një ndërmjetës tjetër.</w:t>
            </w:r>
          </w:p>
          <w:p w14:paraId="639DF63F" w14:textId="77777777" w:rsidR="00314559" w:rsidRPr="003B7DC9" w:rsidRDefault="00314559" w:rsidP="00314559">
            <w:pPr>
              <w:numPr>
                <w:ilvl w:val="0"/>
                <w:numId w:val="30"/>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Çdo shtet anëtar merr masat e nevojshme për të kërkuar që, kur detyrimi për raportim bie mbi tatimpaguesin përkatës dhe kur ka më shumë se një tatimpagues përkatës, tatimpaguesi përkatës që duhet të paraqesë informacionin në përputhje me pikën 6 të jetë ai që renditet i pari në listën më poshtë:</w:t>
            </w:r>
          </w:p>
          <w:p w14:paraId="3DFCC713"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tatimpaguesi përkatës që ka rënë dakord për marrëveshjen ndërkufitare të raportueshme me ndërmjetësin;</w:t>
            </w:r>
          </w:p>
          <w:p w14:paraId="256DFBDF"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 tatimpaguesi përkatës që menaxhon zbatimin e marrëveshjes.</w:t>
            </w:r>
          </w:p>
          <w:p w14:paraId="076456EF"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Çdo tatimpagues përkatës përjashtohet nga paraqitja e informacionit vetëm në masën që ai ka prova, në përputhje me legjislacionin kombëtar, se i njëjti informacion i përmendur në pikën 14 është paraqitur tashmë nga një tatimpagues tjetër përkatës.</w:t>
            </w:r>
          </w:p>
          <w:p w14:paraId="2F67B5CA" w14:textId="77777777" w:rsidR="00314559" w:rsidRPr="003B7DC9" w:rsidRDefault="00314559" w:rsidP="00314559">
            <w:pPr>
              <w:numPr>
                <w:ilvl w:val="0"/>
                <w:numId w:val="31"/>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Çdo shtet anëtar mund të marrë masat e nevojshme për të kërkuar që çdo tatimpagues përkatës të paraqesë informacion mbi përdorimin e marrëveshjes tek </w:t>
            </w:r>
            <w:r w:rsidRPr="003B7DC9">
              <w:rPr>
                <w:rFonts w:ascii="Times New Roman" w:eastAsia="Calibri" w:hAnsi="Times New Roman" w:cs="Times New Roman"/>
                <w:iCs/>
                <w:sz w:val="18"/>
                <w:szCs w:val="18"/>
              </w:rPr>
              <w:lastRenderedPageBreak/>
              <w:t>administrata tatimore në secilin nga vitet gjatë të cilave ai e përdor atë.</w:t>
            </w:r>
          </w:p>
          <w:p w14:paraId="38B5CB3E"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▼C1</w:t>
            </w:r>
          </w:p>
          <w:p w14:paraId="3142E097" w14:textId="77777777" w:rsidR="00314559" w:rsidRPr="003B7DC9" w:rsidRDefault="00314559" w:rsidP="00314559">
            <w:pPr>
              <w:numPr>
                <w:ilvl w:val="0"/>
                <w:numId w:val="32"/>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Çdo shtet anëtar merr masat e nevojshme për të kërkuar që ndërmjetësit dhe tatimpaguesit përkatës të paraqesin informacion mbi marrëveshjet ndërkufitare të raportueshme, hapi i parë i të cilave është zbatuar ndërmjet 25 qershorit 2018 dhe 30 qershorit 2020. Ndërmjetësit dhe tatimpaguesit përkatës, sipas rastit, paraqesin informacion mbi këto marrëveshje ndërkufitare të raportueshme deri më 31 gusht 2020.</w:t>
            </w:r>
          </w:p>
          <w:p w14:paraId="6DAEDD3D"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▼M5</w:t>
            </w:r>
          </w:p>
          <w:p w14:paraId="686A6BF0" w14:textId="77777777" w:rsidR="00314559" w:rsidRPr="003B7DC9" w:rsidRDefault="00314559" w:rsidP="00314559">
            <w:pPr>
              <w:numPr>
                <w:ilvl w:val="0"/>
                <w:numId w:val="3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i një shteti anëtar ku informacioni është paraqitur sipas pikave 1 deri në 12 të këtij neni komunikon, nëpërmjet shkëmbimit automatik, informacionin e specifikuar në pikën 14 të këtij neni tek autoritetet kompetente të të gjitha shteteve të tjera anëtare, në përputhje me rregullimet praktike të miratuara sipas nenit 21.</w:t>
            </w:r>
          </w:p>
          <w:p w14:paraId="55BBBCEA" w14:textId="77777777" w:rsidR="00314559" w:rsidRPr="003B7DC9" w:rsidRDefault="00314559" w:rsidP="00314559">
            <w:pPr>
              <w:numPr>
                <w:ilvl w:val="0"/>
                <w:numId w:val="3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Informacioni që do të komunikohet nga autoriteti kompetent i një shteti anëtar sipas pikës 13 përmban sa më poshtë, sipas rastit:</w:t>
            </w:r>
          </w:p>
          <w:p w14:paraId="1E4B37F9"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▼M8</w:t>
            </w:r>
          </w:p>
          <w:p w14:paraId="46AF1290"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identifikimin e ndërmjetësve, përveç ndërmjetësve të përjashtuar nga detyrimi i raportimit për shkak të sekretit profesional ligjor sipas pikës 5, dhe tatimpaguesve përkatës, duke përfshirë emrin e tyre, datën dhe vendin e lindjes (në rastin e një individi), rezidencën për qëllime tatimore, TIN</w:t>
            </w:r>
            <w:r w:rsidRPr="003B7DC9">
              <w:rPr>
                <w:rFonts w:ascii="Times New Roman" w:eastAsia="Calibri" w:hAnsi="Times New Roman" w:cs="Times New Roman"/>
                <w:iCs/>
                <w:sz w:val="18"/>
                <w:szCs w:val="18"/>
              </w:rPr>
              <w:noBreakHyphen/>
              <w:t>in dhe, kur është e përshtatshme, personat që janë ndërmarrje të lidhura me tatimpaguesin përkatës;</w:t>
            </w:r>
          </w:p>
          <w:p w14:paraId="4568069D"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▼M5</w:t>
            </w:r>
          </w:p>
          <w:p w14:paraId="42D288E1"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 detaje të karakteristikave dalluese të përcaktuara në Aneksin IV që e bëjnë marrëveshjen ndërkufitare të raportueshme;</w:t>
            </w:r>
          </w:p>
          <w:p w14:paraId="21DA036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▼M8</w:t>
            </w:r>
          </w:p>
          <w:p w14:paraId="43C1037F"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(c) një përmbledhje të përmbajtjes së marrëveshjes ndërkufitare të raportueshme, duke përfshirë një referencë ndaj emrit me të cilin ajo njihet zakonisht, nëse ka, dhe një përshkrim të marrëveshjeve përkatëse dhe çdo informacion tjetër që mund të ndihmojë autoritetin kompetent në vlerësimin e një rreziku të mundshëm tatimor, pa çuar në zbulimin e një sekreti tregtar, industrial ose profesional, ose të një </w:t>
            </w:r>
            <w:r w:rsidRPr="003B7DC9">
              <w:rPr>
                <w:rFonts w:ascii="Times New Roman" w:eastAsia="Calibri" w:hAnsi="Times New Roman" w:cs="Times New Roman"/>
                <w:iCs/>
                <w:sz w:val="18"/>
                <w:szCs w:val="18"/>
              </w:rPr>
              <w:lastRenderedPageBreak/>
              <w:t>procesi tregtar, ose të informacionit zbulimi i të cilit do të ishte në kundërshtim me politikën publike;</w:t>
            </w:r>
          </w:p>
          <w:p w14:paraId="5EAFF5C1"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▼M5</w:t>
            </w:r>
          </w:p>
          <w:p w14:paraId="1F73C60E"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(d) datën në të cilën është ndërmarrë ose do të ndërmerret hapi i parë për zbatimin e marrëveshjes ndërkufitare të raportueshme;</w:t>
            </w:r>
          </w:p>
          <w:p w14:paraId="3781D1DD"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(e) detaje të dispozitave kombëtare që përbëjnë bazën e marrëveshjes ndërkufitare të raportueshme;</w:t>
            </w:r>
          </w:p>
          <w:p w14:paraId="0A5CEFC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(f) vlerën e marrëveshjes ndërkufitare të raportueshme;</w:t>
            </w:r>
          </w:p>
          <w:p w14:paraId="2A66FBEF"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(g) identifikimin e shtetit anëtar të tatimpaguesit(ve) përkatës dhe çdo shteti tjetër anëtar që ka gjasa të përfshihet nga marrëveshja ndërkufitare e raportueshme;</w:t>
            </w:r>
          </w:p>
          <w:p w14:paraId="4BDBCF79"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(h) identifikimin e çdo personi tjetër në një shtet anëtar që ka gjasa të ndikohet nga marrëveshja ndërkufitare e raportueshme, duke treguar se me cilët shtete anëtare lidhet ky person.</w:t>
            </w:r>
          </w:p>
          <w:p w14:paraId="4AB33205" w14:textId="77777777" w:rsidR="00314559" w:rsidRPr="003B7DC9" w:rsidRDefault="00314559" w:rsidP="00314559">
            <w:pPr>
              <w:numPr>
                <w:ilvl w:val="0"/>
                <w:numId w:val="34"/>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Fakti që një administratë tatimore nuk reagon ndaj një marrëveshjeje ndërkufitare të raportueshme nuk nënkupton asnjë pranim të vlefshmërisë ose trajtimit tatimor të asaj marrëveshjeje.</w:t>
            </w:r>
          </w:p>
          <w:p w14:paraId="5792B438" w14:textId="77777777" w:rsidR="00314559" w:rsidRPr="003B7DC9" w:rsidRDefault="00314559" w:rsidP="00314559">
            <w:pPr>
              <w:numPr>
                <w:ilvl w:val="0"/>
                <w:numId w:val="34"/>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Për të lehtësuar shkëmbimin e informacionit të përmendur në pikën 13 të këtij neni, Komisioni miraton rregullimet praktike të nevojshme për zbatimin e këtij neni, duke përfshirë masat për standardizimin e komunikimit të informacionit të përcaktuar në pikën 14 të këtij neni, si pjesë e procedurës për vendosjen e formularit standard të parashikuar në nenin 20(5).</w:t>
            </w:r>
          </w:p>
          <w:p w14:paraId="3218B058" w14:textId="77777777" w:rsidR="00314559" w:rsidRPr="003B7DC9" w:rsidRDefault="00314559" w:rsidP="00314559">
            <w:pPr>
              <w:numPr>
                <w:ilvl w:val="0"/>
                <w:numId w:val="34"/>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Komisioni nuk ka akses në informacionin e përmendur në shkronjat (a), (c) dhe (h) të pikës 14.</w:t>
            </w:r>
          </w:p>
          <w:p w14:paraId="7831FE4D" w14:textId="77777777" w:rsidR="00314559" w:rsidRPr="003B7DC9" w:rsidRDefault="00314559" w:rsidP="00314559">
            <w:pPr>
              <w:numPr>
                <w:ilvl w:val="0"/>
                <w:numId w:val="34"/>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Shkëmbimi automatik i informacionit realizohet brenda një muaji nga fundi i tremujorit në të cilin është paraqitur informacioni. Informacioni i parë komunikohet deri më 31 tetor 2020.</w:t>
            </w:r>
          </w:p>
          <w:p w14:paraId="4B13DA69" w14:textId="49500A63" w:rsidR="00314559" w:rsidRPr="003B7DC9" w:rsidRDefault="00314559" w:rsidP="00314559">
            <w:pPr>
              <w:jc w:val="both"/>
              <w:rPr>
                <w:rFonts w:ascii="Times New Roman" w:eastAsia="Calibri" w:hAnsi="Times New Roman" w:cs="Times New Roman"/>
                <w:iCs/>
                <w:sz w:val="18"/>
                <w:szCs w:val="18"/>
                <w:lang w:val="en-US"/>
              </w:rPr>
            </w:pPr>
          </w:p>
        </w:tc>
        <w:tc>
          <w:tcPr>
            <w:tcW w:w="1170" w:type="dxa"/>
          </w:tcPr>
          <w:p w14:paraId="08D27D38" w14:textId="42071A1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tcPr>
          <w:p w14:paraId="76515CA7" w14:textId="04048D80"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N/A</w:t>
            </w:r>
          </w:p>
        </w:tc>
        <w:tc>
          <w:tcPr>
            <w:tcW w:w="4334" w:type="dxa"/>
            <w:tcBorders>
              <w:bottom w:val="dashed" w:sz="4" w:space="0" w:color="auto"/>
            </w:tcBorders>
          </w:tcPr>
          <w:p w14:paraId="2A5C5DAB" w14:textId="1EFE11B0" w:rsidR="00314559" w:rsidRPr="003B7DC9" w:rsidRDefault="00314559" w:rsidP="00314559">
            <w:pPr>
              <w:jc w:val="center"/>
              <w:rPr>
                <w:rFonts w:ascii="Times New Roman" w:eastAsia="Calibri" w:hAnsi="Times New Roman" w:cs="Times New Roman"/>
                <w:sz w:val="18"/>
                <w:szCs w:val="18"/>
              </w:rPr>
            </w:pPr>
            <w:r w:rsidRPr="003B7DC9">
              <w:rPr>
                <w:rFonts w:ascii="Times New Roman" w:hAnsi="Times New Roman" w:cs="Times New Roman"/>
                <w:color w:val="000000" w:themeColor="text1"/>
                <w:sz w:val="18"/>
                <w:szCs w:val="18"/>
              </w:rPr>
              <w:br/>
            </w:r>
            <w:r w:rsidRPr="003B7DC9">
              <w:rPr>
                <w:rFonts w:ascii="Times New Roman" w:eastAsia="Calibri" w:hAnsi="Times New Roman" w:cs="Times New Roman"/>
                <w:sz w:val="18"/>
                <w:szCs w:val="18"/>
              </w:rPr>
              <w:t>N/A</w:t>
            </w:r>
          </w:p>
        </w:tc>
        <w:tc>
          <w:tcPr>
            <w:tcW w:w="1066" w:type="dxa"/>
            <w:tcBorders>
              <w:bottom w:val="dashed" w:sz="4" w:space="0" w:color="auto"/>
            </w:tcBorders>
          </w:tcPr>
          <w:p w14:paraId="3C79980D" w14:textId="77777777" w:rsidR="00314559" w:rsidRPr="003B7DC9" w:rsidRDefault="00314559" w:rsidP="00314559">
            <w:pPr>
              <w:jc w:val="center"/>
              <w:rPr>
                <w:rFonts w:ascii="Times New Roman" w:eastAsia="Calibri" w:hAnsi="Times New Roman" w:cs="Times New Roman"/>
                <w:sz w:val="18"/>
                <w:szCs w:val="18"/>
                <w:lang w:val="en-US"/>
              </w:rPr>
            </w:pPr>
          </w:p>
          <w:p w14:paraId="34822B49" w14:textId="2B28036B"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N/A</w:t>
            </w:r>
          </w:p>
        </w:tc>
        <w:tc>
          <w:tcPr>
            <w:tcW w:w="3060" w:type="dxa"/>
            <w:tcBorders>
              <w:bottom w:val="dashed" w:sz="4" w:space="0" w:color="auto"/>
            </w:tcBorders>
          </w:tcPr>
          <w:p w14:paraId="22132684" w14:textId="77777777" w:rsidR="00314559" w:rsidRPr="003B7DC9" w:rsidRDefault="00314559" w:rsidP="00314559">
            <w:pPr>
              <w:rPr>
                <w:rFonts w:ascii="Times New Roman" w:eastAsia="Calibri" w:hAnsi="Times New Roman" w:cs="Times New Roman"/>
                <w:sz w:val="18"/>
                <w:szCs w:val="18"/>
                <w:lang w:val="en-US"/>
              </w:rPr>
            </w:pPr>
          </w:p>
          <w:p w14:paraId="1681008D" w14:textId="77777777" w:rsidR="00314559" w:rsidRPr="003B7DC9" w:rsidRDefault="00314559" w:rsidP="00314559">
            <w:pP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 xml:space="preserve">Neni 8ab prezanton një regjim të shkëmbimit automatik të informacionit në lidhje me marrëveshjet ndërkufitare të raportueshme. Projektligji nuk rregullon këto detyrime të raportimit, </w:t>
            </w:r>
            <w:r w:rsidRPr="003B7DC9">
              <w:rPr>
                <w:rFonts w:ascii="Times New Roman" w:eastAsia="Calibri" w:hAnsi="Times New Roman" w:cs="Times New Roman"/>
                <w:sz w:val="18"/>
                <w:szCs w:val="18"/>
                <w:lang w:val="en-US"/>
              </w:rPr>
              <w:lastRenderedPageBreak/>
              <w:t>ndaj kjo dispozitë nuk kërkon transpozim. Ajo transpozohet përmes një projektligji të veçantë.</w:t>
            </w:r>
          </w:p>
          <w:p w14:paraId="00C351E9" w14:textId="67B0A07A" w:rsidR="00314559" w:rsidRPr="003B7DC9" w:rsidRDefault="00314559" w:rsidP="00314559">
            <w:pPr>
              <w:rPr>
                <w:rFonts w:ascii="Times New Roman" w:eastAsia="Calibri" w:hAnsi="Times New Roman" w:cs="Times New Roman"/>
                <w:sz w:val="18"/>
                <w:szCs w:val="18"/>
                <w:lang w:val="en-US"/>
              </w:rPr>
            </w:pPr>
          </w:p>
        </w:tc>
      </w:tr>
      <w:tr w:rsidR="00314559" w:rsidRPr="003B7DC9" w14:paraId="5A93F6C3" w14:textId="77777777" w:rsidTr="00B75638">
        <w:trPr>
          <w:trHeight w:val="1097"/>
        </w:trPr>
        <w:tc>
          <w:tcPr>
            <w:tcW w:w="630" w:type="dxa"/>
          </w:tcPr>
          <w:p w14:paraId="4797BA55" w14:textId="598CB9A2"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35CE35D4" w14:textId="77777777"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8ac</w:t>
            </w:r>
          </w:p>
          <w:p w14:paraId="42F3E83F"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Fusha e zbatimit dhe kushtet e shkëmbimit automatik të detyrueshëm të informacionit të raportuar nga Operatorët e Platformave</w:t>
            </w:r>
          </w:p>
          <w:p w14:paraId="222197C0" w14:textId="77777777" w:rsidR="00314559" w:rsidRPr="003B7DC9" w:rsidRDefault="00314559" w:rsidP="00314559">
            <w:pPr>
              <w:numPr>
                <w:ilvl w:val="0"/>
                <w:numId w:val="35"/>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Çdo shtet anëtar merr masat e nevojshme për të kërkuar që Operatorët e Platformave Raportuese të kryejnë procedurat e kujdesit të duhur dhe të përmbushin kërkesat e raportimit të përcaktuara në Seksionet II dhe III të Aneksit V. Çdo shtet </w:t>
            </w:r>
            <w:r w:rsidRPr="003B7DC9">
              <w:rPr>
                <w:rFonts w:ascii="Times New Roman" w:eastAsia="Calibri" w:hAnsi="Times New Roman" w:cs="Times New Roman"/>
                <w:iCs/>
                <w:sz w:val="18"/>
                <w:szCs w:val="18"/>
              </w:rPr>
              <w:lastRenderedPageBreak/>
              <w:t>anëtar siguron gjithashtu zbatimin efektiv dhe respektimin e këtyre masave në përputhje me Seksionin IV të Aneksit V.</w:t>
            </w:r>
          </w:p>
          <w:p w14:paraId="7DC75293" w14:textId="77777777" w:rsidR="00314559" w:rsidRPr="003B7DC9" w:rsidRDefault="00314559" w:rsidP="00314559">
            <w:pPr>
              <w:numPr>
                <w:ilvl w:val="0"/>
                <w:numId w:val="35"/>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Në përputhje me procedurat e aplikueshme të kujdesit të duhur dhe kërkesat e raportimit të përfshira në Seksionet II dhe III të Aneksit V, autoriteti kompetent i një shteti anëtar ku është kryer raportimi në përputhje me pikën 1 komunikon, nëpërmjet shkëmbimit automatik dhe brenda afatit të përcaktuar në pikën 3, tek autoriteti kompetent i shtetit anëtar në të cilin Shitësi i Raportueshëm është rezident, siç përcaktohet sipas paragrafit D të Seksionit II të Aneksit V dhe, kur Shitësi i Raportueshëm ofron shërbime të dhënies me qira të pasurive të paluajtshme, në çdo rast tek autoriteti kompetent i shtetit anëtar në të cilin ndodhet pasuria e paluajtshme, informacionin e mëposhtëm në lidhje me çdo Shitës të Raportueshëm:</w:t>
            </w:r>
          </w:p>
          <w:p w14:paraId="62B7C996"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emrin, adresën e selisë së regjistruar, TIN</w:t>
            </w:r>
            <w:r w:rsidRPr="003B7DC9">
              <w:rPr>
                <w:rFonts w:ascii="Times New Roman" w:eastAsia="Calibri" w:hAnsi="Times New Roman" w:cs="Times New Roman"/>
                <w:iCs/>
                <w:sz w:val="18"/>
                <w:szCs w:val="18"/>
              </w:rPr>
              <w:noBreakHyphen/>
              <w:t>in dhe, kur është e aplikueshme, numrin individual identifikues të caktuar sipas nënparagrafit të parë të pikës 4, të Operatorit të Platformës Raportuese, si dhe emrin(emrat) e biznesit të Platformës(Platformave) në lidhje me të cilën Operator i Platformës Raporton;</w:t>
            </w:r>
          </w:p>
          <w:p w14:paraId="3FBD66D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 emrin dhe mbiemrin e Shitësit të Raportueshëm që është individ, dhe emrin ligjor të Shitësit të Raportueshëm që është Entitet;</w:t>
            </w:r>
          </w:p>
          <w:p w14:paraId="601E4C4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(c) Adresën Kryesore;</w:t>
            </w:r>
          </w:p>
          <w:p w14:paraId="0560E5EF"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(d) çdo TIN të Shitësit të Raportueshëm, duke përfshirë çdo shtet anëtar të lëshimit, ose, në mungesë të një TIN</w:t>
            </w:r>
            <w:r w:rsidRPr="003B7DC9">
              <w:rPr>
                <w:rFonts w:ascii="Times New Roman" w:eastAsia="Calibri" w:hAnsi="Times New Roman" w:cs="Times New Roman"/>
                <w:iCs/>
                <w:sz w:val="18"/>
                <w:szCs w:val="18"/>
              </w:rPr>
              <w:noBreakHyphen/>
              <w:t>i, vendin e lindjes së Shitësit të Raportueshëm që është individ;</w:t>
            </w:r>
          </w:p>
          <w:p w14:paraId="7161C6C1"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(e) numrin e regjistrimit të biznesit të Shitësit të Raportueshëm që është Entitet;</w:t>
            </w:r>
          </w:p>
          <w:p w14:paraId="4F12DE83"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(f) numrin e identifikimit për TVSH të Shitësit të Raportueshëm, kur është i disponueshëm;</w:t>
            </w:r>
          </w:p>
          <w:p w14:paraId="21EF1FEF"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(g) datën e lindjes së Shitësit të Raportueshëm që është individ;</w:t>
            </w:r>
          </w:p>
          <w:p w14:paraId="6DA8CD38"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(h) identifikuesin e llogarisë financiare në të cilën Shpërblimi paguhet ose kreditohet, për aq sa ai është i disponueshëm për Operatorin e Platformës Raportuese dhe autoriteti kompetent i shtetit anëtar ku Shitësi i Raportueshëm është rezident, në kuptim të paragrafit D të Seksionit II të Aneksit V, nuk ka njoftuar autoritetet kompetente të të gjitha shteteve të tjera anëtare se nuk synon të përdorë Identifikuesin e Llogarisë Financiare për këtë qëllim;</w:t>
            </w:r>
          </w:p>
          <w:p w14:paraId="7FD5BC6D"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(i) kur është e ndryshme nga emri i Shitësit të Raportueshëm, përveç Identifikuesit të Llogarisë Financiare, emrin e mbajtësit të llogarisë </w:t>
            </w:r>
            <w:r w:rsidRPr="003B7DC9">
              <w:rPr>
                <w:rFonts w:ascii="Times New Roman" w:eastAsia="Calibri" w:hAnsi="Times New Roman" w:cs="Times New Roman"/>
                <w:iCs/>
                <w:sz w:val="18"/>
                <w:szCs w:val="18"/>
              </w:rPr>
              <w:lastRenderedPageBreak/>
              <w:t>financiare në të cilën Shpërblimi paguhet ose kreditohet, për aq sa është i disponueshëm për Operatorin e Platformës Raportuese, si dhe çdo informacion tjetër identifikues financiar i disponueshëm për Operatorin e Platformës Raportuese në lidhje me atë mbajtës llogarie;</w:t>
            </w:r>
          </w:p>
          <w:p w14:paraId="45AA8EC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(j) çdo shtet anëtar në të cilin Shitësi i Raportueshëm është rezident, siç përcaktohet sipas paragrafit D të Seksionit II të Aneksit V;</w:t>
            </w:r>
          </w:p>
          <w:p w14:paraId="3B33E81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 shumën totale të Shpërblimit të paguar ose kredituar gjatë çdo tremujori të Periudhës së Raportimit dhe numrin e Aktiviteteve Përkatëse në lidhje me të cilat ai është paguar ose kredituar;</w:t>
            </w:r>
          </w:p>
          <w:p w14:paraId="515ABF79"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(l) çdo tarifë, komision ose taksë e mbajtur ose e ngarkuar nga Platforma Raportuese gjatë çdo tremujori të Periudhës së Raportimit;</w:t>
            </w:r>
          </w:p>
          <w:p w14:paraId="217062FF"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▼M8</w:t>
            </w:r>
          </w:p>
          <w:p w14:paraId="6F928289"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 identifikuesin e Shërbimit të Identifikimit dhe shtetin anëtar të lëshimit, kur Operatori i Platformës Raportuese mbështetet në konfirmimin e drejtpërdrejtë të identitetit dhe rezidencës së Shitësit përmes një Shërbimi Identifikimi të vënë në dispozicion nga një shtet anëtar ose nga Bashkimi për të përcaktuar identitetin dhe rezidencën tatimore të Shitësit; në raste të tilla nuk është e nevojshme të komunikohet tek shteti anëtar i lëshimit të identifikuesit të Shërbimit të Identifikimit informacioni i përmendur në shkronjat (c) deri në (g).</w:t>
            </w:r>
          </w:p>
          <w:p w14:paraId="62A6C0EC"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▼M7</w:t>
            </w:r>
          </w:p>
          <w:p w14:paraId="32440104"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Shitësi i Raportueshëm ofron shërbime të dhënies me qira të pasurive të paluajtshme, komunikohet gjithashtu informacioni shtesë i mëposhtëm:</w:t>
            </w:r>
          </w:p>
          <w:p w14:paraId="75E7C3C7"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adresa e çdo Listimi të Pasurisë, e përcaktuar mbi bazën e procedurave të përcaktuara në paragrafin E të Seksionit II të Aneksit V dhe numri përkatës i regjistrimit të tokës ose ekuivalenti i tij sipas ligjit kombëtar të shtetit anëtar ku ndodhet, kur është i disponueshëm;</w:t>
            </w:r>
          </w:p>
          <w:p w14:paraId="574E9484"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 shuma totale e Shpërblimit të paguar ose kredituar gjatë çdo tremujori të Periudhës së Raportimit dhe numri i Aktiviteteve Përkatëse të ofruara në lidhje me çdo Listim të Pasurisë;</w:t>
            </w:r>
          </w:p>
          <w:p w14:paraId="7CA46317"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(c) kur është i disponueshëm, numri i ditëve gjatë të cilave çdo Listim i Pasurisë është dhënë me qira gjatë Periudhës së Raportimit dhe lloji i çdo Listimi të Pasurisë.</w:t>
            </w:r>
          </w:p>
          <w:p w14:paraId="497A7313" w14:textId="77777777" w:rsidR="00314559" w:rsidRPr="003B7DC9" w:rsidRDefault="00314559" w:rsidP="00314559">
            <w:pPr>
              <w:numPr>
                <w:ilvl w:val="0"/>
                <w:numId w:val="36"/>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Komunikimi sipas pikës 2 të këtij neni realizohet duke përdorur formatin standard të kompjuterizuar të përmendur në nenin 20(4) brenda dy muajve pas përfundimit të Periudhës së Raportimit me të cilën lidhen kërkesat e raportimit të zbatueshme për Operatorin e Platformës </w:t>
            </w:r>
            <w:r w:rsidRPr="003B7DC9">
              <w:rPr>
                <w:rFonts w:ascii="Times New Roman" w:eastAsia="Calibri" w:hAnsi="Times New Roman" w:cs="Times New Roman"/>
                <w:iCs/>
                <w:sz w:val="18"/>
                <w:szCs w:val="18"/>
              </w:rPr>
              <w:lastRenderedPageBreak/>
              <w:t>Raportuese. Informacioni i parë komunikohet për Periudhat e Raportimit që fillojnë më 1 janar 2023.</w:t>
            </w:r>
          </w:p>
          <w:p w14:paraId="799D7458" w14:textId="77777777" w:rsidR="00314559" w:rsidRPr="003B7DC9" w:rsidRDefault="00314559" w:rsidP="00314559">
            <w:pPr>
              <w:numPr>
                <w:ilvl w:val="0"/>
                <w:numId w:val="36"/>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Për qëllimin e përmbushjes së kërkesave të raportimit sipas pikës 1 të këtij neni, çdo shtet anëtar përcakton rregullat e nevojshme për të kërkuar që një Operator i Platformës Raportuese në kuptim të shkronjës (b) të nënparagrafit A(4) të Seksionit I të Aneksit V të regjistrohet brenda Bashkimit. Autoriteti kompetent i shtetit anëtar të regjistrimit cakton një numër individual identifikues për këtë Operator të Platformës Raportuese.</w:t>
            </w:r>
          </w:p>
          <w:p w14:paraId="2885490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Shtetet anëtare përcaktojnë rregulla sipas të cilave një Operator i Platformës Raportuese mund të zgjedhë të regjistrohet tek autoriteti kompetent i një shteti të vetëm anëtar në përputhje me rregullat e përcaktuara në paragrafin F të Seksionit IV të Aneksit V. Shtetet anëtare marrin masat e nevojshme për të kërkuar që një Operator i Platformës Raportuese në kuptim të shkronjës (b) të nënparagrafit A(4) të Seksionit I të Aneksit V, regjistrimi i të cilit është revokuar në përputhje me nënparagrafin F(7) të Seksionit IV të Aneksit V, mund të lejohet të regjistrohet përsëri vetëm me kusht që ai t’u japë autoriteteve të një shteti anëtar përkatës garanci të përshtatshme në lidhje me angazhimin e tij për t’u përputhur me kërkesat e raportimit brenda Bashkimit, duke përfshirë çdo kërkesë raportimi të papërmbushur.</w:t>
            </w:r>
          </w:p>
          <w:p w14:paraId="1C4EA114"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Komisioni, me anë të akteve zbatuese, përcakton rregullimet praktike të nevojshme për regjistrimin dhe identifikimin e Operatorëve të Platformave Raportuese. Këto akte zbatuese miratohen në përputhje me procedurën e përmendur në nenin 26(2).</w:t>
            </w:r>
          </w:p>
          <w:p w14:paraId="0F863D75" w14:textId="77777777" w:rsidR="00314559" w:rsidRPr="003B7DC9" w:rsidRDefault="00314559" w:rsidP="00314559">
            <w:pPr>
              <w:numPr>
                <w:ilvl w:val="0"/>
                <w:numId w:val="37"/>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një Operator Platforme konsiderohet të jetë Operator Platforme i Përjashtuar, autoriteti kompetent i shtetit anëtar ku është paraqitur prova në përputhje me nënparagrafin A(3) të Seksionit I të Aneksit V njofton përkatësisht autoritetet kompetente të të gjitha shteteve të tjera anëtare, duke përfshirë çdo ndryshim të mëvonshëm.</w:t>
            </w:r>
          </w:p>
          <w:p w14:paraId="2BF06608" w14:textId="77777777" w:rsidR="00314559" w:rsidRPr="003B7DC9" w:rsidRDefault="00314559" w:rsidP="00314559">
            <w:pPr>
              <w:numPr>
                <w:ilvl w:val="0"/>
                <w:numId w:val="37"/>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Komisioni, deri më 31 dhjetor 2022, krijon një regjistër qendror ku regjistrohet informacioni që duhet të njoftohet në përputhje me pikën 5 të këtij neni dhe të komunikohet në përputhje me nënparagrafin F(2) të Seksionit IV të Aneksit V. Ky regjistër qendror është i disponueshëm për autoritetet kompetente të të gjitha shteteve anëtare.</w:t>
            </w:r>
          </w:p>
          <w:p w14:paraId="4087010C" w14:textId="77777777" w:rsidR="00314559" w:rsidRPr="003B7DC9" w:rsidRDefault="00314559" w:rsidP="00314559">
            <w:pPr>
              <w:numPr>
                <w:ilvl w:val="0"/>
                <w:numId w:val="37"/>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lastRenderedPageBreak/>
              <w:t>Komisioni, me anë të akteve zbatuese, pas një kërkese të arsyetuar nga një shtet anëtar ose me iniciativën e tij, përcakton nëse informacioni që kërkohet të shkëmbehet automatikisht sipas një marrëveshjeje ndërmjet autoriteteve kompetente të shtetit anëtar përkatës dhe një juridiksioni jashtë Bashkimit është, në kuptim të nënparagrafit A(7) të Seksionit I të Aneksit V, ekuivalent me atë të përcaktuar në paragrafin B të Seksionit III të Aneksit V. Këto akte zbatuese miratohen në përputhje me procedurën e përmendur në nenin 26(2).</w:t>
            </w:r>
          </w:p>
          <w:p w14:paraId="163FEF6C"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Një shtet anëtar që kërkon masën e përmendur në nënparagrafin e parë i dërgon një kërkesë të arsyetuar Komisionit.</w:t>
            </w:r>
          </w:p>
          <w:p w14:paraId="2DD0AF58"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Nëse Komisioni vlerëson se nuk ka të gjithë informacionin e nevojshëm për vlerësimin e kërkesës, ai kontakton shtetin anëtar përkatës brenda dy muajve nga marrja e kërkesës dhe specifikon çfarë informacioni shtesë kërkohet. Pasi Komisioni ka të gjithë informacionin që ai e konsideron të nevojshëm, ai, brenda një muaji, njofton shtetin anëtar kërkues dhe paraqet informacionin përkatës tek Komiteti i përmendur në nenin 26(2).</w:t>
            </w:r>
          </w:p>
          <w:p w14:paraId="39E383C8"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vepron me iniciativën e tij, Komisioni miraton një akt zbatues siç përmendet në nënparagrafin e parë vetëm pasi një shtet anëtar ka lidhur një marrëveshje ndërmjet autoriteteve kompetente me një juridiksion jashtë Bashkimit që kërkon shkëmbimin automatik të informacionit mbi shitësit që nxjerrin të ardhura nga aktivitetet e lehtësuara nga Platformat.</w:t>
            </w:r>
          </w:p>
          <w:p w14:paraId="68436E10"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Gjatë përcaktimit nëse informacioni është ekuivalent në kuptim të nënparagrafit të parë në lidhje me një Aktivitet Përkatës, Komisioni merr në konsideratë në mënyrë të duhur në çfarë mase regjimi mbi të cilin bazohet ky informacion përputhet me atë të përcaktuar në Aneksin V, në veçanti në lidhje me:</w:t>
            </w:r>
          </w:p>
          <w:p w14:paraId="7DE256EB"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(i) përkufizimet e Operatorit të Platformës Raportuese, Shitësit të Raportueshëm, Aktivitetit Përkatës;</w:t>
            </w:r>
          </w:p>
          <w:p w14:paraId="6F2D5FEB"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(ii) procedurat e zbatueshme për identifikimin e Shitësve të Raportueshëm;</w:t>
            </w:r>
          </w:p>
          <w:p w14:paraId="3AC59F9A"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(iii) kërkesat e raportimit; dhe</w:t>
            </w:r>
          </w:p>
          <w:p w14:paraId="4A8899B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(iv) rregullat dhe procedurat administrative që juridiksionet jashtë Bashkimit duhet të kenë në vend për të siguruar zbatimin efektiv dhe respektimin e procedurave të kujdesit të duhur dhe kërkesave të raportimit të përcaktuara në atë regjim.</w:t>
            </w:r>
          </w:p>
          <w:p w14:paraId="757D888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lastRenderedPageBreak/>
              <w:t>E njëjta procedurë zbatohet për të përcaktuar që informacioni nuk është më ekuivalent.</w:t>
            </w:r>
          </w:p>
          <w:p w14:paraId="22D42666" w14:textId="65C0CDA8" w:rsidR="00314559" w:rsidRPr="003B7DC9" w:rsidRDefault="00314559" w:rsidP="00314559">
            <w:pPr>
              <w:jc w:val="both"/>
              <w:rPr>
                <w:rFonts w:ascii="Times New Roman" w:eastAsia="Calibri" w:hAnsi="Times New Roman" w:cs="Times New Roman"/>
                <w:iCs/>
                <w:sz w:val="18"/>
                <w:szCs w:val="18"/>
                <w:lang w:val="en-US"/>
              </w:rPr>
            </w:pPr>
          </w:p>
        </w:tc>
        <w:tc>
          <w:tcPr>
            <w:tcW w:w="1170" w:type="dxa"/>
          </w:tcPr>
          <w:p w14:paraId="28D874F5" w14:textId="2580C2EB" w:rsidR="00314559" w:rsidRPr="003B7DC9" w:rsidRDefault="00314559" w:rsidP="00314559">
            <w:pPr>
              <w:jc w:val="center"/>
              <w:rPr>
                <w:rFonts w:ascii="Times New Roman" w:eastAsia="Calibri" w:hAnsi="Times New Roman" w:cs="Times New Roman"/>
                <w:i/>
                <w:iCs/>
                <w:sz w:val="18"/>
                <w:szCs w:val="18"/>
              </w:rPr>
            </w:pPr>
            <w:r w:rsidRPr="003B7DC9">
              <w:rPr>
                <w:rFonts w:ascii="Times New Roman" w:eastAsia="Calibri" w:hAnsi="Times New Roman" w:cs="Times New Roman"/>
                <w:sz w:val="18"/>
                <w:szCs w:val="18"/>
              </w:rPr>
              <w:lastRenderedPageBreak/>
              <w:t>1</w:t>
            </w:r>
          </w:p>
        </w:tc>
        <w:tc>
          <w:tcPr>
            <w:tcW w:w="720" w:type="dxa"/>
          </w:tcPr>
          <w:p w14:paraId="7CA7C70C" w14:textId="77777777" w:rsidR="00314559" w:rsidRPr="003B7DC9" w:rsidRDefault="00314559" w:rsidP="00314559">
            <w:pPr>
              <w:jc w:val="center"/>
              <w:rPr>
                <w:rFonts w:ascii="Times New Roman" w:eastAsia="Calibri" w:hAnsi="Times New Roman" w:cs="Times New Roman"/>
                <w:sz w:val="18"/>
                <w:szCs w:val="18"/>
                <w:lang w:val="en-US"/>
              </w:rPr>
            </w:pPr>
          </w:p>
          <w:p w14:paraId="568AF6FD" w14:textId="77777777" w:rsidR="00314559" w:rsidRPr="003B7DC9" w:rsidRDefault="00314559" w:rsidP="00314559">
            <w:pPr>
              <w:jc w:val="center"/>
              <w:rPr>
                <w:rFonts w:ascii="Times New Roman" w:eastAsia="Calibri" w:hAnsi="Times New Roman" w:cs="Times New Roman"/>
                <w:sz w:val="18"/>
                <w:szCs w:val="18"/>
                <w:lang w:val="en-US"/>
              </w:rPr>
            </w:pPr>
          </w:p>
          <w:p w14:paraId="1D2E12EE" w14:textId="77777777" w:rsidR="00314559" w:rsidRPr="003B7DC9" w:rsidRDefault="00314559" w:rsidP="00314559">
            <w:pPr>
              <w:jc w:val="center"/>
              <w:rPr>
                <w:rFonts w:ascii="Times New Roman" w:eastAsia="Calibri" w:hAnsi="Times New Roman" w:cs="Times New Roman"/>
                <w:sz w:val="18"/>
                <w:szCs w:val="18"/>
                <w:lang w:val="en-US"/>
              </w:rPr>
            </w:pPr>
          </w:p>
          <w:p w14:paraId="04FB08DF" w14:textId="77777777" w:rsidR="00314559" w:rsidRPr="003B7DC9" w:rsidRDefault="00314559" w:rsidP="00314559">
            <w:pPr>
              <w:jc w:val="center"/>
              <w:rPr>
                <w:rFonts w:ascii="Times New Roman" w:eastAsia="Calibri" w:hAnsi="Times New Roman" w:cs="Times New Roman"/>
                <w:sz w:val="18"/>
                <w:szCs w:val="18"/>
                <w:lang w:val="en-US"/>
              </w:rPr>
            </w:pPr>
          </w:p>
          <w:p w14:paraId="0A5D8D1F" w14:textId="0B98EE4F"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N/A</w:t>
            </w:r>
          </w:p>
        </w:tc>
        <w:tc>
          <w:tcPr>
            <w:tcW w:w="4334" w:type="dxa"/>
          </w:tcPr>
          <w:p w14:paraId="4DA369CD" w14:textId="77777777" w:rsidR="00314559" w:rsidRPr="003B7DC9" w:rsidRDefault="00314559" w:rsidP="00314559">
            <w:pPr>
              <w:spacing w:before="100" w:beforeAutospacing="1" w:after="100" w:afterAutospacing="1"/>
              <w:ind w:left="360"/>
              <w:jc w:val="center"/>
              <w:rPr>
                <w:rFonts w:ascii="Times New Roman" w:eastAsia="Calibri" w:hAnsi="Times New Roman" w:cs="Times New Roman"/>
                <w:sz w:val="18"/>
                <w:szCs w:val="18"/>
              </w:rPr>
            </w:pPr>
          </w:p>
          <w:p w14:paraId="62C465B9" w14:textId="77777777" w:rsidR="00314559" w:rsidRPr="003B7DC9" w:rsidRDefault="00314559" w:rsidP="00314559">
            <w:pPr>
              <w:spacing w:before="100" w:beforeAutospacing="1" w:after="100" w:afterAutospacing="1"/>
              <w:ind w:left="360"/>
              <w:jc w:val="center"/>
              <w:rPr>
                <w:rFonts w:ascii="Times New Roman" w:eastAsia="Calibri" w:hAnsi="Times New Roman" w:cs="Times New Roman"/>
                <w:sz w:val="18"/>
                <w:szCs w:val="18"/>
              </w:rPr>
            </w:pPr>
          </w:p>
          <w:p w14:paraId="3BE5BB3B" w14:textId="111EB9A3" w:rsidR="00314559" w:rsidRPr="003B7DC9" w:rsidRDefault="00314559" w:rsidP="00314559">
            <w:pPr>
              <w:spacing w:before="100" w:beforeAutospacing="1" w:after="100" w:afterAutospacing="1"/>
              <w:ind w:left="360"/>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1066" w:type="dxa"/>
          </w:tcPr>
          <w:p w14:paraId="44A6018E" w14:textId="77777777" w:rsidR="00314559" w:rsidRPr="003B7DC9" w:rsidRDefault="00314559" w:rsidP="00314559">
            <w:pPr>
              <w:jc w:val="center"/>
              <w:rPr>
                <w:rFonts w:ascii="Times New Roman" w:eastAsia="Calibri" w:hAnsi="Times New Roman" w:cs="Times New Roman"/>
                <w:i/>
                <w:iCs/>
                <w:sz w:val="18"/>
                <w:szCs w:val="18"/>
                <w:lang w:val="en-US"/>
              </w:rPr>
            </w:pPr>
          </w:p>
          <w:p w14:paraId="682B0672" w14:textId="77777777" w:rsidR="00314559" w:rsidRPr="003B7DC9" w:rsidRDefault="00314559" w:rsidP="00314559">
            <w:pPr>
              <w:jc w:val="center"/>
              <w:rPr>
                <w:rFonts w:ascii="Times New Roman" w:eastAsia="Calibri" w:hAnsi="Times New Roman" w:cs="Times New Roman"/>
                <w:iCs/>
                <w:sz w:val="18"/>
                <w:szCs w:val="18"/>
                <w:lang w:val="en-US"/>
              </w:rPr>
            </w:pPr>
          </w:p>
          <w:p w14:paraId="722C842A" w14:textId="77777777" w:rsidR="00314559" w:rsidRPr="003B7DC9" w:rsidRDefault="00314559" w:rsidP="00314559">
            <w:pPr>
              <w:jc w:val="center"/>
              <w:rPr>
                <w:rFonts w:ascii="Times New Roman" w:eastAsia="Calibri" w:hAnsi="Times New Roman" w:cs="Times New Roman"/>
                <w:iCs/>
                <w:sz w:val="18"/>
                <w:szCs w:val="18"/>
                <w:lang w:val="en-US"/>
              </w:rPr>
            </w:pPr>
          </w:p>
          <w:p w14:paraId="4AECD796" w14:textId="77777777" w:rsidR="00314559" w:rsidRPr="003B7DC9" w:rsidRDefault="00314559" w:rsidP="00314559">
            <w:pPr>
              <w:jc w:val="center"/>
              <w:rPr>
                <w:rFonts w:ascii="Times New Roman" w:eastAsia="Calibri" w:hAnsi="Times New Roman" w:cs="Times New Roman"/>
                <w:iCs/>
                <w:sz w:val="18"/>
                <w:szCs w:val="18"/>
                <w:lang w:val="en-US"/>
              </w:rPr>
            </w:pPr>
          </w:p>
          <w:p w14:paraId="4B03197A" w14:textId="77777777" w:rsidR="00314559" w:rsidRPr="003B7DC9" w:rsidRDefault="00314559" w:rsidP="00314559">
            <w:pPr>
              <w:jc w:val="center"/>
              <w:rPr>
                <w:rFonts w:ascii="Times New Roman" w:eastAsia="Calibri" w:hAnsi="Times New Roman" w:cs="Times New Roman"/>
                <w:iCs/>
                <w:sz w:val="18"/>
                <w:szCs w:val="18"/>
                <w:lang w:val="en-US"/>
              </w:rPr>
            </w:pPr>
          </w:p>
          <w:p w14:paraId="6E4EAC15" w14:textId="7B176177" w:rsidR="00314559" w:rsidRPr="003B7DC9" w:rsidRDefault="00314559" w:rsidP="00314559">
            <w:pPr>
              <w:jc w:val="center"/>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N/A</w:t>
            </w:r>
          </w:p>
        </w:tc>
        <w:tc>
          <w:tcPr>
            <w:tcW w:w="3060" w:type="dxa"/>
          </w:tcPr>
          <w:p w14:paraId="628D2C05" w14:textId="0B40B98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4D1A1462"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p>
          <w:p w14:paraId="74EDC9D1"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 xml:space="preserve">Nuk kërkon transpozim. Neni 8ac është futur me Direktivën (BE) 2021/514 (DAC7) dhe krijon një regjim të veçantë për shkëmbimin automatik të detyrueshëm të informacionit të </w:t>
            </w:r>
            <w:r w:rsidRPr="003B7DC9">
              <w:rPr>
                <w:rFonts w:ascii="Times New Roman" w:eastAsia="Calibri" w:hAnsi="Times New Roman" w:cs="Times New Roman"/>
                <w:iCs/>
                <w:sz w:val="18"/>
                <w:szCs w:val="18"/>
                <w:lang w:val="en-US"/>
              </w:rPr>
              <w:lastRenderedPageBreak/>
              <w:t>raportuar nga Operatorët e Platformave, duke përfshirë detyrimet për kujdes të duhur, raportim dhe regjistrim sipas Aneksit V.</w:t>
            </w:r>
          </w:p>
          <w:p w14:paraId="61643CE7"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Neni 8ac i Direktivës 2011/16/BE transpozohet përmes neneve 1–15 të projektligjit DAC7.</w:t>
            </w:r>
          </w:p>
          <w:p w14:paraId="5B2CA3C7" w14:textId="444D6CEC" w:rsidR="00314559" w:rsidRPr="003B7DC9" w:rsidRDefault="00314559" w:rsidP="00314559">
            <w:pPr>
              <w:spacing w:line="276" w:lineRule="auto"/>
              <w:jc w:val="both"/>
              <w:rPr>
                <w:rFonts w:ascii="Times New Roman" w:eastAsia="Calibri" w:hAnsi="Times New Roman" w:cs="Times New Roman"/>
                <w:iCs/>
                <w:sz w:val="18"/>
                <w:szCs w:val="18"/>
                <w:lang w:val="en-US"/>
              </w:rPr>
            </w:pPr>
          </w:p>
        </w:tc>
      </w:tr>
      <w:tr w:rsidR="00314559" w:rsidRPr="003B7DC9" w14:paraId="0F3514BA" w14:textId="77777777" w:rsidTr="00B75638">
        <w:trPr>
          <w:trHeight w:val="1097"/>
        </w:trPr>
        <w:tc>
          <w:tcPr>
            <w:tcW w:w="630" w:type="dxa"/>
          </w:tcPr>
          <w:p w14:paraId="47AA42AC" w14:textId="77777777" w:rsidR="00314559" w:rsidRPr="003B7DC9" w:rsidRDefault="00314559" w:rsidP="00314559">
            <w:pPr>
              <w:jc w:val="both"/>
              <w:rPr>
                <w:rFonts w:ascii="Times New Roman" w:eastAsia="Calibri" w:hAnsi="Times New Roman" w:cs="Times New Roman"/>
                <w:sz w:val="18"/>
                <w:szCs w:val="18"/>
              </w:rPr>
            </w:pPr>
          </w:p>
        </w:tc>
        <w:tc>
          <w:tcPr>
            <w:tcW w:w="5220" w:type="dxa"/>
          </w:tcPr>
          <w:p w14:paraId="712D31DF" w14:textId="77777777" w:rsidR="00314559" w:rsidRPr="003B7DC9" w:rsidRDefault="00314559" w:rsidP="00314559">
            <w:pPr>
              <w:jc w:val="both"/>
              <w:rPr>
                <w:rFonts w:ascii="Times New Roman" w:eastAsia="Calibri" w:hAnsi="Times New Roman" w:cs="Times New Roman"/>
                <w:iCs/>
                <w:sz w:val="18"/>
                <w:szCs w:val="18"/>
              </w:rPr>
            </w:pPr>
          </w:p>
          <w:p w14:paraId="09D4F963" w14:textId="77777777" w:rsidR="00314559" w:rsidRPr="003B7DC9" w:rsidRDefault="00314559" w:rsidP="00314559">
            <w:pPr>
              <w:jc w:val="both"/>
              <w:rPr>
                <w:rFonts w:ascii="Times New Roman" w:eastAsia="Calibri" w:hAnsi="Times New Roman" w:cs="Times New Roman"/>
                <w:b/>
                <w:bCs/>
                <w:iCs/>
                <w:sz w:val="18"/>
                <w:szCs w:val="18"/>
                <w:lang w:val="en-US"/>
              </w:rPr>
            </w:pPr>
            <w:r w:rsidRPr="003B7DC9">
              <w:rPr>
                <w:rFonts w:ascii="Times New Roman" w:eastAsia="Calibri" w:hAnsi="Times New Roman" w:cs="Times New Roman"/>
                <w:b/>
                <w:bCs/>
                <w:iCs/>
                <w:sz w:val="18"/>
                <w:szCs w:val="18"/>
                <w:lang w:val="en-US"/>
              </w:rPr>
              <w:t>Neni 8ad</w:t>
            </w:r>
          </w:p>
          <w:p w14:paraId="4A6FFC1E"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b/>
                <w:bCs/>
                <w:iCs/>
                <w:sz w:val="18"/>
                <w:szCs w:val="18"/>
                <w:lang w:val="en-US"/>
              </w:rPr>
              <w:t>Fusha e zbatimit dhe kushtet e shkëmbimit automatik të detyrueshëm të informacionit të raportuar nga Ofruesit e Shërbimeve të Aseteve Kripto që Raportojnë</w:t>
            </w:r>
          </w:p>
          <w:p w14:paraId="4527EABB" w14:textId="77777777" w:rsidR="00314559" w:rsidRPr="003B7DC9" w:rsidRDefault="00314559" w:rsidP="00314559">
            <w:pPr>
              <w:numPr>
                <w:ilvl w:val="0"/>
                <w:numId w:val="38"/>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Çdo shtet anëtar merr masat e nevojshme për të kërkuar që Ofruesit e Shërbimeve të Aseteve Kripto që Raportojnë të përmbushin kërkesat e raportimit dhe të kryejnë procedurat e kujdesit të duhur të përcaktuara respektivisht në Seksionet II dhe III të Aneksit VI. Çdo shtet anëtar siguron gjithashtu zbatimin efektiv dhe respektimin e këtyre masave në përputhje me Seksionin V të Aneksit VI.</w:t>
            </w:r>
          </w:p>
          <w:p w14:paraId="2764EDFD" w14:textId="77777777" w:rsidR="00314559" w:rsidRPr="003B7DC9" w:rsidRDefault="00314559" w:rsidP="00314559">
            <w:pPr>
              <w:numPr>
                <w:ilvl w:val="0"/>
                <w:numId w:val="38"/>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Në përputhje me kërkesat e zbatueshme të raportimit dhe procedurat e kujdesit të duhur të përfshira respektivisht në Seksionet II dhe III të Aneksit VI, autoriteti kompetent i një shteti anëtar ku kryhet raportimi i përmendur në pikën 1 të këtij neni komunikon, nëpërmjet shkëmbimit automatik dhe brenda afatit të përcaktuar në pikën 6 të këtij neni, informacionin e specifikuar në pikën 3 të këtij neni tek autoritetet kompetente të shteteve anëtare përkatëse në përputhje me rregullimet praktike të miratuara sipas nenit 21.</w:t>
            </w:r>
          </w:p>
          <w:p w14:paraId="660AC585" w14:textId="77777777" w:rsidR="00314559" w:rsidRPr="003B7DC9" w:rsidRDefault="00314559" w:rsidP="00314559">
            <w:pPr>
              <w:numPr>
                <w:ilvl w:val="0"/>
                <w:numId w:val="38"/>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Autoriteti kompetent i një shteti anëtar komunikon informacionin e mëposhtëm në lidhje me çdo Person të Raportueshëm:</w:t>
            </w:r>
          </w:p>
          <w:p w14:paraId="46486B83"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(a) emrin, adresën, shtetin(et) anëtare të rezidencës, TIN</w:t>
            </w:r>
            <w:r w:rsidRPr="003B7DC9">
              <w:rPr>
                <w:rFonts w:ascii="Times New Roman" w:eastAsia="Calibri" w:hAnsi="Times New Roman" w:cs="Times New Roman"/>
                <w:iCs/>
                <w:sz w:val="18"/>
                <w:szCs w:val="18"/>
                <w:lang w:val="en-US"/>
              </w:rPr>
              <w:noBreakHyphen/>
              <w:t>in(et) dhe, në rastin e një individi, datën dhe vendin e lindjes të çdo Përdoruesi të Raportueshëm dhe, në rastin e çdo Entiteti që, pas zbatimit të procedurave të kujdesit të duhur të përcaktuara në Seksionin III të Aneksit VI, identifikohet se ka një ose më shumë Persona Kontrollues që është Person i Raportueshëm, emrin, adresën, shtetin(et) anëtare të rezidencës dhe TIN</w:t>
            </w:r>
            <w:r w:rsidRPr="003B7DC9">
              <w:rPr>
                <w:rFonts w:ascii="Times New Roman" w:eastAsia="Calibri" w:hAnsi="Times New Roman" w:cs="Times New Roman"/>
                <w:iCs/>
                <w:sz w:val="18"/>
                <w:szCs w:val="18"/>
                <w:lang w:val="en-US"/>
              </w:rPr>
              <w:noBreakHyphen/>
              <w:t>in(et) të Entitetit dhe emrin, adresën, shtetin(et) anëtare të rezidencës, TIN</w:t>
            </w:r>
            <w:r w:rsidRPr="003B7DC9">
              <w:rPr>
                <w:rFonts w:ascii="Times New Roman" w:eastAsia="Calibri" w:hAnsi="Times New Roman" w:cs="Times New Roman"/>
                <w:iCs/>
                <w:sz w:val="18"/>
                <w:szCs w:val="18"/>
                <w:lang w:val="en-US"/>
              </w:rPr>
              <w:noBreakHyphen/>
              <w:t xml:space="preserve">in(et) dhe datën dhe vendin e lindjes të çdo Personi Kontrollues të Entitetit që është Person i Raportueshëm, si dhe </w:t>
            </w:r>
            <w:r w:rsidRPr="003B7DC9">
              <w:rPr>
                <w:rFonts w:ascii="Times New Roman" w:eastAsia="Calibri" w:hAnsi="Times New Roman" w:cs="Times New Roman"/>
                <w:iCs/>
                <w:sz w:val="18"/>
                <w:szCs w:val="18"/>
                <w:lang w:val="en-US"/>
              </w:rPr>
              <w:lastRenderedPageBreak/>
              <w:t>rolin(et) në bazë të të cilit çdo Person i tillë i Raportueshëm është Person Kontrollues i Entitetit;</w:t>
            </w:r>
          </w:p>
          <w:p w14:paraId="63516584"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pavarësisht nga nënparagrafi i parë i kësaj pike, kur Ofruesi i Shërbimeve të Aseteve Kripto që Raporton mbështetet në konfirmimin e drejtpërdrejtë të identitetit dhe rezidencës së Personit të Raportueshëm përmes një Shërbimi Identifikimi të vënë në dispozicion nga një shtet anëtar ose nga Bashkimi për të përcaktuar identitetin dhe rezidencën tatimore të Personit të Raportueshëm, informacioni që do të komunikohet tek shteti anëtar i lëshimit të identifikuesit të Shërbimit të Identifikimit në lidhje me Personin e Raportueshëm përfshin emrin, identifikuesin e Shërbimit të Identifikimit dhe shtetin anëtar të lëshimit, si dhe rolin(et) në bazë të të cilit çdo Person i Raportueshëm është Person Kontrollues i Entitetit;</w:t>
            </w:r>
          </w:p>
          <w:p w14:paraId="44B06C7E"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(b) emrin, adresën, TIN</w:t>
            </w:r>
            <w:r w:rsidRPr="003B7DC9">
              <w:rPr>
                <w:rFonts w:ascii="Times New Roman" w:eastAsia="Calibri" w:hAnsi="Times New Roman" w:cs="Times New Roman"/>
                <w:iCs/>
                <w:sz w:val="18"/>
                <w:szCs w:val="18"/>
                <w:lang w:val="en-US"/>
              </w:rPr>
              <w:noBreakHyphen/>
              <w:t>in dhe, nëse është i disponueshëm, numrin individual identifikues të përmendur në pikën 7 dhe identifikuesin global të entitetit juridik të Ofruesit të Shërbimeve të Aseteve Kripto që Raporton;</w:t>
            </w:r>
          </w:p>
          <w:p w14:paraId="3F3EFB0F"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(c) për çdo lloj Aseti Kripto të Raportueshëm në lidhje me të cilin Ofruesi i Shërbimeve të Aseteve Kripto që Raporton ka kryer Transaksione të Raportueshme gjatë vitit kalendarik përkatës ose periudhës tjetër të përshtatshme të raportimit, kur është e aplikueshme:</w:t>
            </w:r>
          </w:p>
          <w:p w14:paraId="6E324DC1"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(i) emrin e plotë të llojit të Asetit Kripto të Raportueshëm;</w:t>
            </w:r>
          </w:p>
          <w:p w14:paraId="1ADDE71E"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(ii) shumën totale bruto të paguar, numrin total të njësive dhe numrin e Transaksioneve të Raportueshme në lidhje me blerjet kundrejt Monedhës Fiat;</w:t>
            </w:r>
          </w:p>
          <w:p w14:paraId="4DF82311"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(iii) shumën totale bruto të marrë, numrin total të njësive dhe numrin e Transaksioneve të Raportueshme në lidhje me shitjet kundrejt Monedhës Fiat;</w:t>
            </w:r>
          </w:p>
          <w:p w14:paraId="436633B8"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(iv) vlerën totale të drejtë të tregut, numrin total të njësive dhe numrin e Transaksioneve të Raportueshme në lidhje me blerjet kundrejt Aseteve të tjera Kripto të Raportueshme;</w:t>
            </w:r>
          </w:p>
          <w:p w14:paraId="42DAECF0"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(v) vlerën totale të drejtë të tregut, numrin total të njësive dhe numrin e Transaksioneve të Raportueshme në lidhje me shitjet kundrejt Aseteve të tjera Kripto të Raportueshme;</w:t>
            </w:r>
          </w:p>
          <w:p w14:paraId="63C09DE2"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(vi) vlerën totale të drejtë të tregut, numrin total të njësive dhe numrin e Transaksioneve të Raportueshme të Pagesave të Pakicës;</w:t>
            </w:r>
          </w:p>
          <w:p w14:paraId="6F75DA1D"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 xml:space="preserve">(vii) vlerën totale të drejtë të tregut, numrin total të njësive dhe numrin e Transaksioneve të Raportueshme, të ndara sipas llojit të transferimit kur kjo njihet nga Ofruesi i Shërbimeve të Aseteve Kripto që </w:t>
            </w:r>
            <w:r w:rsidRPr="003B7DC9">
              <w:rPr>
                <w:rFonts w:ascii="Times New Roman" w:eastAsia="Calibri" w:hAnsi="Times New Roman" w:cs="Times New Roman"/>
                <w:iCs/>
                <w:sz w:val="18"/>
                <w:szCs w:val="18"/>
                <w:lang w:val="en-US"/>
              </w:rPr>
              <w:lastRenderedPageBreak/>
              <w:t>Raporton, në lidhje me Transferimet drejt Përdoruesit të Raportueshëm që nuk mbulohen nga pikat (ii) dhe (iv);</w:t>
            </w:r>
          </w:p>
          <w:p w14:paraId="173D83C6"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(viii) vlerën totale të drejtë të tregut, numrin total të njësive dhe numrin e Transaksioneve të Raportueshme, të ndara sipas llojit të transferimit kur kjo njihet nga Ofruesi i Shërbimeve të Aseteve Kripto që Raporton, në lidhje me Transferimet nga Përdoruesi i Raportueshëm që nuk mbulohen nga pikat (iii), (v) dhe (vi); dhe</w:t>
            </w:r>
          </w:p>
          <w:p w14:paraId="2DF4F283"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▼C2</w:t>
            </w:r>
          </w:p>
          <w:p w14:paraId="29084C2E"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(ix) vlerën totale të drejtë të tregut, si dhe numrin total të njësive të Transferimeve të kryera nga Ofruesi i Shërbimeve të Aseteve Kripto që Raporton drejt adresave të regjistrit të shpërndarë, siç përcaktohet në nenin 3, pika (18), të Rregullores (BE) 2023/1113, që nuk njihen si të lidhura me një ofrues shërbimesh të aseteve virtuale ose institucion financiar.</w:t>
            </w:r>
          </w:p>
          <w:p w14:paraId="3E5F4A37"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▼M8</w:t>
            </w:r>
          </w:p>
          <w:p w14:paraId="68AF0116"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Për qëllimet e pikave (c)(ii) dhe (iii), shuma e paguar ose e marrë komunikohet në Monedhën Fiat në të cilën është paguar ose marrë. Në rast se shumat janë paguar ose marrë në shumë Monedha Fiat, shumat komunikohen në një Monedhë Fiat të vetme, të konvertuara në momentin e çdo Transaksioni të Raportueshëm në një mënyrë që zbatohet në mënyrë të qëndrueshme nga Ofruesi i Shërbimeve të Aseteve Kripto që Raporton.</w:t>
            </w:r>
          </w:p>
          <w:p w14:paraId="1CC9926B"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Për qëllimet e pikave (c)(iv) deri në (ix), vlera e drejtë e tregut përcaktohet dhe komunikohet në një Monedhë Fiat të vetme, e vlerësuar në momentin e çdo Transaksioni të Raportueshëm në një mënyrë që zbatohet në mënyrë të qëndrueshme nga Ofruesi i Shërbimeve të Aseteve Kripto që Raporton.</w:t>
            </w:r>
          </w:p>
          <w:p w14:paraId="7C02DC26"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Informacioni i komunikuar specifikon Monedhën Fiat në të cilën çdo shumë raportohet.</w:t>
            </w:r>
          </w:p>
          <w:p w14:paraId="14C4905F" w14:textId="77777777" w:rsidR="00314559" w:rsidRPr="003B7DC9" w:rsidRDefault="00314559" w:rsidP="00314559">
            <w:pPr>
              <w:numPr>
                <w:ilvl w:val="0"/>
                <w:numId w:val="39"/>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Për të lehtësuar shkëmbimin e informacionit të përmendur në pikën 3 të këtij neni, Komisioni, me anë të akteve zbatuese, miraton rregullimet praktike të nevojshme për zbatimin e këtij neni, duke përfshirë masat për standardizimin e komunikimit të informacionit të përcaktuar në atë pikë, si pjesë e procedurës për vendosjen e formularit standard të kompjuterizuar të parashikuar në nenin 20(5). Këto akte zbatuese miratohen në përputhje me procedurën e përmendur në nenin 26(2).</w:t>
            </w:r>
          </w:p>
          <w:p w14:paraId="53E35C02" w14:textId="77777777" w:rsidR="00314559" w:rsidRPr="003B7DC9" w:rsidRDefault="00314559" w:rsidP="00314559">
            <w:pPr>
              <w:numPr>
                <w:ilvl w:val="0"/>
                <w:numId w:val="39"/>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Komisioni nuk ka akses në informacionin e përmendur në pikën 3, shkronjat (a) dhe (b).</w:t>
            </w:r>
          </w:p>
          <w:p w14:paraId="544DAE37" w14:textId="77777777" w:rsidR="00314559" w:rsidRPr="003B7DC9" w:rsidRDefault="00314559" w:rsidP="00314559">
            <w:pPr>
              <w:numPr>
                <w:ilvl w:val="0"/>
                <w:numId w:val="39"/>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lastRenderedPageBreak/>
              <w:t>Komunikimi sipas pikës 3 të këtij neni realizohet duke përdorur formularin standard të kompjuterizuar të përmendur në nenin 20(5) brenda nëntë muajve pas përfundimit të vitit kalendarik me të cilin lidhen kërkesat e raportimit të zbatueshme për Ofruesit e Shërbimeve të Aseteve Kripto që Raportojnë. Informacioni i parë komunikohet për vitin kalendarik përkatës ose periudhën tjetër të përshtatshme të raportimit që fillon më 1 janar 2026.</w:t>
            </w:r>
          </w:p>
          <w:p w14:paraId="432146A0" w14:textId="77777777" w:rsidR="00314559" w:rsidRPr="003B7DC9" w:rsidRDefault="00314559" w:rsidP="00314559">
            <w:pPr>
              <w:numPr>
                <w:ilvl w:val="0"/>
                <w:numId w:val="39"/>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Për qëllimin e përmbushjes së kërkesave të raportimit të përmendura në pikën 1, çdo shtet anëtar miraton rregullat e nevojshme për të kërkuar që një Operator i Aseteve Kripto të regjistrohet brenda Bashkimit. Autoriteti kompetent i shtetit anëtar të regjistrimit cakton një numër individual identifikues për këtë Operator të Aseteve Kripto.</w:t>
            </w:r>
          </w:p>
          <w:p w14:paraId="6E9F4F60"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Shtetet anëtare përcaktojnë rregulla sipas të cilave një Operator i Aseteve Kripto regjistrohet tek autoriteti kompetent i një shteti të vetëm anëtar në përputhje me rregullat e përcaktuara në Seksionin V, paragrafin F, të Aneksit VI.</w:t>
            </w:r>
          </w:p>
          <w:p w14:paraId="70B4FB40"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Shtetet anëtare marrin masat e nevojshme për të kërkuar që një Operator i Aseteve Kripto, regjistrimi i të cilit është revokuar në përputhje me Seksionin V, nënparagrafin F(7), të Aneksit VI, mund të lejohet të regjistrohet përsëri vetëm nëse ai i siguron autoriteteve të një shteti anëtar përkatës garanci të përshtatshme në lidhje me angazhimin e tij për të respektuar kërkesat e raportimit brenda Bashkimit, duke përfshirë çdo kërkesë raportimi të papërmbushur.</w:t>
            </w:r>
          </w:p>
          <w:p w14:paraId="6A17BD4F" w14:textId="77777777" w:rsidR="00314559" w:rsidRPr="003B7DC9" w:rsidRDefault="00314559" w:rsidP="00314559">
            <w:pPr>
              <w:numPr>
                <w:ilvl w:val="0"/>
                <w:numId w:val="40"/>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Pika 7 e këtij neni nuk zbatohet për Ofruesit e Shërbimeve të Aseteve Kripto në kuptim të Seksionit IV, nënparagrafit B(1), të Aneksit VI.</w:t>
            </w:r>
          </w:p>
          <w:p w14:paraId="2BC671AB" w14:textId="77777777" w:rsidR="00314559" w:rsidRPr="003B7DC9" w:rsidRDefault="00314559" w:rsidP="00314559">
            <w:pPr>
              <w:numPr>
                <w:ilvl w:val="0"/>
                <w:numId w:val="40"/>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Komisioni, me anë të akteve zbatuese, përcakton rregullimet praktike dhe teknike të nevojshme për regjistrimin dhe identifikimin e Operatorëve të Aseteve Kripto. Këto akte zbatuese miratohen në përputhje me procedurën e përmendur në nenin 26(2).</w:t>
            </w:r>
          </w:p>
          <w:p w14:paraId="77036B29" w14:textId="77777777" w:rsidR="00314559" w:rsidRPr="003B7DC9" w:rsidRDefault="00314559" w:rsidP="00314559">
            <w:pPr>
              <w:numPr>
                <w:ilvl w:val="0"/>
                <w:numId w:val="40"/>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Komisioni, deri më 31 dhjetor 2025, krijon një regjistër të Operatorëve të Aseteve Kripto ku regjistrohet informacioni që do të komunikohet në përputhje me Seksionin V, nënparagrafin F(2), të Aneksit VI. Ky regjistër i Operatorëve të Aseteve Kripto është i disponueshëm për autoritetet kompetente të të gjitha shteteve anëtare.</w:t>
            </w:r>
          </w:p>
          <w:p w14:paraId="5932ED05" w14:textId="77777777" w:rsidR="00314559" w:rsidRPr="003B7DC9" w:rsidRDefault="00314559" w:rsidP="00314559">
            <w:pPr>
              <w:numPr>
                <w:ilvl w:val="0"/>
                <w:numId w:val="40"/>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lastRenderedPageBreak/>
              <w:t>Komisioni, me anë të akteve zbatuese, pas një kërkese të arsyetuar nga çdo shtet anëtar ose me iniciativën e tij, përcakton nëse informacioni që kërkohet të shkëmbehet automatikisht sipas një marrëveshjeje ndërmjet autoriteteve kompetente të shtetit anëtar përkatës dhe një juridiksioni jashtë Bashkimit përputhet me atë të përcaktuar në Seksionin II, paragrafin B, të Aneksit VI, në kuptim të Seksionit IV, nënparagrafin F(5), të Aneksit VI. Këto akte zbatuese miratohen në përputhje me procedurën e përmendur në nenin 26(2)</w:t>
            </w:r>
          </w:p>
          <w:p w14:paraId="24322DB2" w14:textId="77777777" w:rsidR="00314559" w:rsidRPr="003B7DC9" w:rsidRDefault="00314559" w:rsidP="00314559">
            <w:pPr>
              <w:jc w:val="both"/>
              <w:rPr>
                <w:rFonts w:ascii="Times New Roman" w:eastAsia="Calibri" w:hAnsi="Times New Roman" w:cs="Times New Roman"/>
                <w:iCs/>
                <w:sz w:val="18"/>
                <w:szCs w:val="18"/>
              </w:rPr>
            </w:pPr>
          </w:p>
          <w:p w14:paraId="41C41DE8"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Një shtet anëtar që kërkon masën e përmendur në nënparagrafin e parë i dërgon një kërkesë të arsyetuar Komisionit.</w:t>
            </w:r>
          </w:p>
          <w:p w14:paraId="1BBC2C98"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Nëse Komisioni vlerëson se nuk ka të gjithë informacionin e nevojshëm për vlerësimin e kërkesës, ai kontakton shtetin anëtar përkatës brenda dy muajve nga marrja e kërkesës dhe specifikon se çfarë informacioni shtesë kërkohet. Pasi Komisioni ka të gjithë informacionin që ai e konsideron të nevojshëm, ai, brenda një muaji, njofton shtetin anëtar kërkues dhe i paraqet informacionin përkatës Komitetit të përmendur në nenin 26(1).</w:t>
            </w:r>
          </w:p>
          <w:p w14:paraId="21DCBBA2" w14:textId="77777777" w:rsidR="00314559" w:rsidRPr="003B7DC9" w:rsidRDefault="00314559" w:rsidP="00314559">
            <w:pPr>
              <w:jc w:val="both"/>
              <w:rPr>
                <w:rFonts w:ascii="Times New Roman" w:eastAsia="Calibri" w:hAnsi="Times New Roman" w:cs="Times New Roman"/>
                <w:iCs/>
                <w:sz w:val="18"/>
                <w:szCs w:val="18"/>
              </w:rPr>
            </w:pPr>
          </w:p>
          <w:p w14:paraId="0A9B7C62"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Kur vepron me iniciativën e tij, Komisioni miraton një akt zbatues siç përmendet në nënparagrafin e parë vetëm në lidhje me një marrëveshje ndërmjet autoriteteve kompetente me një juridiksion jashtë Bashkimit që kërkon shkëmbimin automatik të informacionit mbi një individ ose Entitet që është klient i një Ofruesi të Shërbimeve të Aseteve Kripto që Raporton për qëllimin e kryerjes së Transaksioneve të Raportueshme, e lidhur nga një shtet anëtar.</w:t>
            </w:r>
          </w:p>
          <w:p w14:paraId="09FF81F6"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Gjatë përcaktimit nëse informacioni është informacion përkatës në kuptim të nënparagrafit të parë në lidhje me Transaksionet e Raportueshme, Komisioni merr në konsideratë në mënyrë të duhur në çfarë mase regjimi mbi të cilin bazohet ky informacion përputhet me atë të përcaktuar në Aneksin VI, në veçanti në lidhje me:</w:t>
            </w:r>
          </w:p>
          <w:p w14:paraId="2A298359"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(a) përkufizimet e Ofruesit të Shërbimeve të Aseteve Kripto që Raporton, Përdoruesit të Raportueshëm dhe Transaksionit të Raportueshëm;</w:t>
            </w:r>
          </w:p>
          <w:p w14:paraId="15A0C407"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(b) procedurat e zbatueshme për qëllimin e identifikimit të Përdoruesve të Raportueshëm;</w:t>
            </w:r>
          </w:p>
          <w:p w14:paraId="538CFA16"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(c) kërkesat e raportimit;</w:t>
            </w:r>
          </w:p>
          <w:p w14:paraId="62630B03"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lastRenderedPageBreak/>
              <w:t>(d) rregullat dhe procedurat administrative që juridiksionet jashtë Bashkimit duhet të kenë në vend për të siguruar zbatimin efektiv dhe respektimin e procedurave të kujdesit të duhur dhe kërkesave të raportimit të përcaktuara në atë regjim.</w:t>
            </w:r>
          </w:p>
          <w:p w14:paraId="0CAA56F2"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Procedura e përcaktuar në këtë pikë zbatohet gjithashtu për të përcaktuar që informacioni nuk është më informacion përkatës në kuptim të Seksionit IV, nënparagrafit F(5), të Aneksit VI.</w:t>
            </w:r>
          </w:p>
          <w:p w14:paraId="2099AEAC" w14:textId="24BA9656" w:rsidR="00314559" w:rsidRPr="003B7DC9" w:rsidRDefault="00314559" w:rsidP="00314559">
            <w:pPr>
              <w:numPr>
                <w:ilvl w:val="0"/>
                <w:numId w:val="41"/>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Pavarësisht nga pika 11, kur një standard ndërkombëtar për raportimin dhe shkëmbimin automatik të informacionit mbi asetet kripto përcaktohet si një standard minimal ose ekuivalent, çdo përcaktim nga Komisioni, me anë të akteve zbatuese, nëse informacioni që kërkohet të shkëmbehet automatikisht në përputhje me zbatimin e këtij standardi dhe marrëveshjen ndërmjet autoriteteve kompetente ndërmjet shtetit(eteve) anëtare përkatëse dhe një juridiksioni jashtë Bashkimit, është informacion përkatës, nuk kërkohet më. Ky informacion konsiderohet të përputhet me informacionin që kërkohet sipas kësaj Direktive, me kusht që të ekzistojë një marrëveshje ndërmjet autoriteteve kompetente ndërmjet autoriteteve kompetente të të gjitha shteteve anëtare përkatëse dhe juridiksionit jashtë Bashkimit që kërkon shkëmbimin automatik të informacionit mbi një individ ose Entitet që është klient i një Ofruesi të Shërbimeve të Aseteve Kripto që Raporton për qëllimin e kryerjes së Transaksioneve të Raportueshme.</w:t>
            </w:r>
          </w:p>
          <w:p w14:paraId="42CEB50E"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Dispozitat përkatëse në këtë nen dhe në Aneksin VI nuk zbatohen më për qëllime të tilla.</w:t>
            </w:r>
          </w:p>
          <w:p w14:paraId="69CC985F" w14:textId="6101EC8D" w:rsidR="00314559" w:rsidRPr="003B7DC9" w:rsidRDefault="00314559" w:rsidP="00314559">
            <w:pPr>
              <w:jc w:val="both"/>
              <w:rPr>
                <w:rFonts w:ascii="Times New Roman" w:eastAsia="Calibri" w:hAnsi="Times New Roman" w:cs="Times New Roman"/>
                <w:iCs/>
                <w:sz w:val="18"/>
                <w:szCs w:val="18"/>
              </w:rPr>
            </w:pPr>
          </w:p>
        </w:tc>
        <w:tc>
          <w:tcPr>
            <w:tcW w:w="1170" w:type="dxa"/>
          </w:tcPr>
          <w:p w14:paraId="68FE772F" w14:textId="57C26DB0" w:rsidR="00314559" w:rsidRPr="003B7DC9" w:rsidRDefault="00314559" w:rsidP="00314559">
            <w:pPr>
              <w:jc w:val="center"/>
              <w:rPr>
                <w:rFonts w:ascii="Times New Roman" w:eastAsia="Calibri" w:hAnsi="Times New Roman" w:cs="Times New Roman"/>
                <w:i/>
                <w:iCs/>
                <w:sz w:val="18"/>
                <w:szCs w:val="18"/>
              </w:rPr>
            </w:pPr>
            <w:r w:rsidRPr="003B7DC9">
              <w:rPr>
                <w:rFonts w:ascii="Times New Roman" w:eastAsia="Calibri" w:hAnsi="Times New Roman" w:cs="Times New Roman"/>
                <w:sz w:val="18"/>
                <w:szCs w:val="18"/>
              </w:rPr>
              <w:lastRenderedPageBreak/>
              <w:t>1</w:t>
            </w:r>
          </w:p>
        </w:tc>
        <w:tc>
          <w:tcPr>
            <w:tcW w:w="720" w:type="dxa"/>
          </w:tcPr>
          <w:p w14:paraId="052F3DE3" w14:textId="07B08246"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tcPr>
          <w:p w14:paraId="0065F1F4" w14:textId="062F862F" w:rsidR="00314559" w:rsidRPr="003B7DC9" w:rsidRDefault="00314559" w:rsidP="00314559">
            <w:pPr>
              <w:spacing w:line="312" w:lineRule="atLeast"/>
              <w:jc w:val="center"/>
              <w:rPr>
                <w:rFonts w:ascii="Times New Roman" w:eastAsia="Times New Roman" w:hAnsi="Times New Roman" w:cs="Times New Roman"/>
                <w:bCs/>
                <w:sz w:val="18"/>
                <w:szCs w:val="18"/>
                <w:lang w:val="sq-AL" w:eastAsia="sq-AL"/>
              </w:rPr>
            </w:pPr>
            <w:r w:rsidRPr="003B7DC9">
              <w:rPr>
                <w:rFonts w:ascii="Times New Roman" w:eastAsia="Times New Roman" w:hAnsi="Times New Roman" w:cs="Times New Roman"/>
                <w:bCs/>
                <w:sz w:val="18"/>
                <w:szCs w:val="18"/>
                <w:lang w:val="sq-AL" w:eastAsia="sq-AL"/>
              </w:rPr>
              <w:t>N/A</w:t>
            </w:r>
          </w:p>
        </w:tc>
        <w:tc>
          <w:tcPr>
            <w:tcW w:w="1066" w:type="dxa"/>
          </w:tcPr>
          <w:p w14:paraId="61FFD1DD" w14:textId="26419742"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tcPr>
          <w:p w14:paraId="39EA7BDB" w14:textId="77777777" w:rsidR="00314559" w:rsidRPr="003B7DC9" w:rsidRDefault="00314559" w:rsidP="00314559">
            <w:pPr>
              <w:jc w:val="both"/>
              <w:rPr>
                <w:rFonts w:ascii="Times New Roman" w:eastAsia="Calibri" w:hAnsi="Times New Roman" w:cs="Times New Roman"/>
                <w:iCs/>
                <w:sz w:val="18"/>
                <w:szCs w:val="18"/>
              </w:rPr>
            </w:pPr>
          </w:p>
          <w:p w14:paraId="5215876C"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Nuk kërkon transpozim. Neni 8ad është futur me Direktivën (BE) 2023/2226 (DAC8) dhe përcakton një regjim të shkëmbimit automatik të informacionit për informacionin e raportuar nga Ofruesit e Shërbimeve të Aseteve Kripto që Raportojnë.</w:t>
            </w:r>
          </w:p>
          <w:p w14:paraId="2E22FC48" w14:textId="572136C0" w:rsidR="00314559" w:rsidRPr="003B7DC9" w:rsidRDefault="00314559" w:rsidP="00314559">
            <w:pPr>
              <w:jc w:val="both"/>
              <w:rPr>
                <w:rFonts w:ascii="Times New Roman" w:eastAsia="Calibri" w:hAnsi="Times New Roman" w:cs="Times New Roman"/>
                <w:iCs/>
                <w:sz w:val="18"/>
                <w:szCs w:val="18"/>
              </w:rPr>
            </w:pPr>
          </w:p>
        </w:tc>
      </w:tr>
      <w:tr w:rsidR="00314559" w:rsidRPr="003B7DC9" w14:paraId="7611F9DF" w14:textId="77777777" w:rsidTr="00B75638">
        <w:trPr>
          <w:trHeight w:val="1097"/>
        </w:trPr>
        <w:tc>
          <w:tcPr>
            <w:tcW w:w="630" w:type="dxa"/>
          </w:tcPr>
          <w:p w14:paraId="6F4A9D4E" w14:textId="77777777" w:rsidR="00314559" w:rsidRPr="003B7DC9" w:rsidRDefault="00314559" w:rsidP="00314559">
            <w:pPr>
              <w:jc w:val="both"/>
              <w:rPr>
                <w:rFonts w:ascii="Times New Roman" w:eastAsia="Calibri" w:hAnsi="Times New Roman" w:cs="Times New Roman"/>
                <w:sz w:val="18"/>
                <w:szCs w:val="18"/>
              </w:rPr>
            </w:pPr>
          </w:p>
        </w:tc>
        <w:tc>
          <w:tcPr>
            <w:tcW w:w="5220" w:type="dxa"/>
          </w:tcPr>
          <w:p w14:paraId="4FE4463B" w14:textId="77777777" w:rsidR="00314559" w:rsidRPr="003B7DC9" w:rsidRDefault="00314559" w:rsidP="00314559">
            <w:pPr>
              <w:jc w:val="both"/>
              <w:rPr>
                <w:rFonts w:ascii="Times New Roman" w:eastAsia="Calibri" w:hAnsi="Times New Roman" w:cs="Times New Roman"/>
                <w:b/>
                <w:bCs/>
                <w:iCs/>
                <w:sz w:val="18"/>
                <w:szCs w:val="18"/>
                <w:lang w:val="en-US"/>
              </w:rPr>
            </w:pPr>
            <w:r w:rsidRPr="003B7DC9">
              <w:rPr>
                <w:rFonts w:ascii="Times New Roman" w:eastAsia="Calibri" w:hAnsi="Times New Roman" w:cs="Times New Roman"/>
                <w:b/>
                <w:bCs/>
                <w:iCs/>
                <w:sz w:val="18"/>
                <w:szCs w:val="18"/>
                <w:lang w:val="en-US"/>
              </w:rPr>
              <w:t>Neni 8ae</w:t>
            </w:r>
          </w:p>
          <w:p w14:paraId="03672007" w14:textId="24E7A14A" w:rsidR="00314559" w:rsidRPr="003B7DC9" w:rsidRDefault="00314559" w:rsidP="00314559">
            <w:pPr>
              <w:jc w:val="both"/>
              <w:rPr>
                <w:rFonts w:ascii="Times New Roman" w:eastAsia="Calibri" w:hAnsi="Times New Roman" w:cs="Times New Roman"/>
                <w:b/>
                <w:bCs/>
                <w:iCs/>
                <w:sz w:val="18"/>
                <w:szCs w:val="18"/>
                <w:lang w:val="en-US"/>
              </w:rPr>
            </w:pPr>
            <w:r w:rsidRPr="003B7DC9">
              <w:rPr>
                <w:rFonts w:ascii="Times New Roman" w:eastAsia="Calibri" w:hAnsi="Times New Roman" w:cs="Times New Roman"/>
                <w:b/>
                <w:bCs/>
                <w:iCs/>
                <w:sz w:val="18"/>
                <w:szCs w:val="18"/>
                <w:lang w:val="en-US"/>
              </w:rPr>
              <w:t>Formati i paraqitjes dhe shkëmbimi i informacionit në lidhje me deklaratat e informacionit për taksën shtesë sipas nenit 44 të Direktivës (BE) 2022/2523</w:t>
            </w:r>
          </w:p>
          <w:p w14:paraId="652358E4" w14:textId="77777777" w:rsidR="00314559" w:rsidRPr="003B7DC9" w:rsidRDefault="00314559" w:rsidP="00314559">
            <w:pPr>
              <w:jc w:val="both"/>
              <w:rPr>
                <w:rFonts w:ascii="Times New Roman" w:eastAsia="Calibri" w:hAnsi="Times New Roman" w:cs="Times New Roman"/>
                <w:iCs/>
                <w:sz w:val="18"/>
                <w:szCs w:val="18"/>
                <w:lang w:val="en-US"/>
              </w:rPr>
            </w:pPr>
          </w:p>
          <w:p w14:paraId="264450CF" w14:textId="77777777" w:rsidR="00314559" w:rsidRPr="003B7DC9" w:rsidRDefault="00314559" w:rsidP="00314559">
            <w:pPr>
              <w:numPr>
                <w:ilvl w:val="0"/>
                <w:numId w:val="42"/>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Çdo shtet anëtar merr masat e nevojshme për të kërkuar që entiteti përbërës që paraqet deklarimin i një grupi shumëkombësh (MNE) të përdorë modelin standard të përcaktuar në Seksionin IV të Aneksit VII të kësaj direktive për të përmbushur detyrimet e paraqitjes sipas nenit 44 të Direktivës (BE) 2022/2523.</w:t>
            </w:r>
          </w:p>
          <w:p w14:paraId="25DCEBBE" w14:textId="77777777" w:rsidR="00314559" w:rsidRPr="003B7DC9" w:rsidRDefault="00314559" w:rsidP="00314559">
            <w:pPr>
              <w:numPr>
                <w:ilvl w:val="0"/>
                <w:numId w:val="42"/>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lastRenderedPageBreak/>
              <w:t>Autoriteti kompetent i një shteti anëtar që ka marrë deklaratën e informacionit për taksën shtesë të paraqitur nga entiteti mëmë përfundimtar ose entiteti i caktuar për paraqitje, siç përmendet në nenin 44(3), shkronjat (a) dhe (b), të Direktivës (BE) 2022/2523, komunikon, nëpërmjet shkëmbimit automatik dhe në përputhje me qasjen e mëposhtme të shpërndarjes, sa vijon:</w:t>
            </w:r>
          </w:p>
          <w:p w14:paraId="274CA9FF"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(a) Seksionin e Përgjithshëm të deklaratës së informacionit për taksën shtesë, tek shteti anëtar zbatues ku ndodhet entiteti mëmë përfundimtar ose entitetet përbërëse të grupit shumëkombësh;</w:t>
            </w:r>
          </w:p>
          <w:p w14:paraId="43226A89"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(b) Seksionin e Përgjithshëm të deklaratës së informacionit për taksën shtesë, me përjashtim të informacionit përmbledhës të nivelit të lartë në Seksionin 1.4 të tij, tek shtetet anëtare vetëm me taksë të brendshme të kualifikuar shtesë (QDTT):</w:t>
            </w:r>
          </w:p>
          <w:p w14:paraId="1A5DEDE0"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(i) ku ndodhen entitetet përbërëse të grupit shumëkombësh;</w:t>
            </w:r>
          </w:p>
          <w:p w14:paraId="207B77A1"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(ii) ku ndodhet një ndërmarrje e përbashkët ose një anëtar i një grupi ndërmarrjesh të përbashkëta të grupit shumëkombësh, nëse taksa e brendshme e kualifikuar shtesë vendoset në lidhje me ndërmarrjet e përbashkëta në atë shtet anëtar;</w:t>
            </w:r>
          </w:p>
          <w:p w14:paraId="3BA91961"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(iii) ku taksa e brendshme e kualifikuar shtesë vendoset në shtetin anëtar në lidhje me një entitet përbërës pa shtetësi ose një ndërmarrje të përbashkët pa shtetësi të grupit shumëkombësh;</w:t>
            </w:r>
          </w:p>
          <w:p w14:paraId="613F796D"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(c) një ose më shumë Seksione Juridiksionale të deklaratës së informacionit për taksën shtesë, tek shtetet anëtare që kanë të drejta tatimore sipas Direktivës (BE) 2022/2523, duke përfshirë taksën e brendshme të kualifikuar shtesë, në lidhje me shtetet anëtare me të cilat lidhen këto Seksione Juridiksionale.</w:t>
            </w:r>
          </w:p>
          <w:p w14:paraId="5B22269C"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Pavarësisht nga nënparagrafi i parë, shkronja (c), juridiksionet UTPR me një përqindje UTPR prej zero furnizohen vetëm me pjesën e deklaratës së informacionit për taksën shtesë që përmban informacion mbi atribuimin e taksës shtesë sipas UTPR në lidhje me atë juridiksion, ky informacion duke qenë në përputhje me një fragment të Seksionit 3.4.3 të deklaratës së informacionit për taksën shtesë, dhe shteti anëtar zbatues në të cilin ndodhet entiteti mëmë përfundimtar furnizohet me të gjitha Seksionet Juridiksionale.</w:t>
            </w:r>
          </w:p>
          <w:p w14:paraId="48300A9C" w14:textId="77777777" w:rsidR="00314559" w:rsidRPr="003B7DC9" w:rsidRDefault="00314559" w:rsidP="00314559">
            <w:pPr>
              <w:numPr>
                <w:ilvl w:val="0"/>
                <w:numId w:val="43"/>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Autoriteti kompetent i një shteti anëtar komunikon deklaratën e informacionit për taksën shtesë të marrë sipas pikës 2 dhe ky komunikim realizohet jo më vonë se 3 muaj pas afatit të paraqitjes për vitin fiskal raportues.</w:t>
            </w:r>
          </w:p>
          <w:p w14:paraId="7613D7A3" w14:textId="77777777" w:rsidR="00314559" w:rsidRPr="003B7DC9" w:rsidRDefault="00314559" w:rsidP="00314559">
            <w:pPr>
              <w:numPr>
                <w:ilvl w:val="0"/>
                <w:numId w:val="43"/>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lastRenderedPageBreak/>
              <w:t>Autoriteti kompetent i një shteti anëtar komunikon deklaratën e informacionit për taksën shtesë të marrë pas afatit të paraqitjes dhe ky komunikim realizohet jo më vonë se 3 muaj pas datës në të cilën ajo është marrë.</w:t>
            </w:r>
          </w:p>
          <w:p w14:paraId="724487AA" w14:textId="77777777" w:rsidR="00314559" w:rsidRPr="003B7DC9" w:rsidRDefault="00314559" w:rsidP="00314559">
            <w:pPr>
              <w:numPr>
                <w:ilvl w:val="0"/>
                <w:numId w:val="43"/>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Komisioni, me anë të akteve zbatuese, miraton rregullimet praktike të nevojshme për të lehtësuar komunikimin siç përmendet në pikën 2 të këtij neni. Këto akte zbatuese miratohen në përputhje me procedurën e përmendur në nenin 26(2).</w:t>
            </w:r>
          </w:p>
          <w:p w14:paraId="4A1583E9" w14:textId="77777777" w:rsidR="00314559" w:rsidRPr="003B7DC9" w:rsidRDefault="00314559" w:rsidP="00314559">
            <w:pPr>
              <w:numPr>
                <w:ilvl w:val="0"/>
                <w:numId w:val="43"/>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Komisioni nuk ka akses në informacionin e përmendur në pikën 2, shkronjat (a) deri në (c).</w:t>
            </w:r>
          </w:p>
          <w:p w14:paraId="367264ED" w14:textId="77777777" w:rsidR="00314559" w:rsidRPr="003B7DC9" w:rsidRDefault="00314559" w:rsidP="00314559">
            <w:pPr>
              <w:numPr>
                <w:ilvl w:val="0"/>
                <w:numId w:val="43"/>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Komunikimi i informacionit, siç përmendet në pikat 2, 3 dhe 4 të këtij neni, realizohet duke përdorur formatin standard të kompjuterizuar të përmendur në nenin 20(4).</w:t>
            </w:r>
          </w:p>
          <w:p w14:paraId="1C81B1E6" w14:textId="4133EC7E" w:rsidR="00314559" w:rsidRPr="003B7DC9" w:rsidRDefault="00314559" w:rsidP="00314559">
            <w:pPr>
              <w:jc w:val="both"/>
              <w:rPr>
                <w:rFonts w:ascii="Times New Roman" w:eastAsia="Calibri" w:hAnsi="Times New Roman" w:cs="Times New Roman"/>
                <w:iCs/>
                <w:sz w:val="18"/>
                <w:szCs w:val="18"/>
              </w:rPr>
            </w:pPr>
          </w:p>
        </w:tc>
        <w:tc>
          <w:tcPr>
            <w:tcW w:w="1170" w:type="dxa"/>
          </w:tcPr>
          <w:p w14:paraId="36928212" w14:textId="58F6DB3E" w:rsidR="00314559" w:rsidRPr="003B7DC9" w:rsidRDefault="00314559" w:rsidP="00314559">
            <w:pPr>
              <w:jc w:val="center"/>
              <w:rPr>
                <w:rFonts w:ascii="Times New Roman" w:eastAsia="Calibri" w:hAnsi="Times New Roman" w:cs="Times New Roman"/>
                <w:i/>
                <w:iCs/>
                <w:sz w:val="18"/>
                <w:szCs w:val="18"/>
              </w:rPr>
            </w:pPr>
            <w:r w:rsidRPr="003B7DC9">
              <w:rPr>
                <w:rFonts w:ascii="Times New Roman" w:eastAsia="Calibri" w:hAnsi="Times New Roman" w:cs="Times New Roman"/>
                <w:sz w:val="18"/>
                <w:szCs w:val="18"/>
              </w:rPr>
              <w:lastRenderedPageBreak/>
              <w:t>1</w:t>
            </w:r>
          </w:p>
        </w:tc>
        <w:tc>
          <w:tcPr>
            <w:tcW w:w="720" w:type="dxa"/>
          </w:tcPr>
          <w:p w14:paraId="2D94CB40" w14:textId="0AD5D88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tcPr>
          <w:p w14:paraId="40462081" w14:textId="4A408143" w:rsidR="00314559" w:rsidRPr="003B7DC9" w:rsidRDefault="00314559" w:rsidP="00314559">
            <w:pPr>
              <w:spacing w:line="312" w:lineRule="atLeast"/>
              <w:jc w:val="center"/>
              <w:rPr>
                <w:rFonts w:ascii="Times New Roman" w:eastAsia="Times New Roman" w:hAnsi="Times New Roman" w:cs="Times New Roman"/>
                <w:bCs/>
                <w:sz w:val="18"/>
                <w:szCs w:val="18"/>
                <w:highlight w:val="yellow"/>
                <w:lang w:val="sq-AL" w:eastAsia="sq-AL"/>
              </w:rPr>
            </w:pPr>
            <w:r w:rsidRPr="003B7DC9">
              <w:rPr>
                <w:rFonts w:ascii="Times New Roman" w:eastAsia="Times New Roman" w:hAnsi="Times New Roman" w:cs="Times New Roman"/>
                <w:bCs/>
                <w:sz w:val="18"/>
                <w:szCs w:val="18"/>
                <w:lang w:val="sq-AL" w:eastAsia="sq-AL"/>
              </w:rPr>
              <w:t>N/A</w:t>
            </w:r>
          </w:p>
        </w:tc>
        <w:tc>
          <w:tcPr>
            <w:tcW w:w="1066" w:type="dxa"/>
          </w:tcPr>
          <w:p w14:paraId="5D59CEED" w14:textId="4ED957F3"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tcPr>
          <w:p w14:paraId="1EDDABA2" w14:textId="77777777" w:rsidR="00314559" w:rsidRPr="003B7DC9" w:rsidRDefault="00314559" w:rsidP="00314559">
            <w:pPr>
              <w:spacing w:line="276" w:lineRule="auto"/>
              <w:jc w:val="both"/>
              <w:rPr>
                <w:rFonts w:ascii="Times New Roman" w:eastAsia="Calibri" w:hAnsi="Times New Roman" w:cs="Times New Roman"/>
                <w:iCs/>
                <w:sz w:val="18"/>
                <w:szCs w:val="18"/>
              </w:rPr>
            </w:pPr>
          </w:p>
          <w:p w14:paraId="01912C79" w14:textId="77777777" w:rsidR="00314559" w:rsidRPr="003B7DC9" w:rsidRDefault="00314559" w:rsidP="00314559">
            <w:pPr>
              <w:spacing w:line="276" w:lineRule="auto"/>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Nuk kërkon transpozim. Neni 8ae përcakton një regjim të veçantë të shkëmbimit automatik të informacionit për deklaratat e informacionit për taksën shtesë dhe nuk kërkon transpozim.</w:t>
            </w:r>
          </w:p>
          <w:p w14:paraId="596440AC" w14:textId="0432CFD9" w:rsidR="00314559" w:rsidRPr="003B7DC9" w:rsidRDefault="00314559" w:rsidP="00314559">
            <w:pPr>
              <w:spacing w:line="276" w:lineRule="auto"/>
              <w:jc w:val="both"/>
              <w:rPr>
                <w:rFonts w:ascii="Times New Roman" w:eastAsia="Calibri" w:hAnsi="Times New Roman" w:cs="Times New Roman"/>
                <w:iCs/>
                <w:sz w:val="18"/>
                <w:szCs w:val="18"/>
              </w:rPr>
            </w:pPr>
          </w:p>
        </w:tc>
      </w:tr>
      <w:tr w:rsidR="00314559" w:rsidRPr="003B7DC9" w14:paraId="72DF74DA" w14:textId="77777777" w:rsidTr="00B75638">
        <w:trPr>
          <w:trHeight w:val="1097"/>
        </w:trPr>
        <w:tc>
          <w:tcPr>
            <w:tcW w:w="630" w:type="dxa"/>
          </w:tcPr>
          <w:p w14:paraId="43649886" w14:textId="77777777" w:rsidR="00314559" w:rsidRPr="003B7DC9" w:rsidRDefault="00314559" w:rsidP="00314559">
            <w:pPr>
              <w:jc w:val="both"/>
              <w:rPr>
                <w:rFonts w:ascii="Times New Roman" w:eastAsia="Calibri" w:hAnsi="Times New Roman" w:cs="Times New Roman"/>
                <w:sz w:val="18"/>
                <w:szCs w:val="18"/>
              </w:rPr>
            </w:pPr>
          </w:p>
        </w:tc>
        <w:tc>
          <w:tcPr>
            <w:tcW w:w="5220" w:type="dxa"/>
          </w:tcPr>
          <w:p w14:paraId="7661E8D6" w14:textId="77777777" w:rsidR="00314559" w:rsidRPr="003B7DC9" w:rsidRDefault="00314559" w:rsidP="00314559">
            <w:pPr>
              <w:jc w:val="both"/>
              <w:rPr>
                <w:rFonts w:ascii="Times New Roman" w:eastAsia="Calibri" w:hAnsi="Times New Roman" w:cs="Times New Roman"/>
                <w:b/>
                <w:iCs/>
                <w:sz w:val="18"/>
                <w:szCs w:val="18"/>
              </w:rPr>
            </w:pPr>
            <w:r w:rsidRPr="003B7DC9">
              <w:rPr>
                <w:rFonts w:ascii="Times New Roman" w:eastAsia="Calibri" w:hAnsi="Times New Roman" w:cs="Times New Roman"/>
                <w:b/>
                <w:iCs/>
                <w:sz w:val="18"/>
                <w:szCs w:val="18"/>
              </w:rPr>
              <w:t>Neni 8b</w:t>
            </w:r>
          </w:p>
          <w:p w14:paraId="45B9DEC1" w14:textId="77777777" w:rsidR="00314559" w:rsidRPr="003B7DC9" w:rsidRDefault="00314559" w:rsidP="00314559">
            <w:pPr>
              <w:jc w:val="both"/>
              <w:rPr>
                <w:rFonts w:ascii="Times New Roman" w:eastAsia="Calibri" w:hAnsi="Times New Roman" w:cs="Times New Roman"/>
                <w:b/>
                <w:iCs/>
                <w:sz w:val="18"/>
                <w:szCs w:val="18"/>
              </w:rPr>
            </w:pPr>
          </w:p>
          <w:p w14:paraId="252E4C1F" w14:textId="1B73D4DD" w:rsidR="00314559" w:rsidRPr="003B7DC9" w:rsidRDefault="00314559" w:rsidP="00314559">
            <w:pPr>
              <w:jc w:val="both"/>
              <w:rPr>
                <w:rFonts w:ascii="Times New Roman" w:eastAsia="Calibri" w:hAnsi="Times New Roman" w:cs="Times New Roman"/>
                <w:b/>
                <w:iCs/>
                <w:sz w:val="18"/>
                <w:szCs w:val="18"/>
              </w:rPr>
            </w:pPr>
            <w:r w:rsidRPr="003B7DC9">
              <w:rPr>
                <w:rFonts w:ascii="Times New Roman" w:eastAsia="Calibri" w:hAnsi="Times New Roman" w:cs="Times New Roman"/>
                <w:b/>
                <w:iCs/>
                <w:sz w:val="18"/>
                <w:szCs w:val="18"/>
              </w:rPr>
              <w:t>Statistikat mbi shkëmbimet automatike</w:t>
            </w:r>
          </w:p>
          <w:p w14:paraId="440CFCDC" w14:textId="77777777" w:rsidR="00314559" w:rsidRPr="003B7DC9" w:rsidRDefault="00314559" w:rsidP="00314559">
            <w:pPr>
              <w:jc w:val="both"/>
              <w:rPr>
                <w:rFonts w:ascii="Times New Roman" w:eastAsia="Calibri" w:hAnsi="Times New Roman" w:cs="Times New Roman"/>
                <w:iCs/>
                <w:sz w:val="18"/>
                <w:szCs w:val="18"/>
              </w:rPr>
            </w:pPr>
          </w:p>
          <w:p w14:paraId="053C2519" w14:textId="06A35BFF" w:rsidR="00314559" w:rsidRPr="003B7DC9" w:rsidRDefault="00314559" w:rsidP="00314559">
            <w:pPr>
              <w:jc w:val="both"/>
              <w:rPr>
                <w:rFonts w:ascii="Times New Roman" w:eastAsia="Calibri" w:hAnsi="Times New Roman" w:cs="Times New Roman"/>
                <w:iCs/>
                <w:sz w:val="18"/>
                <w:szCs w:val="18"/>
                <w:highlight w:val="yellow"/>
              </w:rPr>
            </w:pPr>
            <w:r w:rsidRPr="003B7DC9">
              <w:rPr>
                <w:rFonts w:ascii="Times New Roman" w:eastAsia="Calibri" w:hAnsi="Times New Roman" w:cs="Times New Roman"/>
                <w:iCs/>
                <w:sz w:val="18"/>
                <w:szCs w:val="18"/>
              </w:rPr>
              <w:t>Shtetet anëtare i ofrojnë Komisionit çdo vit statistika mbi vëllimin e shkëmbimeve automatike sipas neneve 8(1), 8(3a), 8aa, 8ac dhe 8ae, si dhe informacion mbi kostot administrative dhe kostot e tjera përkatëse dhe përfitimet që lidhen me shkëmbimet që kanë ndodhur dhe çdo ndryshim potencial, si për administratat tatimore ashtu edhe për palët e treta.</w:t>
            </w:r>
          </w:p>
        </w:tc>
        <w:tc>
          <w:tcPr>
            <w:tcW w:w="1170" w:type="dxa"/>
          </w:tcPr>
          <w:p w14:paraId="6F67F071" w14:textId="1145BF5B" w:rsidR="00314559" w:rsidRPr="003B7DC9" w:rsidRDefault="00314559" w:rsidP="00314559">
            <w:pPr>
              <w:jc w:val="center"/>
              <w:rPr>
                <w:rFonts w:ascii="Times New Roman" w:eastAsia="Calibri" w:hAnsi="Times New Roman" w:cs="Times New Roman"/>
                <w:i/>
                <w:iCs/>
                <w:sz w:val="18"/>
                <w:szCs w:val="18"/>
                <w:highlight w:val="yellow"/>
              </w:rPr>
            </w:pPr>
            <w:r w:rsidRPr="003B7DC9">
              <w:rPr>
                <w:rFonts w:ascii="Times New Roman" w:eastAsia="Calibri" w:hAnsi="Times New Roman" w:cs="Times New Roman"/>
                <w:sz w:val="18"/>
                <w:szCs w:val="18"/>
              </w:rPr>
              <w:t>1</w:t>
            </w:r>
          </w:p>
        </w:tc>
        <w:tc>
          <w:tcPr>
            <w:tcW w:w="720" w:type="dxa"/>
          </w:tcPr>
          <w:p w14:paraId="01802062" w14:textId="265716F8" w:rsidR="00314559" w:rsidRPr="003B7DC9" w:rsidRDefault="00314559" w:rsidP="00314559">
            <w:pPr>
              <w:jc w:val="center"/>
              <w:rPr>
                <w:rFonts w:ascii="Times New Roman" w:eastAsia="Calibri" w:hAnsi="Times New Roman" w:cs="Times New Roman"/>
                <w:iCs/>
                <w:sz w:val="18"/>
                <w:szCs w:val="18"/>
                <w:highlight w:val="yellow"/>
              </w:rPr>
            </w:pPr>
            <w:r w:rsidRPr="003B7DC9">
              <w:rPr>
                <w:rFonts w:ascii="Times New Roman" w:eastAsia="Calibri" w:hAnsi="Times New Roman" w:cs="Times New Roman"/>
                <w:iCs/>
                <w:sz w:val="18"/>
                <w:szCs w:val="18"/>
              </w:rPr>
              <w:t>Neni 17</w:t>
            </w:r>
          </w:p>
        </w:tc>
        <w:tc>
          <w:tcPr>
            <w:tcW w:w="4334" w:type="dxa"/>
          </w:tcPr>
          <w:p w14:paraId="71589CDB" w14:textId="77777777" w:rsidR="00314559" w:rsidRPr="003B7DC9" w:rsidRDefault="00314559" w:rsidP="00314559">
            <w:pPr>
              <w:spacing w:line="312" w:lineRule="atLeast"/>
              <w:jc w:val="both"/>
              <w:rPr>
                <w:rFonts w:ascii="Times New Roman" w:eastAsia="Times New Roman" w:hAnsi="Times New Roman" w:cs="Times New Roman"/>
                <w:b/>
                <w:sz w:val="18"/>
                <w:szCs w:val="18"/>
                <w:lang w:val="sq-AL" w:eastAsia="sq-AL"/>
              </w:rPr>
            </w:pPr>
          </w:p>
          <w:p w14:paraId="7618FD36" w14:textId="77777777" w:rsidR="00314559" w:rsidRPr="003B7DC9" w:rsidRDefault="00314559" w:rsidP="00314559">
            <w:pPr>
              <w:spacing w:before="100" w:beforeAutospacing="1" w:afterAutospacing="1"/>
              <w:ind w:left="720"/>
              <w:jc w:val="center"/>
              <w:outlineLvl w:val="2"/>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17</w:t>
            </w:r>
          </w:p>
          <w:p w14:paraId="37B6E7A5" w14:textId="77777777" w:rsidR="00314559" w:rsidRPr="003B7DC9" w:rsidRDefault="00314559" w:rsidP="00314559">
            <w:pPr>
              <w:spacing w:before="100" w:beforeAutospacing="1" w:afterAutospacing="1"/>
              <w:ind w:left="720"/>
              <w:jc w:val="center"/>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
                <w:bCs/>
                <w:sz w:val="18"/>
                <w:szCs w:val="18"/>
                <w:lang w:val="en-US"/>
              </w:rPr>
              <w:t>Monitorimi, vlerësimi dhe statistikat</w:t>
            </w:r>
          </w:p>
          <w:p w14:paraId="7EE1757C" w14:textId="77777777" w:rsidR="00314559" w:rsidRPr="003B7DC9" w:rsidRDefault="00314559" w:rsidP="00314559">
            <w:pPr>
              <w:numPr>
                <w:ilvl w:val="0"/>
                <w:numId w:val="122"/>
              </w:numPr>
              <w:spacing w:before="100" w:beforeAutospacing="1" w:afterAutospacing="1"/>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Drejtoria e Përgjithshme e Tatimeve monitoron dhe vlerëson çdo vit efektivitetin e bashkëpunimit administrativ sipas këtij ligji dhe ligjeve të posaçme që zbatojnë Direktivën 2011/16/BE, të ndryshuar, përfshirë kontributin e tij në luftën kundër shmangies dhe evazionit tatimor. </w:t>
            </w:r>
          </w:p>
          <w:p w14:paraId="2A65205E" w14:textId="77777777" w:rsidR="00314559" w:rsidRPr="003B7DC9" w:rsidRDefault="00314559" w:rsidP="00314559">
            <w:pPr>
              <w:numPr>
                <w:ilvl w:val="0"/>
                <w:numId w:val="122"/>
              </w:numPr>
              <w:spacing w:before="100" w:beforeAutospacing="1" w:afterAutospacing="1"/>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Drejtoria e Përgjithshme e Tatimeve i komunikon Komisionit Evropian vlerësimin vjetor, rezultatet praktike të arritura dhe çdo informacion tjetër të nevojshëm për vlerësimin e efektivitetit të bashkëpunimit administrativ. </w:t>
            </w:r>
          </w:p>
          <w:p w14:paraId="0497759E" w14:textId="77777777" w:rsidR="00314559" w:rsidRPr="003B7DC9" w:rsidRDefault="00314559" w:rsidP="00314559">
            <w:pPr>
              <w:numPr>
                <w:ilvl w:val="0"/>
                <w:numId w:val="122"/>
              </w:numPr>
              <w:spacing w:before="100" w:beforeAutospacing="1" w:afterAutospacing="1"/>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Drejtoria e Përgjithshme e Tatimeve mbledh, përpunon dhe i komunikon Komisionit Evropian statistikat për:</w:t>
            </w:r>
            <w:r w:rsidRPr="003B7DC9">
              <w:rPr>
                <w:rFonts w:ascii="Times New Roman" w:eastAsia="Times New Roman" w:hAnsi="Times New Roman" w:cs="Times New Roman"/>
                <w:bCs/>
                <w:sz w:val="18"/>
                <w:szCs w:val="18"/>
                <w:lang w:val="en-US"/>
              </w:rPr>
              <w:br/>
              <w:t>a) shkëmbimin sipas kërkesës;</w:t>
            </w:r>
            <w:r w:rsidRPr="003B7DC9">
              <w:rPr>
                <w:rFonts w:ascii="Times New Roman" w:eastAsia="Times New Roman" w:hAnsi="Times New Roman" w:cs="Times New Roman"/>
                <w:bCs/>
                <w:sz w:val="18"/>
                <w:szCs w:val="18"/>
                <w:lang w:val="en-US"/>
              </w:rPr>
              <w:br/>
              <w:t>b) shkëmbimin spontan;</w:t>
            </w:r>
            <w:r w:rsidRPr="003B7DC9">
              <w:rPr>
                <w:rFonts w:ascii="Times New Roman" w:eastAsia="Times New Roman" w:hAnsi="Times New Roman" w:cs="Times New Roman"/>
                <w:bCs/>
                <w:sz w:val="18"/>
                <w:szCs w:val="18"/>
                <w:lang w:val="en-US"/>
              </w:rPr>
              <w:br/>
              <w:t>c) shkëmbimin automatik;</w:t>
            </w:r>
            <w:r w:rsidRPr="003B7DC9">
              <w:rPr>
                <w:rFonts w:ascii="Times New Roman" w:eastAsia="Times New Roman" w:hAnsi="Times New Roman" w:cs="Times New Roman"/>
                <w:bCs/>
                <w:sz w:val="18"/>
                <w:szCs w:val="18"/>
                <w:lang w:val="en-US"/>
              </w:rPr>
              <w:br/>
            </w:r>
            <w:r w:rsidRPr="003B7DC9">
              <w:rPr>
                <w:rFonts w:ascii="Times New Roman" w:eastAsia="Times New Roman" w:hAnsi="Times New Roman" w:cs="Times New Roman"/>
                <w:bCs/>
                <w:sz w:val="18"/>
                <w:szCs w:val="18"/>
                <w:lang w:val="en-US"/>
              </w:rPr>
              <w:lastRenderedPageBreak/>
              <w:t>ç) praninë në zyrat administrative;</w:t>
            </w:r>
            <w:r w:rsidRPr="003B7DC9">
              <w:rPr>
                <w:rFonts w:ascii="Times New Roman" w:eastAsia="Times New Roman" w:hAnsi="Times New Roman" w:cs="Times New Roman"/>
                <w:bCs/>
                <w:sz w:val="18"/>
                <w:szCs w:val="18"/>
                <w:lang w:val="en-US"/>
              </w:rPr>
              <w:br/>
              <w:t>d) kontrollet e njëkohshme;</w:t>
            </w:r>
            <w:r w:rsidRPr="003B7DC9">
              <w:rPr>
                <w:rFonts w:ascii="Times New Roman" w:eastAsia="Times New Roman" w:hAnsi="Times New Roman" w:cs="Times New Roman"/>
                <w:bCs/>
                <w:sz w:val="18"/>
                <w:szCs w:val="18"/>
                <w:lang w:val="en-US"/>
              </w:rPr>
              <w:br/>
              <w:t>dh) auditimet e përbashkëta;</w:t>
            </w:r>
            <w:r w:rsidRPr="003B7DC9">
              <w:rPr>
                <w:rFonts w:ascii="Times New Roman" w:eastAsia="Times New Roman" w:hAnsi="Times New Roman" w:cs="Times New Roman"/>
                <w:bCs/>
                <w:sz w:val="18"/>
                <w:szCs w:val="18"/>
                <w:lang w:val="en-US"/>
              </w:rPr>
              <w:br/>
              <w:t>e) njoftimet administrative;</w:t>
            </w:r>
            <w:r w:rsidRPr="003B7DC9">
              <w:rPr>
                <w:rFonts w:ascii="Times New Roman" w:eastAsia="Times New Roman" w:hAnsi="Times New Roman" w:cs="Times New Roman"/>
                <w:bCs/>
                <w:sz w:val="18"/>
                <w:szCs w:val="18"/>
                <w:lang w:val="en-US"/>
              </w:rPr>
              <w:br/>
              <w:t xml:space="preserve">ë) </w:t>
            </w:r>
            <w:r w:rsidRPr="003B7DC9">
              <w:rPr>
                <w:rFonts w:ascii="Times New Roman" w:eastAsia="Times New Roman" w:hAnsi="Times New Roman" w:cs="Times New Roman"/>
                <w:sz w:val="18"/>
                <w:szCs w:val="18"/>
                <w:lang w:eastAsia="sq-AL"/>
              </w:rPr>
              <w:t>informacionin për rezultatet e përdorimit.</w:t>
            </w:r>
          </w:p>
          <w:p w14:paraId="4187DC1B" w14:textId="77777777" w:rsidR="00314559" w:rsidRPr="003B7DC9" w:rsidRDefault="00314559" w:rsidP="00314559">
            <w:pPr>
              <w:pStyle w:val="ListParagraph"/>
              <w:numPr>
                <w:ilvl w:val="0"/>
                <w:numId w:val="122"/>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Forma, përmbajtja, procedurat dhe afatet për komunikimin e vlerësimit dhe statistikave përcaktohen me vendim të Këshillit të Ministrave, në përputhje me Rregulloren Zbatuese të Komisionit (BE) 2015/2378, të ndryshuar.</w:t>
            </w:r>
          </w:p>
          <w:p w14:paraId="1413CA02" w14:textId="77777777" w:rsidR="00314559" w:rsidRPr="003B7DC9" w:rsidRDefault="00314559" w:rsidP="00314559">
            <w:pPr>
              <w:pStyle w:val="ListParagraph"/>
              <w:numPr>
                <w:ilvl w:val="0"/>
                <w:numId w:val="122"/>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Informacioni, raportet ose dokumentet që i transmetohen Drejtorisë së Përgjithshme të Tatimeve nga Komisioni Evropian ose nga një shtet tjetër anëtar sipas këtij neni i nënshtrohen sekretit zyrtar dhe gëzojnë të njëjtën mbrojtje si informacioni i ngjashëm sipas legjislacionit shqiptar. Raportet ose dokumentet e përgatitura nga Komisioni Evropian përdoren nga Drejtoria e Përgjithshme e Tatimeve vetëm për qëllime analitike dhe nuk publikohen ose u vihen në dispozicion personave ose organeve të tjera pa pëlqimin e shprehur të Komisionit Evropian.</w:t>
            </w:r>
          </w:p>
          <w:p w14:paraId="2B66F07F" w14:textId="359CB0D2" w:rsidR="00314559" w:rsidRPr="003B7DC9" w:rsidRDefault="00314559" w:rsidP="00314559">
            <w:pPr>
              <w:spacing w:line="312" w:lineRule="atLeast"/>
              <w:jc w:val="both"/>
              <w:rPr>
                <w:rFonts w:ascii="Times New Roman" w:eastAsia="Times New Roman" w:hAnsi="Times New Roman" w:cs="Times New Roman"/>
                <w:b/>
                <w:sz w:val="18"/>
                <w:szCs w:val="18"/>
                <w:highlight w:val="yellow"/>
                <w:lang w:val="sq-AL" w:eastAsia="sq-AL"/>
              </w:rPr>
            </w:pPr>
          </w:p>
        </w:tc>
        <w:tc>
          <w:tcPr>
            <w:tcW w:w="1066" w:type="dxa"/>
          </w:tcPr>
          <w:p w14:paraId="27250803" w14:textId="0714DF7C" w:rsidR="00314559" w:rsidRPr="003B7DC9" w:rsidRDefault="00314559" w:rsidP="00314559">
            <w:pPr>
              <w:jc w:val="both"/>
              <w:rPr>
                <w:rFonts w:ascii="Times New Roman" w:eastAsia="Calibri" w:hAnsi="Times New Roman" w:cs="Times New Roman"/>
                <w:sz w:val="18"/>
                <w:szCs w:val="18"/>
                <w:highlight w:val="yellow"/>
              </w:rPr>
            </w:pPr>
            <w:r w:rsidRPr="003B7DC9">
              <w:rPr>
                <w:rFonts w:ascii="Times New Roman" w:eastAsia="Calibri" w:hAnsi="Times New Roman" w:cs="Times New Roman"/>
                <w:sz w:val="18"/>
                <w:szCs w:val="18"/>
              </w:rPr>
              <w:lastRenderedPageBreak/>
              <w:t>F</w:t>
            </w:r>
          </w:p>
        </w:tc>
        <w:tc>
          <w:tcPr>
            <w:tcW w:w="3060" w:type="dxa"/>
          </w:tcPr>
          <w:p w14:paraId="52B13231" w14:textId="77777777" w:rsidR="00314559" w:rsidRPr="003B7DC9" w:rsidRDefault="00314559" w:rsidP="00314559">
            <w:pPr>
              <w:rPr>
                <w:rFonts w:ascii="Times New Roman" w:eastAsia="Calibri" w:hAnsi="Times New Roman" w:cs="Times New Roman"/>
                <w:i/>
                <w:iCs/>
                <w:sz w:val="18"/>
                <w:szCs w:val="18"/>
                <w:highlight w:val="yellow"/>
              </w:rPr>
            </w:pPr>
          </w:p>
        </w:tc>
      </w:tr>
      <w:tr w:rsidR="00314559" w:rsidRPr="003B7DC9" w14:paraId="051BC040" w14:textId="77777777" w:rsidTr="00B75638">
        <w:trPr>
          <w:trHeight w:val="1097"/>
        </w:trPr>
        <w:tc>
          <w:tcPr>
            <w:tcW w:w="630" w:type="dxa"/>
          </w:tcPr>
          <w:p w14:paraId="015161A9" w14:textId="77777777" w:rsidR="00314559" w:rsidRPr="003B7DC9" w:rsidRDefault="00314559" w:rsidP="00314559">
            <w:pPr>
              <w:jc w:val="both"/>
              <w:rPr>
                <w:rFonts w:ascii="Times New Roman" w:eastAsia="Calibri" w:hAnsi="Times New Roman" w:cs="Times New Roman"/>
                <w:sz w:val="18"/>
                <w:szCs w:val="18"/>
              </w:rPr>
            </w:pPr>
          </w:p>
        </w:tc>
        <w:tc>
          <w:tcPr>
            <w:tcW w:w="5220" w:type="dxa"/>
          </w:tcPr>
          <w:p w14:paraId="4FB5E4DE" w14:textId="77777777" w:rsidR="00314559" w:rsidRPr="003B7DC9" w:rsidRDefault="00314559" w:rsidP="00314559">
            <w:pPr>
              <w:rPr>
                <w:rFonts w:ascii="Times New Roman" w:eastAsia="Calibri" w:hAnsi="Times New Roman" w:cs="Times New Roman"/>
                <w:b/>
                <w:bCs/>
                <w:iCs/>
                <w:sz w:val="18"/>
                <w:szCs w:val="18"/>
                <w:lang w:val="en-US"/>
              </w:rPr>
            </w:pPr>
            <w:r w:rsidRPr="003B7DC9">
              <w:rPr>
                <w:rFonts w:ascii="Times New Roman" w:eastAsia="Calibri" w:hAnsi="Times New Roman" w:cs="Times New Roman"/>
                <w:b/>
                <w:bCs/>
                <w:iCs/>
                <w:sz w:val="18"/>
                <w:szCs w:val="18"/>
                <w:lang w:val="en-US"/>
              </w:rPr>
              <w:t>SEKSIONI III</w:t>
            </w:r>
          </w:p>
          <w:p w14:paraId="45E02B03" w14:textId="77777777" w:rsidR="00314559" w:rsidRPr="003B7DC9" w:rsidRDefault="00314559" w:rsidP="00314559">
            <w:pPr>
              <w:rPr>
                <w:rFonts w:ascii="Times New Roman" w:eastAsia="Calibri" w:hAnsi="Times New Roman" w:cs="Times New Roman"/>
                <w:b/>
                <w:bCs/>
                <w:iCs/>
                <w:sz w:val="18"/>
                <w:szCs w:val="18"/>
                <w:lang w:val="en-US"/>
              </w:rPr>
            </w:pPr>
          </w:p>
          <w:p w14:paraId="1019FD48" w14:textId="3BDA6EF9" w:rsidR="00314559" w:rsidRPr="003B7DC9" w:rsidRDefault="00314559" w:rsidP="00314559">
            <w:pPr>
              <w:rPr>
                <w:rFonts w:ascii="Times New Roman" w:eastAsia="Calibri" w:hAnsi="Times New Roman" w:cs="Times New Roman"/>
                <w:iCs/>
                <w:sz w:val="18"/>
                <w:szCs w:val="18"/>
                <w:lang w:val="en-US"/>
              </w:rPr>
            </w:pPr>
            <w:r w:rsidRPr="003B7DC9">
              <w:rPr>
                <w:rFonts w:ascii="Times New Roman" w:eastAsia="Calibri" w:hAnsi="Times New Roman" w:cs="Times New Roman"/>
                <w:b/>
                <w:bCs/>
                <w:iCs/>
                <w:sz w:val="18"/>
                <w:szCs w:val="18"/>
                <w:lang w:val="en-US"/>
              </w:rPr>
              <w:t>Shkëmbimi spontan i informacionit</w:t>
            </w:r>
          </w:p>
          <w:p w14:paraId="14A93EC9" w14:textId="77777777" w:rsidR="00314559" w:rsidRPr="003B7DC9" w:rsidRDefault="00314559" w:rsidP="00314559">
            <w:pPr>
              <w:rPr>
                <w:rFonts w:ascii="Times New Roman" w:eastAsia="Calibri" w:hAnsi="Times New Roman" w:cs="Times New Roman"/>
                <w:b/>
                <w:bCs/>
                <w:iCs/>
                <w:sz w:val="18"/>
                <w:szCs w:val="18"/>
                <w:lang w:val="en-US"/>
              </w:rPr>
            </w:pPr>
          </w:p>
          <w:p w14:paraId="50166475" w14:textId="6EA39573" w:rsidR="00314559" w:rsidRPr="003B7DC9" w:rsidRDefault="00314559" w:rsidP="00314559">
            <w:pPr>
              <w:rPr>
                <w:rFonts w:ascii="Times New Roman" w:eastAsia="Calibri" w:hAnsi="Times New Roman" w:cs="Times New Roman"/>
                <w:b/>
                <w:bCs/>
                <w:iCs/>
                <w:sz w:val="18"/>
                <w:szCs w:val="18"/>
                <w:lang w:val="en-US"/>
              </w:rPr>
            </w:pPr>
            <w:r w:rsidRPr="003B7DC9">
              <w:rPr>
                <w:rFonts w:ascii="Times New Roman" w:eastAsia="Calibri" w:hAnsi="Times New Roman" w:cs="Times New Roman"/>
                <w:b/>
                <w:bCs/>
                <w:iCs/>
                <w:sz w:val="18"/>
                <w:szCs w:val="18"/>
                <w:lang w:val="en-US"/>
              </w:rPr>
              <w:t>Neni 9</w:t>
            </w:r>
          </w:p>
          <w:p w14:paraId="0618CA47" w14:textId="605A7369" w:rsidR="00314559" w:rsidRPr="003B7DC9" w:rsidRDefault="00314559" w:rsidP="00314559">
            <w:pPr>
              <w:rPr>
                <w:rFonts w:ascii="Times New Roman" w:eastAsia="Calibri" w:hAnsi="Times New Roman" w:cs="Times New Roman"/>
                <w:b/>
                <w:bCs/>
                <w:iCs/>
                <w:sz w:val="18"/>
                <w:szCs w:val="18"/>
                <w:lang w:val="en-US"/>
              </w:rPr>
            </w:pPr>
            <w:r w:rsidRPr="003B7DC9">
              <w:rPr>
                <w:rFonts w:ascii="Times New Roman" w:eastAsia="Calibri" w:hAnsi="Times New Roman" w:cs="Times New Roman"/>
                <w:b/>
                <w:bCs/>
                <w:iCs/>
                <w:sz w:val="18"/>
                <w:szCs w:val="18"/>
                <w:lang w:val="en-US"/>
              </w:rPr>
              <w:t>Fusha e zbatimit dhe kushtet e shkëmbimit spontan të informacionit</w:t>
            </w:r>
          </w:p>
          <w:p w14:paraId="090A63CE" w14:textId="77777777" w:rsidR="00314559" w:rsidRPr="003B7DC9" w:rsidRDefault="00314559" w:rsidP="00314559">
            <w:pPr>
              <w:rPr>
                <w:rFonts w:ascii="Times New Roman" w:eastAsia="Calibri" w:hAnsi="Times New Roman" w:cs="Times New Roman"/>
                <w:iCs/>
                <w:sz w:val="18"/>
                <w:szCs w:val="18"/>
                <w:lang w:val="en-US"/>
              </w:rPr>
            </w:pPr>
          </w:p>
          <w:p w14:paraId="0014BD3E" w14:textId="77777777" w:rsidR="00314559" w:rsidRPr="003B7DC9" w:rsidRDefault="00314559" w:rsidP="00314559">
            <w:pPr>
              <w:numPr>
                <w:ilvl w:val="0"/>
                <w:numId w:val="44"/>
              </w:numPr>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Autoriteti kompetent i çdo shteti anëtar komunikon informacionin e përmendur në nenin 1(1) tek autoriteti kompetent i çdo shteti tjetër anëtar të interesuar, në cilëndo nga rrethanat e mëposhtme:</w:t>
            </w:r>
          </w:p>
          <w:p w14:paraId="36ACB6E3" w14:textId="77777777" w:rsidR="00314559" w:rsidRPr="003B7DC9" w:rsidRDefault="00314559" w:rsidP="00314559">
            <w:pPr>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(a) autoriteti kompetent i një shteti anëtar ka arsye të mendojë se mund të ketë një humbje tatimore në shtetin tjetër anëtar;</w:t>
            </w:r>
          </w:p>
          <w:p w14:paraId="1AF0E142" w14:textId="77777777" w:rsidR="00314559" w:rsidRPr="003B7DC9" w:rsidRDefault="00314559" w:rsidP="00314559">
            <w:pPr>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lastRenderedPageBreak/>
              <w:t>(b) një person që i nënshtrohet tatimit përfiton një ulje ose përjashtim nga tatimi në një shtet anëtar që do të çonte në një rritje të tatimit ose në lindjen e detyrimit tatimor në shtetin tjetër anëtar;</w:t>
            </w:r>
          </w:p>
          <w:p w14:paraId="25FE6A55" w14:textId="77777777" w:rsidR="00314559" w:rsidRPr="003B7DC9" w:rsidRDefault="00314559" w:rsidP="00314559">
            <w:pPr>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(c) transaksionet tregtare ndërmjet një personi që i nënshtrohet tatimit në një shtet anëtar dhe një personi që i nënshtrohet tatimit në shtetin tjetër anëtar kryhen përmes një ose më shumë vendeve në mënyrë të tillë që mund të lindë një kursim tatimor në një ose tjetrin shtet anëtar ose në të dy;</w:t>
            </w:r>
          </w:p>
          <w:p w14:paraId="2C42120D" w14:textId="77777777" w:rsidR="00314559" w:rsidRPr="003B7DC9" w:rsidRDefault="00314559" w:rsidP="00314559">
            <w:pPr>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(d) autoriteti kompetent i një shteti anëtar ka arsye të mendojë se mund të lindë një kursim tatimor nga transferime artificiale të fitimeve brenda grupeve të ndërmarrjeve;</w:t>
            </w:r>
          </w:p>
          <w:p w14:paraId="7DBB4806" w14:textId="77777777" w:rsidR="00314559" w:rsidRPr="003B7DC9" w:rsidRDefault="00314559" w:rsidP="00314559">
            <w:pPr>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(e) informacioni i transmetuar në një shtet anëtar nga autoriteti kompetent i shtetit tjetër anëtar ka bërë të mundur marrjen e informacionit që mund të jetë i rëndësishëm për vlerësimin e detyrimit tatimor në këtë të fundit.</w:t>
            </w:r>
          </w:p>
          <w:p w14:paraId="14C6FD14" w14:textId="77777777" w:rsidR="00314559" w:rsidRPr="003B7DC9" w:rsidRDefault="00314559" w:rsidP="00314559">
            <w:pPr>
              <w:numPr>
                <w:ilvl w:val="0"/>
                <w:numId w:val="45"/>
              </w:numPr>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Autoritetet kompetente të çdo shteti anëtar mund të komunikojnë, nëpërmjet shkëmbimit spontan, tek autoritetet kompetente të shteteve të tjera anëtare çdo informacion për të cilin ato janë në dijeni dhe që mund të jetë i dobishëm për autoritetet kompetente të shteteve të tjera anëtare.</w:t>
            </w:r>
          </w:p>
          <w:p w14:paraId="2A1C4B37" w14:textId="719B5E74" w:rsidR="00314559" w:rsidRPr="003B7DC9" w:rsidRDefault="00314559" w:rsidP="00314559">
            <w:pPr>
              <w:rPr>
                <w:rFonts w:ascii="Times New Roman" w:eastAsia="Calibri" w:hAnsi="Times New Roman" w:cs="Times New Roman"/>
                <w:iCs/>
                <w:sz w:val="18"/>
                <w:szCs w:val="18"/>
              </w:rPr>
            </w:pPr>
          </w:p>
        </w:tc>
        <w:tc>
          <w:tcPr>
            <w:tcW w:w="1170" w:type="dxa"/>
          </w:tcPr>
          <w:p w14:paraId="1A7E4703" w14:textId="3BCAB3C4" w:rsidR="00314559" w:rsidRPr="003B7DC9" w:rsidRDefault="00314559" w:rsidP="00314559">
            <w:pPr>
              <w:jc w:val="center"/>
              <w:rPr>
                <w:rFonts w:ascii="Times New Roman" w:eastAsia="Calibri" w:hAnsi="Times New Roman" w:cs="Times New Roman"/>
                <w:i/>
                <w:iCs/>
                <w:sz w:val="18"/>
                <w:szCs w:val="18"/>
              </w:rPr>
            </w:pPr>
            <w:r w:rsidRPr="003B7DC9">
              <w:rPr>
                <w:rFonts w:ascii="Times New Roman" w:eastAsia="Calibri" w:hAnsi="Times New Roman" w:cs="Times New Roman"/>
                <w:sz w:val="18"/>
                <w:szCs w:val="18"/>
              </w:rPr>
              <w:lastRenderedPageBreak/>
              <w:t>1</w:t>
            </w:r>
          </w:p>
        </w:tc>
        <w:tc>
          <w:tcPr>
            <w:tcW w:w="720" w:type="dxa"/>
          </w:tcPr>
          <w:p w14:paraId="79770EBF" w14:textId="33B526FC"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 xml:space="preserve">Neni 10 </w:t>
            </w:r>
          </w:p>
        </w:tc>
        <w:tc>
          <w:tcPr>
            <w:tcW w:w="4334" w:type="dxa"/>
          </w:tcPr>
          <w:p w14:paraId="50402627" w14:textId="77777777" w:rsidR="00314559" w:rsidRPr="003B7DC9" w:rsidRDefault="00314559" w:rsidP="00314559">
            <w:pPr>
              <w:spacing w:before="100" w:beforeAutospacing="1" w:after="100" w:afterAutospacing="1"/>
              <w:jc w:val="center"/>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10</w:t>
            </w:r>
          </w:p>
          <w:p w14:paraId="480477EA" w14:textId="77777777" w:rsidR="00314559" w:rsidRPr="003B7DC9" w:rsidRDefault="00314559" w:rsidP="00314559">
            <w:pPr>
              <w:spacing w:before="100" w:beforeAutospacing="1" w:after="100" w:afterAutospacing="1"/>
              <w:ind w:left="360"/>
              <w:jc w:val="center"/>
              <w:rPr>
                <w:rFonts w:ascii="Times New Roman" w:eastAsia="Times New Roman" w:hAnsi="Times New Roman" w:cs="Times New Roman"/>
                <w:bCs/>
                <w:sz w:val="18"/>
                <w:szCs w:val="18"/>
                <w:lang w:val="en-US"/>
              </w:rPr>
            </w:pPr>
            <w:r w:rsidRPr="003B7DC9">
              <w:rPr>
                <w:rFonts w:ascii="Times New Roman" w:eastAsia="Times New Roman" w:hAnsi="Times New Roman" w:cs="Times New Roman"/>
                <w:b/>
                <w:bCs/>
                <w:sz w:val="18"/>
                <w:szCs w:val="18"/>
                <w:lang w:val="en-US"/>
              </w:rPr>
              <w:t>Shkëmbimi spontan i informacionit</w:t>
            </w:r>
          </w:p>
          <w:p w14:paraId="6E792C5D" w14:textId="77777777" w:rsidR="00314559" w:rsidRPr="003B7DC9" w:rsidRDefault="00314559" w:rsidP="00314559">
            <w:pPr>
              <w:numPr>
                <w:ilvl w:val="0"/>
                <w:numId w:val="121"/>
              </w:numPr>
              <w:spacing w:before="100" w:beforeAutospacing="1" w:after="100" w:afterAutospacing="1"/>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Drejtoria e Përgjithshme e Tatimeve i komunikon spontanisht autoritetit kompetent të çdo shteti tjetër anëtar</w:t>
            </w:r>
            <w:r w:rsidRPr="003B7DC9">
              <w:rPr>
                <w:rFonts w:ascii="Times New Roman" w:hAnsi="Times New Roman" w:cs="Times New Roman"/>
                <w:sz w:val="18"/>
                <w:szCs w:val="18"/>
              </w:rPr>
              <w:t xml:space="preserve"> të interesuar</w:t>
            </w:r>
            <w:r w:rsidRPr="003B7DC9">
              <w:rPr>
                <w:rFonts w:ascii="Times New Roman" w:eastAsia="Times New Roman" w:hAnsi="Times New Roman" w:cs="Times New Roman"/>
                <w:bCs/>
                <w:sz w:val="18"/>
                <w:szCs w:val="18"/>
                <w:lang w:val="en-US"/>
              </w:rPr>
              <w:t xml:space="preserve"> informacionin që ka rëndësi të parashikueshme për administrimin dhe zbatimin e legjislacionit të brendshëm të shtetit tjetër anëtar për tatimet e mbuluara nga ky ligj, kur zbatohet ndonjë nga rrethanat e mëposhtme:</w:t>
            </w:r>
          </w:p>
          <w:p w14:paraId="39A7DC41"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lastRenderedPageBreak/>
              <w:t>a) ka arsye të supozojë se mund të ketë humbje të të ardhurave tatimore në shtetin tjetër anëtar;</w:t>
            </w:r>
          </w:p>
          <w:p w14:paraId="77B975D0"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b) një person përfiton ulje ose përjashtim tatimor në Shqipëri, që mund të shkaktojë një rritje të tatimit ose të detyrimit për tatim në shtetin tjetër anëtar;</w:t>
            </w:r>
          </w:p>
          <w:p w14:paraId="20E9A25A"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c) marrëdhëniet e biznesit ndërmjet një personi që i nënshtrohet tatimit në Republikën e Shqipërisë dhe një personi që i nënshtrohet tatimit në një shtet tjetër anëtar kryhen përmes një ose më shumë juridiksioneve, në mënyrë të tillë që mund të rezultojë kursim tatimor në Republikën e Shqipërisë, në shtetin tjetër anëtar ose në të dyja;</w:t>
            </w:r>
          </w:p>
          <w:p w14:paraId="3E061EDA"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d) ka arsye të supozojë se një kursim tatimor mund të rezultojë nga transferimet artificiale të fitimeve brenda grupeve të ndërmarrjeve;</w:t>
            </w:r>
          </w:p>
          <w:p w14:paraId="0BDA67F7"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e) informacioni i marrë nga autoriteti kompetent i një shteti tjetër anëtar ka mundësuar marrjen e informacionit që mund të jetë i rëndësishëm për vlerësimin e detyrimit tatimor në atë shtet anëtar. </w:t>
            </w:r>
          </w:p>
          <w:p w14:paraId="54D32F3E" w14:textId="77777777" w:rsidR="00314559" w:rsidRPr="003B7DC9" w:rsidRDefault="00314559" w:rsidP="00314559">
            <w:pPr>
              <w:numPr>
                <w:ilvl w:val="0"/>
                <w:numId w:val="121"/>
              </w:numPr>
              <w:spacing w:before="100" w:beforeAutospacing="1" w:after="100" w:afterAutospacing="1"/>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Drejtoria e Përgjithshme e Tatimeve mund të komunikojë, nëpërmjet shkëmbimit spontan, çdo informacion tjetër për të cilin ka dijeni dhe që mund të jetë i dobishëm për autoritetet kompetente të shteteve të tjera anëtare.</w:t>
            </w:r>
          </w:p>
          <w:p w14:paraId="677DB6F9" w14:textId="26E2E38B" w:rsidR="00314559" w:rsidRPr="003B7DC9" w:rsidRDefault="00314559" w:rsidP="00314559">
            <w:pPr>
              <w:spacing w:line="276" w:lineRule="auto"/>
              <w:jc w:val="both"/>
              <w:rPr>
                <w:rFonts w:ascii="Times New Roman" w:eastAsia="Times New Roman" w:hAnsi="Times New Roman" w:cs="Times New Roman"/>
                <w:sz w:val="18"/>
                <w:szCs w:val="18"/>
                <w:highlight w:val="yellow"/>
                <w:lang w:val="sq-AL" w:eastAsia="sq-AL"/>
              </w:rPr>
            </w:pPr>
          </w:p>
        </w:tc>
        <w:tc>
          <w:tcPr>
            <w:tcW w:w="1066" w:type="dxa"/>
          </w:tcPr>
          <w:p w14:paraId="5CE1612C" w14:textId="47A9E431" w:rsidR="00314559" w:rsidRPr="003B7DC9" w:rsidRDefault="00314559" w:rsidP="00314559">
            <w:pPr>
              <w:jc w:val="center"/>
              <w:rPr>
                <w:rFonts w:ascii="Times New Roman" w:eastAsia="Calibri" w:hAnsi="Times New Roman" w:cs="Times New Roman"/>
                <w:sz w:val="18"/>
                <w:szCs w:val="18"/>
              </w:rPr>
            </w:pPr>
            <w:r w:rsidRPr="004A5803">
              <w:rPr>
                <w:rFonts w:ascii="Times New Roman" w:eastAsia="Calibri" w:hAnsi="Times New Roman" w:cs="Times New Roman"/>
                <w:sz w:val="18"/>
                <w:szCs w:val="18"/>
              </w:rPr>
              <w:lastRenderedPageBreak/>
              <w:t>F</w:t>
            </w:r>
          </w:p>
        </w:tc>
        <w:tc>
          <w:tcPr>
            <w:tcW w:w="3060" w:type="dxa"/>
          </w:tcPr>
          <w:p w14:paraId="4D59B258" w14:textId="77777777" w:rsidR="00314559" w:rsidRPr="003B7DC9" w:rsidRDefault="00314559" w:rsidP="00314559">
            <w:pPr>
              <w:rPr>
                <w:rFonts w:ascii="Times New Roman" w:eastAsia="Calibri" w:hAnsi="Times New Roman" w:cs="Times New Roman"/>
                <w:i/>
                <w:iCs/>
                <w:sz w:val="18"/>
                <w:szCs w:val="18"/>
              </w:rPr>
            </w:pPr>
          </w:p>
        </w:tc>
      </w:tr>
      <w:tr w:rsidR="00314559" w:rsidRPr="003B7DC9" w14:paraId="5E7A188A" w14:textId="77777777" w:rsidTr="00B75638">
        <w:trPr>
          <w:trHeight w:val="1097"/>
        </w:trPr>
        <w:tc>
          <w:tcPr>
            <w:tcW w:w="630" w:type="dxa"/>
          </w:tcPr>
          <w:p w14:paraId="00F3EA8E" w14:textId="77777777" w:rsidR="00314559" w:rsidRPr="003B7DC9" w:rsidRDefault="00314559" w:rsidP="00314559">
            <w:pPr>
              <w:jc w:val="both"/>
              <w:rPr>
                <w:rFonts w:ascii="Times New Roman" w:eastAsia="Calibri" w:hAnsi="Times New Roman" w:cs="Times New Roman"/>
                <w:sz w:val="18"/>
                <w:szCs w:val="18"/>
              </w:rPr>
            </w:pPr>
          </w:p>
        </w:tc>
        <w:tc>
          <w:tcPr>
            <w:tcW w:w="5220" w:type="dxa"/>
          </w:tcPr>
          <w:p w14:paraId="4FA733AA" w14:textId="77777777" w:rsidR="00314559" w:rsidRPr="003B7DC9" w:rsidRDefault="00314559" w:rsidP="00314559">
            <w:pPr>
              <w:jc w:val="both"/>
              <w:rPr>
                <w:rFonts w:ascii="Times New Roman" w:eastAsia="Calibri" w:hAnsi="Times New Roman" w:cs="Times New Roman"/>
                <w:b/>
                <w:bCs/>
                <w:iCs/>
                <w:sz w:val="18"/>
                <w:szCs w:val="18"/>
                <w:lang w:val="en-US"/>
              </w:rPr>
            </w:pPr>
            <w:r w:rsidRPr="003B7DC9">
              <w:rPr>
                <w:rFonts w:ascii="Times New Roman" w:eastAsia="Calibri" w:hAnsi="Times New Roman" w:cs="Times New Roman"/>
                <w:b/>
                <w:bCs/>
                <w:iCs/>
                <w:sz w:val="18"/>
                <w:szCs w:val="18"/>
                <w:lang w:val="en-US"/>
              </w:rPr>
              <w:t>Neni 9a</w:t>
            </w:r>
          </w:p>
          <w:p w14:paraId="5C75F066" w14:textId="6E61E394" w:rsidR="00314559" w:rsidRPr="003B7DC9" w:rsidRDefault="00314559" w:rsidP="00314559">
            <w:pPr>
              <w:jc w:val="both"/>
              <w:rPr>
                <w:rFonts w:ascii="Times New Roman" w:eastAsia="Calibri" w:hAnsi="Times New Roman" w:cs="Times New Roman"/>
                <w:b/>
                <w:bCs/>
                <w:iCs/>
                <w:sz w:val="18"/>
                <w:szCs w:val="18"/>
                <w:lang w:val="en-US"/>
              </w:rPr>
            </w:pPr>
            <w:r w:rsidRPr="003B7DC9">
              <w:rPr>
                <w:rFonts w:ascii="Times New Roman" w:eastAsia="Calibri" w:hAnsi="Times New Roman" w:cs="Times New Roman"/>
                <w:b/>
                <w:bCs/>
                <w:iCs/>
                <w:sz w:val="18"/>
                <w:szCs w:val="18"/>
                <w:lang w:val="en-US"/>
              </w:rPr>
              <w:t>Bashkëpunimi mbi korrigjimet, përputhshmërinë dhe zbatimin në lidhje me deklaratat e informacionit për taksën shtesë</w:t>
            </w:r>
          </w:p>
          <w:p w14:paraId="3C648DD1" w14:textId="77777777" w:rsidR="00314559" w:rsidRPr="003B7DC9" w:rsidRDefault="00314559" w:rsidP="00314559">
            <w:pPr>
              <w:jc w:val="both"/>
              <w:rPr>
                <w:rFonts w:ascii="Times New Roman" w:eastAsia="Calibri" w:hAnsi="Times New Roman" w:cs="Times New Roman"/>
                <w:iCs/>
                <w:sz w:val="18"/>
                <w:szCs w:val="18"/>
                <w:lang w:val="en-US"/>
              </w:rPr>
            </w:pPr>
          </w:p>
          <w:p w14:paraId="33946B9F" w14:textId="77777777" w:rsidR="00314559" w:rsidRPr="003B7DC9" w:rsidRDefault="00314559" w:rsidP="00314559">
            <w:pPr>
              <w:numPr>
                <w:ilvl w:val="0"/>
                <w:numId w:val="46"/>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Kur autoriteti kompetent i një shteti anëtar ka arsye të besojë se informacioni në një deklaratë të informacionit për taksën shtesë të paraqitur nga një entitet mëmë përfundimtar ose entitet i caktuar për paraqitje që ndodhet në juridiksionin e shtetit tjetër anëtar, i komunikuar sipas nenit 8ae, kërkon korrigjimin e gabimeve të dukshme, ai njofton, pa vonesë të panevojshme, autoritetin kompetent të shtetit tjetër anëtar. Nëse autoriteti kompetent i njoftuar pranon se informacioni në deklaratën e informacionit për taksën shtesë kërkon korrigjim, ai merr, pa vonesë të panevojshme, masat e përshtatshme për të siguruar një deklaratë të korrigjuar të informacionit për taksën shtesë nga entiteti mëmë përfundimtar ose entiteti i caktuar për paraqitje përkatës. Ai komunikon, pa vonesë të panevojshme, deklaratën e korrigjuar të informacionit për taksën shtesë me të gjitha autoritetet kompetente për të cilat ky informacion i nënshtrohet shkëmbimit në përputhje me këtë direktivë.</w:t>
            </w:r>
          </w:p>
          <w:p w14:paraId="5FF1822F" w14:textId="77777777" w:rsidR="00314559" w:rsidRPr="003B7DC9" w:rsidRDefault="00314559" w:rsidP="00314559">
            <w:pPr>
              <w:numPr>
                <w:ilvl w:val="0"/>
                <w:numId w:val="46"/>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Kur autoriteti kompetent i një shteti anëtar ka marrë një njoftim nga një ose më shumë entitete përbërëse të vendosura në shtetin e tij anëtar se deklarata e informacionit për taksën shtesë për këto entitete përbërëse do të duhej të paraqitej nga entiteti mëmë përfundimtar ose entiteti i caktuar për paraqitje i vendosur në një shtet tjetër anëtar, por informacioni i përfshirë në deklaratën e informacionit për taksën shtesë nuk është komunikuar brenda afateve të përcaktuara në nenin 8ae(3) ose nenin 27d(3) dhe (4), ai njofton, pa vonesë të panevojshme, autoritetin tjetër kompetent se informacioni nuk është marrë. Autoriteti kompetent i njoftuar përcakton, pa vonesë të panevojshme, arsyen e moskomunikimit të deklaratës së informacionit për taksën shtesë në fjalë dhe informon autoritetin kompetent brenda 1 muaji nga marrja e njoftimit, duke përfshirë datën e pritshme të shkëmbimit për deklaratën e informacionit për taksën shtesë, kur është e aplikueshme. Data e pritshme e shkëmbimit vendoset për një datë jo më vonë se 3 muaj nga data e marrjes së njoftimit për mungesën e shkëmbimit.</w:t>
            </w:r>
          </w:p>
          <w:p w14:paraId="287A042E" w14:textId="6FC671EB" w:rsidR="00314559" w:rsidRPr="003B7DC9" w:rsidRDefault="00314559" w:rsidP="00314559">
            <w:pPr>
              <w:jc w:val="both"/>
              <w:rPr>
                <w:rFonts w:ascii="Times New Roman" w:eastAsia="Calibri" w:hAnsi="Times New Roman" w:cs="Times New Roman"/>
                <w:iCs/>
                <w:sz w:val="18"/>
                <w:szCs w:val="18"/>
              </w:rPr>
            </w:pPr>
          </w:p>
        </w:tc>
        <w:tc>
          <w:tcPr>
            <w:tcW w:w="1170" w:type="dxa"/>
          </w:tcPr>
          <w:p w14:paraId="6BFF3432" w14:textId="6A5F3866" w:rsidR="00314559" w:rsidRPr="003B7DC9" w:rsidRDefault="00314559" w:rsidP="00314559">
            <w:pPr>
              <w:jc w:val="center"/>
              <w:rPr>
                <w:rFonts w:ascii="Times New Roman" w:eastAsia="Calibri" w:hAnsi="Times New Roman" w:cs="Times New Roman"/>
                <w:i/>
                <w:iCs/>
                <w:sz w:val="18"/>
                <w:szCs w:val="18"/>
              </w:rPr>
            </w:pPr>
            <w:r w:rsidRPr="003B7DC9">
              <w:rPr>
                <w:rFonts w:ascii="Times New Roman" w:eastAsia="Calibri" w:hAnsi="Times New Roman" w:cs="Times New Roman"/>
                <w:sz w:val="18"/>
                <w:szCs w:val="18"/>
              </w:rPr>
              <w:lastRenderedPageBreak/>
              <w:t>1</w:t>
            </w:r>
          </w:p>
        </w:tc>
        <w:tc>
          <w:tcPr>
            <w:tcW w:w="720" w:type="dxa"/>
          </w:tcPr>
          <w:p w14:paraId="27CF4822" w14:textId="77777777" w:rsidR="00314559" w:rsidRPr="003B7DC9" w:rsidRDefault="00314559" w:rsidP="00314559">
            <w:pPr>
              <w:jc w:val="center"/>
              <w:rPr>
                <w:rFonts w:ascii="Times New Roman" w:eastAsia="Calibri" w:hAnsi="Times New Roman" w:cs="Times New Roman"/>
                <w:sz w:val="18"/>
                <w:szCs w:val="18"/>
              </w:rPr>
            </w:pPr>
          </w:p>
          <w:p w14:paraId="16F4BA75" w14:textId="77777777" w:rsidR="00314559" w:rsidRPr="003B7DC9" w:rsidRDefault="00314559" w:rsidP="00314559">
            <w:pPr>
              <w:jc w:val="center"/>
              <w:rPr>
                <w:rFonts w:ascii="Times New Roman" w:eastAsia="Calibri" w:hAnsi="Times New Roman" w:cs="Times New Roman"/>
                <w:sz w:val="18"/>
                <w:szCs w:val="18"/>
              </w:rPr>
            </w:pPr>
          </w:p>
          <w:p w14:paraId="3882658D" w14:textId="50D8B300"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tcPr>
          <w:p w14:paraId="23FD7038" w14:textId="77777777" w:rsidR="00314559" w:rsidRPr="003B7DC9" w:rsidRDefault="00314559" w:rsidP="00314559">
            <w:pPr>
              <w:spacing w:line="276" w:lineRule="auto"/>
              <w:jc w:val="center"/>
              <w:rPr>
                <w:rFonts w:ascii="Times New Roman" w:eastAsia="Times New Roman" w:hAnsi="Times New Roman" w:cs="Times New Roman"/>
                <w:sz w:val="18"/>
                <w:szCs w:val="18"/>
                <w:lang w:val="sq-AL" w:eastAsia="sq-AL"/>
              </w:rPr>
            </w:pPr>
          </w:p>
          <w:p w14:paraId="065BD65F" w14:textId="77777777" w:rsidR="00314559" w:rsidRPr="003B7DC9" w:rsidRDefault="00314559" w:rsidP="00314559">
            <w:pPr>
              <w:spacing w:line="276" w:lineRule="auto"/>
              <w:jc w:val="center"/>
              <w:rPr>
                <w:rFonts w:ascii="Times New Roman" w:eastAsia="Times New Roman" w:hAnsi="Times New Roman" w:cs="Times New Roman"/>
                <w:sz w:val="18"/>
                <w:szCs w:val="18"/>
                <w:lang w:val="sq-AL" w:eastAsia="sq-AL"/>
              </w:rPr>
            </w:pPr>
          </w:p>
          <w:p w14:paraId="7D7EAC5C" w14:textId="4CC6EC16" w:rsidR="00314559" w:rsidRPr="003B7DC9" w:rsidRDefault="00314559" w:rsidP="00314559">
            <w:pPr>
              <w:spacing w:line="276" w:lineRule="auto"/>
              <w:jc w:val="center"/>
              <w:rPr>
                <w:rFonts w:ascii="Times New Roman" w:eastAsia="Times New Roman" w:hAnsi="Times New Roman" w:cs="Times New Roman"/>
                <w:sz w:val="18"/>
                <w:szCs w:val="18"/>
                <w:lang w:val="sq-AL" w:eastAsia="sq-AL"/>
              </w:rPr>
            </w:pPr>
            <w:r w:rsidRPr="003B7DC9">
              <w:rPr>
                <w:rFonts w:ascii="Times New Roman" w:eastAsia="Times New Roman" w:hAnsi="Times New Roman" w:cs="Times New Roman"/>
                <w:sz w:val="18"/>
                <w:szCs w:val="18"/>
                <w:lang w:val="sq-AL" w:eastAsia="sq-AL"/>
              </w:rPr>
              <w:t>N/A</w:t>
            </w:r>
          </w:p>
        </w:tc>
        <w:tc>
          <w:tcPr>
            <w:tcW w:w="1066" w:type="dxa"/>
          </w:tcPr>
          <w:p w14:paraId="71F41EEE" w14:textId="77777777" w:rsidR="00314559" w:rsidRPr="003B7DC9" w:rsidRDefault="00314559" w:rsidP="00314559">
            <w:pPr>
              <w:jc w:val="center"/>
              <w:rPr>
                <w:rFonts w:ascii="Times New Roman" w:eastAsia="Calibri" w:hAnsi="Times New Roman" w:cs="Times New Roman"/>
                <w:i/>
                <w:iCs/>
                <w:sz w:val="18"/>
                <w:szCs w:val="18"/>
              </w:rPr>
            </w:pPr>
          </w:p>
          <w:p w14:paraId="49CA9C8A" w14:textId="77777777" w:rsidR="00314559" w:rsidRPr="003B7DC9" w:rsidRDefault="00314559" w:rsidP="00314559">
            <w:pPr>
              <w:jc w:val="center"/>
              <w:rPr>
                <w:rFonts w:ascii="Times New Roman" w:eastAsia="Calibri" w:hAnsi="Times New Roman" w:cs="Times New Roman"/>
                <w:i/>
                <w:iCs/>
                <w:sz w:val="18"/>
                <w:szCs w:val="18"/>
              </w:rPr>
            </w:pPr>
          </w:p>
          <w:p w14:paraId="59D5C730" w14:textId="77777777" w:rsidR="00314559" w:rsidRPr="003B7DC9" w:rsidRDefault="00314559" w:rsidP="00314559">
            <w:pPr>
              <w:jc w:val="center"/>
              <w:rPr>
                <w:rFonts w:ascii="Times New Roman" w:eastAsia="Calibri" w:hAnsi="Times New Roman" w:cs="Times New Roman"/>
                <w:i/>
                <w:iCs/>
                <w:sz w:val="18"/>
                <w:szCs w:val="18"/>
              </w:rPr>
            </w:pPr>
          </w:p>
          <w:p w14:paraId="7FA732F7" w14:textId="1083AC96" w:rsidR="00314559" w:rsidRPr="003B7DC9" w:rsidRDefault="00314559" w:rsidP="00314559">
            <w:pPr>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NA</w:t>
            </w:r>
          </w:p>
        </w:tc>
        <w:tc>
          <w:tcPr>
            <w:tcW w:w="3060" w:type="dxa"/>
          </w:tcPr>
          <w:p w14:paraId="7033A922" w14:textId="77777777" w:rsidR="00314559" w:rsidRPr="003B7DC9" w:rsidRDefault="00314559" w:rsidP="00314559">
            <w:pPr>
              <w:spacing w:line="276" w:lineRule="auto"/>
              <w:jc w:val="both"/>
              <w:rPr>
                <w:rFonts w:ascii="Times New Roman" w:eastAsia="Calibri" w:hAnsi="Times New Roman" w:cs="Times New Roman"/>
                <w:iCs/>
                <w:sz w:val="18"/>
                <w:szCs w:val="18"/>
              </w:rPr>
            </w:pPr>
          </w:p>
          <w:p w14:paraId="728B4E7D" w14:textId="77777777" w:rsidR="00314559" w:rsidRPr="003B7DC9" w:rsidRDefault="00314559" w:rsidP="00314559">
            <w:pPr>
              <w:spacing w:line="276" w:lineRule="auto"/>
              <w:jc w:val="both"/>
              <w:rPr>
                <w:rFonts w:ascii="Times New Roman" w:eastAsia="Calibri" w:hAnsi="Times New Roman" w:cs="Times New Roman"/>
                <w:iCs/>
                <w:sz w:val="18"/>
                <w:szCs w:val="18"/>
              </w:rPr>
            </w:pPr>
          </w:p>
          <w:p w14:paraId="52FDB081" w14:textId="77777777" w:rsidR="00314559" w:rsidRPr="003B7DC9" w:rsidRDefault="00314559" w:rsidP="00314559">
            <w:p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Nuk kërkon transpozim. Neni 9a përcakton mekanizma të veçantë bashkëpunimi, korrigjimi dhe zbatimi, që lidhen ekskluzivisht me shkëmbimin e deklaratave të informacionit për taksën shtesë.</w:t>
            </w:r>
          </w:p>
          <w:p w14:paraId="4C5B1D26" w14:textId="032A35C7" w:rsidR="00314559" w:rsidRPr="003B7DC9" w:rsidRDefault="00314559" w:rsidP="00314559">
            <w:pPr>
              <w:spacing w:line="276" w:lineRule="auto"/>
              <w:jc w:val="both"/>
              <w:rPr>
                <w:rFonts w:ascii="Times New Roman" w:eastAsia="Calibri" w:hAnsi="Times New Roman" w:cs="Times New Roman"/>
                <w:iCs/>
                <w:sz w:val="18"/>
                <w:szCs w:val="18"/>
              </w:rPr>
            </w:pPr>
          </w:p>
        </w:tc>
      </w:tr>
      <w:tr w:rsidR="00314559" w:rsidRPr="003B7DC9" w14:paraId="7AB48AF4" w14:textId="77777777" w:rsidTr="00B75638">
        <w:tc>
          <w:tcPr>
            <w:tcW w:w="630" w:type="dxa"/>
          </w:tcPr>
          <w:p w14:paraId="796E7F23" w14:textId="465E4252"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174F10E2" w14:textId="77777777" w:rsidR="00314559" w:rsidRPr="003B7DC9" w:rsidRDefault="00314559" w:rsidP="00314559">
            <w:pPr>
              <w:widowControl w:val="0"/>
              <w:pBdr>
                <w:top w:val="nil"/>
                <w:left w:val="nil"/>
                <w:bottom w:val="nil"/>
                <w:right w:val="nil"/>
                <w:between w:val="nil"/>
              </w:pBdr>
              <w:spacing w:before="120" w:line="276" w:lineRule="auto"/>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10</w:t>
            </w:r>
          </w:p>
          <w:p w14:paraId="4F475E0E" w14:textId="77777777" w:rsidR="00314559" w:rsidRPr="003B7DC9" w:rsidRDefault="00314559" w:rsidP="00314559">
            <w:pPr>
              <w:widowControl w:val="0"/>
              <w:pBdr>
                <w:top w:val="nil"/>
                <w:left w:val="nil"/>
                <w:bottom w:val="nil"/>
                <w:right w:val="nil"/>
                <w:between w:val="nil"/>
              </w:pBdr>
              <w:spacing w:before="120"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Afatet kohore</w:t>
            </w:r>
          </w:p>
          <w:p w14:paraId="7FF02283" w14:textId="77777777" w:rsidR="00314559" w:rsidRPr="003B7DC9" w:rsidRDefault="00314559" w:rsidP="00314559">
            <w:pPr>
              <w:widowControl w:val="0"/>
              <w:numPr>
                <w:ilvl w:val="0"/>
                <w:numId w:val="47"/>
              </w:numPr>
              <w:pBdr>
                <w:top w:val="nil"/>
                <w:left w:val="nil"/>
                <w:bottom w:val="nil"/>
                <w:right w:val="nil"/>
                <w:between w:val="nil"/>
              </w:pBdr>
              <w:spacing w:before="120"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të cilit i bëhet i disponueshëm informacioni i përmendur në nenin 9(1), e përcjell atë informacion tek autoriteti kompetent i çdo shteti tjetër anëtar të interesuar sa më shpejt të jetë e mundur dhe, në çdo rast, jo më vonë se një muaj pasi ai bëhet i disponueshëm.</w:t>
            </w:r>
          </w:p>
          <w:p w14:paraId="3A68FD37" w14:textId="77777777" w:rsidR="00314559" w:rsidRPr="003B7DC9" w:rsidRDefault="00314559" w:rsidP="00314559">
            <w:pPr>
              <w:widowControl w:val="0"/>
              <w:numPr>
                <w:ilvl w:val="0"/>
                <w:numId w:val="47"/>
              </w:numPr>
              <w:pBdr>
                <w:top w:val="nil"/>
                <w:left w:val="nil"/>
                <w:bottom w:val="nil"/>
                <w:right w:val="nil"/>
                <w:between w:val="nil"/>
              </w:pBdr>
              <w:spacing w:before="120"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të cilit i komunikohet informacioni në përputhje me nenin 9 konfirmon, nëse është e mundur me mjete elektronike, marrjen e informacionit tek autoriteti kompetent që e ka dhënë atë menjëherë dhe, në çdo rast, jo më vonë se shtatë ditë pune.</w:t>
            </w:r>
          </w:p>
          <w:p w14:paraId="1F105BED" w14:textId="3C02F1CB" w:rsidR="00314559" w:rsidRPr="003B7DC9" w:rsidRDefault="00314559" w:rsidP="00314559">
            <w:pPr>
              <w:widowControl w:val="0"/>
              <w:pBdr>
                <w:top w:val="nil"/>
                <w:left w:val="nil"/>
                <w:bottom w:val="nil"/>
                <w:right w:val="nil"/>
                <w:between w:val="nil"/>
              </w:pBdr>
              <w:spacing w:before="120" w:line="276" w:lineRule="auto"/>
              <w:jc w:val="both"/>
              <w:rPr>
                <w:rFonts w:ascii="Times New Roman" w:eastAsia="Calibri" w:hAnsi="Times New Roman" w:cs="Times New Roman"/>
                <w:iCs/>
                <w:sz w:val="18"/>
                <w:szCs w:val="18"/>
                <w:lang w:val="en-US"/>
              </w:rPr>
            </w:pPr>
          </w:p>
        </w:tc>
        <w:tc>
          <w:tcPr>
            <w:tcW w:w="1170" w:type="dxa"/>
          </w:tcPr>
          <w:p w14:paraId="3E152E78" w14:textId="620384DB"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tcPr>
          <w:p w14:paraId="0152B602" w14:textId="27B90ECB"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11</w:t>
            </w:r>
          </w:p>
        </w:tc>
        <w:tc>
          <w:tcPr>
            <w:tcW w:w="4334" w:type="dxa"/>
          </w:tcPr>
          <w:p w14:paraId="18E4FB2E" w14:textId="77777777" w:rsidR="00314559" w:rsidRPr="003B7DC9" w:rsidRDefault="00314559" w:rsidP="00314559">
            <w:pPr>
              <w:spacing w:before="100" w:beforeAutospacing="1" w:after="100" w:afterAutospacing="1"/>
              <w:jc w:val="center"/>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11</w:t>
            </w:r>
          </w:p>
          <w:p w14:paraId="2384D679" w14:textId="77777777" w:rsidR="00314559" w:rsidRPr="003B7DC9" w:rsidRDefault="00314559" w:rsidP="00314559">
            <w:pPr>
              <w:spacing w:before="100" w:beforeAutospacing="1" w:after="100" w:afterAutospacing="1"/>
              <w:ind w:left="360"/>
              <w:jc w:val="center"/>
              <w:rPr>
                <w:rFonts w:ascii="Times New Roman" w:eastAsia="Times New Roman" w:hAnsi="Times New Roman" w:cs="Times New Roman"/>
                <w:bCs/>
                <w:sz w:val="18"/>
                <w:szCs w:val="18"/>
                <w:lang w:val="en-US"/>
              </w:rPr>
            </w:pPr>
            <w:r w:rsidRPr="003B7DC9">
              <w:rPr>
                <w:rFonts w:ascii="Times New Roman" w:eastAsia="Times New Roman" w:hAnsi="Times New Roman" w:cs="Times New Roman"/>
                <w:b/>
                <w:bCs/>
                <w:sz w:val="18"/>
                <w:szCs w:val="18"/>
                <w:lang w:val="en-US"/>
              </w:rPr>
              <w:t>Afatet dhe konfirmimet për shkëmbimin spontan</w:t>
            </w:r>
          </w:p>
          <w:p w14:paraId="3A24B3BA" w14:textId="77777777" w:rsidR="00314559" w:rsidRPr="003B7DC9" w:rsidRDefault="00314559" w:rsidP="00314559">
            <w:pPr>
              <w:numPr>
                <w:ilvl w:val="0"/>
                <w:numId w:val="123"/>
              </w:numPr>
              <w:spacing w:before="100" w:beforeAutospacing="1" w:after="100" w:afterAutospacing="1"/>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Informacioni i përmendur në nenin 10, pika 1, i transmetohet autoritetit kompetent të çdo shteti tjetër anëtar </w:t>
            </w:r>
            <w:r w:rsidRPr="003B7DC9">
              <w:rPr>
                <w:rFonts w:ascii="Times New Roman" w:hAnsi="Times New Roman" w:cs="Times New Roman"/>
                <w:sz w:val="18"/>
                <w:szCs w:val="18"/>
              </w:rPr>
              <w:t xml:space="preserve">të interesuar </w:t>
            </w:r>
            <w:r w:rsidRPr="003B7DC9">
              <w:rPr>
                <w:rFonts w:ascii="Times New Roman" w:eastAsia="Times New Roman" w:hAnsi="Times New Roman" w:cs="Times New Roman"/>
                <w:bCs/>
                <w:sz w:val="18"/>
                <w:szCs w:val="18"/>
                <w:lang w:val="en-US"/>
              </w:rPr>
              <w:t xml:space="preserve">sa më shpejt të jetë e mundur dhe, në çdo rast, jo më vonë se një muaj nga data kur informacioni është bërë i disponueshëm. </w:t>
            </w:r>
          </w:p>
          <w:p w14:paraId="2D0FC342" w14:textId="77777777" w:rsidR="00314559" w:rsidRPr="003B7DC9" w:rsidRDefault="00314559" w:rsidP="00314559">
            <w:pPr>
              <w:numPr>
                <w:ilvl w:val="0"/>
                <w:numId w:val="123"/>
              </w:numPr>
              <w:spacing w:before="100" w:beforeAutospacing="1" w:after="100" w:afterAutospacing="1"/>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Kur Drejtoria e Përgjithshme e Tatimeve merr informacion spontan, ajo konfirmon marrjen e tij pa vonesë dhe, në çdo rast, jo më vonë se shtatë ditë pune </w:t>
            </w:r>
            <w:r w:rsidRPr="003B7DC9">
              <w:rPr>
                <w:rFonts w:ascii="Times New Roman" w:hAnsi="Times New Roman" w:cs="Times New Roman"/>
                <w:sz w:val="18"/>
                <w:szCs w:val="18"/>
              </w:rPr>
              <w:t>nga data e marrjes së informacionit</w:t>
            </w:r>
            <w:r w:rsidRPr="003B7DC9">
              <w:rPr>
                <w:rFonts w:ascii="Times New Roman" w:eastAsia="Times New Roman" w:hAnsi="Times New Roman" w:cs="Times New Roman"/>
                <w:bCs/>
                <w:sz w:val="18"/>
                <w:szCs w:val="18"/>
                <w:lang w:val="en-US"/>
              </w:rPr>
              <w:t xml:space="preserve">, nëse është e mundur me mjete elektronike. </w:t>
            </w:r>
          </w:p>
          <w:p w14:paraId="0FF9BF8D" w14:textId="3620CC7C" w:rsidR="00314559" w:rsidRPr="003B7DC9" w:rsidRDefault="00314559" w:rsidP="00314559">
            <w:pPr>
              <w:tabs>
                <w:tab w:val="left" w:pos="1380"/>
              </w:tabs>
              <w:rPr>
                <w:rFonts w:ascii="Times New Roman" w:hAnsi="Times New Roman" w:cs="Times New Roman"/>
                <w:color w:val="000000" w:themeColor="text1"/>
                <w:sz w:val="18"/>
                <w:szCs w:val="18"/>
              </w:rPr>
            </w:pPr>
          </w:p>
          <w:p w14:paraId="5D1D16DC" w14:textId="382AF9CE" w:rsidR="00314559" w:rsidRPr="003B7DC9" w:rsidRDefault="00314559" w:rsidP="00314559">
            <w:pPr>
              <w:ind w:left="1440"/>
              <w:jc w:val="both"/>
              <w:rPr>
                <w:rFonts w:ascii="Times New Roman" w:eastAsia="Calibri" w:hAnsi="Times New Roman" w:cs="Times New Roman"/>
                <w:sz w:val="18"/>
                <w:szCs w:val="18"/>
                <w:lang w:val="en-US"/>
              </w:rPr>
            </w:pPr>
          </w:p>
        </w:tc>
        <w:tc>
          <w:tcPr>
            <w:tcW w:w="1066" w:type="dxa"/>
          </w:tcPr>
          <w:p w14:paraId="4002CF3D" w14:textId="377307C9"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F</w:t>
            </w:r>
          </w:p>
        </w:tc>
        <w:tc>
          <w:tcPr>
            <w:tcW w:w="3060" w:type="dxa"/>
          </w:tcPr>
          <w:p w14:paraId="46D529E2" w14:textId="441B8A76" w:rsidR="00314559" w:rsidRPr="003B7DC9" w:rsidRDefault="00314559" w:rsidP="00314559">
            <w:pPr>
              <w:rPr>
                <w:rFonts w:ascii="Times New Roman" w:eastAsia="Calibri" w:hAnsi="Times New Roman" w:cs="Times New Roman"/>
                <w:sz w:val="18"/>
                <w:szCs w:val="18"/>
                <w:lang w:val="en-US"/>
              </w:rPr>
            </w:pPr>
          </w:p>
        </w:tc>
      </w:tr>
      <w:tr w:rsidR="00314559" w:rsidRPr="003B7DC9" w14:paraId="1DCD5C89" w14:textId="77777777" w:rsidTr="00B75638">
        <w:tc>
          <w:tcPr>
            <w:tcW w:w="630" w:type="dxa"/>
            <w:shd w:val="clear" w:color="auto" w:fill="D0CECE" w:themeFill="background2" w:themeFillShade="E6"/>
          </w:tcPr>
          <w:p w14:paraId="7B43BA42" w14:textId="7778594C" w:rsidR="00314559" w:rsidRPr="003B7DC9" w:rsidRDefault="00314559" w:rsidP="00314559">
            <w:pPr>
              <w:jc w:val="center"/>
              <w:rPr>
                <w:rFonts w:ascii="Times New Roman" w:eastAsia="Calibri" w:hAnsi="Times New Roman" w:cs="Times New Roman"/>
                <w:i/>
                <w:iCs/>
                <w:sz w:val="18"/>
                <w:szCs w:val="18"/>
                <w:lang w:val="en-US"/>
              </w:rPr>
            </w:pPr>
          </w:p>
        </w:tc>
        <w:tc>
          <w:tcPr>
            <w:tcW w:w="5220" w:type="dxa"/>
            <w:shd w:val="clear" w:color="auto" w:fill="D0CECE" w:themeFill="background2" w:themeFillShade="E6"/>
          </w:tcPr>
          <w:p w14:paraId="1B89D23B" w14:textId="6320254C" w:rsidR="00314559" w:rsidRPr="003B7DC9" w:rsidRDefault="00314559" w:rsidP="00314559">
            <w:pPr>
              <w:jc w:val="center"/>
              <w:rPr>
                <w:rFonts w:ascii="Times New Roman" w:eastAsia="Times New Roman" w:hAnsi="Times New Roman" w:cs="Times New Roman"/>
                <w:i/>
                <w:iCs/>
                <w:color w:val="333333"/>
                <w:sz w:val="18"/>
                <w:szCs w:val="18"/>
              </w:rPr>
            </w:pPr>
          </w:p>
          <w:p w14:paraId="178F6F8C" w14:textId="54771548" w:rsidR="00314559" w:rsidRPr="003B7DC9" w:rsidRDefault="00314559" w:rsidP="00314559">
            <w:pPr>
              <w:jc w:val="center"/>
              <w:rPr>
                <w:rFonts w:ascii="Times New Roman" w:eastAsia="Calibri" w:hAnsi="Times New Roman" w:cs="Times New Roman"/>
                <w:i/>
                <w:iCs/>
                <w:sz w:val="18"/>
                <w:szCs w:val="18"/>
                <w:lang w:val="en-US"/>
              </w:rPr>
            </w:pPr>
          </w:p>
        </w:tc>
        <w:tc>
          <w:tcPr>
            <w:tcW w:w="1170" w:type="dxa"/>
            <w:shd w:val="clear" w:color="auto" w:fill="D0CECE" w:themeFill="background2" w:themeFillShade="E6"/>
          </w:tcPr>
          <w:p w14:paraId="3947385F" w14:textId="3C0CC3AA" w:rsidR="00314559" w:rsidRPr="003B7DC9" w:rsidRDefault="00314559" w:rsidP="00314559">
            <w:pPr>
              <w:jc w:val="center"/>
              <w:rPr>
                <w:rFonts w:ascii="Times New Roman" w:eastAsia="Calibri" w:hAnsi="Times New Roman" w:cs="Times New Roman"/>
                <w:i/>
                <w:iCs/>
                <w:sz w:val="18"/>
                <w:szCs w:val="18"/>
              </w:rPr>
            </w:pPr>
            <w:r w:rsidRPr="003B7DC9">
              <w:rPr>
                <w:rFonts w:ascii="Times New Roman" w:eastAsia="Calibri" w:hAnsi="Times New Roman" w:cs="Times New Roman"/>
                <w:sz w:val="18"/>
                <w:szCs w:val="18"/>
              </w:rPr>
              <w:t>1</w:t>
            </w:r>
          </w:p>
        </w:tc>
        <w:tc>
          <w:tcPr>
            <w:tcW w:w="720" w:type="dxa"/>
            <w:shd w:val="clear" w:color="auto" w:fill="D0CECE" w:themeFill="background2" w:themeFillShade="E6"/>
          </w:tcPr>
          <w:p w14:paraId="2AEEFB19" w14:textId="78CBBFE8" w:rsidR="00314559" w:rsidRPr="003B7DC9" w:rsidRDefault="00314559" w:rsidP="00314559">
            <w:pPr>
              <w:jc w:val="center"/>
              <w:rPr>
                <w:rFonts w:ascii="Times New Roman" w:eastAsia="Calibri" w:hAnsi="Times New Roman" w:cs="Times New Roman"/>
                <w:i/>
                <w:iCs/>
                <w:sz w:val="18"/>
                <w:szCs w:val="18"/>
                <w:lang w:val="en-US"/>
              </w:rPr>
            </w:pPr>
          </w:p>
        </w:tc>
        <w:tc>
          <w:tcPr>
            <w:tcW w:w="4334" w:type="dxa"/>
            <w:shd w:val="clear" w:color="auto" w:fill="D0CECE" w:themeFill="background2" w:themeFillShade="E6"/>
          </w:tcPr>
          <w:p w14:paraId="368A282A" w14:textId="42EF7E44" w:rsidR="00314559" w:rsidRPr="003B7DC9" w:rsidRDefault="00314559" w:rsidP="00314559">
            <w:pPr>
              <w:jc w:val="center"/>
              <w:rPr>
                <w:rFonts w:ascii="Times New Roman" w:eastAsia="Times New Roman" w:hAnsi="Times New Roman" w:cs="Times New Roman"/>
                <w:i/>
                <w:iCs/>
                <w:sz w:val="18"/>
                <w:szCs w:val="18"/>
              </w:rPr>
            </w:pPr>
          </w:p>
        </w:tc>
        <w:tc>
          <w:tcPr>
            <w:tcW w:w="1066" w:type="dxa"/>
            <w:shd w:val="clear" w:color="auto" w:fill="D0CECE" w:themeFill="background2" w:themeFillShade="E6"/>
          </w:tcPr>
          <w:p w14:paraId="6D33AE71" w14:textId="29231BD5" w:rsidR="00314559" w:rsidRPr="003B7DC9" w:rsidRDefault="00314559" w:rsidP="00314559">
            <w:pPr>
              <w:jc w:val="center"/>
              <w:rPr>
                <w:rFonts w:ascii="Times New Roman" w:eastAsia="Calibri" w:hAnsi="Times New Roman" w:cs="Times New Roman"/>
                <w:sz w:val="18"/>
                <w:szCs w:val="18"/>
                <w:highlight w:val="cyan"/>
                <w:lang w:val="en-US"/>
              </w:rPr>
            </w:pPr>
          </w:p>
        </w:tc>
        <w:tc>
          <w:tcPr>
            <w:tcW w:w="3060" w:type="dxa"/>
            <w:shd w:val="clear" w:color="auto" w:fill="D0CECE" w:themeFill="background2" w:themeFillShade="E6"/>
          </w:tcPr>
          <w:p w14:paraId="72B8276C" w14:textId="77777777" w:rsidR="00314559" w:rsidRPr="003B7DC9" w:rsidRDefault="00314559" w:rsidP="00314559">
            <w:pPr>
              <w:rPr>
                <w:rFonts w:ascii="Times New Roman" w:eastAsia="Calibri" w:hAnsi="Times New Roman" w:cs="Times New Roman"/>
                <w:sz w:val="18"/>
                <w:szCs w:val="18"/>
                <w:lang w:val="en-US"/>
              </w:rPr>
            </w:pPr>
          </w:p>
        </w:tc>
      </w:tr>
      <w:tr w:rsidR="00314559" w:rsidRPr="003B7DC9" w14:paraId="27605F4A" w14:textId="77777777" w:rsidTr="00B75638">
        <w:tc>
          <w:tcPr>
            <w:tcW w:w="630" w:type="dxa"/>
          </w:tcPr>
          <w:p w14:paraId="544D4079" w14:textId="4E3F96B9" w:rsidR="00314559" w:rsidRPr="003B7DC9" w:rsidRDefault="00314559" w:rsidP="00314559">
            <w:pPr>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1</w:t>
            </w:r>
          </w:p>
        </w:tc>
        <w:tc>
          <w:tcPr>
            <w:tcW w:w="5220" w:type="dxa"/>
          </w:tcPr>
          <w:p w14:paraId="4F0FE381" w14:textId="77777777" w:rsidR="00314559" w:rsidRPr="003B7DC9" w:rsidRDefault="00314559" w:rsidP="00314559">
            <w:pPr>
              <w:spacing w:before="100" w:beforeAutospacing="1" w:after="100" w:afterAutospacing="1"/>
              <w:outlineLvl w:val="1"/>
              <w:rPr>
                <w:rFonts w:ascii="Times New Roman" w:eastAsia="Times New Roman" w:hAnsi="Times New Roman" w:cs="Times New Roman"/>
                <w:b/>
                <w:bCs/>
                <w:sz w:val="18"/>
                <w:szCs w:val="18"/>
              </w:rPr>
            </w:pPr>
            <w:r w:rsidRPr="003B7DC9">
              <w:rPr>
                <w:rFonts w:ascii="Times New Roman" w:eastAsia="Times New Roman" w:hAnsi="Times New Roman" w:cs="Times New Roman"/>
                <w:b/>
                <w:bCs/>
                <w:sz w:val="18"/>
                <w:szCs w:val="18"/>
              </w:rPr>
              <w:t>KREU III</w:t>
            </w:r>
          </w:p>
          <w:p w14:paraId="123B92C9" w14:textId="77777777" w:rsidR="00314559" w:rsidRPr="003B7DC9" w:rsidRDefault="00314559" w:rsidP="00314559">
            <w:pPr>
              <w:widowControl w:val="0"/>
              <w:pBdr>
                <w:top w:val="nil"/>
                <w:left w:val="nil"/>
                <w:bottom w:val="nil"/>
                <w:right w:val="nil"/>
                <w:between w:val="nil"/>
              </w:pBdr>
              <w:spacing w:before="120" w:line="276" w:lineRule="auto"/>
              <w:jc w:val="both"/>
              <w:rPr>
                <w:rFonts w:ascii="Times New Roman" w:hAnsi="Times New Roman" w:cs="Times New Roman"/>
                <w:b/>
                <w:bCs/>
                <w:sz w:val="18"/>
                <w:szCs w:val="18"/>
                <w:lang w:val="en-GB"/>
              </w:rPr>
            </w:pPr>
          </w:p>
          <w:p w14:paraId="0F7A3172" w14:textId="77777777" w:rsidR="00314559" w:rsidRPr="003B7DC9" w:rsidRDefault="00314559" w:rsidP="00314559">
            <w:pPr>
              <w:spacing w:before="100" w:beforeAutospacing="1" w:after="100" w:afterAutospacing="1"/>
              <w:rPr>
                <w:rFonts w:ascii="Times New Roman" w:eastAsia="Times New Roman" w:hAnsi="Times New Roman" w:cs="Times New Roman"/>
                <w:sz w:val="18"/>
                <w:szCs w:val="18"/>
              </w:rPr>
            </w:pPr>
            <w:r w:rsidRPr="003B7DC9">
              <w:rPr>
                <w:rFonts w:ascii="Times New Roman" w:eastAsia="Times New Roman" w:hAnsi="Times New Roman" w:cs="Times New Roman"/>
                <w:b/>
                <w:bCs/>
                <w:sz w:val="18"/>
                <w:szCs w:val="18"/>
              </w:rPr>
              <w:t>FORMA TË TJERA TË BASHKËPUNIMIT ADMINISTRATIV</w:t>
            </w:r>
          </w:p>
          <w:p w14:paraId="17796CAC" w14:textId="77777777" w:rsidR="00314559" w:rsidRPr="003B7DC9" w:rsidRDefault="00314559" w:rsidP="00314559">
            <w:pPr>
              <w:rPr>
                <w:rFonts w:ascii="Times New Roman" w:eastAsia="Times New Roman" w:hAnsi="Times New Roman" w:cs="Times New Roman"/>
                <w:sz w:val="18"/>
                <w:szCs w:val="18"/>
                <w:lang w:eastAsia="sq-AL"/>
              </w:rPr>
            </w:pPr>
          </w:p>
          <w:p w14:paraId="3B78890E" w14:textId="77777777" w:rsidR="00314559" w:rsidRPr="003B7DC9" w:rsidRDefault="00314559" w:rsidP="00314559">
            <w:pPr>
              <w:rPr>
                <w:rFonts w:ascii="Times New Roman" w:eastAsia="Times New Roman" w:hAnsi="Times New Roman" w:cs="Times New Roman"/>
                <w:b/>
                <w:bCs/>
                <w:sz w:val="18"/>
                <w:szCs w:val="18"/>
                <w:lang w:val="en-US" w:eastAsia="sq-AL"/>
              </w:rPr>
            </w:pPr>
            <w:r w:rsidRPr="003B7DC9">
              <w:rPr>
                <w:rFonts w:ascii="Times New Roman" w:eastAsia="Times New Roman" w:hAnsi="Times New Roman" w:cs="Times New Roman"/>
                <w:b/>
                <w:bCs/>
                <w:sz w:val="18"/>
                <w:szCs w:val="18"/>
                <w:lang w:val="en-US" w:eastAsia="sq-AL"/>
              </w:rPr>
              <w:t>SEKSIONI I</w:t>
            </w:r>
          </w:p>
          <w:p w14:paraId="1A2EB574" w14:textId="77777777" w:rsidR="00314559" w:rsidRPr="003B7DC9" w:rsidRDefault="00314559" w:rsidP="00314559">
            <w:pPr>
              <w:rPr>
                <w:rFonts w:ascii="Times New Roman" w:eastAsia="Times New Roman" w:hAnsi="Times New Roman" w:cs="Times New Roman"/>
                <w:sz w:val="18"/>
                <w:szCs w:val="18"/>
                <w:lang w:val="en-US" w:eastAsia="sq-AL"/>
              </w:rPr>
            </w:pPr>
            <w:r w:rsidRPr="003B7DC9">
              <w:rPr>
                <w:rFonts w:ascii="Times New Roman" w:eastAsia="Times New Roman" w:hAnsi="Times New Roman" w:cs="Times New Roman"/>
                <w:b/>
                <w:bCs/>
                <w:sz w:val="18"/>
                <w:szCs w:val="18"/>
                <w:lang w:val="en-US" w:eastAsia="sq-AL"/>
              </w:rPr>
              <w:lastRenderedPageBreak/>
              <w:t>Prania në zyrat administrative dhe pjesëmarrja në hetimet administrative</w:t>
            </w:r>
          </w:p>
          <w:p w14:paraId="0CF3F50A" w14:textId="77777777" w:rsidR="00314559" w:rsidRPr="003B7DC9" w:rsidRDefault="00314559" w:rsidP="00314559">
            <w:pPr>
              <w:rPr>
                <w:rFonts w:ascii="Times New Roman" w:eastAsia="Times New Roman" w:hAnsi="Times New Roman" w:cs="Times New Roman"/>
                <w:b/>
                <w:bCs/>
                <w:sz w:val="18"/>
                <w:szCs w:val="18"/>
                <w:lang w:val="en-US" w:eastAsia="sq-AL"/>
              </w:rPr>
            </w:pPr>
            <w:r w:rsidRPr="003B7DC9">
              <w:rPr>
                <w:rFonts w:ascii="Times New Roman" w:eastAsia="Times New Roman" w:hAnsi="Times New Roman" w:cs="Times New Roman"/>
                <w:b/>
                <w:bCs/>
                <w:sz w:val="18"/>
                <w:szCs w:val="18"/>
                <w:lang w:val="en-US" w:eastAsia="sq-AL"/>
              </w:rPr>
              <w:t>Neni 11</w:t>
            </w:r>
          </w:p>
          <w:p w14:paraId="060C4891" w14:textId="77777777" w:rsidR="00314559" w:rsidRPr="003B7DC9" w:rsidRDefault="00314559" w:rsidP="00314559">
            <w:pPr>
              <w:rPr>
                <w:rFonts w:ascii="Times New Roman" w:eastAsia="Times New Roman" w:hAnsi="Times New Roman" w:cs="Times New Roman"/>
                <w:sz w:val="18"/>
                <w:szCs w:val="18"/>
                <w:lang w:val="en-US" w:eastAsia="sq-AL"/>
              </w:rPr>
            </w:pPr>
            <w:r w:rsidRPr="003B7DC9">
              <w:rPr>
                <w:rFonts w:ascii="Times New Roman" w:eastAsia="Times New Roman" w:hAnsi="Times New Roman" w:cs="Times New Roman"/>
                <w:b/>
                <w:bCs/>
                <w:sz w:val="18"/>
                <w:szCs w:val="18"/>
                <w:lang w:val="en-US" w:eastAsia="sq-AL"/>
              </w:rPr>
              <w:t>Fusha e zbatimit dhe kushtet</w:t>
            </w:r>
          </w:p>
          <w:p w14:paraId="2048A48A" w14:textId="77777777" w:rsidR="00314559" w:rsidRPr="003B7DC9" w:rsidRDefault="00314559" w:rsidP="00314559">
            <w:pPr>
              <w:rPr>
                <w:rFonts w:ascii="Times New Roman" w:eastAsia="Times New Roman" w:hAnsi="Times New Roman" w:cs="Times New Roman"/>
                <w:sz w:val="18"/>
                <w:szCs w:val="18"/>
                <w:lang w:val="en-US" w:eastAsia="sq-AL"/>
              </w:rPr>
            </w:pPr>
            <w:r w:rsidRPr="003B7DC9">
              <w:rPr>
                <w:rFonts w:ascii="Times New Roman" w:eastAsia="Times New Roman" w:hAnsi="Times New Roman" w:cs="Times New Roman"/>
                <w:sz w:val="18"/>
                <w:szCs w:val="18"/>
                <w:lang w:val="en-US" w:eastAsia="sq-AL"/>
              </w:rPr>
              <w:t>▼M7</w:t>
            </w:r>
          </w:p>
          <w:p w14:paraId="1DDD0F03" w14:textId="77777777" w:rsidR="00314559" w:rsidRPr="003B7DC9" w:rsidRDefault="00314559" w:rsidP="00314559">
            <w:pPr>
              <w:numPr>
                <w:ilvl w:val="0"/>
                <w:numId w:val="48"/>
              </w:numPr>
              <w:rPr>
                <w:rFonts w:ascii="Times New Roman" w:eastAsia="Times New Roman" w:hAnsi="Times New Roman" w:cs="Times New Roman"/>
                <w:sz w:val="18"/>
                <w:szCs w:val="18"/>
                <w:lang w:val="en-US" w:eastAsia="sq-AL"/>
              </w:rPr>
            </w:pPr>
            <w:r w:rsidRPr="003B7DC9">
              <w:rPr>
                <w:rFonts w:ascii="Times New Roman" w:eastAsia="Times New Roman" w:hAnsi="Times New Roman" w:cs="Times New Roman"/>
                <w:sz w:val="18"/>
                <w:szCs w:val="18"/>
                <w:lang w:val="en-US" w:eastAsia="sq-AL"/>
              </w:rPr>
              <w:t>Me qëllim shkëmbimin e informacionit të përmendur në nenin 1(1), autoriteti kompetent i një shteti anëtar mund të kërkojë nga autoriteti kompetent i një shteti tjetër anëtar që nëpunësit e autorizuar nga i pari dhe në përputhje me rregullimet procedurale të përcaktuara nga i dyti:</w:t>
            </w:r>
          </w:p>
          <w:p w14:paraId="4495A781" w14:textId="77777777" w:rsidR="00314559" w:rsidRPr="003B7DC9" w:rsidRDefault="00314559" w:rsidP="00314559">
            <w:pPr>
              <w:rPr>
                <w:rFonts w:ascii="Times New Roman" w:eastAsia="Times New Roman" w:hAnsi="Times New Roman" w:cs="Times New Roman"/>
                <w:sz w:val="18"/>
                <w:szCs w:val="18"/>
                <w:lang w:val="en-US" w:eastAsia="sq-AL"/>
              </w:rPr>
            </w:pPr>
            <w:r w:rsidRPr="003B7DC9">
              <w:rPr>
                <w:rFonts w:ascii="Times New Roman" w:eastAsia="Times New Roman" w:hAnsi="Times New Roman" w:cs="Times New Roman"/>
                <w:sz w:val="18"/>
                <w:szCs w:val="18"/>
                <w:lang w:val="en-US" w:eastAsia="sq-AL"/>
              </w:rPr>
              <w:t>(a) të jenë të pranishëm në zyrat ku autoritetet administrative të shtetit anëtar të kërkuar kryejnë detyrat e tyre;</w:t>
            </w:r>
          </w:p>
          <w:p w14:paraId="3C47C94B" w14:textId="77777777" w:rsidR="00314559" w:rsidRPr="003B7DC9" w:rsidRDefault="00314559" w:rsidP="00314559">
            <w:pPr>
              <w:rPr>
                <w:rFonts w:ascii="Times New Roman" w:eastAsia="Times New Roman" w:hAnsi="Times New Roman" w:cs="Times New Roman"/>
                <w:sz w:val="18"/>
                <w:szCs w:val="18"/>
                <w:lang w:val="en-US" w:eastAsia="sq-AL"/>
              </w:rPr>
            </w:pPr>
            <w:r w:rsidRPr="003B7DC9">
              <w:rPr>
                <w:rFonts w:ascii="Times New Roman" w:eastAsia="Times New Roman" w:hAnsi="Times New Roman" w:cs="Times New Roman"/>
                <w:sz w:val="18"/>
                <w:szCs w:val="18"/>
                <w:lang w:val="en-US" w:eastAsia="sq-AL"/>
              </w:rPr>
              <w:t>(b) të jenë të pranishëm gjatë hetimeve administrative të kryera në territorin e shtetit anëtar të kërkuar;</w:t>
            </w:r>
          </w:p>
          <w:p w14:paraId="29021C63" w14:textId="77777777" w:rsidR="00314559" w:rsidRPr="003B7DC9" w:rsidRDefault="00314559" w:rsidP="00314559">
            <w:pPr>
              <w:rPr>
                <w:rFonts w:ascii="Times New Roman" w:eastAsia="Times New Roman" w:hAnsi="Times New Roman" w:cs="Times New Roman"/>
                <w:sz w:val="18"/>
                <w:szCs w:val="18"/>
                <w:lang w:val="en-US" w:eastAsia="sq-AL"/>
              </w:rPr>
            </w:pPr>
            <w:r w:rsidRPr="003B7DC9">
              <w:rPr>
                <w:rFonts w:ascii="Times New Roman" w:eastAsia="Times New Roman" w:hAnsi="Times New Roman" w:cs="Times New Roman"/>
                <w:sz w:val="18"/>
                <w:szCs w:val="18"/>
                <w:lang w:val="en-US" w:eastAsia="sq-AL"/>
              </w:rPr>
              <w:t>(c) të marrin pjesë në hetimet administrative të kryera nga shteti anëtar i kërkuar përmes përdorimit të mjeteve elektronike të komunikimit, kur është e përshtatshme.</w:t>
            </w:r>
          </w:p>
          <w:p w14:paraId="5107C925" w14:textId="77777777" w:rsidR="00314559" w:rsidRPr="003B7DC9" w:rsidRDefault="00314559" w:rsidP="00314559">
            <w:pPr>
              <w:rPr>
                <w:rFonts w:ascii="Times New Roman" w:eastAsia="Times New Roman" w:hAnsi="Times New Roman" w:cs="Times New Roman"/>
                <w:sz w:val="18"/>
                <w:szCs w:val="18"/>
                <w:lang w:val="en-US" w:eastAsia="sq-AL"/>
              </w:rPr>
            </w:pPr>
            <w:r w:rsidRPr="003B7DC9">
              <w:rPr>
                <w:rFonts w:ascii="Times New Roman" w:eastAsia="Times New Roman" w:hAnsi="Times New Roman" w:cs="Times New Roman"/>
                <w:sz w:val="18"/>
                <w:szCs w:val="18"/>
                <w:lang w:val="en-US" w:eastAsia="sq-AL"/>
              </w:rPr>
              <w:t>Autoriteti i kërkuar i përgjigjet një kërkese në përputhje me nënparagrafin e parë brenda 60 ditëve nga marrja e kërkesës, për të konfirmuar dakordësinë e tij ose për të komunikuar refuzimin e tij të arsyetuar ndaj autoritetit kërkues.</w:t>
            </w:r>
          </w:p>
          <w:p w14:paraId="32BC7FB6" w14:textId="77777777" w:rsidR="00314559" w:rsidRPr="003B7DC9" w:rsidRDefault="00314559" w:rsidP="00314559">
            <w:pPr>
              <w:rPr>
                <w:rFonts w:ascii="Times New Roman" w:eastAsia="Times New Roman" w:hAnsi="Times New Roman" w:cs="Times New Roman"/>
                <w:sz w:val="18"/>
                <w:szCs w:val="18"/>
                <w:lang w:val="en-US" w:eastAsia="sq-AL"/>
              </w:rPr>
            </w:pPr>
            <w:r w:rsidRPr="003B7DC9">
              <w:rPr>
                <w:rFonts w:ascii="Times New Roman" w:eastAsia="Times New Roman" w:hAnsi="Times New Roman" w:cs="Times New Roman"/>
                <w:sz w:val="18"/>
                <w:szCs w:val="18"/>
                <w:lang w:val="en-US" w:eastAsia="sq-AL"/>
              </w:rPr>
              <w:t>Kur informacioni i kërkuar përmbahet në dokumentacionin në të cilin nëpunësit e autoritetit të kërkuar kanë akses, nëpunësve të autoritetit kërkues u jepen kopje të tij.</w:t>
            </w:r>
          </w:p>
          <w:p w14:paraId="047C38D8" w14:textId="77777777" w:rsidR="00314559" w:rsidRPr="003B7DC9" w:rsidRDefault="00314559" w:rsidP="00314559">
            <w:pPr>
              <w:rPr>
                <w:rFonts w:ascii="Times New Roman" w:eastAsia="Times New Roman" w:hAnsi="Times New Roman" w:cs="Times New Roman"/>
                <w:sz w:val="18"/>
                <w:szCs w:val="18"/>
                <w:lang w:val="en-US" w:eastAsia="sq-AL"/>
              </w:rPr>
            </w:pPr>
            <w:r w:rsidRPr="003B7DC9">
              <w:rPr>
                <w:rFonts w:ascii="Times New Roman" w:eastAsia="Times New Roman" w:hAnsi="Times New Roman" w:cs="Times New Roman"/>
                <w:sz w:val="18"/>
                <w:szCs w:val="18"/>
                <w:lang w:val="en-US" w:eastAsia="sq-AL"/>
              </w:rPr>
              <w:t>▼B</w:t>
            </w:r>
          </w:p>
          <w:p w14:paraId="2C9D7423" w14:textId="77777777" w:rsidR="00314559" w:rsidRPr="003B7DC9" w:rsidRDefault="00314559" w:rsidP="00314559">
            <w:pPr>
              <w:numPr>
                <w:ilvl w:val="0"/>
                <w:numId w:val="49"/>
              </w:numPr>
              <w:rPr>
                <w:rFonts w:ascii="Times New Roman" w:eastAsia="Times New Roman" w:hAnsi="Times New Roman" w:cs="Times New Roman"/>
                <w:sz w:val="18"/>
                <w:szCs w:val="18"/>
                <w:lang w:val="en-US" w:eastAsia="sq-AL"/>
              </w:rPr>
            </w:pPr>
            <w:r w:rsidRPr="003B7DC9">
              <w:rPr>
                <w:rFonts w:ascii="Times New Roman" w:eastAsia="Times New Roman" w:hAnsi="Times New Roman" w:cs="Times New Roman"/>
                <w:sz w:val="18"/>
                <w:szCs w:val="18"/>
                <w:lang w:val="en-US" w:eastAsia="sq-AL"/>
              </w:rPr>
              <w:t>►M7 Kur nëpunësit e autoritetit kërkues janë të pranishëm gjatë hetimeve administrative, ose marrin pjesë në hetimet administrative përmes përdorimit të mjeteve elektronike të komunikimit, ata mund të intervistojnë individë dhe të shqyrtojnë regjistra, në varësi të rregullimeve procedurale të përcaktuara nga shteti anëtar i kërkuar. ◄</w:t>
            </w:r>
          </w:p>
          <w:p w14:paraId="2F7D2900" w14:textId="77777777" w:rsidR="00314559" w:rsidRPr="003B7DC9" w:rsidRDefault="00314559" w:rsidP="00314559">
            <w:pPr>
              <w:rPr>
                <w:rFonts w:ascii="Times New Roman" w:eastAsia="Times New Roman" w:hAnsi="Times New Roman" w:cs="Times New Roman"/>
                <w:sz w:val="18"/>
                <w:szCs w:val="18"/>
                <w:lang w:val="en-US" w:eastAsia="sq-AL"/>
              </w:rPr>
            </w:pPr>
            <w:r w:rsidRPr="003B7DC9">
              <w:rPr>
                <w:rFonts w:ascii="Times New Roman" w:eastAsia="Times New Roman" w:hAnsi="Times New Roman" w:cs="Times New Roman"/>
                <w:sz w:val="18"/>
                <w:szCs w:val="18"/>
                <w:lang w:val="en-US" w:eastAsia="sq-AL"/>
              </w:rPr>
              <w:t>Çdo refuzim nga personi nën hetim për të respektuar masat e kontrollit të nëpunësve të autoritetit kërkues trajtohet nga autoriteti i kërkuar sikur ky refuzim të ishte kryer kundrejt nëpunësve të atij autoriteti.</w:t>
            </w:r>
          </w:p>
          <w:p w14:paraId="6F9AA702" w14:textId="77777777" w:rsidR="00314559" w:rsidRPr="003B7DC9" w:rsidRDefault="00314559" w:rsidP="00314559">
            <w:pPr>
              <w:numPr>
                <w:ilvl w:val="0"/>
                <w:numId w:val="50"/>
              </w:numPr>
              <w:rPr>
                <w:rFonts w:ascii="Times New Roman" w:eastAsia="Times New Roman" w:hAnsi="Times New Roman" w:cs="Times New Roman"/>
                <w:sz w:val="18"/>
                <w:szCs w:val="18"/>
                <w:lang w:val="en-US" w:eastAsia="sq-AL"/>
              </w:rPr>
            </w:pPr>
            <w:r w:rsidRPr="003B7DC9">
              <w:rPr>
                <w:rFonts w:ascii="Times New Roman" w:eastAsia="Times New Roman" w:hAnsi="Times New Roman" w:cs="Times New Roman"/>
                <w:sz w:val="18"/>
                <w:szCs w:val="18"/>
                <w:lang w:val="en-US" w:eastAsia="sq-AL"/>
              </w:rPr>
              <w:t>Nëpunësit e autorizuar nga shteti anëtar kërkues që janë të pranishëm në një shtet tjetër anëtar në përputhje me pikën 1 duhet në çdo kohë të jenë në gjendje të paraqesin një autorizim me shkrim që tregon identitetin e tyre dhe cilësinë e tyre zyrtare.</w:t>
            </w:r>
          </w:p>
          <w:p w14:paraId="32AF3B6C" w14:textId="3C9767E4" w:rsidR="00314559" w:rsidRPr="003B7DC9" w:rsidRDefault="00314559" w:rsidP="00314559">
            <w:pPr>
              <w:rPr>
                <w:rFonts w:ascii="Times New Roman" w:eastAsia="Times New Roman" w:hAnsi="Times New Roman" w:cs="Times New Roman"/>
                <w:sz w:val="18"/>
                <w:szCs w:val="18"/>
                <w:lang w:eastAsia="sq-AL"/>
              </w:rPr>
            </w:pPr>
          </w:p>
        </w:tc>
        <w:tc>
          <w:tcPr>
            <w:tcW w:w="1170" w:type="dxa"/>
          </w:tcPr>
          <w:p w14:paraId="4E19E6AD" w14:textId="50BB1F22"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tcPr>
          <w:p w14:paraId="72640A97" w14:textId="3DCC1B22"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18</w:t>
            </w:r>
          </w:p>
        </w:tc>
        <w:tc>
          <w:tcPr>
            <w:tcW w:w="4334" w:type="dxa"/>
          </w:tcPr>
          <w:p w14:paraId="0FAAA0B0" w14:textId="77777777" w:rsidR="00314559" w:rsidRPr="003B7DC9" w:rsidRDefault="00314559" w:rsidP="00314559">
            <w:pPr>
              <w:spacing w:before="100" w:beforeAutospacing="1" w:after="100" w:afterAutospacing="1"/>
              <w:jc w:val="center"/>
              <w:outlineLvl w:val="1"/>
              <w:rPr>
                <w:rFonts w:ascii="Times New Roman" w:eastAsia="Times New Roman" w:hAnsi="Times New Roman" w:cs="Times New Roman"/>
                <w:b/>
                <w:sz w:val="18"/>
                <w:szCs w:val="18"/>
              </w:rPr>
            </w:pPr>
            <w:r w:rsidRPr="003B7DC9">
              <w:rPr>
                <w:rFonts w:ascii="Times New Roman" w:eastAsia="Times New Roman" w:hAnsi="Times New Roman" w:cs="Times New Roman"/>
                <w:b/>
                <w:sz w:val="18"/>
                <w:szCs w:val="18"/>
              </w:rPr>
              <w:t>KREU III</w:t>
            </w:r>
          </w:p>
          <w:p w14:paraId="1FE33FB4" w14:textId="77777777" w:rsidR="00314559" w:rsidRPr="003B7DC9" w:rsidRDefault="00314559" w:rsidP="00314559">
            <w:pPr>
              <w:spacing w:before="100" w:beforeAutospacing="1" w:after="100" w:afterAutospacing="1"/>
              <w:jc w:val="center"/>
              <w:rPr>
                <w:rFonts w:ascii="Times New Roman" w:eastAsia="Times New Roman" w:hAnsi="Times New Roman" w:cs="Times New Roman"/>
                <w:b/>
                <w:sz w:val="18"/>
                <w:szCs w:val="18"/>
              </w:rPr>
            </w:pPr>
            <w:r w:rsidRPr="003B7DC9">
              <w:rPr>
                <w:rFonts w:ascii="Times New Roman" w:eastAsia="Times New Roman" w:hAnsi="Times New Roman" w:cs="Times New Roman"/>
                <w:b/>
                <w:sz w:val="18"/>
                <w:szCs w:val="18"/>
              </w:rPr>
              <w:t>FORMA TË TJERA TË BASHKËPUNIMIT ADMINISTRATIV</w:t>
            </w:r>
          </w:p>
          <w:p w14:paraId="6C0FA5F8" w14:textId="77777777" w:rsidR="00314559" w:rsidRPr="003B7DC9" w:rsidRDefault="00314559" w:rsidP="00314559">
            <w:pPr>
              <w:spacing w:before="100" w:beforeAutospacing="1" w:after="100" w:afterAutospacing="1"/>
              <w:jc w:val="center"/>
              <w:rPr>
                <w:rFonts w:ascii="Times New Roman" w:eastAsia="Times New Roman" w:hAnsi="Times New Roman" w:cs="Times New Roman"/>
                <w:b/>
                <w:bCs/>
                <w:color w:val="000000" w:themeColor="text1"/>
                <w:sz w:val="18"/>
                <w:szCs w:val="18"/>
                <w:lang w:val="en-US"/>
              </w:rPr>
            </w:pPr>
            <w:r w:rsidRPr="003B7DC9">
              <w:rPr>
                <w:rFonts w:ascii="Times New Roman" w:eastAsia="Times New Roman" w:hAnsi="Times New Roman" w:cs="Times New Roman"/>
                <w:b/>
                <w:bCs/>
                <w:color w:val="000000" w:themeColor="text1"/>
                <w:sz w:val="18"/>
                <w:szCs w:val="18"/>
                <w:lang w:val="en-US"/>
              </w:rPr>
              <w:t>Neni 18</w:t>
            </w:r>
          </w:p>
          <w:p w14:paraId="2F5F032C" w14:textId="77777777" w:rsidR="00314559" w:rsidRPr="003B7DC9" w:rsidRDefault="00314559" w:rsidP="00314559">
            <w:pPr>
              <w:spacing w:before="100" w:beforeAutospacing="1" w:after="100" w:afterAutospacing="1"/>
              <w:jc w:val="center"/>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
                <w:bCs/>
                <w:color w:val="000000" w:themeColor="text1"/>
                <w:sz w:val="18"/>
                <w:szCs w:val="18"/>
                <w:lang w:val="en-US"/>
              </w:rPr>
              <w:t>Prania në zyrat administrative dhe pjesëmarrja në hetimet administrative</w:t>
            </w:r>
          </w:p>
          <w:p w14:paraId="6B096DFF" w14:textId="77777777" w:rsidR="00314559" w:rsidRPr="003B7DC9" w:rsidRDefault="00314559" w:rsidP="00314559">
            <w:pPr>
              <w:pStyle w:val="ListParagraph"/>
              <w:numPr>
                <w:ilvl w:val="0"/>
                <w:numId w:val="124"/>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hAnsi="Times New Roman" w:cs="Times New Roman"/>
                <w:color w:val="000000"/>
                <w:sz w:val="18"/>
                <w:szCs w:val="18"/>
              </w:rPr>
              <w:lastRenderedPageBreak/>
              <w:t>Me kërkesë të autoritetit kërkues dhe në përputhje me procedurat e përcaktuara nga Drejtoria e Përgjithshme e Tatimeve</w:t>
            </w:r>
            <w:r w:rsidRPr="003B7DC9">
              <w:rPr>
                <w:rFonts w:ascii="Times New Roman" w:eastAsia="Times New Roman" w:hAnsi="Times New Roman" w:cs="Times New Roman"/>
                <w:sz w:val="18"/>
                <w:szCs w:val="18"/>
                <w:lang w:eastAsia="sq-AL"/>
              </w:rPr>
              <w:t>, nëpunësit e autorizuar të autoritetit kërkues mund të:</w:t>
            </w:r>
          </w:p>
          <w:p w14:paraId="63CDC69F" w14:textId="77777777" w:rsidR="00314559" w:rsidRPr="003B7DC9" w:rsidRDefault="00314559" w:rsidP="00314559">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br/>
              <w:t>a) jenë të pranishëm në zyrat e administratës tatimore në Republikën e Shqipërisë;</w:t>
            </w:r>
            <w:r w:rsidRPr="003B7DC9">
              <w:rPr>
                <w:rFonts w:ascii="Times New Roman" w:eastAsia="Times New Roman" w:hAnsi="Times New Roman" w:cs="Times New Roman"/>
                <w:sz w:val="18"/>
                <w:szCs w:val="18"/>
                <w:lang w:eastAsia="sq-AL"/>
              </w:rPr>
              <w:br/>
              <w:t>b) jenë të pranishëm gjatë hetimeve administrative të kryera në Republikën e Shqipërisë;</w:t>
            </w:r>
            <w:r w:rsidRPr="003B7DC9">
              <w:rPr>
                <w:rFonts w:ascii="Times New Roman" w:eastAsia="Times New Roman" w:hAnsi="Times New Roman" w:cs="Times New Roman"/>
                <w:sz w:val="18"/>
                <w:szCs w:val="18"/>
                <w:lang w:eastAsia="sq-AL"/>
              </w:rPr>
              <w:br/>
              <w:t>c) marrin pjesë në hetimet administrative përmes mjeteve elektronike të komunikimit.</w:t>
            </w:r>
          </w:p>
          <w:p w14:paraId="6849ACAF" w14:textId="77777777" w:rsidR="00314559" w:rsidRPr="003B7DC9" w:rsidRDefault="00314559" w:rsidP="00314559">
            <w:pPr>
              <w:numPr>
                <w:ilvl w:val="0"/>
                <w:numId w:val="124"/>
              </w:numPr>
              <w:spacing w:before="100" w:beforeAutospacing="1" w:after="100" w:afterAutospacing="1"/>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Drejtoria e Përgjithshme e Tatimeve i përgjigjet kërkesës sipas pikës 1 të këtij neni brenda 60 ditëve nga marrja e saj, duke konfirmuar pranimin ose duke komunikuar refuzimin e arsyetuar. </w:t>
            </w:r>
          </w:p>
          <w:p w14:paraId="6D729721" w14:textId="77777777" w:rsidR="00314559" w:rsidRPr="003B7DC9" w:rsidRDefault="00314559" w:rsidP="00314559">
            <w:pPr>
              <w:numPr>
                <w:ilvl w:val="0"/>
                <w:numId w:val="124"/>
              </w:numPr>
              <w:spacing w:before="100" w:beforeAutospacing="1" w:after="100" w:afterAutospacing="1"/>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Kur informacioni i kërkuar gjendet në dokumente të aksesueshme nga </w:t>
            </w:r>
            <w:r w:rsidRPr="003B7DC9">
              <w:rPr>
                <w:rFonts w:ascii="Times New Roman" w:eastAsia="Times New Roman" w:hAnsi="Times New Roman" w:cs="Times New Roman"/>
                <w:sz w:val="18"/>
                <w:szCs w:val="18"/>
                <w:lang w:eastAsia="sq-AL"/>
              </w:rPr>
              <w:t>Drejtoria e Përgjithshme e Tatimeve</w:t>
            </w:r>
            <w:r w:rsidRPr="003B7DC9">
              <w:rPr>
                <w:rFonts w:ascii="Times New Roman" w:eastAsia="Times New Roman" w:hAnsi="Times New Roman" w:cs="Times New Roman"/>
                <w:bCs/>
                <w:color w:val="000000" w:themeColor="text1"/>
                <w:sz w:val="18"/>
                <w:szCs w:val="18"/>
                <w:lang w:val="en-US"/>
              </w:rPr>
              <w:t xml:space="preserve">, kopjet e këtyre dokumenteve vihen në dispozicion të nëpunësve të autorizuar të autoritetit kërkues. Kur këta nëpunës janë të pranishëm gjatë hetimeve administrative ose marrin pjesë në to nëpërmjet mjeteve elektronike të komunikimit, ata mund të </w:t>
            </w:r>
            <w:r w:rsidRPr="003B7DC9">
              <w:rPr>
                <w:rFonts w:ascii="Times New Roman" w:hAnsi="Times New Roman" w:cs="Times New Roman"/>
                <w:sz w:val="18"/>
                <w:szCs w:val="18"/>
              </w:rPr>
              <w:t xml:space="preserve">intervistojnë </w:t>
            </w:r>
            <w:r w:rsidRPr="003B7DC9">
              <w:rPr>
                <w:rFonts w:ascii="Times New Roman" w:eastAsia="Times New Roman" w:hAnsi="Times New Roman" w:cs="Times New Roman"/>
                <w:bCs/>
                <w:color w:val="000000" w:themeColor="text1"/>
                <w:sz w:val="18"/>
                <w:szCs w:val="18"/>
                <w:lang w:val="en-US"/>
              </w:rPr>
              <w:t xml:space="preserve">individë dhe të shqyrtojnë të dhëna, dokumente dhe regjistra, në përputhje me procedurat e përcaktuara nga Drejtoria e Përgjithshme e Tatimeve. </w:t>
            </w:r>
          </w:p>
          <w:p w14:paraId="601CB9DC" w14:textId="77777777" w:rsidR="00314559" w:rsidRPr="003B7DC9" w:rsidRDefault="00314559" w:rsidP="00314559">
            <w:pPr>
              <w:numPr>
                <w:ilvl w:val="0"/>
                <w:numId w:val="124"/>
              </w:numPr>
              <w:spacing w:before="100" w:beforeAutospacing="1" w:after="100" w:afterAutospacing="1"/>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sz w:val="18"/>
                <w:szCs w:val="18"/>
                <w:lang w:eastAsia="sq-AL"/>
              </w:rPr>
              <w:t>Refuzimi i personit nën hetim për të respektuar masat e kontrollit të ndërmarra nga nëpunësit e autoritetit kërkues, në përputhje me procedurat e përcaktuara në këtë nen, trajtohet në të njëjtën mënyrë si refuzimi ndaj nëpunësve të Drejtorisë së Përgjithshme të Tatimeve.</w:t>
            </w:r>
          </w:p>
          <w:p w14:paraId="491303EA" w14:textId="77777777" w:rsidR="00314559" w:rsidRPr="003B7DC9" w:rsidRDefault="00314559" w:rsidP="00314559">
            <w:pPr>
              <w:numPr>
                <w:ilvl w:val="0"/>
                <w:numId w:val="124"/>
              </w:numPr>
              <w:spacing w:before="100" w:beforeAutospacing="1" w:after="100" w:afterAutospacing="1"/>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Nëpunësit e autorizuar të autoritetit kërkues që janë të pranishëm në territorin e Republikës së Shqipërisë duhet të jenë në çdo kohë në gjendje </w:t>
            </w:r>
            <w:r w:rsidRPr="003B7DC9">
              <w:rPr>
                <w:rFonts w:ascii="Times New Roman" w:eastAsia="Times New Roman" w:hAnsi="Times New Roman" w:cs="Times New Roman"/>
                <w:bCs/>
                <w:color w:val="000000" w:themeColor="text1"/>
                <w:sz w:val="18"/>
                <w:szCs w:val="18"/>
                <w:lang w:val="en-US"/>
              </w:rPr>
              <w:lastRenderedPageBreak/>
              <w:t xml:space="preserve">të paraqesin një autorizim me shkrim që vërteton identitetin dhe cilësinë e tyre zyrtare. </w:t>
            </w:r>
          </w:p>
          <w:p w14:paraId="02F73593" w14:textId="780FC2A1" w:rsidR="00314559" w:rsidRPr="003B7DC9" w:rsidRDefault="00314559" w:rsidP="00314559">
            <w:pPr>
              <w:spacing w:before="100" w:beforeAutospacing="1" w:after="100" w:afterAutospacing="1"/>
              <w:jc w:val="both"/>
              <w:rPr>
                <w:rFonts w:ascii="Times New Roman" w:eastAsia="Calibri" w:hAnsi="Times New Roman" w:cs="Times New Roman"/>
                <w:sz w:val="18"/>
                <w:szCs w:val="18"/>
                <w:lang w:val="en-US"/>
              </w:rPr>
            </w:pPr>
          </w:p>
        </w:tc>
        <w:tc>
          <w:tcPr>
            <w:tcW w:w="1066" w:type="dxa"/>
          </w:tcPr>
          <w:p w14:paraId="60CEFF79" w14:textId="23387B62"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tcPr>
          <w:p w14:paraId="002BB236" w14:textId="77777777" w:rsidR="00314559" w:rsidRPr="003B7DC9" w:rsidRDefault="00314559" w:rsidP="00314559">
            <w:pPr>
              <w:rPr>
                <w:rFonts w:ascii="Times New Roman" w:eastAsia="Calibri" w:hAnsi="Times New Roman" w:cs="Times New Roman"/>
                <w:sz w:val="18"/>
                <w:szCs w:val="18"/>
                <w:lang w:val="en-US"/>
              </w:rPr>
            </w:pPr>
          </w:p>
        </w:tc>
      </w:tr>
      <w:tr w:rsidR="00314559" w:rsidRPr="003B7DC9" w14:paraId="26A635EE" w14:textId="77777777" w:rsidTr="00B75638">
        <w:trPr>
          <w:trHeight w:val="1875"/>
        </w:trPr>
        <w:tc>
          <w:tcPr>
            <w:tcW w:w="630" w:type="dxa"/>
          </w:tcPr>
          <w:p w14:paraId="37347107" w14:textId="4D5D7C68"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22CCCAF6" w14:textId="77777777"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SEKSIONI II</w:t>
            </w:r>
          </w:p>
          <w:p w14:paraId="1141D828" w14:textId="77777777" w:rsidR="00314559" w:rsidRPr="003B7DC9" w:rsidRDefault="00314559" w:rsidP="00314559">
            <w:pPr>
              <w:jc w:val="both"/>
              <w:rPr>
                <w:rFonts w:ascii="Times New Roman" w:eastAsia="Calibri" w:hAnsi="Times New Roman" w:cs="Times New Roman"/>
                <w:b/>
                <w:bCs/>
                <w:iCs/>
                <w:sz w:val="18"/>
                <w:szCs w:val="18"/>
              </w:rPr>
            </w:pPr>
          </w:p>
          <w:p w14:paraId="2592FB50" w14:textId="7BFC186C"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Kontrollet e njëkohshme</w:t>
            </w:r>
          </w:p>
          <w:p w14:paraId="06E771FE" w14:textId="77777777" w:rsidR="00314559" w:rsidRPr="003B7DC9" w:rsidRDefault="00314559" w:rsidP="00314559">
            <w:pPr>
              <w:jc w:val="both"/>
              <w:rPr>
                <w:rFonts w:ascii="Times New Roman" w:eastAsia="Calibri" w:hAnsi="Times New Roman" w:cs="Times New Roman"/>
                <w:b/>
                <w:bCs/>
                <w:iCs/>
                <w:sz w:val="18"/>
                <w:szCs w:val="18"/>
              </w:rPr>
            </w:pPr>
          </w:p>
          <w:p w14:paraId="12BFEB88" w14:textId="260E1FD2"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12</w:t>
            </w:r>
          </w:p>
          <w:p w14:paraId="1C610211" w14:textId="77777777" w:rsidR="00314559" w:rsidRPr="003B7DC9" w:rsidRDefault="00314559" w:rsidP="00314559">
            <w:pPr>
              <w:jc w:val="both"/>
              <w:rPr>
                <w:rFonts w:ascii="Times New Roman" w:eastAsia="Calibri" w:hAnsi="Times New Roman" w:cs="Times New Roman"/>
                <w:b/>
                <w:bCs/>
                <w:iCs/>
                <w:sz w:val="18"/>
                <w:szCs w:val="18"/>
              </w:rPr>
            </w:pPr>
          </w:p>
          <w:p w14:paraId="67BB6E1C" w14:textId="780CC150"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Kontrollet e njëkohshme</w:t>
            </w:r>
          </w:p>
          <w:p w14:paraId="1C7C20BC" w14:textId="77777777" w:rsidR="00314559" w:rsidRPr="003B7DC9" w:rsidRDefault="00314559" w:rsidP="00314559">
            <w:pPr>
              <w:numPr>
                <w:ilvl w:val="0"/>
                <w:numId w:val="51"/>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dy ose më shumë shtete anëtare bien dakord të kryejnë kontrolle të njëkohshme, në territorin e tyre të vet, të një ose më shumë personave me interes të përbashkët ose plotësues për to, me qëllim shkëmbimin e informacionit të marrë në këtë mënyrë, zbatohen pikat 2, 3 dhe 4.</w:t>
            </w:r>
          </w:p>
          <w:p w14:paraId="610089BD" w14:textId="77777777" w:rsidR="00314559" w:rsidRPr="003B7DC9" w:rsidRDefault="00314559" w:rsidP="00314559">
            <w:pPr>
              <w:numPr>
                <w:ilvl w:val="0"/>
                <w:numId w:val="51"/>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në çdo shtet anëtar identifikon në mënyrë të pavarur personat për të cilët synon të propozojë një kontroll të njëkohshëm. Ai njofton autoritetin kompetent të shteteve të tjera anëtare përkatëse për çdo rast për të cilin propozon një kontroll të njëkohshëm, duke dhënë arsyet për zgjedhjen e tij.</w:t>
            </w:r>
            <w:r w:rsidRPr="003B7DC9">
              <w:rPr>
                <w:rFonts w:ascii="Times New Roman" w:eastAsia="Calibri" w:hAnsi="Times New Roman" w:cs="Times New Roman"/>
                <w:iCs/>
                <w:sz w:val="18"/>
                <w:szCs w:val="18"/>
              </w:rPr>
              <w:br/>
              <w:t>Ai përcakton periudhën kohore gjatë së cilës do të kryhen këto kontrolle.</w:t>
            </w:r>
          </w:p>
          <w:p w14:paraId="6CB0EF66"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▼M7</w:t>
            </w:r>
          </w:p>
          <w:p w14:paraId="5ADD10CB" w14:textId="77777777" w:rsidR="00314559" w:rsidRPr="003B7DC9" w:rsidRDefault="00314559" w:rsidP="00314559">
            <w:pPr>
              <w:numPr>
                <w:ilvl w:val="0"/>
                <w:numId w:val="52"/>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i çdo shteti anëtar përkatës vendos nëse dëshiron të marrë pjesë në kontrollet e njëkohshme. Ai konfirmon dakordësinë e tij ose komunikon refuzimin e tij të arsyetuar tek autoriteti që propozoi kontrollin e njëkohshëm brenda 60 ditëve nga marrja e propozimit.</w:t>
            </w:r>
          </w:p>
          <w:p w14:paraId="6DDA159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w:t>
            </w:r>
          </w:p>
          <w:p w14:paraId="627AED2A" w14:textId="77777777" w:rsidR="00314559" w:rsidRPr="003B7DC9" w:rsidRDefault="00314559" w:rsidP="00314559">
            <w:pPr>
              <w:numPr>
                <w:ilvl w:val="0"/>
                <w:numId w:val="53"/>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i çdo shteti anëtar përkatës cakton një përfaqësues me përgjegjësi për mbikëqyrjen dhe koordinimin e operacionit të kontrollit.</w:t>
            </w:r>
          </w:p>
          <w:p w14:paraId="02F6F541" w14:textId="31261F2F" w:rsidR="00314559" w:rsidRPr="003B7DC9" w:rsidRDefault="00314559" w:rsidP="00314559">
            <w:pPr>
              <w:jc w:val="both"/>
              <w:rPr>
                <w:rFonts w:ascii="Times New Roman" w:eastAsia="Calibri" w:hAnsi="Times New Roman" w:cs="Times New Roman"/>
                <w:iCs/>
                <w:sz w:val="18"/>
                <w:szCs w:val="18"/>
                <w:lang w:val="en-US"/>
              </w:rPr>
            </w:pPr>
          </w:p>
        </w:tc>
        <w:tc>
          <w:tcPr>
            <w:tcW w:w="1170" w:type="dxa"/>
          </w:tcPr>
          <w:p w14:paraId="4490F7F0" w14:textId="35A6350B"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tcPr>
          <w:p w14:paraId="3A291DFE" w14:textId="1AA39F97"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19</w:t>
            </w:r>
          </w:p>
        </w:tc>
        <w:tc>
          <w:tcPr>
            <w:tcW w:w="4334" w:type="dxa"/>
            <w:tcBorders>
              <w:bottom w:val="dashed" w:sz="4" w:space="0" w:color="auto"/>
            </w:tcBorders>
          </w:tcPr>
          <w:p w14:paraId="0CB73965" w14:textId="77777777" w:rsidR="00314559" w:rsidRPr="003B7DC9" w:rsidRDefault="00314559" w:rsidP="00314559">
            <w:pPr>
              <w:jc w:val="center"/>
              <w:rPr>
                <w:rFonts w:ascii="Times New Roman" w:eastAsia="Times New Roman" w:hAnsi="Times New Roman" w:cs="Times New Roman"/>
                <w:sz w:val="18"/>
                <w:szCs w:val="18"/>
                <w:lang w:eastAsia="sq-AL"/>
              </w:rPr>
            </w:pPr>
          </w:p>
          <w:p w14:paraId="122E26B2" w14:textId="77777777" w:rsidR="00314559" w:rsidRPr="003B7DC9" w:rsidRDefault="00314559" w:rsidP="00314559">
            <w:pPr>
              <w:spacing w:before="100" w:beforeAutospacing="1" w:after="100" w:afterAutospacing="1"/>
              <w:jc w:val="center"/>
              <w:rPr>
                <w:rFonts w:ascii="Times New Roman" w:eastAsia="Times New Roman" w:hAnsi="Times New Roman" w:cs="Times New Roman"/>
                <w:b/>
                <w:bCs/>
                <w:color w:val="000000" w:themeColor="text1"/>
                <w:sz w:val="18"/>
                <w:szCs w:val="18"/>
                <w:lang w:val="en-US"/>
              </w:rPr>
            </w:pPr>
            <w:r w:rsidRPr="003B7DC9">
              <w:rPr>
                <w:rFonts w:ascii="Times New Roman" w:eastAsia="Times New Roman" w:hAnsi="Times New Roman" w:cs="Times New Roman"/>
                <w:b/>
                <w:bCs/>
                <w:color w:val="000000" w:themeColor="text1"/>
                <w:sz w:val="18"/>
                <w:szCs w:val="18"/>
                <w:lang w:val="en-US"/>
              </w:rPr>
              <w:t>Neni 19</w:t>
            </w:r>
          </w:p>
          <w:p w14:paraId="0F8F2F0B" w14:textId="77777777" w:rsidR="00314559" w:rsidRPr="003B7DC9" w:rsidRDefault="00314559" w:rsidP="00314559">
            <w:pPr>
              <w:spacing w:before="100" w:beforeAutospacing="1" w:after="100" w:afterAutospacing="1"/>
              <w:jc w:val="center"/>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
                <w:bCs/>
                <w:color w:val="000000" w:themeColor="text1"/>
                <w:sz w:val="18"/>
                <w:szCs w:val="18"/>
                <w:lang w:val="en-US"/>
              </w:rPr>
              <w:t>Kontrollet e njëkohshme dhe auditimet e përbashkëta</w:t>
            </w:r>
          </w:p>
          <w:p w14:paraId="030C6B34" w14:textId="77777777" w:rsidR="00314559" w:rsidRPr="003B7DC9" w:rsidRDefault="00314559" w:rsidP="00314559">
            <w:pPr>
              <w:pStyle w:val="ListParagraph"/>
              <w:numPr>
                <w:ilvl w:val="0"/>
                <w:numId w:val="125"/>
              </w:numPr>
              <w:jc w:val="both"/>
              <w:rPr>
                <w:rFonts w:ascii="Times New Roman" w:hAnsi="Times New Roman" w:cs="Times New Roman"/>
                <w:sz w:val="18"/>
                <w:szCs w:val="18"/>
              </w:rPr>
            </w:pPr>
            <w:r w:rsidRPr="003B7DC9">
              <w:rPr>
                <w:rFonts w:ascii="Times New Roman" w:hAnsi="Times New Roman" w:cs="Times New Roman"/>
                <w:sz w:val="18"/>
                <w:szCs w:val="18"/>
              </w:rPr>
              <w:t>Kur Drejtoria e Përgjithshme e Tatimeve dhe autoritetet kompetente të një ose më shumë shteteve anëtare bien dakord të kryejnë kontrolle të njëkohshme në territoret e tyre për një ose më shumë persona që paraqesin interes të përbashkët ose plotësues, me qëllim shkëmbimin e informacionit të siguruar në këtë mënyrë, zbatohen rregullat e mëposhtme:</w:t>
            </w:r>
          </w:p>
          <w:p w14:paraId="0E7951D5" w14:textId="77777777" w:rsidR="00314559" w:rsidRPr="003B7DC9" w:rsidRDefault="00314559" w:rsidP="00314559">
            <w:pPr>
              <w:pStyle w:val="ListParagraph"/>
              <w:jc w:val="both"/>
              <w:rPr>
                <w:rFonts w:ascii="Times New Roman" w:hAnsi="Times New Roman" w:cs="Times New Roman"/>
                <w:sz w:val="18"/>
                <w:szCs w:val="18"/>
              </w:rPr>
            </w:pPr>
          </w:p>
          <w:p w14:paraId="5F4504BD" w14:textId="77777777" w:rsidR="00314559" w:rsidRPr="003B7DC9" w:rsidRDefault="00314559" w:rsidP="00314559">
            <w:pPr>
              <w:pStyle w:val="ListParagraph"/>
              <w:jc w:val="both"/>
              <w:rPr>
                <w:rFonts w:ascii="Times New Roman" w:hAnsi="Times New Roman" w:cs="Times New Roman"/>
                <w:sz w:val="18"/>
                <w:szCs w:val="18"/>
              </w:rPr>
            </w:pPr>
            <w:r w:rsidRPr="003B7DC9">
              <w:rPr>
                <w:rFonts w:ascii="Times New Roman" w:hAnsi="Times New Roman" w:cs="Times New Roman"/>
                <w:sz w:val="18"/>
                <w:szCs w:val="18"/>
              </w:rPr>
              <w:t>a) Drejtoria e Përgjithshme e Tatimeve identifikon personat për të cilët propozon kryerjen e një kontrolli të njëkohshëm;</w:t>
            </w:r>
          </w:p>
          <w:p w14:paraId="75D3A584" w14:textId="77777777" w:rsidR="00314559" w:rsidRPr="003B7DC9" w:rsidRDefault="00314559" w:rsidP="00314559">
            <w:pPr>
              <w:pStyle w:val="ListParagraph"/>
              <w:jc w:val="both"/>
              <w:rPr>
                <w:rFonts w:ascii="Times New Roman" w:hAnsi="Times New Roman" w:cs="Times New Roman"/>
                <w:sz w:val="18"/>
                <w:szCs w:val="18"/>
              </w:rPr>
            </w:pPr>
            <w:r w:rsidRPr="003B7DC9">
              <w:rPr>
                <w:rFonts w:ascii="Times New Roman" w:hAnsi="Times New Roman" w:cs="Times New Roman"/>
                <w:sz w:val="18"/>
                <w:szCs w:val="18"/>
              </w:rPr>
              <w:t>b) Drejtoria e Përgjithshme e Tatimeve njofton autoritetet kompetente të shteteve të tjera anëtare të interesuara për kontrollin e propozuar, arsyet dhe periudhën e tij;</w:t>
            </w:r>
          </w:p>
          <w:p w14:paraId="5381B782" w14:textId="77777777" w:rsidR="00314559" w:rsidRPr="003B7DC9" w:rsidRDefault="00314559" w:rsidP="00314559">
            <w:pPr>
              <w:pStyle w:val="ListParagraph"/>
              <w:jc w:val="both"/>
              <w:rPr>
                <w:rFonts w:ascii="Times New Roman" w:hAnsi="Times New Roman" w:cs="Times New Roman"/>
                <w:sz w:val="18"/>
                <w:szCs w:val="18"/>
              </w:rPr>
            </w:pPr>
            <w:r w:rsidRPr="003B7DC9">
              <w:rPr>
                <w:rFonts w:ascii="Times New Roman" w:hAnsi="Times New Roman" w:cs="Times New Roman"/>
                <w:sz w:val="18"/>
                <w:szCs w:val="18"/>
              </w:rPr>
              <w:t>c) Drejtoria e Përgjithshme e Tatimeve konfirmon pranimin ose komunikon refuzimin e arsyetuar, brenda 60 ditëve nga marrja e propozimit të paraqitur nga autoriteti kompetent i një shteti tjetër anëtar;</w:t>
            </w:r>
          </w:p>
          <w:p w14:paraId="3269C820" w14:textId="77777777" w:rsidR="00314559" w:rsidRPr="003B7DC9" w:rsidRDefault="00314559" w:rsidP="00314559">
            <w:pPr>
              <w:pStyle w:val="ListParagraph"/>
              <w:jc w:val="both"/>
              <w:rPr>
                <w:rFonts w:ascii="Times New Roman" w:hAnsi="Times New Roman" w:cs="Times New Roman"/>
                <w:sz w:val="18"/>
                <w:szCs w:val="18"/>
              </w:rPr>
            </w:pPr>
            <w:r w:rsidRPr="003B7DC9">
              <w:rPr>
                <w:rFonts w:ascii="Times New Roman" w:eastAsia="Times New Roman" w:hAnsi="Times New Roman" w:cs="Times New Roman"/>
                <w:bCs/>
                <w:sz w:val="18"/>
                <w:szCs w:val="18"/>
                <w:lang w:eastAsia="sq-AL"/>
              </w:rPr>
              <w:t xml:space="preserve">ç) Drejtoria e Përgjithshme e Tatimeve cakton një përfaqësues përgjegjës për mbikëqyrjen dhe </w:t>
            </w:r>
            <w:r w:rsidRPr="003B7DC9">
              <w:rPr>
                <w:rFonts w:ascii="Times New Roman" w:eastAsia="Times New Roman" w:hAnsi="Times New Roman" w:cs="Times New Roman"/>
                <w:bCs/>
                <w:sz w:val="18"/>
                <w:szCs w:val="18"/>
                <w:lang w:eastAsia="sq-AL"/>
              </w:rPr>
              <w:lastRenderedPageBreak/>
              <w:t>koordinimin e kontrollit të njëkohshëm në Republikën e Shqipërisë.</w:t>
            </w:r>
          </w:p>
          <w:p w14:paraId="1F2F3B8F" w14:textId="77777777" w:rsidR="00314559" w:rsidRPr="003B7DC9" w:rsidRDefault="00314559" w:rsidP="00314559">
            <w:pPr>
              <w:pStyle w:val="ListParagraph"/>
              <w:jc w:val="both"/>
              <w:rPr>
                <w:rFonts w:ascii="Times New Roman" w:hAnsi="Times New Roman" w:cs="Times New Roman"/>
                <w:sz w:val="18"/>
                <w:szCs w:val="18"/>
              </w:rPr>
            </w:pPr>
          </w:p>
          <w:p w14:paraId="720C9ECF" w14:textId="77777777" w:rsidR="00314559" w:rsidRPr="003B7DC9" w:rsidRDefault="00314559" w:rsidP="00314559">
            <w:pPr>
              <w:pStyle w:val="ListParagraph"/>
              <w:numPr>
                <w:ilvl w:val="0"/>
                <w:numId w:val="125"/>
              </w:numPr>
              <w:jc w:val="both"/>
              <w:rPr>
                <w:rFonts w:ascii="Times New Roman" w:hAnsi="Times New Roman" w:cs="Times New Roman"/>
                <w:sz w:val="18"/>
                <w:szCs w:val="18"/>
              </w:rPr>
            </w:pPr>
            <w:r w:rsidRPr="003B7DC9">
              <w:rPr>
                <w:rFonts w:ascii="Times New Roman" w:hAnsi="Times New Roman" w:cs="Times New Roman"/>
                <w:sz w:val="18"/>
                <w:szCs w:val="18"/>
              </w:rPr>
              <w:t xml:space="preserve">Drejtoria e Përgjithshme e Tatimeve mund t’i kërkojë autoritetit kompetent të një ose më shumë shteteve të tjera anëtare kryerjen e një auditimi të përbashkët me Drejtorinë e Përgjithshme të Tatimeve. </w:t>
            </w:r>
            <w:r w:rsidRPr="003B7DC9">
              <w:rPr>
                <w:rFonts w:ascii="Times New Roman" w:eastAsia="Times New Roman" w:hAnsi="Times New Roman" w:cs="Times New Roman"/>
                <w:sz w:val="18"/>
                <w:szCs w:val="18"/>
                <w:lang w:eastAsia="sq-AL"/>
              </w:rPr>
              <w:t>Kur Drejtoria e Përgjithshme e Tatimeve merr një kërkesë për auditim të përbashkët, i përgjigjet brenda 60 ditëve dhe mund ta refuzojë vetëm për shkaqe të arsyetuara, të cilat ia komunikon autoritetit kërkues.</w:t>
            </w:r>
          </w:p>
          <w:p w14:paraId="69355E70" w14:textId="77777777" w:rsidR="00314559" w:rsidRPr="003B7DC9" w:rsidRDefault="00314559" w:rsidP="00314559">
            <w:pPr>
              <w:pStyle w:val="ListParagraph"/>
              <w:numPr>
                <w:ilvl w:val="0"/>
                <w:numId w:val="125"/>
              </w:numPr>
              <w:spacing w:before="100" w:beforeAutospacing="1" w:after="100" w:afterAutospacing="1"/>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 xml:space="preserve">Autoritetet pjesëmarrëse bien dakord paraprakisht për mënyrën e koordinuar të kryerjes së </w:t>
            </w:r>
            <w:r w:rsidRPr="003B7DC9">
              <w:rPr>
                <w:rFonts w:ascii="Times New Roman" w:hAnsi="Times New Roman" w:cs="Times New Roman"/>
                <w:sz w:val="18"/>
                <w:szCs w:val="18"/>
              </w:rPr>
              <w:t>auditimit të përbashkët</w:t>
            </w:r>
            <w:r w:rsidRPr="003B7DC9">
              <w:rPr>
                <w:rFonts w:ascii="Times New Roman" w:eastAsia="Times New Roman" w:hAnsi="Times New Roman" w:cs="Times New Roman"/>
                <w:sz w:val="18"/>
                <w:szCs w:val="18"/>
                <w:lang w:eastAsia="sq-AL"/>
              </w:rPr>
              <w:t xml:space="preserve">, përfshirë rregullimet gjuhësore. </w:t>
            </w:r>
            <w:r w:rsidRPr="003B7DC9">
              <w:rPr>
                <w:rFonts w:ascii="Times New Roman" w:hAnsi="Times New Roman" w:cs="Times New Roman"/>
                <w:sz w:val="18"/>
                <w:szCs w:val="18"/>
              </w:rPr>
              <w:t>Auditimi i përbashkët zhvillohet</w:t>
            </w:r>
            <w:r w:rsidRPr="003B7DC9">
              <w:rPr>
                <w:rFonts w:ascii="Times New Roman" w:eastAsia="Times New Roman" w:hAnsi="Times New Roman" w:cs="Times New Roman"/>
                <w:sz w:val="18"/>
                <w:szCs w:val="18"/>
                <w:lang w:eastAsia="sq-AL"/>
              </w:rPr>
              <w:t xml:space="preserve"> në përputhje me legjislacionin dhe kërkesat procedurale të shtetit anëtar ku kryhen veprimet përkatëse.</w:t>
            </w:r>
          </w:p>
          <w:p w14:paraId="3F74D69D" w14:textId="77777777" w:rsidR="00314559" w:rsidRPr="003B7DC9" w:rsidRDefault="00314559" w:rsidP="00314559">
            <w:pPr>
              <w:numPr>
                <w:ilvl w:val="0"/>
                <w:numId w:val="125"/>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Kur auditimi i përbashkët kryhet në Republikën e Shqipërisë, të drejtat dhe detyrimet e </w:t>
            </w:r>
            <w:r w:rsidRPr="003B7DC9">
              <w:rPr>
                <w:rFonts w:ascii="Times New Roman" w:hAnsi="Times New Roman" w:cs="Times New Roman"/>
                <w:sz w:val="18"/>
                <w:szCs w:val="18"/>
              </w:rPr>
              <w:t>nëpunësve</w:t>
            </w:r>
            <w:r w:rsidRPr="003B7DC9">
              <w:rPr>
                <w:rFonts w:ascii="Times New Roman" w:eastAsia="Times New Roman" w:hAnsi="Times New Roman" w:cs="Times New Roman"/>
                <w:bCs/>
                <w:color w:val="000000" w:themeColor="text1"/>
                <w:sz w:val="18"/>
                <w:szCs w:val="18"/>
                <w:lang w:val="en-US"/>
              </w:rPr>
              <w:t xml:space="preserve"> të autoriteteve kompetente të shteteve të tjera anëtare përcaktohen nga legjislacioni shqiptar dhe nga rregullimet procedurale të dakordësuara paraprakisht ndërmjet autoriteteve pjesëmarrëse. Veprimet e këtyre nëpunësve kryhen në prani dhe nën drejtimin, koordinimin dhe mbikëqyrjen e nëpunësve të Drejtorisë së Përgjithshme të Tatimeve. </w:t>
            </w:r>
          </w:p>
          <w:p w14:paraId="005A1C68" w14:textId="77777777" w:rsidR="00314559" w:rsidRPr="003B7DC9" w:rsidRDefault="00314559" w:rsidP="00314559">
            <w:pPr>
              <w:numPr>
                <w:ilvl w:val="0"/>
                <w:numId w:val="125"/>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Nëpunësit e një shteti tjetër anëtar nuk mund të ushtrojnë në Republikën e Shqipërisë kompetenca që tejkalojnë kompetencat që u njihen sipas legjislacionit të shtetit të tyre. </w:t>
            </w:r>
          </w:p>
          <w:p w14:paraId="1C006D51" w14:textId="77777777" w:rsidR="00314559" w:rsidRPr="003B7DC9" w:rsidRDefault="00314559" w:rsidP="00314559">
            <w:pPr>
              <w:numPr>
                <w:ilvl w:val="0"/>
                <w:numId w:val="125"/>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lastRenderedPageBreak/>
              <w:t xml:space="preserve">Nëpunësit e Drejtorisë së Përgjithshme të Tatimeve që marrin pjesë në auditim jashtë Shqipërisë duhet të respektojnë legjislacionin e shtetit anëtar ku kryhet auditimi, brenda kufijve të kompetencave të njohura nga ligji shqiptar. </w:t>
            </w:r>
          </w:p>
          <w:p w14:paraId="576E845B" w14:textId="77777777" w:rsidR="00314559" w:rsidRPr="003B7DC9" w:rsidRDefault="00314559" w:rsidP="00314559">
            <w:pPr>
              <w:numPr>
                <w:ilvl w:val="0"/>
                <w:numId w:val="125"/>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hAnsi="Times New Roman" w:cs="Times New Roman"/>
                <w:sz w:val="18"/>
                <w:szCs w:val="18"/>
              </w:rPr>
              <w:t>Kur auditimi i përbashkët zhvillohet në Republikën e Shqipërisë, Drejtoria e Përgjithshme e Tatimeve cakton një përfaqësues përgjegjës për koordinimin. Nëpunësit e shteteve të tjera anëtare mund të intervistojnë individë dhe të shqyrtojnë dokumente së bashku me nëpunësit e Drejtorisë së Përgjithshme të Tatimeve. Provat e mbledhura gjatë auditimit të përbashkët vlerësohen, përfshirë sa i përket pranueshmërisë së tyre, në të njëjtat kushte juridike si provat e mbledhura gjatë një auditimi ku marrin pjesë vetëm nëpunësit e Drejtorisë së Përgjithshme të Tatimeve, përfshirë gjatë çdo procedure ankimi administrativ ose gjyqësor. Personat që i nënshtrohen auditimit të përbashkët ose preken prej tij gëzojnë të njëjtat të drejta dhe kanë të njëjtat detyrime si në një auditim ku marrin pjesë vetëm nëpunësit e Drejtorisë së Përgjithshme të Tatimeve.</w:t>
            </w:r>
          </w:p>
          <w:p w14:paraId="45D88DAC" w14:textId="77777777" w:rsidR="00314559" w:rsidRPr="003B7DC9" w:rsidRDefault="00314559" w:rsidP="00314559">
            <w:pPr>
              <w:numPr>
                <w:ilvl w:val="0"/>
                <w:numId w:val="125"/>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hAnsi="Times New Roman" w:cs="Times New Roman"/>
                <w:sz w:val="18"/>
                <w:szCs w:val="18"/>
              </w:rPr>
              <w:t xml:space="preserve">Autoritetet pjesëmarrëse bëjnë përpjekje për të rënë dakord mbi faktet dhe rrethanat përkatëse të auditimit të përbashkët dhe, bazuar në rezultatet e auditimit, për të arritur një marrëveshje mbi pozicionin tatimor të personit ose personave të audituar. Gjetjet e auditimit të përbashkët përfshihen në raportin përfundimtar. Çështjet për të cilat autoritetet pjesëmarrëse bien dakord pasqyrohen në raportin përfundimtar dhe merren parasysh në </w:t>
            </w:r>
            <w:r w:rsidRPr="003B7DC9">
              <w:rPr>
                <w:rFonts w:ascii="Times New Roman" w:hAnsi="Times New Roman" w:cs="Times New Roman"/>
                <w:sz w:val="18"/>
                <w:szCs w:val="18"/>
              </w:rPr>
              <w:lastRenderedPageBreak/>
              <w:t>aktet përkatëse të nxjerra nga autoritetet kompetente pjesëmarrëse pas përfundimit të auditimit të përbashkët.</w:t>
            </w:r>
          </w:p>
          <w:p w14:paraId="1FBFC791" w14:textId="77777777" w:rsidR="00314559" w:rsidRPr="003B7DC9" w:rsidRDefault="00314559" w:rsidP="00314559">
            <w:pPr>
              <w:numPr>
                <w:ilvl w:val="0"/>
                <w:numId w:val="125"/>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Çdo veprim i mëtejshëm i Drejtorisë së Përgjithshme të Tatimeve pas auditimit të përbashkët, përfshirë vendimet tatimore dhe procedurat e ankimit, kryhet në përputhje me legjislacionin e Republikës së Shqipërisë. </w:t>
            </w:r>
          </w:p>
          <w:p w14:paraId="1B57D57A" w14:textId="77777777" w:rsidR="00314559" w:rsidRPr="003B7DC9" w:rsidRDefault="00314559" w:rsidP="00314559">
            <w:pPr>
              <w:numPr>
                <w:ilvl w:val="0"/>
                <w:numId w:val="125"/>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Personat e audituar duhet të informohen për rezultatin e auditimit dhe të marrin një kopje të raportit përfundimtar </w:t>
            </w:r>
            <w:r w:rsidRPr="003B7DC9">
              <w:rPr>
                <w:rFonts w:ascii="Times New Roman" w:hAnsi="Times New Roman" w:cs="Times New Roman"/>
                <w:sz w:val="18"/>
                <w:szCs w:val="18"/>
              </w:rPr>
              <w:t>brenda 60 ditëve nga data e nxjerrjes së raportit përfundimtar.</w:t>
            </w:r>
          </w:p>
          <w:p w14:paraId="13A56DF5" w14:textId="77777777" w:rsidR="00314559" w:rsidRPr="003B7DC9" w:rsidRDefault="00314559" w:rsidP="00314559">
            <w:pPr>
              <w:numPr>
                <w:ilvl w:val="0"/>
                <w:numId w:val="125"/>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Kontrollet e njëkohshme dhe auditimet e përbashkëta kryhen sipas rregullave teknike të përcaktuara në vendimin e Këshillit të Ministrave, </w:t>
            </w:r>
            <w:r w:rsidRPr="003B7DC9">
              <w:rPr>
                <w:rFonts w:ascii="Times New Roman" w:eastAsia="Times New Roman" w:hAnsi="Times New Roman" w:cs="Times New Roman"/>
                <w:sz w:val="18"/>
                <w:szCs w:val="18"/>
                <w:lang w:val="sq-AL"/>
              </w:rPr>
              <w:t>në përputhje me rregullimet praktike dhe standardet e zbatueshme të Bashkimit Evropian.</w:t>
            </w:r>
          </w:p>
          <w:p w14:paraId="49A8D63F" w14:textId="77777777" w:rsidR="00314559" w:rsidRPr="003B7DC9" w:rsidRDefault="00314559" w:rsidP="00314559">
            <w:pPr>
              <w:spacing w:after="200" w:line="276" w:lineRule="auto"/>
              <w:jc w:val="both"/>
              <w:rPr>
                <w:rFonts w:ascii="Times New Roman" w:eastAsia="Times New Roman" w:hAnsi="Times New Roman" w:cs="Times New Roman"/>
                <w:sz w:val="18"/>
                <w:szCs w:val="18"/>
              </w:rPr>
            </w:pPr>
          </w:p>
          <w:p w14:paraId="3486BF7E" w14:textId="2DB8D464" w:rsidR="00314559" w:rsidRPr="003B7DC9" w:rsidRDefault="00314559" w:rsidP="00314559">
            <w:pPr>
              <w:spacing w:after="200" w:line="276" w:lineRule="auto"/>
              <w:jc w:val="both"/>
              <w:rPr>
                <w:rFonts w:ascii="Times New Roman" w:eastAsia="Calibri" w:hAnsi="Times New Roman" w:cs="Times New Roman"/>
                <w:sz w:val="18"/>
                <w:szCs w:val="18"/>
                <w:lang w:val="en-US"/>
              </w:rPr>
            </w:pPr>
          </w:p>
        </w:tc>
        <w:tc>
          <w:tcPr>
            <w:tcW w:w="1066" w:type="dxa"/>
            <w:tcBorders>
              <w:bottom w:val="dashed" w:sz="4" w:space="0" w:color="auto"/>
            </w:tcBorders>
          </w:tcPr>
          <w:p w14:paraId="306D02AA" w14:textId="316F4C39"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tcBorders>
              <w:bottom w:val="dashed" w:sz="4" w:space="0" w:color="auto"/>
            </w:tcBorders>
          </w:tcPr>
          <w:p w14:paraId="610C0EF2" w14:textId="5CF6EFCB" w:rsidR="00314559" w:rsidRPr="003B7DC9" w:rsidRDefault="00314559" w:rsidP="00314559">
            <w:pPr>
              <w:rPr>
                <w:rFonts w:ascii="Times New Roman" w:eastAsia="Calibri" w:hAnsi="Times New Roman" w:cs="Times New Roman"/>
                <w:sz w:val="18"/>
                <w:szCs w:val="18"/>
                <w:lang w:val="en-US"/>
              </w:rPr>
            </w:pPr>
          </w:p>
        </w:tc>
      </w:tr>
      <w:tr w:rsidR="00314559" w:rsidRPr="003B7DC9" w14:paraId="7FD458B8" w14:textId="77777777" w:rsidTr="00B75638">
        <w:trPr>
          <w:trHeight w:val="1875"/>
        </w:trPr>
        <w:tc>
          <w:tcPr>
            <w:tcW w:w="630" w:type="dxa"/>
          </w:tcPr>
          <w:p w14:paraId="249F3125" w14:textId="77777777" w:rsidR="00314559" w:rsidRPr="003B7DC9" w:rsidRDefault="00314559" w:rsidP="00314559">
            <w:pPr>
              <w:jc w:val="both"/>
              <w:rPr>
                <w:rFonts w:ascii="Times New Roman" w:eastAsia="Calibri" w:hAnsi="Times New Roman" w:cs="Times New Roman"/>
                <w:sz w:val="18"/>
                <w:szCs w:val="18"/>
              </w:rPr>
            </w:pPr>
          </w:p>
        </w:tc>
        <w:tc>
          <w:tcPr>
            <w:tcW w:w="5220" w:type="dxa"/>
          </w:tcPr>
          <w:p w14:paraId="222DE7CC" w14:textId="77777777" w:rsidR="00314559" w:rsidRPr="003B7DC9" w:rsidRDefault="00314559" w:rsidP="00314559">
            <w:pPr>
              <w:widowControl w:val="0"/>
              <w:pBdr>
                <w:top w:val="nil"/>
                <w:left w:val="nil"/>
                <w:bottom w:val="nil"/>
                <w:right w:val="nil"/>
                <w:between w:val="nil"/>
              </w:pBdr>
              <w:spacing w:before="120" w:line="276" w:lineRule="auto"/>
              <w:rPr>
                <w:rFonts w:ascii="Times New Roman" w:eastAsia="Times New Roman" w:hAnsi="Times New Roman" w:cs="Times New Roman"/>
                <w:b/>
                <w:bCs/>
                <w:iCs/>
                <w:sz w:val="18"/>
                <w:szCs w:val="18"/>
                <w:lang w:val="en-US"/>
              </w:rPr>
            </w:pPr>
            <w:r w:rsidRPr="003B7DC9">
              <w:rPr>
                <w:rFonts w:ascii="Times New Roman" w:eastAsia="Times New Roman" w:hAnsi="Times New Roman" w:cs="Times New Roman"/>
                <w:b/>
                <w:bCs/>
                <w:iCs/>
                <w:sz w:val="18"/>
                <w:szCs w:val="18"/>
                <w:lang w:val="en-US"/>
              </w:rPr>
              <w:t>SEKSIONI IIa</w:t>
            </w:r>
          </w:p>
          <w:p w14:paraId="5622389A" w14:textId="77777777" w:rsidR="00314559" w:rsidRPr="003B7DC9" w:rsidRDefault="00314559" w:rsidP="00314559">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US"/>
              </w:rPr>
            </w:pPr>
            <w:r w:rsidRPr="003B7DC9">
              <w:rPr>
                <w:rFonts w:ascii="Times New Roman" w:eastAsia="Times New Roman" w:hAnsi="Times New Roman" w:cs="Times New Roman"/>
                <w:b/>
                <w:bCs/>
                <w:iCs/>
                <w:sz w:val="18"/>
                <w:szCs w:val="18"/>
                <w:lang w:val="en-US"/>
              </w:rPr>
              <w:t>Auditimet e përbashkëta</w:t>
            </w:r>
          </w:p>
          <w:p w14:paraId="79E24E53" w14:textId="77777777" w:rsidR="00314559" w:rsidRPr="003B7DC9" w:rsidRDefault="00314559" w:rsidP="00314559">
            <w:pPr>
              <w:widowControl w:val="0"/>
              <w:pBdr>
                <w:top w:val="nil"/>
                <w:left w:val="nil"/>
                <w:bottom w:val="nil"/>
                <w:right w:val="nil"/>
                <w:between w:val="nil"/>
              </w:pBdr>
              <w:spacing w:before="120" w:line="276" w:lineRule="auto"/>
              <w:rPr>
                <w:rFonts w:ascii="Times New Roman" w:eastAsia="Times New Roman" w:hAnsi="Times New Roman" w:cs="Times New Roman"/>
                <w:b/>
                <w:bCs/>
                <w:iCs/>
                <w:sz w:val="18"/>
                <w:szCs w:val="18"/>
                <w:lang w:val="en-US"/>
              </w:rPr>
            </w:pPr>
            <w:r w:rsidRPr="003B7DC9">
              <w:rPr>
                <w:rFonts w:ascii="Times New Roman" w:eastAsia="Times New Roman" w:hAnsi="Times New Roman" w:cs="Times New Roman"/>
                <w:b/>
                <w:bCs/>
                <w:iCs/>
                <w:sz w:val="18"/>
                <w:szCs w:val="18"/>
                <w:lang w:val="en-US"/>
              </w:rPr>
              <w:t>Neni 12a</w:t>
            </w:r>
          </w:p>
          <w:p w14:paraId="79E3B2F2" w14:textId="77777777" w:rsidR="00314559" w:rsidRPr="003B7DC9" w:rsidRDefault="00314559" w:rsidP="00314559">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US"/>
              </w:rPr>
            </w:pPr>
            <w:r w:rsidRPr="003B7DC9">
              <w:rPr>
                <w:rFonts w:ascii="Times New Roman" w:eastAsia="Times New Roman" w:hAnsi="Times New Roman" w:cs="Times New Roman"/>
                <w:b/>
                <w:bCs/>
                <w:iCs/>
                <w:sz w:val="18"/>
                <w:szCs w:val="18"/>
                <w:lang w:val="en-US"/>
              </w:rPr>
              <w:t>Auditimet e përbashkëta</w:t>
            </w:r>
          </w:p>
          <w:p w14:paraId="2F54E43A" w14:textId="77777777" w:rsidR="00314559" w:rsidRPr="003B7DC9" w:rsidRDefault="00314559" w:rsidP="00314559">
            <w:pPr>
              <w:widowControl w:val="0"/>
              <w:numPr>
                <w:ilvl w:val="0"/>
                <w:numId w:val="54"/>
              </w:numPr>
              <w:pBdr>
                <w:top w:val="nil"/>
                <w:left w:val="nil"/>
                <w:bottom w:val="nil"/>
                <w:right w:val="nil"/>
                <w:between w:val="nil"/>
              </w:pBdr>
              <w:spacing w:before="120" w:line="276" w:lineRule="auto"/>
              <w:rPr>
                <w:rFonts w:ascii="Times New Roman" w:eastAsia="Times New Roman" w:hAnsi="Times New Roman" w:cs="Times New Roman"/>
                <w:iCs/>
                <w:sz w:val="18"/>
                <w:szCs w:val="18"/>
                <w:lang w:val="en-US"/>
              </w:rPr>
            </w:pPr>
            <w:r w:rsidRPr="003B7DC9">
              <w:rPr>
                <w:rFonts w:ascii="Times New Roman" w:eastAsia="Times New Roman" w:hAnsi="Times New Roman" w:cs="Times New Roman"/>
                <w:iCs/>
                <w:sz w:val="18"/>
                <w:szCs w:val="18"/>
                <w:lang w:val="en-US"/>
              </w:rPr>
              <w:t xml:space="preserve">Autoriteti kompetent i një ose më shumë shteteve anëtare mund t’i kërkojë autoritetit kompetent të një shteti tjetër anëtar (ose shteteve të tjera anëtare) të kryejë një auditim të përbashkët. Autoritetet kompetente të kërkuara i përgjigjen kërkesës për një auditim të përbashkët brenda </w:t>
            </w:r>
            <w:r w:rsidRPr="003B7DC9">
              <w:rPr>
                <w:rFonts w:ascii="Times New Roman" w:eastAsia="Times New Roman" w:hAnsi="Times New Roman" w:cs="Times New Roman"/>
                <w:iCs/>
                <w:sz w:val="18"/>
                <w:szCs w:val="18"/>
                <w:lang w:val="en-US"/>
              </w:rPr>
              <w:lastRenderedPageBreak/>
              <w:t>60 ditëve nga marrja e kërkesës. Autoritetet kompetente të kërkuara mund të refuzojnë një kërkesë për auditim të përbashkët nga autoriteti kompetent i një shteti anëtar mbi baza të justifikuara.</w:t>
            </w:r>
          </w:p>
          <w:p w14:paraId="66C457B7" w14:textId="77777777" w:rsidR="00314559" w:rsidRPr="003B7DC9" w:rsidRDefault="00314559" w:rsidP="00314559">
            <w:pPr>
              <w:widowControl w:val="0"/>
              <w:numPr>
                <w:ilvl w:val="0"/>
                <w:numId w:val="54"/>
              </w:numPr>
              <w:pBdr>
                <w:top w:val="nil"/>
                <w:left w:val="nil"/>
                <w:bottom w:val="nil"/>
                <w:right w:val="nil"/>
                <w:between w:val="nil"/>
              </w:pBdr>
              <w:spacing w:before="120" w:line="276" w:lineRule="auto"/>
              <w:rPr>
                <w:rFonts w:ascii="Times New Roman" w:eastAsia="Times New Roman" w:hAnsi="Times New Roman" w:cs="Times New Roman"/>
                <w:iCs/>
                <w:sz w:val="18"/>
                <w:szCs w:val="18"/>
                <w:lang w:val="en-US"/>
              </w:rPr>
            </w:pPr>
            <w:r w:rsidRPr="003B7DC9">
              <w:rPr>
                <w:rFonts w:ascii="Times New Roman" w:eastAsia="Times New Roman" w:hAnsi="Times New Roman" w:cs="Times New Roman"/>
                <w:iCs/>
                <w:sz w:val="18"/>
                <w:szCs w:val="18"/>
                <w:lang w:val="en-US"/>
              </w:rPr>
              <w:t>Auditimet e përbashkëta kryhen në një mënyrë të dakordësuar paraprakisht dhe të koordinuar, duke përfshirë rregullimet gjuhësore, nga autoritetet kompetente të shteteve anëtare kërkuese dhe të kërkuara, dhe në përputhje me ligjet dhe kërkesat procedurale të shtetit anëtar ku zhvillohen aktivitetet e auditimit të përbashkët. Në çdo shtet anëtar ku zhvillohen aktivitetet e një auditimi të përbashkët, autoriteti kompetent i atij shteti anëtar cakton një përfaqësues me përgjegjësi për mbikëqyrjen dhe koordinimin e auditimit të përbashkët në atë shtet anëtar.</w:t>
            </w:r>
          </w:p>
          <w:p w14:paraId="1565EEBC" w14:textId="77777777" w:rsidR="00314559" w:rsidRPr="003B7DC9" w:rsidRDefault="00314559" w:rsidP="00314559">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US"/>
              </w:rPr>
            </w:pPr>
            <w:r w:rsidRPr="003B7DC9">
              <w:rPr>
                <w:rFonts w:ascii="Times New Roman" w:eastAsia="Times New Roman" w:hAnsi="Times New Roman" w:cs="Times New Roman"/>
                <w:iCs/>
                <w:sz w:val="18"/>
                <w:szCs w:val="18"/>
                <w:lang w:val="en-US"/>
              </w:rPr>
              <w:t>Të drejtat dhe detyrimet e nëpunësve të shteteve anëtare që marrin pjesë në auditimin e përbashkët, kur ata janë të pranishëm në aktivitete të kryera në një shtet tjetër anëtar, përcaktohen në përputhje me ligjet e shtetit anëtar ku zhvillohen aktivitetet e auditimit të përbashkët. Duke respektuar ligjet e shtetit anëtar ku zhvillohen aktivitetet e auditimit të përbashkët, nëpunësit e një shteti tjetër anëtar nuk ushtrojnë asnjë kompetencë që do të tejkalonte fushën e kompetencave që u janë dhënë sipas ligjeve të shtetit të tyre anëtar.</w:t>
            </w:r>
          </w:p>
          <w:p w14:paraId="02846151" w14:textId="77777777" w:rsidR="00314559" w:rsidRPr="003B7DC9" w:rsidRDefault="00314559" w:rsidP="00314559">
            <w:pPr>
              <w:widowControl w:val="0"/>
              <w:numPr>
                <w:ilvl w:val="0"/>
                <w:numId w:val="55"/>
              </w:numPr>
              <w:pBdr>
                <w:top w:val="nil"/>
                <w:left w:val="nil"/>
                <w:bottom w:val="nil"/>
                <w:right w:val="nil"/>
                <w:between w:val="nil"/>
              </w:pBdr>
              <w:spacing w:before="120" w:line="276" w:lineRule="auto"/>
              <w:rPr>
                <w:rFonts w:ascii="Times New Roman" w:eastAsia="Times New Roman" w:hAnsi="Times New Roman" w:cs="Times New Roman"/>
                <w:iCs/>
                <w:sz w:val="18"/>
                <w:szCs w:val="18"/>
                <w:lang w:val="en-US"/>
              </w:rPr>
            </w:pPr>
            <w:r w:rsidRPr="003B7DC9">
              <w:rPr>
                <w:rFonts w:ascii="Times New Roman" w:eastAsia="Times New Roman" w:hAnsi="Times New Roman" w:cs="Times New Roman"/>
                <w:iCs/>
                <w:sz w:val="18"/>
                <w:szCs w:val="18"/>
                <w:lang w:val="en-US"/>
              </w:rPr>
              <w:t>Pa cenuar pikën 2, një shtet anëtar ku zhvillohen aktivitetet e auditimit të përbashkët merr masat e nevojshme për të:</w:t>
            </w:r>
          </w:p>
          <w:p w14:paraId="2B960AB0" w14:textId="77777777" w:rsidR="00314559" w:rsidRPr="003B7DC9" w:rsidRDefault="00314559" w:rsidP="00314559">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US"/>
              </w:rPr>
            </w:pPr>
            <w:r w:rsidRPr="003B7DC9">
              <w:rPr>
                <w:rFonts w:ascii="Times New Roman" w:eastAsia="Times New Roman" w:hAnsi="Times New Roman" w:cs="Times New Roman"/>
                <w:iCs/>
                <w:sz w:val="18"/>
                <w:szCs w:val="18"/>
                <w:lang w:val="en-US"/>
              </w:rPr>
              <w:t>(a) lejuar që nëpunësit e shteteve të tjera anëtare që marrin pjesë në aktivitetet e auditimit të përbashkët të intervistojnë individë dhe të shqyrtojnë regjistra së bashku me nëpunësit e shtetit anëtar ku zhvillohen aktivitetet e auditimit të përbashkët, në përputhje me rregullimet procedurale të përcaktuara nga shteti anëtar ku zhvillohen këto aktivitete;</w:t>
            </w:r>
          </w:p>
          <w:p w14:paraId="3624C680" w14:textId="77777777" w:rsidR="00314559" w:rsidRPr="003B7DC9" w:rsidRDefault="00314559" w:rsidP="00314559">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US"/>
              </w:rPr>
            </w:pPr>
            <w:r w:rsidRPr="003B7DC9">
              <w:rPr>
                <w:rFonts w:ascii="Times New Roman" w:eastAsia="Times New Roman" w:hAnsi="Times New Roman" w:cs="Times New Roman"/>
                <w:iCs/>
                <w:sz w:val="18"/>
                <w:szCs w:val="18"/>
                <w:lang w:val="en-US"/>
              </w:rPr>
              <w:t xml:space="preserve">(b) siguruar që provat e mbledhura gjatë aktiviteteve të auditimit të </w:t>
            </w:r>
            <w:r w:rsidRPr="003B7DC9">
              <w:rPr>
                <w:rFonts w:ascii="Times New Roman" w:eastAsia="Times New Roman" w:hAnsi="Times New Roman" w:cs="Times New Roman"/>
                <w:iCs/>
                <w:sz w:val="18"/>
                <w:szCs w:val="18"/>
                <w:lang w:val="en-US"/>
              </w:rPr>
              <w:lastRenderedPageBreak/>
              <w:t>përbashkët mund të vlerësohen, përfshirë pranueshmërinë e tyre, në të njëjtat kushte juridike si në rastin e një auditimi të kryer në atë shtet anëtar ku marrin pjesë vetëm nëpunësit e atij shteti anëtar, përfshirë gjatë çdo procesi ankimi, rishikimi ose apelimi; dhe</w:t>
            </w:r>
          </w:p>
          <w:p w14:paraId="3BDFEEB2" w14:textId="77777777" w:rsidR="00314559" w:rsidRPr="003B7DC9" w:rsidRDefault="00314559" w:rsidP="00314559">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US"/>
              </w:rPr>
            </w:pPr>
            <w:r w:rsidRPr="003B7DC9">
              <w:rPr>
                <w:rFonts w:ascii="Times New Roman" w:eastAsia="Times New Roman" w:hAnsi="Times New Roman" w:cs="Times New Roman"/>
                <w:iCs/>
                <w:sz w:val="18"/>
                <w:szCs w:val="18"/>
                <w:lang w:val="en-US"/>
              </w:rPr>
              <w:t>(c) siguruar që personi(</w:t>
            </w:r>
            <w:r w:rsidRPr="003B7DC9">
              <w:rPr>
                <w:rFonts w:ascii="Times New Roman" w:eastAsia="Times New Roman" w:hAnsi="Times New Roman" w:cs="Times New Roman"/>
                <w:iCs/>
                <w:sz w:val="18"/>
                <w:szCs w:val="18"/>
                <w:lang w:val="en-US"/>
              </w:rPr>
              <w:noBreakHyphen/>
              <w:t>at) që janë subjekt i një auditimi të përbashkët ose të prekur prej tij gëzojnë të njëjtat të drejta dhe kanë të njëjtat detyrime si në rastin e një auditimi ku marrin pjesë vetëm nëpunësit e atij shteti anëtar, përfshirë gjatë çdo procesi ankimi, rishikimi ose apelimi.</w:t>
            </w:r>
          </w:p>
          <w:p w14:paraId="18D50679" w14:textId="77777777" w:rsidR="00314559" w:rsidRPr="003B7DC9" w:rsidRDefault="00314559" w:rsidP="00314559">
            <w:pPr>
              <w:widowControl w:val="0"/>
              <w:numPr>
                <w:ilvl w:val="0"/>
                <w:numId w:val="56"/>
              </w:numPr>
              <w:pBdr>
                <w:top w:val="nil"/>
                <w:left w:val="nil"/>
                <w:bottom w:val="nil"/>
                <w:right w:val="nil"/>
                <w:between w:val="nil"/>
              </w:pBdr>
              <w:spacing w:before="120" w:line="276" w:lineRule="auto"/>
              <w:rPr>
                <w:rFonts w:ascii="Times New Roman" w:eastAsia="Times New Roman" w:hAnsi="Times New Roman" w:cs="Times New Roman"/>
                <w:iCs/>
                <w:sz w:val="18"/>
                <w:szCs w:val="18"/>
                <w:lang w:val="en-US"/>
              </w:rPr>
            </w:pPr>
            <w:r w:rsidRPr="003B7DC9">
              <w:rPr>
                <w:rFonts w:ascii="Times New Roman" w:eastAsia="Times New Roman" w:hAnsi="Times New Roman" w:cs="Times New Roman"/>
                <w:iCs/>
                <w:sz w:val="18"/>
                <w:szCs w:val="18"/>
                <w:lang w:val="en-US"/>
              </w:rPr>
              <w:t>Kur autoritetet kompetente të dy ose më shumë shteteve anëtare kryejnë një auditim të përbashkët, ato përpiqen të bien dakord mbi faktet dhe rrethanat përkatëse për auditimin e përbashkët dhe përpiqen të arrijnë një marrëveshje mbi pozicionin tatimor të personit(</w:t>
            </w:r>
            <w:r w:rsidRPr="003B7DC9">
              <w:rPr>
                <w:rFonts w:ascii="Times New Roman" w:eastAsia="Times New Roman" w:hAnsi="Times New Roman" w:cs="Times New Roman"/>
                <w:iCs/>
                <w:sz w:val="18"/>
                <w:szCs w:val="18"/>
                <w:lang w:val="en-US"/>
              </w:rPr>
              <w:noBreakHyphen/>
              <w:t>ave) të audituar bazuar në rezultatet e auditimit të përbashkët. Gjetjet e auditimit të përbashkët përfshihen në një raport përfundimtar. Çështjet mbi të cilat autoritetet kompetente bien dakord pasqyrohen në raportin përfundimtar dhe merren në konsideratë në instrumentet përkatëse të nxjerra nga autoritetet kompetente të shteteve anëtare pjesëmarrëse pas këtij auditimi të përbashkët.</w:t>
            </w:r>
          </w:p>
          <w:p w14:paraId="3F660156" w14:textId="77777777" w:rsidR="00314559" w:rsidRPr="003B7DC9" w:rsidRDefault="00314559" w:rsidP="00314559">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US"/>
              </w:rPr>
            </w:pPr>
            <w:r w:rsidRPr="003B7DC9">
              <w:rPr>
                <w:rFonts w:ascii="Times New Roman" w:eastAsia="Times New Roman" w:hAnsi="Times New Roman" w:cs="Times New Roman"/>
                <w:iCs/>
                <w:sz w:val="18"/>
                <w:szCs w:val="18"/>
                <w:lang w:val="en-US"/>
              </w:rPr>
              <w:t>Duke iu nënshtruar nënparagrafit të parë, veprimet e ndërmarra nga autoritetet kompetente të një shteti anëtar ose nga ndonjë prej nëpunësve të tij pas një auditimi të përbashkët dhe çdo proces i mëtejshëm që zhvillohet në atë shtet anëtar, si një vendim i autoriteteve tatimore, proces ankimi ose marrëveshje lidhur me to, zhvillohen në përputhje me ligjin kombëtar të atij shteti anëtar.</w:t>
            </w:r>
          </w:p>
          <w:p w14:paraId="474E0E9E" w14:textId="77777777" w:rsidR="00314559" w:rsidRPr="003B7DC9" w:rsidRDefault="00314559" w:rsidP="00314559">
            <w:pPr>
              <w:widowControl w:val="0"/>
              <w:numPr>
                <w:ilvl w:val="0"/>
                <w:numId w:val="57"/>
              </w:numPr>
              <w:pBdr>
                <w:top w:val="nil"/>
                <w:left w:val="nil"/>
                <w:bottom w:val="nil"/>
                <w:right w:val="nil"/>
                <w:between w:val="nil"/>
              </w:pBdr>
              <w:spacing w:before="120" w:line="276" w:lineRule="auto"/>
              <w:rPr>
                <w:rFonts w:ascii="Times New Roman" w:eastAsia="Times New Roman" w:hAnsi="Times New Roman" w:cs="Times New Roman"/>
                <w:iCs/>
                <w:sz w:val="18"/>
                <w:szCs w:val="18"/>
                <w:lang w:val="en-US"/>
              </w:rPr>
            </w:pPr>
            <w:r w:rsidRPr="003B7DC9">
              <w:rPr>
                <w:rFonts w:ascii="Times New Roman" w:eastAsia="Times New Roman" w:hAnsi="Times New Roman" w:cs="Times New Roman"/>
                <w:iCs/>
                <w:sz w:val="18"/>
                <w:szCs w:val="18"/>
                <w:lang w:val="en-US"/>
              </w:rPr>
              <w:t>Personi(</w:t>
            </w:r>
            <w:r w:rsidRPr="003B7DC9">
              <w:rPr>
                <w:rFonts w:ascii="Times New Roman" w:eastAsia="Times New Roman" w:hAnsi="Times New Roman" w:cs="Times New Roman"/>
                <w:iCs/>
                <w:sz w:val="18"/>
                <w:szCs w:val="18"/>
                <w:lang w:val="en-US"/>
              </w:rPr>
              <w:noBreakHyphen/>
              <w:t>at) i audituar informohet për rezultatin e auditimit të përbashkët, duke përfshirë një kopje të raportit përfundimtar, brenda 60 ditëve nga nxjerrja e raportit përfundimtar.</w:t>
            </w:r>
          </w:p>
          <w:p w14:paraId="0A2D21E0" w14:textId="62A883C7" w:rsidR="00314559" w:rsidRPr="003B7DC9" w:rsidRDefault="00314559" w:rsidP="00314559">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p>
        </w:tc>
        <w:tc>
          <w:tcPr>
            <w:tcW w:w="1170" w:type="dxa"/>
          </w:tcPr>
          <w:p w14:paraId="00794228" w14:textId="444DAABB"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tcPr>
          <w:p w14:paraId="46EB995A" w14:textId="1F38E7CC"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Neni 19</w:t>
            </w:r>
          </w:p>
        </w:tc>
        <w:tc>
          <w:tcPr>
            <w:tcW w:w="4334" w:type="dxa"/>
            <w:tcBorders>
              <w:bottom w:val="dashed" w:sz="4" w:space="0" w:color="auto"/>
            </w:tcBorders>
          </w:tcPr>
          <w:p w14:paraId="2AF91E32" w14:textId="77777777" w:rsidR="00314559" w:rsidRPr="003B7DC9" w:rsidRDefault="00314559" w:rsidP="00314559">
            <w:pPr>
              <w:spacing w:line="276" w:lineRule="auto"/>
              <w:jc w:val="both"/>
              <w:rPr>
                <w:rFonts w:ascii="Times New Roman" w:eastAsia="Times New Roman" w:hAnsi="Times New Roman" w:cs="Times New Roman"/>
                <w:sz w:val="18"/>
                <w:szCs w:val="18"/>
                <w:lang w:eastAsia="sq-AL"/>
              </w:rPr>
            </w:pPr>
          </w:p>
          <w:p w14:paraId="06070DF4" w14:textId="77777777" w:rsidR="00314559" w:rsidRPr="003B7DC9" w:rsidRDefault="00314559" w:rsidP="00314559">
            <w:pPr>
              <w:spacing w:before="100" w:beforeAutospacing="1" w:after="100" w:afterAutospacing="1"/>
              <w:jc w:val="center"/>
              <w:rPr>
                <w:rFonts w:ascii="Times New Roman" w:eastAsia="Times New Roman" w:hAnsi="Times New Roman" w:cs="Times New Roman"/>
                <w:b/>
                <w:bCs/>
                <w:color w:val="000000" w:themeColor="text1"/>
                <w:sz w:val="18"/>
                <w:szCs w:val="18"/>
                <w:lang w:val="en-US"/>
              </w:rPr>
            </w:pPr>
            <w:r w:rsidRPr="003B7DC9">
              <w:rPr>
                <w:rFonts w:ascii="Times New Roman" w:eastAsia="Times New Roman" w:hAnsi="Times New Roman" w:cs="Times New Roman"/>
                <w:b/>
                <w:bCs/>
                <w:color w:val="000000" w:themeColor="text1"/>
                <w:sz w:val="18"/>
                <w:szCs w:val="18"/>
                <w:lang w:val="en-US"/>
              </w:rPr>
              <w:t>Neni 19</w:t>
            </w:r>
          </w:p>
          <w:p w14:paraId="57AF0E20" w14:textId="77777777" w:rsidR="00314559" w:rsidRPr="003B7DC9" w:rsidRDefault="00314559" w:rsidP="00314559">
            <w:pPr>
              <w:spacing w:before="100" w:beforeAutospacing="1" w:after="100" w:afterAutospacing="1"/>
              <w:jc w:val="center"/>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
                <w:bCs/>
                <w:color w:val="000000" w:themeColor="text1"/>
                <w:sz w:val="18"/>
                <w:szCs w:val="18"/>
                <w:lang w:val="en-US"/>
              </w:rPr>
              <w:t>Kontrollet e njëkohshme dhe auditimet e përbashkëta</w:t>
            </w:r>
          </w:p>
          <w:p w14:paraId="71BDBC36" w14:textId="77777777" w:rsidR="00314559" w:rsidRPr="003B7DC9" w:rsidRDefault="00314559" w:rsidP="00314559">
            <w:pPr>
              <w:pStyle w:val="ListParagraph"/>
              <w:numPr>
                <w:ilvl w:val="0"/>
                <w:numId w:val="126"/>
              </w:numPr>
              <w:jc w:val="both"/>
              <w:rPr>
                <w:rFonts w:ascii="Times New Roman" w:hAnsi="Times New Roman" w:cs="Times New Roman"/>
                <w:sz w:val="18"/>
                <w:szCs w:val="18"/>
              </w:rPr>
            </w:pPr>
            <w:r w:rsidRPr="003B7DC9">
              <w:rPr>
                <w:rFonts w:ascii="Times New Roman" w:hAnsi="Times New Roman" w:cs="Times New Roman"/>
                <w:sz w:val="18"/>
                <w:szCs w:val="18"/>
              </w:rPr>
              <w:t xml:space="preserve">Kur Drejtoria e Përgjithshme e Tatimeve dhe autoritetet kompetente të një ose më shumë shteteve anëtare bien dakord të kryejnë kontrolle të njëkohshme në territoret e tyre për një ose më shumë persona që paraqesin interes </w:t>
            </w:r>
            <w:r w:rsidRPr="003B7DC9">
              <w:rPr>
                <w:rFonts w:ascii="Times New Roman" w:hAnsi="Times New Roman" w:cs="Times New Roman"/>
                <w:sz w:val="18"/>
                <w:szCs w:val="18"/>
              </w:rPr>
              <w:lastRenderedPageBreak/>
              <w:t>të përbashkët ose plotësues, me qëllim shkëmbimin e informacionit të siguruar në këtë mënyrë, zbatohen rregullat e mëposhtme:</w:t>
            </w:r>
          </w:p>
          <w:p w14:paraId="16EA549D" w14:textId="77777777" w:rsidR="00314559" w:rsidRPr="003B7DC9" w:rsidRDefault="00314559" w:rsidP="00314559">
            <w:pPr>
              <w:pStyle w:val="ListParagraph"/>
              <w:jc w:val="both"/>
              <w:rPr>
                <w:rFonts w:ascii="Times New Roman" w:hAnsi="Times New Roman" w:cs="Times New Roman"/>
                <w:sz w:val="18"/>
                <w:szCs w:val="18"/>
              </w:rPr>
            </w:pPr>
          </w:p>
          <w:p w14:paraId="36BCBB37" w14:textId="77777777" w:rsidR="00314559" w:rsidRPr="003B7DC9" w:rsidRDefault="00314559" w:rsidP="00314559">
            <w:pPr>
              <w:pStyle w:val="ListParagraph"/>
              <w:jc w:val="both"/>
              <w:rPr>
                <w:rFonts w:ascii="Times New Roman" w:hAnsi="Times New Roman" w:cs="Times New Roman"/>
                <w:sz w:val="18"/>
                <w:szCs w:val="18"/>
              </w:rPr>
            </w:pPr>
            <w:r w:rsidRPr="003B7DC9">
              <w:rPr>
                <w:rFonts w:ascii="Times New Roman" w:hAnsi="Times New Roman" w:cs="Times New Roman"/>
                <w:sz w:val="18"/>
                <w:szCs w:val="18"/>
              </w:rPr>
              <w:t>a) Drejtoria e Përgjithshme e Tatimeve identifikon personat për të cilët propozon kryerjen e një kontrolli të njëkohshëm;</w:t>
            </w:r>
          </w:p>
          <w:p w14:paraId="0166FEF5" w14:textId="77777777" w:rsidR="00314559" w:rsidRPr="003B7DC9" w:rsidRDefault="00314559" w:rsidP="00314559">
            <w:pPr>
              <w:pStyle w:val="ListParagraph"/>
              <w:jc w:val="both"/>
              <w:rPr>
                <w:rFonts w:ascii="Times New Roman" w:hAnsi="Times New Roman" w:cs="Times New Roman"/>
                <w:sz w:val="18"/>
                <w:szCs w:val="18"/>
              </w:rPr>
            </w:pPr>
            <w:r w:rsidRPr="003B7DC9">
              <w:rPr>
                <w:rFonts w:ascii="Times New Roman" w:hAnsi="Times New Roman" w:cs="Times New Roman"/>
                <w:sz w:val="18"/>
                <w:szCs w:val="18"/>
              </w:rPr>
              <w:t>b) Drejtoria e Përgjithshme e Tatimeve njofton autoritetet kompetente të shteteve të tjera anëtare të interesuara për kontrollin e propozuar, arsyet dhe periudhën e tij;</w:t>
            </w:r>
          </w:p>
          <w:p w14:paraId="674FA58A" w14:textId="77777777" w:rsidR="00314559" w:rsidRPr="003B7DC9" w:rsidRDefault="00314559" w:rsidP="00314559">
            <w:pPr>
              <w:pStyle w:val="ListParagraph"/>
              <w:jc w:val="both"/>
              <w:rPr>
                <w:rFonts w:ascii="Times New Roman" w:hAnsi="Times New Roman" w:cs="Times New Roman"/>
                <w:sz w:val="18"/>
                <w:szCs w:val="18"/>
              </w:rPr>
            </w:pPr>
            <w:r w:rsidRPr="003B7DC9">
              <w:rPr>
                <w:rFonts w:ascii="Times New Roman" w:hAnsi="Times New Roman" w:cs="Times New Roman"/>
                <w:sz w:val="18"/>
                <w:szCs w:val="18"/>
              </w:rPr>
              <w:t>c) Drejtoria e Përgjithshme e Tatimeve konfirmon pranimin ose komunikon refuzimin e arsyetuar, brenda 60 ditëve nga marrja e propozimit të paraqitur nga autoriteti kompetent i një shteti tjetër anëtar;</w:t>
            </w:r>
          </w:p>
          <w:p w14:paraId="758E833C" w14:textId="77777777" w:rsidR="00314559" w:rsidRPr="003B7DC9" w:rsidRDefault="00314559" w:rsidP="00314559">
            <w:pPr>
              <w:pStyle w:val="ListParagraph"/>
              <w:jc w:val="both"/>
              <w:rPr>
                <w:rFonts w:ascii="Times New Roman" w:hAnsi="Times New Roman" w:cs="Times New Roman"/>
                <w:sz w:val="18"/>
                <w:szCs w:val="18"/>
              </w:rPr>
            </w:pPr>
            <w:r w:rsidRPr="003B7DC9">
              <w:rPr>
                <w:rFonts w:ascii="Times New Roman" w:eastAsia="Times New Roman" w:hAnsi="Times New Roman" w:cs="Times New Roman"/>
                <w:bCs/>
                <w:sz w:val="18"/>
                <w:szCs w:val="18"/>
                <w:lang w:eastAsia="sq-AL"/>
              </w:rPr>
              <w:t>ç) Drejtoria e Përgjithshme e Tatimeve cakton një përfaqësues përgjegjës për mbikëqyrjen dhe koordinimin e kontrollit të njëkohshëm në Republikën e Shqipërisë.</w:t>
            </w:r>
          </w:p>
          <w:p w14:paraId="774D93DF" w14:textId="77777777" w:rsidR="00314559" w:rsidRPr="003B7DC9" w:rsidRDefault="00314559" w:rsidP="00314559">
            <w:pPr>
              <w:pStyle w:val="ListParagraph"/>
              <w:jc w:val="both"/>
              <w:rPr>
                <w:rFonts w:ascii="Times New Roman" w:hAnsi="Times New Roman" w:cs="Times New Roman"/>
                <w:sz w:val="18"/>
                <w:szCs w:val="18"/>
              </w:rPr>
            </w:pPr>
          </w:p>
          <w:p w14:paraId="762ED49C" w14:textId="77777777" w:rsidR="00314559" w:rsidRPr="003B7DC9" w:rsidRDefault="00314559" w:rsidP="00314559">
            <w:pPr>
              <w:pStyle w:val="ListParagraph"/>
              <w:numPr>
                <w:ilvl w:val="0"/>
                <w:numId w:val="126"/>
              </w:numPr>
              <w:jc w:val="both"/>
              <w:rPr>
                <w:rFonts w:ascii="Times New Roman" w:hAnsi="Times New Roman" w:cs="Times New Roman"/>
                <w:sz w:val="18"/>
                <w:szCs w:val="18"/>
              </w:rPr>
            </w:pPr>
            <w:r w:rsidRPr="003B7DC9">
              <w:rPr>
                <w:rFonts w:ascii="Times New Roman" w:hAnsi="Times New Roman" w:cs="Times New Roman"/>
                <w:sz w:val="18"/>
                <w:szCs w:val="18"/>
              </w:rPr>
              <w:t xml:space="preserve">Drejtoria e Përgjithshme e Tatimeve mund t’i kërkojë autoritetit kompetent të një ose më shumë shteteve të tjera anëtare kryerjen e një auditimi të përbashkët me Drejtorinë e Përgjithshme të Tatimeve. </w:t>
            </w:r>
            <w:r w:rsidRPr="003B7DC9">
              <w:rPr>
                <w:rFonts w:ascii="Times New Roman" w:eastAsia="Times New Roman" w:hAnsi="Times New Roman" w:cs="Times New Roman"/>
                <w:sz w:val="18"/>
                <w:szCs w:val="18"/>
                <w:lang w:eastAsia="sq-AL"/>
              </w:rPr>
              <w:t>Kur Drejtoria e Përgjithshme e Tatimeve merr një kërkesë për auditim të përbashkët, i përgjigjet brenda 60 ditëve dhe mund ta refuzojë vetëm për shkaqe të arsyetuara, të cilat ia komunikon autoritetit kërkues.</w:t>
            </w:r>
          </w:p>
          <w:p w14:paraId="7D9F5596" w14:textId="77777777" w:rsidR="00314559" w:rsidRPr="003B7DC9" w:rsidRDefault="00314559" w:rsidP="00314559">
            <w:pPr>
              <w:pStyle w:val="ListParagraph"/>
              <w:numPr>
                <w:ilvl w:val="0"/>
                <w:numId w:val="126"/>
              </w:numPr>
              <w:spacing w:before="100" w:beforeAutospacing="1" w:after="100" w:afterAutospacing="1"/>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 xml:space="preserve">Autoritetet pjesëmarrëse bien dakord paraprakisht për mënyrën e koordinuar të kryerjes së </w:t>
            </w:r>
            <w:r w:rsidRPr="003B7DC9">
              <w:rPr>
                <w:rFonts w:ascii="Times New Roman" w:hAnsi="Times New Roman" w:cs="Times New Roman"/>
                <w:sz w:val="18"/>
                <w:szCs w:val="18"/>
              </w:rPr>
              <w:t>auditimit të përbashkët</w:t>
            </w:r>
            <w:r w:rsidRPr="003B7DC9">
              <w:rPr>
                <w:rFonts w:ascii="Times New Roman" w:eastAsia="Times New Roman" w:hAnsi="Times New Roman" w:cs="Times New Roman"/>
                <w:sz w:val="18"/>
                <w:szCs w:val="18"/>
                <w:lang w:eastAsia="sq-AL"/>
              </w:rPr>
              <w:t xml:space="preserve">, përfshirë rregullimet gjuhësore. </w:t>
            </w:r>
            <w:r w:rsidRPr="003B7DC9">
              <w:rPr>
                <w:rFonts w:ascii="Times New Roman" w:hAnsi="Times New Roman" w:cs="Times New Roman"/>
                <w:sz w:val="18"/>
                <w:szCs w:val="18"/>
              </w:rPr>
              <w:t xml:space="preserve">Auditimi i përbashkët </w:t>
            </w:r>
            <w:r w:rsidRPr="003B7DC9">
              <w:rPr>
                <w:rFonts w:ascii="Times New Roman" w:hAnsi="Times New Roman" w:cs="Times New Roman"/>
                <w:sz w:val="18"/>
                <w:szCs w:val="18"/>
              </w:rPr>
              <w:lastRenderedPageBreak/>
              <w:t>zhvillohet</w:t>
            </w:r>
            <w:r w:rsidRPr="003B7DC9">
              <w:rPr>
                <w:rFonts w:ascii="Times New Roman" w:eastAsia="Times New Roman" w:hAnsi="Times New Roman" w:cs="Times New Roman"/>
                <w:sz w:val="18"/>
                <w:szCs w:val="18"/>
                <w:lang w:eastAsia="sq-AL"/>
              </w:rPr>
              <w:t xml:space="preserve"> në përputhje me legjislacionin dhe kërkesat procedurale të shtetit anëtar ku kryhen veprimet përkatëse.</w:t>
            </w:r>
          </w:p>
          <w:p w14:paraId="64A35181" w14:textId="77777777" w:rsidR="00314559" w:rsidRPr="003B7DC9" w:rsidRDefault="00314559" w:rsidP="00314559">
            <w:pPr>
              <w:numPr>
                <w:ilvl w:val="0"/>
                <w:numId w:val="12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Kur auditimi i përbashkët kryhet në Republikën e Shqipërisë, të drejtat dhe detyrimet e </w:t>
            </w:r>
            <w:r w:rsidRPr="003B7DC9">
              <w:rPr>
                <w:rFonts w:ascii="Times New Roman" w:hAnsi="Times New Roman" w:cs="Times New Roman"/>
                <w:sz w:val="18"/>
                <w:szCs w:val="18"/>
              </w:rPr>
              <w:t>nëpunësve</w:t>
            </w:r>
            <w:r w:rsidRPr="003B7DC9">
              <w:rPr>
                <w:rFonts w:ascii="Times New Roman" w:eastAsia="Times New Roman" w:hAnsi="Times New Roman" w:cs="Times New Roman"/>
                <w:bCs/>
                <w:color w:val="000000" w:themeColor="text1"/>
                <w:sz w:val="18"/>
                <w:szCs w:val="18"/>
                <w:lang w:val="en-US"/>
              </w:rPr>
              <w:t xml:space="preserve"> të autoriteteve kompetente të shteteve të tjera anëtare përcaktohen nga legjislacioni shqiptar dhe nga rregullimet procedurale të dakordësuara paraprakisht ndërmjet autoriteteve pjesëmarrëse. Veprimet e këtyre nëpunësve kryhen në prani dhe nën drejtimin, koordinimin dhe mbikëqyrjen e nëpunësve të Drejtorisë së Përgjithshme të Tatimeve. </w:t>
            </w:r>
          </w:p>
          <w:p w14:paraId="687A9EFF" w14:textId="77777777" w:rsidR="00314559" w:rsidRPr="003B7DC9" w:rsidRDefault="00314559" w:rsidP="00314559">
            <w:pPr>
              <w:numPr>
                <w:ilvl w:val="0"/>
                <w:numId w:val="12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Nëpunësit e një shteti tjetër anëtar nuk mund të ushtrojnë në Republikën e Shqipërisë kompetenca që tejkalojnë kompetencat që u njihen sipas legjislacionit të shtetit të tyre. </w:t>
            </w:r>
          </w:p>
          <w:p w14:paraId="4332945F" w14:textId="77777777" w:rsidR="00314559" w:rsidRPr="003B7DC9" w:rsidRDefault="00314559" w:rsidP="00314559">
            <w:pPr>
              <w:numPr>
                <w:ilvl w:val="0"/>
                <w:numId w:val="12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Nëpunësit e Drejtorisë së Përgjithshme të Tatimeve që marrin pjesë në auditim jashtë Shqipërisë duhet të respektojnë legjislacionin e shtetit anëtar ku kryhet auditimi, brenda kufijve të kompetencave të njohura nga ligji shqiptar. </w:t>
            </w:r>
          </w:p>
          <w:p w14:paraId="0672E465" w14:textId="77777777" w:rsidR="00314559" w:rsidRPr="003B7DC9" w:rsidRDefault="00314559" w:rsidP="00314559">
            <w:pPr>
              <w:numPr>
                <w:ilvl w:val="0"/>
                <w:numId w:val="12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hAnsi="Times New Roman" w:cs="Times New Roman"/>
                <w:sz w:val="18"/>
                <w:szCs w:val="18"/>
              </w:rPr>
              <w:t xml:space="preserve">Kur auditimi i përbashkët zhvillohet në Republikën e Shqipërisë, Drejtoria e Përgjithshme e Tatimeve cakton një përfaqësues përgjegjës për koordinimin. Nëpunësit e shteteve të tjera anëtare mund të intervistojnë individë dhe të shqyrtojnë dokumente së bashku me nëpunësit e Drejtorisë së Përgjithshme të Tatimeve. Provat e mbledhura gjatë auditimit të përbashkët vlerësohen, përfshirë sa i përket pranueshmërisë së tyre, në të njëjtat kushte juridike si provat e mbledhura gjatë një auditimi </w:t>
            </w:r>
            <w:r w:rsidRPr="003B7DC9">
              <w:rPr>
                <w:rFonts w:ascii="Times New Roman" w:hAnsi="Times New Roman" w:cs="Times New Roman"/>
                <w:sz w:val="18"/>
                <w:szCs w:val="18"/>
              </w:rPr>
              <w:lastRenderedPageBreak/>
              <w:t>ku marrin pjesë vetëm nëpunësit e Drejtorisë së Përgjithshme të Tatimeve, përfshirë gjatë çdo procedure ankimi administrativ ose gjyqësor. Personat që i nënshtrohen auditimit të përbashkët ose preken prej tij gëzojnë të njëjtat të drejta dhe kanë të njëjtat detyrime si në një auditim ku marrin pjesë vetëm nëpunësit e Drejtorisë së Përgjithshme të Tatimeve.</w:t>
            </w:r>
          </w:p>
          <w:p w14:paraId="00B0AF0B" w14:textId="77777777" w:rsidR="00314559" w:rsidRPr="003B7DC9" w:rsidRDefault="00314559" w:rsidP="00314559">
            <w:pPr>
              <w:numPr>
                <w:ilvl w:val="0"/>
                <w:numId w:val="12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hAnsi="Times New Roman" w:cs="Times New Roman"/>
                <w:sz w:val="18"/>
                <w:szCs w:val="18"/>
              </w:rPr>
              <w:t>Autoritetet pjesëmarrëse bëjnë përpjekje për të rënë dakord mbi faktet dhe rrethanat përkatëse të auditimit të përbashkët dhe, bazuar në rezultatet e auditimit, për të arritur një marrëveshje mbi pozicionin tatimor të personit ose personave të audituar. Gjetjet e auditimit të përbashkët përfshihen në raportin përfundimtar. Çështjet për të cilat autoritetet pjesëmarrëse bien dakord pasqyrohen në raportin përfundimtar dhe merren parasysh në aktet përkatëse të nxjerra nga autoritetet kompetente pjesëmarrëse pas përfundimit të auditimit të përbashkët.</w:t>
            </w:r>
          </w:p>
          <w:p w14:paraId="1537DCE4" w14:textId="77777777" w:rsidR="00314559" w:rsidRPr="003B7DC9" w:rsidRDefault="00314559" w:rsidP="00314559">
            <w:pPr>
              <w:numPr>
                <w:ilvl w:val="0"/>
                <w:numId w:val="12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Çdo veprim i mëtejshëm i Drejtorisë së Përgjithshme të Tatimeve pas auditimit të përbashkët, përfshirë vendimet tatimore dhe procedurat e ankimit, kryhet në përputhje me legjislacionin e Republikës së Shqipërisë. </w:t>
            </w:r>
          </w:p>
          <w:p w14:paraId="1B21CA88" w14:textId="77777777" w:rsidR="00314559" w:rsidRPr="003B7DC9" w:rsidRDefault="00314559" w:rsidP="00314559">
            <w:pPr>
              <w:numPr>
                <w:ilvl w:val="0"/>
                <w:numId w:val="12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Personat e audituar duhet të informohen për rezultatin e auditimit dhe të marrin një kopje të raportit përfundimtar </w:t>
            </w:r>
            <w:r w:rsidRPr="003B7DC9">
              <w:rPr>
                <w:rFonts w:ascii="Times New Roman" w:hAnsi="Times New Roman" w:cs="Times New Roman"/>
                <w:sz w:val="18"/>
                <w:szCs w:val="18"/>
              </w:rPr>
              <w:t>brenda 60 ditëve nga data e nxjerrjes së raportit përfundimtar.</w:t>
            </w:r>
          </w:p>
          <w:p w14:paraId="7A638F1E" w14:textId="77777777" w:rsidR="00314559" w:rsidRPr="003B7DC9" w:rsidRDefault="00314559" w:rsidP="00314559">
            <w:pPr>
              <w:numPr>
                <w:ilvl w:val="0"/>
                <w:numId w:val="12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Kontrollet e njëkohshme dhe auditimet e përbashkëta kryhen sipas rregullave teknike të përcaktuara në vendimin e Këshillit të Ministrave, </w:t>
            </w:r>
            <w:r w:rsidRPr="003B7DC9">
              <w:rPr>
                <w:rFonts w:ascii="Times New Roman" w:eastAsia="Times New Roman" w:hAnsi="Times New Roman" w:cs="Times New Roman"/>
                <w:sz w:val="18"/>
                <w:szCs w:val="18"/>
                <w:lang w:val="sq-AL"/>
              </w:rPr>
              <w:t xml:space="preserve">në përputhje me rregullimet </w:t>
            </w:r>
            <w:r w:rsidRPr="003B7DC9">
              <w:rPr>
                <w:rFonts w:ascii="Times New Roman" w:eastAsia="Times New Roman" w:hAnsi="Times New Roman" w:cs="Times New Roman"/>
                <w:sz w:val="18"/>
                <w:szCs w:val="18"/>
                <w:lang w:val="sq-AL"/>
              </w:rPr>
              <w:lastRenderedPageBreak/>
              <w:t>praktike dhe standardet e zbatueshme të Bashkimit Evropian.</w:t>
            </w:r>
          </w:p>
          <w:p w14:paraId="5766DA9A" w14:textId="4CB2D64A" w:rsidR="00314559" w:rsidRPr="003B7DC9" w:rsidRDefault="00314559" w:rsidP="00314559">
            <w:pPr>
              <w:spacing w:line="276" w:lineRule="auto"/>
              <w:jc w:val="both"/>
              <w:rPr>
                <w:rFonts w:ascii="Times New Roman" w:eastAsia="Times New Roman" w:hAnsi="Times New Roman" w:cs="Times New Roman"/>
                <w:sz w:val="18"/>
                <w:szCs w:val="18"/>
                <w:lang w:eastAsia="sq-AL"/>
              </w:rPr>
            </w:pPr>
          </w:p>
        </w:tc>
        <w:tc>
          <w:tcPr>
            <w:tcW w:w="1066" w:type="dxa"/>
            <w:tcBorders>
              <w:bottom w:val="dashed" w:sz="4" w:space="0" w:color="auto"/>
            </w:tcBorders>
          </w:tcPr>
          <w:p w14:paraId="1FDD2123" w14:textId="24029475"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F</w:t>
            </w:r>
          </w:p>
        </w:tc>
        <w:tc>
          <w:tcPr>
            <w:tcW w:w="3060" w:type="dxa"/>
            <w:tcBorders>
              <w:bottom w:val="dashed" w:sz="4" w:space="0" w:color="auto"/>
            </w:tcBorders>
          </w:tcPr>
          <w:p w14:paraId="014CF15E" w14:textId="77777777" w:rsidR="00314559" w:rsidRPr="003B7DC9" w:rsidRDefault="00314559" w:rsidP="00314559">
            <w:pPr>
              <w:rPr>
                <w:rFonts w:ascii="Times New Roman" w:eastAsia="Calibri" w:hAnsi="Times New Roman" w:cs="Times New Roman"/>
                <w:sz w:val="18"/>
                <w:szCs w:val="18"/>
              </w:rPr>
            </w:pPr>
          </w:p>
        </w:tc>
      </w:tr>
      <w:tr w:rsidR="00314559" w:rsidRPr="003B7DC9" w14:paraId="6F670772" w14:textId="77777777" w:rsidTr="00B75638">
        <w:trPr>
          <w:trHeight w:val="359"/>
        </w:trPr>
        <w:tc>
          <w:tcPr>
            <w:tcW w:w="630" w:type="dxa"/>
          </w:tcPr>
          <w:p w14:paraId="516FA109" w14:textId="662FCCB3"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3CDABA71" w14:textId="77777777" w:rsidR="00314559" w:rsidRPr="003B7DC9" w:rsidRDefault="00314559" w:rsidP="00314559">
            <w:pPr>
              <w:widowControl w:val="0"/>
              <w:pBdr>
                <w:top w:val="nil"/>
                <w:left w:val="nil"/>
                <w:bottom w:val="nil"/>
                <w:right w:val="nil"/>
                <w:between w:val="nil"/>
              </w:pBdr>
              <w:spacing w:before="120" w:line="276" w:lineRule="auto"/>
              <w:jc w:val="both"/>
              <w:rPr>
                <w:rFonts w:ascii="Times New Roman" w:eastAsia="Times New Roman" w:hAnsi="Times New Roman" w:cs="Times New Roman"/>
                <w:b/>
                <w:iCs/>
                <w:sz w:val="18"/>
                <w:szCs w:val="18"/>
                <w:lang w:val="en-GB"/>
              </w:rPr>
            </w:pPr>
          </w:p>
          <w:p w14:paraId="34AAD76D" w14:textId="77777777" w:rsidR="00314559" w:rsidRPr="003B7DC9" w:rsidRDefault="00314559" w:rsidP="00314559">
            <w:pPr>
              <w:contextualSpacing/>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SEKSIONI III</w:t>
            </w:r>
          </w:p>
          <w:p w14:paraId="243D089C" w14:textId="77777777" w:rsidR="00314559" w:rsidRPr="003B7DC9" w:rsidRDefault="00314559" w:rsidP="00314559">
            <w:pPr>
              <w:contextualSpacing/>
              <w:jc w:val="both"/>
              <w:rPr>
                <w:rFonts w:ascii="Times New Roman" w:eastAsia="Calibri" w:hAnsi="Times New Roman" w:cs="Times New Roman"/>
                <w:b/>
                <w:bCs/>
                <w:iCs/>
                <w:sz w:val="18"/>
                <w:szCs w:val="18"/>
              </w:rPr>
            </w:pPr>
          </w:p>
          <w:p w14:paraId="19174BF0" w14:textId="309D7923" w:rsidR="00314559" w:rsidRPr="003B7DC9" w:rsidRDefault="00314559" w:rsidP="00314559">
            <w:pPr>
              <w:contextualSpacing/>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Njoftimi administrativ</w:t>
            </w:r>
          </w:p>
          <w:p w14:paraId="0AC487E1" w14:textId="77777777" w:rsidR="00314559" w:rsidRPr="003B7DC9" w:rsidRDefault="00314559" w:rsidP="00314559">
            <w:pPr>
              <w:contextualSpacing/>
              <w:jc w:val="both"/>
              <w:rPr>
                <w:rFonts w:ascii="Times New Roman" w:eastAsia="Calibri" w:hAnsi="Times New Roman" w:cs="Times New Roman"/>
                <w:b/>
                <w:bCs/>
                <w:iCs/>
                <w:sz w:val="18"/>
                <w:szCs w:val="18"/>
              </w:rPr>
            </w:pPr>
          </w:p>
          <w:p w14:paraId="2DC8F9C6" w14:textId="312F9DC6" w:rsidR="00314559" w:rsidRPr="003B7DC9" w:rsidRDefault="00314559" w:rsidP="00314559">
            <w:pPr>
              <w:contextualSpacing/>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13</w:t>
            </w:r>
          </w:p>
          <w:p w14:paraId="1222F4A1" w14:textId="77777777" w:rsidR="00314559" w:rsidRPr="003B7DC9" w:rsidRDefault="00314559" w:rsidP="00314559">
            <w:pPr>
              <w:contextualSpacing/>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Kërkesa për njoftim</w:t>
            </w:r>
          </w:p>
          <w:p w14:paraId="620F73D7" w14:textId="77777777" w:rsidR="00314559" w:rsidRPr="003B7DC9" w:rsidRDefault="00314559" w:rsidP="00314559">
            <w:pPr>
              <w:numPr>
                <w:ilvl w:val="0"/>
                <w:numId w:val="58"/>
              </w:numPr>
              <w:contextualSpacing/>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Me kërkesë të autoritetit kompetent të një shteti anëtar, autoriteti kompetent i një shteti tjetër anëtar, në përputhje me rregullat që rregullojnë njoftimin e instrumenteve të ngjashme në shtetin anëtar të kërkuar, i njofton marrësit çdo instrument dhe vendim që rrjedh nga autoritetet administrative të shtetit anëtar kërkues dhe që lidhet me zbatimin në territorin e tij të legjislacionit mbi tatimet e mbuluara nga kjo direktivë.</w:t>
            </w:r>
          </w:p>
          <w:p w14:paraId="05DBF785" w14:textId="77777777" w:rsidR="00314559" w:rsidRPr="003B7DC9" w:rsidRDefault="00314559" w:rsidP="00314559">
            <w:pPr>
              <w:numPr>
                <w:ilvl w:val="0"/>
                <w:numId w:val="58"/>
              </w:numPr>
              <w:contextualSpacing/>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Kërkesat për njoftim tregojnë objektin e instrumentit ose vendimit që duhet të njoftohet dhe specifikojnë emrin dhe adresën e marrësit, së bashku me çdo informacion tjetër që mund të lehtësojë identifikimin e marrësit.</w:t>
            </w:r>
          </w:p>
          <w:p w14:paraId="62B358D2" w14:textId="77777777" w:rsidR="00314559" w:rsidRPr="003B7DC9" w:rsidRDefault="00314559" w:rsidP="00314559">
            <w:pPr>
              <w:numPr>
                <w:ilvl w:val="0"/>
                <w:numId w:val="58"/>
              </w:numPr>
              <w:contextualSpacing/>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i kërkuar informon autoritetin kërkues menjëherë për përgjigjen e tij dhe, në veçanti, për datën e njoftimit të instrumentit ose vendimit tek marrësi.</w:t>
            </w:r>
          </w:p>
          <w:p w14:paraId="15635046" w14:textId="77777777" w:rsidR="00314559" w:rsidRPr="003B7DC9" w:rsidRDefault="00314559" w:rsidP="00314559">
            <w:pPr>
              <w:numPr>
                <w:ilvl w:val="0"/>
                <w:numId w:val="58"/>
              </w:numPr>
              <w:contextualSpacing/>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Autoriteti kërkues paraqet një kërkesë për njoftim sipas këtij neni vetëm kur nuk është në gjendje të kryejë njoftimin në përputhje me rregullat që rregullojnë njoftimin e instrumenteve përkatëse në shtetin anëtar kërkues, ose kur një njoftim i tillë do të shkaktonte vështirësi joproporcionale. Autoriteti kompetent i një shteti anëtar mund të njoftojë çdo dokument me postë të regjistruar ose </w:t>
            </w:r>
            <w:r w:rsidRPr="003B7DC9">
              <w:rPr>
                <w:rFonts w:ascii="Times New Roman" w:eastAsia="Calibri" w:hAnsi="Times New Roman" w:cs="Times New Roman"/>
                <w:iCs/>
                <w:sz w:val="18"/>
                <w:szCs w:val="18"/>
              </w:rPr>
              <w:lastRenderedPageBreak/>
              <w:t>në mënyrë elektronike drejtpërdrejt tek një person brenda territorit të një shteti tjetër anëtar.</w:t>
            </w:r>
          </w:p>
          <w:p w14:paraId="14FF2EF8" w14:textId="60E0F012" w:rsidR="00314559" w:rsidRPr="003B7DC9" w:rsidRDefault="00314559" w:rsidP="00314559">
            <w:pPr>
              <w:contextualSpacing/>
              <w:jc w:val="both"/>
              <w:rPr>
                <w:rFonts w:ascii="Times New Roman" w:eastAsia="Calibri" w:hAnsi="Times New Roman" w:cs="Times New Roman"/>
                <w:iCs/>
                <w:sz w:val="18"/>
                <w:szCs w:val="18"/>
                <w:lang w:val="en-US"/>
              </w:rPr>
            </w:pPr>
          </w:p>
        </w:tc>
        <w:tc>
          <w:tcPr>
            <w:tcW w:w="1170" w:type="dxa"/>
          </w:tcPr>
          <w:p w14:paraId="5F89BF63" w14:textId="729BA990"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tcPr>
          <w:p w14:paraId="19D19203" w14:textId="7FD6FC4E"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20</w:t>
            </w:r>
          </w:p>
        </w:tc>
        <w:tc>
          <w:tcPr>
            <w:tcW w:w="4334" w:type="dxa"/>
            <w:tcBorders>
              <w:bottom w:val="dashed" w:sz="4" w:space="0" w:color="auto"/>
            </w:tcBorders>
          </w:tcPr>
          <w:p w14:paraId="7EA5B7B2" w14:textId="77777777" w:rsidR="00314559" w:rsidRPr="003B7DC9" w:rsidRDefault="00314559" w:rsidP="00314559">
            <w:pPr>
              <w:spacing w:before="100" w:beforeAutospacing="1" w:after="100" w:afterAutospacing="1"/>
              <w:jc w:val="center"/>
              <w:rPr>
                <w:rFonts w:ascii="Times New Roman" w:eastAsia="Times New Roman" w:hAnsi="Times New Roman" w:cs="Times New Roman"/>
                <w:b/>
                <w:bCs/>
                <w:color w:val="000000" w:themeColor="text1"/>
                <w:sz w:val="18"/>
                <w:szCs w:val="18"/>
                <w:lang w:val="en-US"/>
              </w:rPr>
            </w:pPr>
            <w:r w:rsidRPr="003B7DC9">
              <w:rPr>
                <w:rFonts w:ascii="Times New Roman" w:eastAsia="Times New Roman" w:hAnsi="Times New Roman" w:cs="Times New Roman"/>
                <w:b/>
                <w:bCs/>
                <w:color w:val="000000" w:themeColor="text1"/>
                <w:sz w:val="18"/>
                <w:szCs w:val="18"/>
                <w:lang w:val="en-US"/>
              </w:rPr>
              <w:t>Neni 20</w:t>
            </w:r>
          </w:p>
          <w:p w14:paraId="36852385" w14:textId="77777777" w:rsidR="00314559" w:rsidRPr="003B7DC9" w:rsidRDefault="00314559" w:rsidP="00314559">
            <w:pPr>
              <w:spacing w:before="100" w:beforeAutospacing="1" w:after="100" w:afterAutospacing="1"/>
              <w:jc w:val="center"/>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
                <w:bCs/>
                <w:color w:val="000000" w:themeColor="text1"/>
                <w:sz w:val="18"/>
                <w:szCs w:val="18"/>
                <w:lang w:val="en-US"/>
              </w:rPr>
              <w:t>Njoftimi administrativ</w:t>
            </w:r>
          </w:p>
          <w:p w14:paraId="2CB088E6" w14:textId="77777777" w:rsidR="00314559" w:rsidRPr="003B7DC9" w:rsidRDefault="00314559" w:rsidP="00314559">
            <w:pPr>
              <w:numPr>
                <w:ilvl w:val="0"/>
                <w:numId w:val="127"/>
              </w:numPr>
              <w:spacing w:before="100" w:beforeAutospacing="1" w:after="100" w:afterAutospacing="1"/>
              <w:jc w:val="both"/>
              <w:rPr>
                <w:rFonts w:ascii="Times New Roman" w:eastAsia="Times New Roman" w:hAnsi="Times New Roman" w:cs="Times New Roman"/>
                <w:bCs/>
                <w:color w:val="000000" w:themeColor="text1"/>
                <w:sz w:val="18"/>
                <w:szCs w:val="18"/>
                <w:lang w:val="en-US"/>
              </w:rPr>
            </w:pPr>
            <w:r w:rsidRPr="003B7DC9">
              <w:rPr>
                <w:rFonts w:ascii="Times New Roman" w:hAnsi="Times New Roman" w:cs="Times New Roman"/>
                <w:color w:val="000000"/>
                <w:sz w:val="18"/>
                <w:szCs w:val="18"/>
              </w:rPr>
              <w:t xml:space="preserve">Me kërkesë të autoritetit kërkues, </w:t>
            </w:r>
            <w:r w:rsidRPr="003B7DC9">
              <w:rPr>
                <w:rFonts w:ascii="Times New Roman" w:eastAsia="Times New Roman" w:hAnsi="Times New Roman" w:cs="Times New Roman"/>
                <w:bCs/>
                <w:color w:val="000000" w:themeColor="text1"/>
                <w:sz w:val="18"/>
                <w:szCs w:val="18"/>
                <w:lang w:val="en-US"/>
              </w:rPr>
              <w:t xml:space="preserve">Drejtoria e Përgjithshme e Tatimeve njofton marrësin për aktet dhe vendimet </w:t>
            </w:r>
            <w:r w:rsidRPr="003B7DC9">
              <w:rPr>
                <w:rFonts w:ascii="Times New Roman" w:eastAsia="Times New Roman" w:hAnsi="Times New Roman" w:cs="Times New Roman"/>
                <w:sz w:val="18"/>
                <w:szCs w:val="18"/>
                <w:lang w:eastAsia="sq-AL"/>
              </w:rPr>
              <w:t xml:space="preserve">e nxjerra </w:t>
            </w:r>
            <w:r w:rsidRPr="003B7DC9">
              <w:rPr>
                <w:rFonts w:ascii="Times New Roman" w:eastAsia="Times New Roman" w:hAnsi="Times New Roman" w:cs="Times New Roman"/>
                <w:bCs/>
                <w:color w:val="000000" w:themeColor="text1"/>
                <w:sz w:val="18"/>
                <w:szCs w:val="18"/>
                <w:lang w:val="en-US"/>
              </w:rPr>
              <w:t xml:space="preserve">nga autoritetet e shtetit kërkues, në lidhje me zbatimin e legjislacionit tatimor të mbuluar nga ky ligj, në përputhje me rregullat që zbatohen për njoftimin e akteve të ngjashme në Shqipëri. Kërkesa për njoftim bëhet vetëm kur autoriteti kërkues nuk mund ta kryejë njoftimin vetë sipas rregullave të tij ose kur kryerja e njoftimit drejtpërdrejt nga autoriteti kërkues do të shkaktonte vështirësi joproporcionale. </w:t>
            </w:r>
          </w:p>
          <w:p w14:paraId="0B80A265" w14:textId="77777777" w:rsidR="00314559" w:rsidRPr="003B7DC9" w:rsidRDefault="00314559" w:rsidP="00314559">
            <w:pPr>
              <w:numPr>
                <w:ilvl w:val="0"/>
                <w:numId w:val="127"/>
              </w:numPr>
              <w:spacing w:before="100" w:beforeAutospacing="1" w:after="100" w:afterAutospacing="1"/>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Kërkesat për njoftim duhet të përmbajnë:</w:t>
            </w:r>
            <w:r w:rsidRPr="003B7DC9">
              <w:rPr>
                <w:rFonts w:ascii="Times New Roman" w:eastAsia="Times New Roman" w:hAnsi="Times New Roman" w:cs="Times New Roman"/>
                <w:bCs/>
                <w:color w:val="000000" w:themeColor="text1"/>
                <w:sz w:val="18"/>
                <w:szCs w:val="18"/>
                <w:lang w:val="en-US"/>
              </w:rPr>
              <w:br/>
              <w:t>a) objektin e aktit ose vendimit;</w:t>
            </w:r>
            <w:r w:rsidRPr="003B7DC9">
              <w:rPr>
                <w:rFonts w:ascii="Times New Roman" w:eastAsia="Times New Roman" w:hAnsi="Times New Roman" w:cs="Times New Roman"/>
                <w:bCs/>
                <w:color w:val="000000" w:themeColor="text1"/>
                <w:sz w:val="18"/>
                <w:szCs w:val="18"/>
                <w:lang w:val="en-US"/>
              </w:rPr>
              <w:br/>
              <w:t>b) emrin dhe adresën e marrësit;</w:t>
            </w:r>
            <w:r w:rsidRPr="003B7DC9">
              <w:rPr>
                <w:rFonts w:ascii="Times New Roman" w:eastAsia="Times New Roman" w:hAnsi="Times New Roman" w:cs="Times New Roman"/>
                <w:bCs/>
                <w:color w:val="000000" w:themeColor="text1"/>
                <w:sz w:val="18"/>
                <w:szCs w:val="18"/>
                <w:lang w:val="en-US"/>
              </w:rPr>
              <w:br/>
              <w:t xml:space="preserve">c) çdo informacion shtesë që ndihmon në identifikimin e marrësit. </w:t>
            </w:r>
          </w:p>
          <w:p w14:paraId="60E2B111" w14:textId="77777777" w:rsidR="00314559" w:rsidRPr="003B7DC9" w:rsidRDefault="00314559" w:rsidP="00314559">
            <w:pPr>
              <w:pStyle w:val="ListParagraph"/>
              <w:numPr>
                <w:ilvl w:val="0"/>
                <w:numId w:val="127"/>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bCs/>
                <w:color w:val="000000" w:themeColor="text1"/>
                <w:sz w:val="18"/>
                <w:szCs w:val="18"/>
                <w:lang w:val="en-US"/>
              </w:rPr>
              <w:t xml:space="preserve">Drejtoria e Përgjithshme e Tatimeve </w:t>
            </w:r>
            <w:r w:rsidRPr="003B7DC9">
              <w:rPr>
                <w:rFonts w:ascii="Times New Roman" w:eastAsia="Times New Roman" w:hAnsi="Times New Roman" w:cs="Times New Roman"/>
                <w:sz w:val="18"/>
                <w:szCs w:val="18"/>
                <w:lang w:eastAsia="sq-AL"/>
              </w:rPr>
              <w:t>njofton menjëherë autoritetin kërkues për veprimet e kryera dhe, në veçanti, për datën e njoftimit.</w:t>
            </w:r>
          </w:p>
          <w:p w14:paraId="73AFB1BD" w14:textId="77777777" w:rsidR="00314559" w:rsidRPr="003B7DC9" w:rsidRDefault="00314559" w:rsidP="00314559">
            <w:pPr>
              <w:pStyle w:val="ListParagraph"/>
              <w:numPr>
                <w:ilvl w:val="0"/>
                <w:numId w:val="127"/>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bCs/>
                <w:color w:val="000000" w:themeColor="text1"/>
                <w:sz w:val="18"/>
                <w:szCs w:val="18"/>
                <w:lang w:val="en-US"/>
              </w:rPr>
              <w:t xml:space="preserve">Drejtoria e Përgjithshme e Tatimeve mund ta dërgojë dokumentin me postë rekomande ose në mënyrë elektronike </w:t>
            </w:r>
            <w:r w:rsidRPr="003B7DC9">
              <w:rPr>
                <w:rFonts w:ascii="Times New Roman" w:eastAsia="Times New Roman" w:hAnsi="Times New Roman" w:cs="Times New Roman"/>
                <w:sz w:val="18"/>
                <w:szCs w:val="18"/>
                <w:lang w:eastAsia="sq-AL"/>
              </w:rPr>
              <w:t>drejtpërdrejt te personi brenda territorit të një shteti tjetër anëtar.</w:t>
            </w:r>
          </w:p>
          <w:p w14:paraId="0158CE32" w14:textId="4ABC6007" w:rsidR="00314559" w:rsidRPr="003B7DC9" w:rsidRDefault="00314559" w:rsidP="00314559">
            <w:pPr>
              <w:jc w:val="center"/>
              <w:rPr>
                <w:rFonts w:ascii="Times New Roman" w:eastAsia="Times New Roman" w:hAnsi="Times New Roman" w:cs="Times New Roman"/>
                <w:sz w:val="18"/>
                <w:szCs w:val="18"/>
                <w:lang w:val="sq-AL" w:eastAsia="sq-AL"/>
              </w:rPr>
            </w:pPr>
            <w:r w:rsidRPr="003B7DC9">
              <w:rPr>
                <w:rFonts w:ascii="Times New Roman" w:eastAsia="Times New Roman" w:hAnsi="Times New Roman" w:cs="Times New Roman"/>
                <w:sz w:val="18"/>
                <w:szCs w:val="18"/>
                <w:lang w:val="sq-AL" w:eastAsia="sq-AL"/>
              </w:rPr>
              <w:t xml:space="preserve"> </w:t>
            </w:r>
          </w:p>
          <w:p w14:paraId="29C6631E" w14:textId="3AD53224" w:rsidR="00314559" w:rsidRPr="003B7DC9" w:rsidRDefault="00314559" w:rsidP="00314559">
            <w:pPr>
              <w:rPr>
                <w:rFonts w:ascii="Times New Roman" w:hAnsi="Times New Roman" w:cs="Times New Roman"/>
                <w:b/>
                <w:bCs/>
                <w:sz w:val="18"/>
                <w:szCs w:val="18"/>
              </w:rPr>
            </w:pPr>
          </w:p>
          <w:p w14:paraId="1FF16A6B" w14:textId="1C8A3F29" w:rsidR="00314559" w:rsidRPr="003B7DC9" w:rsidRDefault="00314559" w:rsidP="00314559">
            <w:pPr>
              <w:spacing w:line="276" w:lineRule="auto"/>
              <w:jc w:val="both"/>
              <w:rPr>
                <w:rFonts w:ascii="Times New Roman" w:hAnsi="Times New Roman" w:cs="Times New Roman"/>
                <w:sz w:val="18"/>
                <w:szCs w:val="18"/>
              </w:rPr>
            </w:pPr>
          </w:p>
        </w:tc>
        <w:tc>
          <w:tcPr>
            <w:tcW w:w="1066" w:type="dxa"/>
            <w:tcBorders>
              <w:bottom w:val="dashed" w:sz="4" w:space="0" w:color="auto"/>
            </w:tcBorders>
          </w:tcPr>
          <w:p w14:paraId="4EF15BB3" w14:textId="037D0855"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tcBorders>
              <w:bottom w:val="dashed" w:sz="4" w:space="0" w:color="auto"/>
            </w:tcBorders>
          </w:tcPr>
          <w:p w14:paraId="1C57CD2D" w14:textId="70AFF08A" w:rsidR="00314559" w:rsidRPr="003B7DC9" w:rsidRDefault="00314559" w:rsidP="00314559">
            <w:pPr>
              <w:rPr>
                <w:rFonts w:ascii="Times New Roman" w:eastAsia="Calibri" w:hAnsi="Times New Roman" w:cs="Times New Roman"/>
                <w:sz w:val="18"/>
                <w:szCs w:val="18"/>
                <w:lang w:val="en-US"/>
              </w:rPr>
            </w:pPr>
          </w:p>
        </w:tc>
      </w:tr>
      <w:tr w:rsidR="00314559" w:rsidRPr="003B7DC9" w14:paraId="71F4D229" w14:textId="77777777" w:rsidTr="00B75638">
        <w:tc>
          <w:tcPr>
            <w:tcW w:w="630" w:type="dxa"/>
          </w:tcPr>
          <w:p w14:paraId="5E9580EC" w14:textId="38D2E61A"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5190BA95" w14:textId="77777777" w:rsidR="00314559" w:rsidRPr="003B7DC9" w:rsidRDefault="00314559" w:rsidP="00314559">
            <w:pPr>
              <w:spacing w:line="276" w:lineRule="auto"/>
              <w:rPr>
                <w:rFonts w:ascii="Times New Roman" w:hAnsi="Times New Roman" w:cs="Times New Roman"/>
                <w:b/>
                <w:sz w:val="18"/>
                <w:szCs w:val="18"/>
                <w:lang w:val="en-GB"/>
              </w:rPr>
            </w:pPr>
          </w:p>
          <w:p w14:paraId="7EF9980D" w14:textId="77777777" w:rsidR="00314559" w:rsidRPr="003B7DC9" w:rsidRDefault="00314559" w:rsidP="00314559">
            <w:pPr>
              <w:pStyle w:val="legclearfix"/>
              <w:shd w:val="clear" w:color="auto" w:fill="FFFFFF"/>
              <w:spacing w:before="0" w:beforeAutospacing="0" w:after="240" w:afterAutospacing="0" w:line="360" w:lineRule="atLeast"/>
              <w:rPr>
                <w:rFonts w:eastAsia="Calibri"/>
                <w:b/>
                <w:bCs/>
                <w:iCs/>
                <w:sz w:val="18"/>
                <w:szCs w:val="18"/>
              </w:rPr>
            </w:pPr>
            <w:r w:rsidRPr="003B7DC9">
              <w:rPr>
                <w:rFonts w:eastAsia="Calibri"/>
                <w:b/>
                <w:bCs/>
                <w:iCs/>
                <w:sz w:val="18"/>
                <w:szCs w:val="18"/>
              </w:rPr>
              <w:t>SEKSIONI IV</w:t>
            </w:r>
          </w:p>
          <w:p w14:paraId="484B1412" w14:textId="77777777" w:rsidR="00314559" w:rsidRPr="003B7DC9" w:rsidRDefault="00314559" w:rsidP="00314559">
            <w:pPr>
              <w:pStyle w:val="legclearfix"/>
              <w:shd w:val="clear" w:color="auto" w:fill="FFFFFF"/>
              <w:spacing w:before="0" w:beforeAutospacing="0" w:after="240" w:afterAutospacing="0" w:line="360" w:lineRule="atLeast"/>
              <w:rPr>
                <w:rFonts w:eastAsia="Calibri"/>
                <w:iCs/>
                <w:sz w:val="18"/>
                <w:szCs w:val="18"/>
              </w:rPr>
            </w:pPr>
            <w:r w:rsidRPr="003B7DC9">
              <w:rPr>
                <w:rFonts w:eastAsia="Calibri"/>
                <w:b/>
                <w:bCs/>
                <w:iCs/>
                <w:sz w:val="18"/>
                <w:szCs w:val="18"/>
              </w:rPr>
              <w:t>Feedback</w:t>
            </w:r>
          </w:p>
          <w:p w14:paraId="034DDF5E" w14:textId="77777777" w:rsidR="00314559" w:rsidRPr="003B7DC9" w:rsidRDefault="00314559" w:rsidP="00314559">
            <w:pPr>
              <w:pStyle w:val="legclearfix"/>
              <w:shd w:val="clear" w:color="auto" w:fill="FFFFFF"/>
              <w:spacing w:before="0" w:beforeAutospacing="0" w:after="240" w:afterAutospacing="0" w:line="360" w:lineRule="atLeast"/>
              <w:rPr>
                <w:rFonts w:eastAsia="Calibri"/>
                <w:b/>
                <w:bCs/>
                <w:iCs/>
                <w:sz w:val="18"/>
                <w:szCs w:val="18"/>
              </w:rPr>
            </w:pPr>
            <w:r w:rsidRPr="003B7DC9">
              <w:rPr>
                <w:rFonts w:eastAsia="Calibri"/>
                <w:b/>
                <w:bCs/>
                <w:iCs/>
                <w:sz w:val="18"/>
                <w:szCs w:val="18"/>
              </w:rPr>
              <w:t>Neni 14</w:t>
            </w:r>
          </w:p>
          <w:p w14:paraId="5D7ED10B" w14:textId="77777777" w:rsidR="00314559" w:rsidRPr="003B7DC9" w:rsidRDefault="00314559" w:rsidP="00314559">
            <w:pPr>
              <w:pStyle w:val="legclearfix"/>
              <w:shd w:val="clear" w:color="auto" w:fill="FFFFFF"/>
              <w:spacing w:before="0" w:beforeAutospacing="0" w:after="240" w:afterAutospacing="0" w:line="360" w:lineRule="atLeast"/>
              <w:rPr>
                <w:rFonts w:eastAsia="Calibri"/>
                <w:iCs/>
                <w:sz w:val="18"/>
                <w:szCs w:val="18"/>
              </w:rPr>
            </w:pPr>
            <w:r w:rsidRPr="003B7DC9">
              <w:rPr>
                <w:rFonts w:eastAsia="Calibri"/>
                <w:b/>
                <w:bCs/>
                <w:iCs/>
                <w:sz w:val="18"/>
                <w:szCs w:val="18"/>
              </w:rPr>
              <w:t>Kushtet</w:t>
            </w:r>
          </w:p>
          <w:p w14:paraId="6526802B" w14:textId="77777777" w:rsidR="00314559" w:rsidRPr="003B7DC9" w:rsidRDefault="00314559" w:rsidP="00314559">
            <w:pPr>
              <w:pStyle w:val="legclearfix"/>
              <w:numPr>
                <w:ilvl w:val="0"/>
                <w:numId w:val="59"/>
              </w:numPr>
              <w:shd w:val="clear" w:color="auto" w:fill="FFFFFF"/>
              <w:spacing w:before="0" w:beforeAutospacing="0" w:after="240" w:afterAutospacing="0" w:line="360" w:lineRule="atLeast"/>
              <w:rPr>
                <w:rFonts w:eastAsia="Calibri"/>
                <w:iCs/>
                <w:sz w:val="18"/>
                <w:szCs w:val="18"/>
              </w:rPr>
            </w:pPr>
            <w:r w:rsidRPr="003B7DC9">
              <w:rPr>
                <w:rFonts w:eastAsia="Calibri"/>
                <w:iCs/>
                <w:sz w:val="18"/>
                <w:szCs w:val="18"/>
              </w:rPr>
              <w:t>Kur një autoritet kompetent jep informacion në përputhje me nenet 5 ose 9, ai mund t’i kërkojë autoritetit kompetent që merr informacionin të dërgojë feedback për të. Nëse kërkohet feedback, autoriteti kompetent që ka marrë informacionin, pa cenuar rregullat mbi sekretin tatimor dhe mbrojtjen e të dhënave që zbatohen në shtetin e tij anëtar, i dërgon feedback autoritetit kompetent që ka dhënë informacionin sa më shpejt të jetë e mundur dhe jo më vonë se tre muaj pasi rezultati i përdorimit të informacionit të kërkuar të jetë bërë i njohur. Komisioni përcakton rregullimet praktike në përputhje me procedurën e përmendur në nenin 26(2).</w:t>
            </w:r>
          </w:p>
          <w:p w14:paraId="110FD50E" w14:textId="77777777" w:rsidR="00314559" w:rsidRPr="003B7DC9" w:rsidRDefault="00314559" w:rsidP="00314559">
            <w:pPr>
              <w:pStyle w:val="legclearfix"/>
              <w:numPr>
                <w:ilvl w:val="0"/>
                <w:numId w:val="59"/>
              </w:numPr>
              <w:shd w:val="clear" w:color="auto" w:fill="FFFFFF"/>
              <w:spacing w:before="0" w:beforeAutospacing="0" w:after="240" w:afterAutospacing="0" w:line="360" w:lineRule="atLeast"/>
              <w:rPr>
                <w:rFonts w:eastAsia="Calibri"/>
                <w:iCs/>
                <w:sz w:val="18"/>
                <w:szCs w:val="18"/>
              </w:rPr>
            </w:pPr>
            <w:r w:rsidRPr="003B7DC9">
              <w:rPr>
                <w:rFonts w:eastAsia="Calibri"/>
                <w:iCs/>
                <w:sz w:val="18"/>
                <w:szCs w:val="18"/>
              </w:rPr>
              <w:lastRenderedPageBreak/>
              <w:t>Autoritetet kompetente të shteteve anëtare dërgojnë një herë në vit feedback mbi shkëmbimin automatik të informacionit tek shtetet e tjera anëtare përkatëse, në përputhje me rregullimet praktike të dakorduara në mënyrë dypalëshe.</w:t>
            </w:r>
          </w:p>
          <w:p w14:paraId="287FB5C7" w14:textId="317EE4C1" w:rsidR="00314559" w:rsidRPr="003B7DC9" w:rsidRDefault="00314559" w:rsidP="00314559">
            <w:pPr>
              <w:pStyle w:val="legclearfix"/>
              <w:shd w:val="clear" w:color="auto" w:fill="FFFFFF"/>
              <w:spacing w:before="0" w:beforeAutospacing="0" w:after="240" w:afterAutospacing="0" w:line="360" w:lineRule="atLeast"/>
              <w:rPr>
                <w:rFonts w:eastAsia="Calibri"/>
                <w:iCs/>
                <w:sz w:val="18"/>
                <w:szCs w:val="18"/>
                <w:lang w:val="en-US"/>
              </w:rPr>
            </w:pPr>
          </w:p>
        </w:tc>
        <w:tc>
          <w:tcPr>
            <w:tcW w:w="1170" w:type="dxa"/>
          </w:tcPr>
          <w:p w14:paraId="4801E7A0" w14:textId="58C4ED2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tcPr>
          <w:p w14:paraId="6BB648EA" w14:textId="0DCA22D2"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16</w:t>
            </w:r>
          </w:p>
        </w:tc>
        <w:tc>
          <w:tcPr>
            <w:tcW w:w="4334" w:type="dxa"/>
          </w:tcPr>
          <w:p w14:paraId="510BC7E6" w14:textId="77777777" w:rsidR="00314559" w:rsidRPr="003B7DC9" w:rsidRDefault="00314559" w:rsidP="00314559">
            <w:pPr>
              <w:spacing w:before="100" w:beforeAutospacing="1" w:afterAutospacing="1"/>
              <w:ind w:left="720"/>
              <w:jc w:val="center"/>
              <w:outlineLvl w:val="2"/>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16</w:t>
            </w:r>
          </w:p>
          <w:p w14:paraId="4C00A383" w14:textId="77777777" w:rsidR="00314559" w:rsidRPr="003B7DC9" w:rsidRDefault="00314559" w:rsidP="00314559">
            <w:pPr>
              <w:pStyle w:val="ListParagraph"/>
              <w:spacing w:before="100" w:beforeAutospacing="1" w:after="100" w:afterAutospacing="1" w:line="240" w:lineRule="auto"/>
              <w:jc w:val="center"/>
              <w:rPr>
                <w:rFonts w:ascii="Times New Roman" w:eastAsia="Times New Roman" w:hAnsi="Times New Roman" w:cs="Times New Roman"/>
                <w:sz w:val="18"/>
                <w:szCs w:val="18"/>
                <w:lang w:eastAsia="sq-AL"/>
              </w:rPr>
            </w:pPr>
            <w:r w:rsidRPr="003B7DC9">
              <w:rPr>
                <w:rFonts w:ascii="Times New Roman" w:eastAsia="Times New Roman" w:hAnsi="Times New Roman" w:cs="Times New Roman"/>
                <w:b/>
                <w:bCs/>
                <w:sz w:val="18"/>
                <w:szCs w:val="18"/>
                <w:lang w:eastAsia="sq-AL"/>
              </w:rPr>
              <w:t>Informacioni për rezultatet e përdorimit</w:t>
            </w:r>
          </w:p>
          <w:p w14:paraId="4F8DB414" w14:textId="77777777" w:rsidR="00314559" w:rsidRPr="003B7DC9" w:rsidRDefault="00314559" w:rsidP="00314559">
            <w:pPr>
              <w:numPr>
                <w:ilvl w:val="0"/>
                <w:numId w:val="128"/>
              </w:numPr>
              <w:spacing w:before="100" w:beforeAutospacing="1" w:afterAutospacing="1"/>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Kur Drejtoria e Përgjithshme e Tatimeve i ka komunikuar informacion autoritetit kompetent të një shteti anëtar, ajo mund t’i kërkojë autoritetit marrës </w:t>
            </w:r>
            <w:r w:rsidRPr="003B7DC9">
              <w:rPr>
                <w:rFonts w:ascii="Times New Roman" w:eastAsia="Times New Roman" w:hAnsi="Times New Roman" w:cs="Times New Roman"/>
                <w:sz w:val="18"/>
                <w:szCs w:val="18"/>
                <w:lang w:eastAsia="sq-AL"/>
              </w:rPr>
              <w:t>të japë informacion për përdorimin dhe rezultatet e përdorimit të këtij informacioni</w:t>
            </w:r>
            <w:r w:rsidRPr="003B7DC9">
              <w:rPr>
                <w:rFonts w:ascii="Times New Roman" w:eastAsia="Times New Roman" w:hAnsi="Times New Roman" w:cs="Times New Roman"/>
                <w:bCs/>
                <w:sz w:val="18"/>
                <w:szCs w:val="18"/>
                <w:lang w:val="en-US"/>
              </w:rPr>
              <w:t>.</w:t>
            </w:r>
          </w:p>
          <w:p w14:paraId="0A4234CB" w14:textId="77777777" w:rsidR="00314559" w:rsidRPr="003B7DC9" w:rsidRDefault="00314559" w:rsidP="00314559">
            <w:pPr>
              <w:numPr>
                <w:ilvl w:val="0"/>
                <w:numId w:val="128"/>
              </w:numPr>
              <w:spacing w:before="100" w:beforeAutospacing="1" w:afterAutospacing="1"/>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Kur Drejtoria e Përgjithshme e Tatimeve ka marrë informacion sipas nenit 5 ose nenit 10 të këtij ligji dhe autoriteti kompetent që e ka komunikuar ka kërkuar </w:t>
            </w:r>
            <w:r w:rsidRPr="003B7DC9">
              <w:rPr>
                <w:rFonts w:ascii="Times New Roman" w:eastAsia="Times New Roman" w:hAnsi="Times New Roman" w:cs="Times New Roman"/>
                <w:sz w:val="18"/>
                <w:szCs w:val="18"/>
                <w:lang w:eastAsia="sq-AL"/>
              </w:rPr>
              <w:t>informacion për përdorimin dhe rezultatet e përdorimit të këtij informacioni</w:t>
            </w:r>
            <w:r w:rsidRPr="003B7DC9">
              <w:rPr>
                <w:rFonts w:ascii="Times New Roman" w:eastAsia="Times New Roman" w:hAnsi="Times New Roman" w:cs="Times New Roman"/>
                <w:bCs/>
                <w:sz w:val="18"/>
                <w:szCs w:val="18"/>
                <w:lang w:val="en-US"/>
              </w:rPr>
              <w:t xml:space="preserve">, Drejtoria e Përgjithshme e Tatimeve </w:t>
            </w:r>
            <w:r w:rsidRPr="003B7DC9">
              <w:rPr>
                <w:rFonts w:ascii="Times New Roman" w:eastAsia="Times New Roman" w:hAnsi="Times New Roman" w:cs="Times New Roman"/>
                <w:sz w:val="18"/>
                <w:szCs w:val="18"/>
                <w:lang w:eastAsia="sq-AL"/>
              </w:rPr>
              <w:t xml:space="preserve">e jep këtë informacion </w:t>
            </w:r>
            <w:r w:rsidRPr="003B7DC9">
              <w:rPr>
                <w:rFonts w:ascii="Times New Roman" w:eastAsia="Times New Roman" w:hAnsi="Times New Roman" w:cs="Times New Roman"/>
                <w:bCs/>
                <w:sz w:val="18"/>
                <w:szCs w:val="18"/>
                <w:lang w:val="en-US"/>
              </w:rPr>
              <w:t xml:space="preserve">sa më shpejt të jetë e mundur dhe, në çdo rast, jo më vonë se tre muaj nga data kur rezultati i përdorimit të informacionit bëhet i ditur. </w:t>
            </w:r>
          </w:p>
          <w:p w14:paraId="28EFF4D6" w14:textId="77777777" w:rsidR="00314559" w:rsidRPr="003B7DC9" w:rsidRDefault="00314559" w:rsidP="00314559">
            <w:pPr>
              <w:numPr>
                <w:ilvl w:val="0"/>
                <w:numId w:val="128"/>
              </w:numPr>
              <w:spacing w:before="100" w:beforeAutospacing="1" w:afterAutospacing="1"/>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Drejtoria e Përgjithshme e Tatimeve jep çdo vit </w:t>
            </w:r>
            <w:r w:rsidRPr="003B7DC9">
              <w:rPr>
                <w:rFonts w:ascii="Times New Roman" w:eastAsia="Times New Roman" w:hAnsi="Times New Roman" w:cs="Times New Roman"/>
                <w:sz w:val="18"/>
                <w:szCs w:val="18"/>
                <w:lang w:eastAsia="sq-AL"/>
              </w:rPr>
              <w:t xml:space="preserve">informacion për përdorimin dhe rezultatet e </w:t>
            </w:r>
            <w:r w:rsidRPr="003B7DC9">
              <w:rPr>
                <w:rFonts w:ascii="Times New Roman" w:eastAsia="Times New Roman" w:hAnsi="Times New Roman" w:cs="Times New Roman"/>
                <w:bCs/>
                <w:sz w:val="18"/>
                <w:szCs w:val="18"/>
                <w:lang w:val="en-US"/>
              </w:rPr>
              <w:t xml:space="preserve">shkëmbimit automatik të informacionit, në përputhje me </w:t>
            </w:r>
            <w:r w:rsidRPr="003B7DC9">
              <w:rPr>
                <w:rFonts w:ascii="Times New Roman" w:hAnsi="Times New Roman" w:cs="Times New Roman"/>
                <w:sz w:val="18"/>
                <w:szCs w:val="18"/>
              </w:rPr>
              <w:t xml:space="preserve">rregullimet </w:t>
            </w:r>
            <w:r w:rsidRPr="003B7DC9">
              <w:rPr>
                <w:rFonts w:ascii="Times New Roman" w:eastAsia="Times New Roman" w:hAnsi="Times New Roman" w:cs="Times New Roman"/>
                <w:bCs/>
                <w:sz w:val="18"/>
                <w:szCs w:val="18"/>
                <w:lang w:val="en-US"/>
              </w:rPr>
              <w:t>praktike të dakordësuara</w:t>
            </w:r>
            <w:r w:rsidRPr="003B7DC9">
              <w:rPr>
                <w:rFonts w:ascii="Times New Roman" w:hAnsi="Times New Roman" w:cs="Times New Roman"/>
                <w:sz w:val="18"/>
                <w:szCs w:val="18"/>
              </w:rPr>
              <w:t xml:space="preserve"> në mënyrë dypalëshe</w:t>
            </w:r>
            <w:r w:rsidRPr="003B7DC9">
              <w:rPr>
                <w:rFonts w:ascii="Times New Roman" w:eastAsia="Times New Roman" w:hAnsi="Times New Roman" w:cs="Times New Roman"/>
                <w:bCs/>
                <w:sz w:val="18"/>
                <w:szCs w:val="18"/>
                <w:lang w:val="en-US"/>
              </w:rPr>
              <w:t xml:space="preserve"> me autoritetet kompetente të shteteve anëtare të interesuara. </w:t>
            </w:r>
          </w:p>
          <w:p w14:paraId="18908C36" w14:textId="77777777" w:rsidR="00314559" w:rsidRPr="003B7DC9" w:rsidRDefault="00314559" w:rsidP="00314559">
            <w:pPr>
              <w:numPr>
                <w:ilvl w:val="0"/>
                <w:numId w:val="128"/>
              </w:numPr>
              <w:spacing w:before="100" w:beforeAutospacing="1" w:afterAutospacing="1"/>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sz w:val="18"/>
                <w:szCs w:val="18"/>
                <w:lang w:eastAsia="sq-AL"/>
              </w:rPr>
              <w:t>Informacioni sipas këtij neni transmetohet</w:t>
            </w:r>
            <w:r w:rsidRPr="003B7DC9">
              <w:rPr>
                <w:rFonts w:ascii="Times New Roman" w:eastAsia="Times New Roman" w:hAnsi="Times New Roman" w:cs="Times New Roman"/>
                <w:bCs/>
                <w:sz w:val="18"/>
                <w:szCs w:val="18"/>
                <w:lang w:val="en-US"/>
              </w:rPr>
              <w:t xml:space="preserve"> duke përdorur formularin standard të përcaktuar në aneksin IV të Rregullores Zbatuese të Komisionit (BE) 2015/2378, të ndryshuar. </w:t>
            </w:r>
          </w:p>
          <w:p w14:paraId="611E2320" w14:textId="68805B81" w:rsidR="00314559" w:rsidRPr="003B7DC9" w:rsidRDefault="00314559" w:rsidP="00314559">
            <w:pPr>
              <w:spacing w:after="200" w:line="276" w:lineRule="auto"/>
              <w:jc w:val="both"/>
              <w:rPr>
                <w:rFonts w:ascii="Times New Roman" w:eastAsia="Calibri" w:hAnsi="Times New Roman" w:cs="Times New Roman"/>
                <w:sz w:val="18"/>
                <w:szCs w:val="18"/>
                <w:lang w:val="en-US"/>
              </w:rPr>
            </w:pPr>
          </w:p>
        </w:tc>
        <w:tc>
          <w:tcPr>
            <w:tcW w:w="1066" w:type="dxa"/>
          </w:tcPr>
          <w:p w14:paraId="5C366860" w14:textId="0436A09B"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F</w:t>
            </w:r>
          </w:p>
        </w:tc>
        <w:tc>
          <w:tcPr>
            <w:tcW w:w="3060" w:type="dxa"/>
          </w:tcPr>
          <w:p w14:paraId="735C3D58" w14:textId="77777777" w:rsidR="00314559" w:rsidRPr="003B7DC9" w:rsidRDefault="00314559" w:rsidP="00314559">
            <w:pPr>
              <w:rPr>
                <w:rFonts w:ascii="Times New Roman" w:eastAsia="Calibri" w:hAnsi="Times New Roman" w:cs="Times New Roman"/>
                <w:sz w:val="18"/>
                <w:szCs w:val="18"/>
                <w:lang w:val="en-US"/>
              </w:rPr>
            </w:pPr>
          </w:p>
          <w:p w14:paraId="2C4BC5ED" w14:textId="3EB32D41" w:rsidR="00314559" w:rsidRPr="003B7DC9" w:rsidRDefault="00314559" w:rsidP="00314559">
            <w:pPr>
              <w:rPr>
                <w:rFonts w:ascii="Times New Roman" w:eastAsia="Calibri" w:hAnsi="Times New Roman" w:cs="Times New Roman"/>
                <w:sz w:val="18"/>
                <w:szCs w:val="18"/>
                <w:lang w:val="en-US"/>
              </w:rPr>
            </w:pPr>
          </w:p>
        </w:tc>
      </w:tr>
      <w:tr w:rsidR="00314559" w:rsidRPr="003B7DC9" w14:paraId="5E2E0282" w14:textId="77777777" w:rsidTr="00B75638">
        <w:tc>
          <w:tcPr>
            <w:tcW w:w="630" w:type="dxa"/>
          </w:tcPr>
          <w:p w14:paraId="582F7085" w14:textId="1A5C7A5D"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21853BF3" w14:textId="77777777"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SEKSIONI V</w:t>
            </w:r>
          </w:p>
          <w:p w14:paraId="70CD7BC0" w14:textId="77777777" w:rsidR="00314559" w:rsidRPr="003B7DC9" w:rsidRDefault="00314559" w:rsidP="00314559">
            <w:pPr>
              <w:jc w:val="both"/>
              <w:rPr>
                <w:rFonts w:ascii="Times New Roman" w:eastAsia="Calibri" w:hAnsi="Times New Roman" w:cs="Times New Roman"/>
                <w:b/>
                <w:bCs/>
                <w:iCs/>
                <w:sz w:val="18"/>
                <w:szCs w:val="18"/>
              </w:rPr>
            </w:pPr>
          </w:p>
          <w:p w14:paraId="0F59A449" w14:textId="5430D7A3"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Ndarja e praktikave më të mira dhe përvojës</w:t>
            </w:r>
          </w:p>
          <w:p w14:paraId="0BE4662F" w14:textId="77777777" w:rsidR="00314559" w:rsidRPr="003B7DC9" w:rsidRDefault="00314559" w:rsidP="00314559">
            <w:pPr>
              <w:jc w:val="both"/>
              <w:rPr>
                <w:rFonts w:ascii="Times New Roman" w:eastAsia="Calibri" w:hAnsi="Times New Roman" w:cs="Times New Roman"/>
                <w:b/>
                <w:bCs/>
                <w:iCs/>
                <w:sz w:val="18"/>
                <w:szCs w:val="18"/>
              </w:rPr>
            </w:pPr>
          </w:p>
          <w:p w14:paraId="7D00312C" w14:textId="6D024A2C"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15</w:t>
            </w:r>
          </w:p>
          <w:p w14:paraId="3B920CD0" w14:textId="77777777" w:rsidR="00314559" w:rsidRPr="003B7DC9" w:rsidRDefault="00314559" w:rsidP="00314559">
            <w:pPr>
              <w:jc w:val="both"/>
              <w:rPr>
                <w:rFonts w:ascii="Times New Roman" w:eastAsia="Calibri" w:hAnsi="Times New Roman" w:cs="Times New Roman"/>
                <w:b/>
                <w:bCs/>
                <w:iCs/>
                <w:sz w:val="18"/>
                <w:szCs w:val="18"/>
              </w:rPr>
            </w:pPr>
          </w:p>
          <w:p w14:paraId="0B6B6F15" w14:textId="086591AB"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Fusha e zbatimit dhe kushtet</w:t>
            </w:r>
          </w:p>
          <w:p w14:paraId="3391231D" w14:textId="77777777" w:rsidR="00314559" w:rsidRPr="003B7DC9" w:rsidRDefault="00314559" w:rsidP="00314559">
            <w:pPr>
              <w:numPr>
                <w:ilvl w:val="0"/>
                <w:numId w:val="60"/>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Shtetet anëtare, së bashku me Komisionin, shqyrtojnë dhe vlerësojnë bashkëpunimin administrativ sipas kësaj direktive dhe ndajnë përvojën e tyre, me qëllim përmirësimin e këtij bashkëpunimi dhe, kur është e përshtatshme, hartimin e rregullave në fushat përkatëse.</w:t>
            </w:r>
          </w:p>
          <w:p w14:paraId="61FCE8FF" w14:textId="77777777" w:rsidR="00314559" w:rsidRPr="003B7DC9" w:rsidRDefault="00314559" w:rsidP="00314559">
            <w:pPr>
              <w:numPr>
                <w:ilvl w:val="0"/>
                <w:numId w:val="60"/>
              </w:num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Shtetet anëtare mund, së bashku me Komisionin, të hartojnë udhëzime për çdo aspekt që konsiderohet i nevojshëm për ndarjen e praktikave më të mira dhe për ndarjen e përvojës.</w:t>
            </w:r>
          </w:p>
          <w:p w14:paraId="2EFC8173" w14:textId="6B7055CB" w:rsidR="00314559" w:rsidRPr="003B7DC9" w:rsidRDefault="00314559" w:rsidP="00314559">
            <w:pPr>
              <w:jc w:val="both"/>
              <w:rPr>
                <w:rFonts w:ascii="Times New Roman" w:eastAsia="Calibri" w:hAnsi="Times New Roman" w:cs="Times New Roman"/>
                <w:iCs/>
                <w:sz w:val="18"/>
                <w:szCs w:val="18"/>
                <w:lang w:val="en-US"/>
              </w:rPr>
            </w:pPr>
          </w:p>
        </w:tc>
        <w:tc>
          <w:tcPr>
            <w:tcW w:w="1170" w:type="dxa"/>
          </w:tcPr>
          <w:p w14:paraId="3AAE473A" w14:textId="15CAC41E"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tcPr>
          <w:p w14:paraId="76B7B6B8" w14:textId="419E5E02"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28</w:t>
            </w:r>
          </w:p>
        </w:tc>
        <w:tc>
          <w:tcPr>
            <w:tcW w:w="4334" w:type="dxa"/>
          </w:tcPr>
          <w:p w14:paraId="6839B39B" w14:textId="77777777" w:rsidR="00314559" w:rsidRPr="003B7DC9" w:rsidRDefault="00314559" w:rsidP="00314559">
            <w:pPr>
              <w:jc w:val="center"/>
              <w:rPr>
                <w:rFonts w:ascii="Times New Roman" w:hAnsi="Times New Roman" w:cs="Times New Roman"/>
                <w:b/>
                <w:bCs/>
                <w:sz w:val="18"/>
                <w:szCs w:val="18"/>
                <w:lang w:val="en-US"/>
              </w:rPr>
            </w:pPr>
            <w:r w:rsidRPr="003B7DC9">
              <w:rPr>
                <w:rFonts w:ascii="Times New Roman" w:hAnsi="Times New Roman" w:cs="Times New Roman"/>
                <w:b/>
                <w:bCs/>
                <w:sz w:val="18"/>
                <w:szCs w:val="18"/>
                <w:lang w:val="en-US"/>
              </w:rPr>
              <w:t>Neni 28</w:t>
            </w:r>
          </w:p>
          <w:p w14:paraId="08AC2BDC" w14:textId="77777777" w:rsidR="00314559" w:rsidRPr="003B7DC9" w:rsidRDefault="00314559" w:rsidP="00314559">
            <w:pPr>
              <w:jc w:val="center"/>
              <w:rPr>
                <w:rFonts w:ascii="Times New Roman" w:hAnsi="Times New Roman" w:cs="Times New Roman"/>
                <w:bCs/>
                <w:sz w:val="18"/>
                <w:szCs w:val="18"/>
                <w:lang w:val="en-US"/>
              </w:rPr>
            </w:pPr>
            <w:r w:rsidRPr="003B7DC9">
              <w:rPr>
                <w:rFonts w:ascii="Times New Roman" w:hAnsi="Times New Roman" w:cs="Times New Roman"/>
                <w:b/>
                <w:bCs/>
                <w:sz w:val="18"/>
                <w:szCs w:val="18"/>
                <w:lang w:val="en-US"/>
              </w:rPr>
              <w:t>Shkëmbimi i praktikave më të mira dhe i përvojave</w:t>
            </w:r>
          </w:p>
          <w:p w14:paraId="501B55A3" w14:textId="77777777" w:rsidR="00314559" w:rsidRPr="003B7DC9" w:rsidRDefault="00314559" w:rsidP="00314559">
            <w:pPr>
              <w:numPr>
                <w:ilvl w:val="0"/>
                <w:numId w:val="129"/>
              </w:numPr>
              <w:spacing w:after="200"/>
              <w:jc w:val="both"/>
              <w:rPr>
                <w:rFonts w:ascii="Times New Roman" w:hAnsi="Times New Roman" w:cs="Times New Roman"/>
                <w:bCs/>
                <w:sz w:val="18"/>
                <w:szCs w:val="18"/>
                <w:lang w:val="en-US"/>
              </w:rPr>
            </w:pPr>
            <w:r w:rsidRPr="003B7DC9">
              <w:rPr>
                <w:rFonts w:ascii="Times New Roman" w:hAnsi="Times New Roman" w:cs="Times New Roman"/>
                <w:bCs/>
                <w:sz w:val="18"/>
                <w:szCs w:val="18"/>
                <w:lang w:val="en-US"/>
              </w:rPr>
              <w:t xml:space="preserve">Drejtoria e Përgjithshme e Tatimeve, së bashku me Komisionin Evropian dhe autoritetet kompetente të shteteve anëtare, shqyrton funksionimin e bashkëpunimit administrativ dhe shkëmben </w:t>
            </w:r>
            <w:r w:rsidRPr="003B7DC9">
              <w:rPr>
                <w:rFonts w:ascii="Times New Roman" w:hAnsi="Times New Roman" w:cs="Times New Roman"/>
                <w:sz w:val="18"/>
                <w:szCs w:val="18"/>
                <w:lang w:val="en-US"/>
              </w:rPr>
              <w:t xml:space="preserve">përvoja dhe </w:t>
            </w:r>
            <w:r w:rsidRPr="003B7DC9">
              <w:rPr>
                <w:rFonts w:ascii="Times New Roman" w:hAnsi="Times New Roman" w:cs="Times New Roman"/>
                <w:bCs/>
                <w:sz w:val="18"/>
                <w:szCs w:val="18"/>
                <w:lang w:val="en-US"/>
              </w:rPr>
              <w:t xml:space="preserve">praktika më të mira për përmirësimin e efektivitetit të tij. </w:t>
            </w:r>
          </w:p>
          <w:p w14:paraId="43B12954" w14:textId="77777777" w:rsidR="00314559" w:rsidRPr="003B7DC9" w:rsidRDefault="00314559" w:rsidP="00314559">
            <w:pPr>
              <w:numPr>
                <w:ilvl w:val="0"/>
                <w:numId w:val="129"/>
              </w:numPr>
              <w:spacing w:after="200"/>
              <w:jc w:val="both"/>
              <w:rPr>
                <w:rFonts w:ascii="Times New Roman" w:hAnsi="Times New Roman" w:cs="Times New Roman"/>
                <w:bCs/>
                <w:sz w:val="18"/>
                <w:szCs w:val="18"/>
                <w:lang w:val="en-US"/>
              </w:rPr>
            </w:pPr>
            <w:r w:rsidRPr="003B7DC9">
              <w:rPr>
                <w:rFonts w:ascii="Times New Roman" w:hAnsi="Times New Roman" w:cs="Times New Roman"/>
                <w:bCs/>
                <w:sz w:val="18"/>
                <w:szCs w:val="18"/>
                <w:lang w:val="en-US"/>
              </w:rPr>
              <w:t xml:space="preserve">Drejtoria e Përgjithshme e Tatimeve mund të kontribuojë në hartimin e udhëzimeve dhe dokumenteve të përbashkëta në nivel të Bashkimit Evropian. </w:t>
            </w:r>
          </w:p>
          <w:p w14:paraId="770B5F4C" w14:textId="1F931281" w:rsidR="00314559" w:rsidRPr="003B7DC9" w:rsidRDefault="00314559" w:rsidP="00314559">
            <w:pPr>
              <w:spacing w:line="276" w:lineRule="auto"/>
              <w:jc w:val="both"/>
              <w:rPr>
                <w:rFonts w:ascii="Times New Roman" w:eastAsia="Calibri" w:hAnsi="Times New Roman" w:cs="Times New Roman"/>
                <w:sz w:val="18"/>
                <w:szCs w:val="18"/>
                <w:lang w:val="en-US"/>
              </w:rPr>
            </w:pPr>
          </w:p>
        </w:tc>
        <w:tc>
          <w:tcPr>
            <w:tcW w:w="1066" w:type="dxa"/>
          </w:tcPr>
          <w:p w14:paraId="0A53E2B2" w14:textId="0DD25647" w:rsidR="00314559" w:rsidRPr="003B7DC9" w:rsidRDefault="00314559" w:rsidP="00314559">
            <w:pPr>
              <w:jc w:val="center"/>
              <w:rPr>
                <w:rFonts w:ascii="Times New Roman" w:eastAsia="Calibri" w:hAnsi="Times New Roman" w:cs="Times New Roman"/>
                <w:sz w:val="18"/>
                <w:szCs w:val="18"/>
                <w:lang w:val="en-US"/>
              </w:rPr>
            </w:pPr>
          </w:p>
        </w:tc>
        <w:tc>
          <w:tcPr>
            <w:tcW w:w="3060" w:type="dxa"/>
          </w:tcPr>
          <w:p w14:paraId="772B9632" w14:textId="77777777" w:rsidR="00314559" w:rsidRPr="003B7DC9" w:rsidRDefault="00314559" w:rsidP="00314559">
            <w:pPr>
              <w:rPr>
                <w:rFonts w:ascii="Times New Roman" w:eastAsia="Calibri" w:hAnsi="Times New Roman" w:cs="Times New Roman"/>
                <w:sz w:val="18"/>
                <w:szCs w:val="18"/>
                <w:lang w:val="en-US"/>
              </w:rPr>
            </w:pPr>
          </w:p>
        </w:tc>
      </w:tr>
      <w:tr w:rsidR="00314559" w:rsidRPr="003B7DC9" w14:paraId="4C9F021D" w14:textId="77777777" w:rsidTr="00B75638">
        <w:trPr>
          <w:trHeight w:val="31165"/>
        </w:trPr>
        <w:tc>
          <w:tcPr>
            <w:tcW w:w="630" w:type="dxa"/>
          </w:tcPr>
          <w:p w14:paraId="2623294B" w14:textId="316FAF13"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268EC7E2" w14:textId="61E03CF6" w:rsidR="00314559" w:rsidRPr="003B7DC9" w:rsidRDefault="00314559" w:rsidP="00314559">
            <w:pPr>
              <w:spacing w:line="276" w:lineRule="auto"/>
              <w:jc w:val="both"/>
              <w:rPr>
                <w:rFonts w:ascii="Times New Roman" w:hAnsi="Times New Roman" w:cs="Times New Roman"/>
                <w:b/>
                <w:sz w:val="18"/>
                <w:szCs w:val="18"/>
                <w:lang w:val="en-GB"/>
              </w:rPr>
            </w:pPr>
          </w:p>
          <w:p w14:paraId="31763DE9" w14:textId="77777777" w:rsidR="00314559" w:rsidRPr="003B7DC9" w:rsidRDefault="00314559" w:rsidP="00314559">
            <w:pPr>
              <w:spacing w:line="276" w:lineRule="auto"/>
              <w:jc w:val="both"/>
              <w:rPr>
                <w:rFonts w:ascii="Times New Roman" w:hAnsi="Times New Roman" w:cs="Times New Roman"/>
                <w:b/>
                <w:bCs/>
                <w:sz w:val="18"/>
                <w:szCs w:val="18"/>
                <w:lang w:val="en-US"/>
              </w:rPr>
            </w:pPr>
            <w:r w:rsidRPr="003B7DC9">
              <w:rPr>
                <w:rFonts w:ascii="Times New Roman" w:hAnsi="Times New Roman" w:cs="Times New Roman"/>
                <w:b/>
                <w:bCs/>
                <w:sz w:val="18"/>
                <w:szCs w:val="18"/>
                <w:lang w:val="en-US"/>
              </w:rPr>
              <w:t>KREU IV</w:t>
            </w:r>
          </w:p>
          <w:p w14:paraId="2031F2F5" w14:textId="77777777" w:rsidR="00314559" w:rsidRPr="003B7DC9" w:rsidRDefault="00314559" w:rsidP="00314559">
            <w:pPr>
              <w:spacing w:line="276" w:lineRule="auto"/>
              <w:jc w:val="both"/>
              <w:rPr>
                <w:rFonts w:ascii="Times New Roman" w:hAnsi="Times New Roman" w:cs="Times New Roman"/>
                <w:sz w:val="18"/>
                <w:szCs w:val="18"/>
                <w:lang w:val="en-US"/>
              </w:rPr>
            </w:pPr>
            <w:r w:rsidRPr="003B7DC9">
              <w:rPr>
                <w:rFonts w:ascii="Times New Roman" w:hAnsi="Times New Roman" w:cs="Times New Roman"/>
                <w:b/>
                <w:bCs/>
                <w:sz w:val="18"/>
                <w:szCs w:val="18"/>
                <w:lang w:val="en-US"/>
              </w:rPr>
              <w:t>Kushtet që rregullojnë bashkëpunimin administrativ</w:t>
            </w:r>
          </w:p>
          <w:p w14:paraId="37425647" w14:textId="77777777" w:rsidR="00314559" w:rsidRPr="003B7DC9" w:rsidRDefault="00314559" w:rsidP="00314559">
            <w:pPr>
              <w:spacing w:line="276" w:lineRule="auto"/>
              <w:jc w:val="both"/>
              <w:rPr>
                <w:rFonts w:ascii="Times New Roman" w:hAnsi="Times New Roman" w:cs="Times New Roman"/>
                <w:b/>
                <w:bCs/>
                <w:sz w:val="18"/>
                <w:szCs w:val="18"/>
                <w:lang w:val="en-US"/>
              </w:rPr>
            </w:pPr>
            <w:r w:rsidRPr="003B7DC9">
              <w:rPr>
                <w:rFonts w:ascii="Times New Roman" w:hAnsi="Times New Roman" w:cs="Times New Roman"/>
                <w:b/>
                <w:bCs/>
                <w:sz w:val="18"/>
                <w:szCs w:val="18"/>
                <w:lang w:val="en-US"/>
              </w:rPr>
              <w:t>Neni 16</w:t>
            </w:r>
          </w:p>
          <w:p w14:paraId="06F4C141" w14:textId="77777777" w:rsidR="00314559" w:rsidRPr="003B7DC9" w:rsidRDefault="00314559" w:rsidP="00314559">
            <w:pPr>
              <w:spacing w:line="276" w:lineRule="auto"/>
              <w:jc w:val="both"/>
              <w:rPr>
                <w:rFonts w:ascii="Times New Roman" w:hAnsi="Times New Roman" w:cs="Times New Roman"/>
                <w:sz w:val="18"/>
                <w:szCs w:val="18"/>
                <w:lang w:val="en-US"/>
              </w:rPr>
            </w:pPr>
            <w:r w:rsidRPr="003B7DC9">
              <w:rPr>
                <w:rFonts w:ascii="Times New Roman" w:hAnsi="Times New Roman" w:cs="Times New Roman"/>
                <w:b/>
                <w:bCs/>
                <w:sz w:val="18"/>
                <w:szCs w:val="18"/>
                <w:lang w:val="en-US"/>
              </w:rPr>
              <w:t>Zbulimi i informacionit dhe dokumenteve</w:t>
            </w:r>
          </w:p>
          <w:p w14:paraId="76A69DD2" w14:textId="77777777" w:rsidR="00314559" w:rsidRPr="003B7DC9" w:rsidRDefault="00314559" w:rsidP="00314559">
            <w:p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▼M8</w:t>
            </w:r>
          </w:p>
          <w:p w14:paraId="71017EDE" w14:textId="77777777" w:rsidR="00314559" w:rsidRPr="003B7DC9" w:rsidRDefault="00314559" w:rsidP="00314559">
            <w:pPr>
              <w:numPr>
                <w:ilvl w:val="0"/>
                <w:numId w:val="61"/>
              </w:num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Informacioni i komunikuar ndërmjet shteteve anëtare në çdo formë sipas kësaj direktive mbulohet nga detyrimi i sekretit zyrtar dhe gëzon mbrojtjen e dhënë për informacione të ngjashme sipas legjislacionit kombëtar të shtetit anëtar që e ka marrë atë. Një informacion i tillë mund të përdoret për vlerësimin, administrimin dhe zbatimin e legjislacionit kombëtar të shteteve anëtare në lidhje me tatimet e përmendura në nenin 2, si dhe për TVSH</w:t>
            </w:r>
            <w:r w:rsidRPr="003B7DC9">
              <w:rPr>
                <w:rFonts w:ascii="Times New Roman" w:hAnsi="Times New Roman" w:cs="Times New Roman"/>
                <w:sz w:val="18"/>
                <w:szCs w:val="18"/>
                <w:lang w:val="en-US"/>
              </w:rPr>
              <w:noBreakHyphen/>
              <w:t>në, taksat e tjera indirekte, detyrimet doganore dhe luftën kundër pastrimit të parave dhe financimit të terrorizmit.</w:t>
            </w:r>
          </w:p>
          <w:p w14:paraId="616CF4F8" w14:textId="77777777" w:rsidR="00314559" w:rsidRPr="003B7DC9" w:rsidRDefault="00314559" w:rsidP="00314559">
            <w:p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▼B</w:t>
            </w:r>
          </w:p>
          <w:p w14:paraId="2BFEC4B5" w14:textId="77777777" w:rsidR="00314559" w:rsidRPr="003B7DC9" w:rsidRDefault="00314559" w:rsidP="00314559">
            <w:p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Një informacion i tillë mund të përdoret gjithashtu për vlerësimin dhe zbatimin e taksave dhe detyrimeve të tjera të mbuluara nga neni 2 i Direktivës së Këshillit 2010/24/BE të datës 16 mars 2010 për ndihmën e ndërsjellë për rikuperimin e pretendimeve në lidhje me taksat, detyrimet dhe masa të tjera, ose për vlerësimin dhe zbatimin e kontributeve të detyrueshme të sigurimeve shoqërore.</w:t>
            </w:r>
          </w:p>
          <w:p w14:paraId="67CD1BD5" w14:textId="77777777" w:rsidR="00314559" w:rsidRPr="003B7DC9" w:rsidRDefault="00314559" w:rsidP="00314559">
            <w:p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Për më tepër, ai mund të përdoret në lidhje me procedurat gjyqësore dhe administrative që mund të përfshijnë sanksione, të iniciuara si rezultat i shkeljeve të legjislacionit tatimor, pa cenuar rregullat dhe dispozitat e përgjithshme që rregullojnë të drejtat e të pandehurve dhe dëshmitarëve në procedura të tilla.</w:t>
            </w:r>
          </w:p>
          <w:p w14:paraId="42B1B08A" w14:textId="77777777" w:rsidR="00314559" w:rsidRPr="003B7DC9" w:rsidRDefault="00314559" w:rsidP="00314559">
            <w:p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▼M7</w:t>
            </w:r>
          </w:p>
          <w:p w14:paraId="35CE8922" w14:textId="77777777" w:rsidR="00314559" w:rsidRPr="003B7DC9" w:rsidRDefault="00314559" w:rsidP="00314559">
            <w:pPr>
              <w:numPr>
                <w:ilvl w:val="0"/>
                <w:numId w:val="62"/>
              </w:num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 xml:space="preserve">Me lejen e autoritetit kompetent të shtetit anëtar që komunikon informacion sipas kësaj direktive, dhe vetëm në masën që kjo lejohet sipas legjislacionit kombëtar të shtetit anëtar të autoritetit kompetent që merr informacionin, informacioni dhe dokumentet e marra sipas kësaj direktive mund të përdoren për qëllime të tjera përveç atyre të përmendura në pikën 1. Një leje e tillë jepet nëse informacioni mund të përdoret për qëllime të ngjashme në </w:t>
            </w:r>
            <w:r w:rsidRPr="003B7DC9">
              <w:rPr>
                <w:rFonts w:ascii="Times New Roman" w:hAnsi="Times New Roman" w:cs="Times New Roman"/>
                <w:sz w:val="18"/>
                <w:szCs w:val="18"/>
                <w:lang w:val="en-US"/>
              </w:rPr>
              <w:lastRenderedPageBreak/>
              <w:t>shtetin anëtar të autoritetit kompetent që komunikon informacionin.</w:t>
            </w:r>
          </w:p>
          <w:p w14:paraId="4F6F9F83" w14:textId="77777777" w:rsidR="00314559" w:rsidRPr="003B7DC9" w:rsidRDefault="00314559" w:rsidP="00314559">
            <w:p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Autoriteti kompetent i çdo shteti anëtar mund t’u komunikojë autoriteteve kompetente të të gjitha shteteve të tjera anëtare një listë qëllimesh për të cilat, në përputhje me legjislacionin e tij kombëtar, informacioni dhe dokumentet mund të përdoren, përveç atyre të përmendura në pikën 1. Autoriteti kompetent që merr informacionin dhe dokumentet mund të përdorë informacionin dhe dokumentet e marra pa lejen e përmendur në nënparagrafin e parë të kësaj pike për çdo nga qëllimet e listuara nga shteti anëtar që komunikon informacionin.</w:t>
            </w:r>
          </w:p>
          <w:p w14:paraId="08474D58" w14:textId="77777777" w:rsidR="00314559" w:rsidRPr="003B7DC9" w:rsidRDefault="00314559" w:rsidP="00314559">
            <w:p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▼M8</w:t>
            </w:r>
          </w:p>
          <w:p w14:paraId="326ED9E6" w14:textId="77777777" w:rsidR="00314559" w:rsidRPr="003B7DC9" w:rsidRDefault="00314559" w:rsidP="00314559">
            <w:p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Autoriteti kompetent që merr informacionin dhe dokumentet mund të përdorë gjithashtu informacionin dhe dokumentet e marra pa lejen e përmendur në nënparagrafin e parë të kësaj pike për çdo qëllim që mbulohet nga një akt i bazuar në nenin 215 të Traktatit për Funksionimin e Bashkimit Evropian dhe t’i ndajë ato për këtë qëllim me autoritetin kompetent përgjegjës për masat kufizuese në shtetin anëtar përkatës.</w:t>
            </w:r>
          </w:p>
          <w:p w14:paraId="61AA177B" w14:textId="77777777" w:rsidR="00314559" w:rsidRPr="003B7DC9" w:rsidRDefault="00314559" w:rsidP="00314559">
            <w:p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▼M8</w:t>
            </w:r>
          </w:p>
          <w:p w14:paraId="5553BC19" w14:textId="77777777" w:rsidR="00314559" w:rsidRPr="003B7DC9" w:rsidRDefault="00314559" w:rsidP="00314559">
            <w:pPr>
              <w:numPr>
                <w:ilvl w:val="0"/>
                <w:numId w:val="63"/>
              </w:num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Kur një autoritet kompetent i një shteti anëtar konsideron se informacioni që ai ka marrë nga autoriteti kompetent i një shteti tjetër anëtar ka të ngjarë të jetë i dobishëm për qëllimet e përmendura në pikën 1 për autoritetin kompetent të një shteti të tretë anëtar, ai mund ta transmetojë atë informacion tek ky i fundit, me kusht që transmetimi të jetë në përputhje me rregullat dhe procedurat e përcaktuara në këtë direktivë. Ai informon autoritetin kompetent të shtetit anëtar nga i cili buron informacioni mbi synimin e tij për ta ndarë atë informacion me një shtet të tretë anëtar. Shteti anëtar i origjinës së informacionit mund të kundërshtojë një ndarje të tillë të informacionit brenda 15 ditëve kalendarike nga marrja e komunikimit nga shteti anëtar që dëshiron të ndajë informacionin.</w:t>
            </w:r>
          </w:p>
          <w:p w14:paraId="0863F2F0" w14:textId="77777777" w:rsidR="00314559" w:rsidRPr="003B7DC9" w:rsidRDefault="00314559" w:rsidP="00314559">
            <w:p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▼B</w:t>
            </w:r>
          </w:p>
          <w:p w14:paraId="7D6B8B38" w14:textId="77777777" w:rsidR="00314559" w:rsidRPr="003B7DC9" w:rsidRDefault="00314559" w:rsidP="00314559">
            <w:pPr>
              <w:numPr>
                <w:ilvl w:val="0"/>
                <w:numId w:val="64"/>
              </w:num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Leja për të përdorur informacionin sipas pikës 2, që është transmetuar sipas pikës 3, mund të jepet vetëm nga autoriteti kompetent i shtetit anëtar nga i cili buron informacioni.</w:t>
            </w:r>
          </w:p>
          <w:p w14:paraId="21C8DFBA" w14:textId="77777777" w:rsidR="00314559" w:rsidRPr="003B7DC9" w:rsidRDefault="00314559" w:rsidP="00314559">
            <w:pPr>
              <w:numPr>
                <w:ilvl w:val="0"/>
                <w:numId w:val="64"/>
              </w:num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lastRenderedPageBreak/>
              <w:t>Informacioni, raportet, deklaratat dhe çdo dokument tjetër, ose kopjet e tyre të vërtetuara ose ekstraktet e tyre, të siguruara nga autoriteti i kërkuar dhe të komunikuara tek autoriteti kërkues në përputhje me këtë direktivë mund të përdoren si prova nga organet kompetente të shtetit anëtar kërkues mbi të njëjtën bazë si informacione, raporte, deklarata dhe çdo dokument tjetër i ngjashëm i siguruar nga një autoritet i atij shteti anëtar.</w:t>
            </w:r>
          </w:p>
          <w:p w14:paraId="323BAA21" w14:textId="77777777" w:rsidR="00314559" w:rsidRPr="003B7DC9" w:rsidRDefault="00314559" w:rsidP="00314559">
            <w:p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▼M3</w:t>
            </w:r>
          </w:p>
          <w:p w14:paraId="728F9B08" w14:textId="3DB9DB45" w:rsidR="00314559" w:rsidRPr="003B7DC9" w:rsidRDefault="00314559" w:rsidP="00314559">
            <w:pPr>
              <w:numPr>
                <w:ilvl w:val="0"/>
                <w:numId w:val="65"/>
              </w:numPr>
              <w:spacing w:line="276" w:lineRule="auto"/>
              <w:jc w:val="both"/>
              <w:rPr>
                <w:rFonts w:ascii="Times New Roman" w:hAnsi="Times New Roman" w:cs="Times New Roman"/>
                <w:sz w:val="18"/>
                <w:szCs w:val="18"/>
                <w:lang w:val="en-US"/>
              </w:rPr>
            </w:pPr>
            <w:r w:rsidRPr="003B7DC9">
              <w:rPr>
                <w:rFonts w:ascii="Times New Roman" w:hAnsi="Times New Roman" w:cs="Times New Roman"/>
                <w:sz w:val="18"/>
                <w:szCs w:val="18"/>
                <w:lang w:val="en-US"/>
              </w:rPr>
              <w:t>Pavarësisht nga pikat 1 deri në 4 të këtij neni, informacioni i komunikuar ndërmjet shteteve anëtare sipas nenit 8aa përdoret për qëllimet e vlerësimit të rreziqeve të përgjithshme të çmimeve të transferimit dhe të rreziqeve të tjera që lidhen me erozionin e bazës tatimore dhe zhvendosjen e fitimit, duke përfshirë vlerësimin e rrezikut të mospërputhjes nga anëtarët e grupit shumëkombësh me rregullat e zbatueshme për çmimet e transferimit dhe, kur është e përshtatshme, për analizë ekonomike dhe statistikore. Rregullimet e çmimeve të transferimit nga autoritetet tatimore të shtetit anëtar marrës nuk bazohen në informacionin e shkëmbyer sipas nenit 8aa. Pavarësisht nga sa më sipër, nuk ekziston ndalim për përdorimin e informacionit të komunikuar ndërmjet shteteve anëtare sipas nenit 8aa si bazë për kryerjen e hetimeve të mëtejshme mbi marrëveshjet e çmimeve të transferimit të grupit shumëkombësh ose mbi çështje të tjera tatimore në kuadër të një kontrolli tatimor dhe, si rezultat, mund të bëhen rregullimet e përshtatshme në të ardhurat e tatueshme të një Entiteti përbërës.</w:t>
            </w:r>
          </w:p>
          <w:p w14:paraId="2DF3E396" w14:textId="16A2E23D" w:rsidR="00314559" w:rsidRPr="003B7DC9" w:rsidRDefault="00314559" w:rsidP="00314559">
            <w:pPr>
              <w:shd w:val="clear" w:color="auto" w:fill="FFFFFF"/>
              <w:spacing w:before="120"/>
              <w:jc w:val="both"/>
              <w:rPr>
                <w:rFonts w:ascii="Times New Roman" w:eastAsia="Calibri" w:hAnsi="Times New Roman" w:cs="Times New Roman"/>
                <w:iCs/>
                <w:sz w:val="18"/>
                <w:szCs w:val="18"/>
                <w:lang w:val="en-US"/>
              </w:rPr>
            </w:pPr>
          </w:p>
        </w:tc>
        <w:tc>
          <w:tcPr>
            <w:tcW w:w="1170" w:type="dxa"/>
          </w:tcPr>
          <w:p w14:paraId="5C12CE0E" w14:textId="1ED2694C"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tcPr>
          <w:p w14:paraId="31FA75E7" w14:textId="1E5CDA70"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21</w:t>
            </w:r>
          </w:p>
        </w:tc>
        <w:tc>
          <w:tcPr>
            <w:tcW w:w="4334" w:type="dxa"/>
          </w:tcPr>
          <w:p w14:paraId="2A3C2B4A" w14:textId="77777777" w:rsidR="00314559" w:rsidRPr="003B7DC9" w:rsidRDefault="00314559" w:rsidP="00314559">
            <w:pPr>
              <w:spacing w:before="100" w:beforeAutospacing="1" w:after="100" w:afterAutospacing="1"/>
              <w:jc w:val="center"/>
              <w:rPr>
                <w:rFonts w:ascii="Times New Roman" w:hAnsi="Times New Roman" w:cs="Times New Roman"/>
                <w:b/>
                <w:sz w:val="18"/>
                <w:szCs w:val="18"/>
              </w:rPr>
            </w:pPr>
            <w:r w:rsidRPr="003B7DC9">
              <w:rPr>
                <w:rFonts w:ascii="Times New Roman" w:eastAsia="Times New Roman" w:hAnsi="Times New Roman" w:cs="Times New Roman"/>
                <w:b/>
                <w:sz w:val="18"/>
                <w:szCs w:val="18"/>
              </w:rPr>
              <w:t xml:space="preserve">KREU IV </w:t>
            </w:r>
            <w:r w:rsidRPr="003B7DC9">
              <w:rPr>
                <w:rFonts w:ascii="Times New Roman" w:eastAsia="Times New Roman" w:hAnsi="Times New Roman" w:cs="Times New Roman"/>
                <w:b/>
                <w:sz w:val="18"/>
                <w:szCs w:val="18"/>
              </w:rPr>
              <w:br/>
              <w:t xml:space="preserve">KONFIDENCIALITETI </w:t>
            </w:r>
            <w:r w:rsidRPr="003B7DC9">
              <w:rPr>
                <w:rFonts w:ascii="Times New Roman" w:hAnsi="Times New Roman" w:cs="Times New Roman"/>
                <w:b/>
                <w:sz w:val="18"/>
                <w:szCs w:val="18"/>
              </w:rPr>
              <w:t>DHE PËRDORIMET E LEJUARA TË INFORMACIONIT</w:t>
            </w:r>
          </w:p>
          <w:p w14:paraId="61557233" w14:textId="77777777" w:rsidR="00314559" w:rsidRPr="003B7DC9" w:rsidRDefault="00314559" w:rsidP="00314559">
            <w:pPr>
              <w:ind w:left="720"/>
              <w:jc w:val="center"/>
              <w:rPr>
                <w:rFonts w:ascii="Times New Roman" w:hAnsi="Times New Roman" w:cs="Times New Roman"/>
                <w:b/>
                <w:bCs/>
                <w:sz w:val="18"/>
                <w:szCs w:val="18"/>
                <w:lang w:val="en-US"/>
              </w:rPr>
            </w:pPr>
            <w:r w:rsidRPr="003B7DC9">
              <w:rPr>
                <w:rFonts w:ascii="Times New Roman" w:hAnsi="Times New Roman" w:cs="Times New Roman"/>
                <w:b/>
                <w:bCs/>
                <w:sz w:val="18"/>
                <w:szCs w:val="18"/>
                <w:lang w:val="en-US"/>
              </w:rPr>
              <w:t>Neni 21</w:t>
            </w:r>
          </w:p>
          <w:p w14:paraId="260AF0D6" w14:textId="77777777" w:rsidR="00314559" w:rsidRPr="003B7DC9" w:rsidRDefault="00314559" w:rsidP="00314559">
            <w:pPr>
              <w:ind w:left="720"/>
              <w:jc w:val="center"/>
              <w:rPr>
                <w:rFonts w:ascii="Times New Roman" w:hAnsi="Times New Roman" w:cs="Times New Roman"/>
                <w:bCs/>
                <w:sz w:val="18"/>
                <w:szCs w:val="18"/>
                <w:lang w:val="en-US"/>
              </w:rPr>
            </w:pPr>
            <w:r w:rsidRPr="003B7DC9">
              <w:rPr>
                <w:rFonts w:ascii="Times New Roman" w:hAnsi="Times New Roman" w:cs="Times New Roman"/>
                <w:b/>
                <w:bCs/>
                <w:sz w:val="18"/>
                <w:szCs w:val="18"/>
                <w:lang w:val="en-US"/>
              </w:rPr>
              <w:t>Konfidencialiteti dhe përdorimet e lejuara</w:t>
            </w:r>
          </w:p>
          <w:p w14:paraId="0CC60136" w14:textId="77777777" w:rsidR="00314559" w:rsidRPr="003B7DC9" w:rsidRDefault="00314559" w:rsidP="00314559">
            <w:pPr>
              <w:numPr>
                <w:ilvl w:val="0"/>
                <w:numId w:val="130"/>
              </w:numPr>
              <w:spacing w:after="200" w:line="276" w:lineRule="auto"/>
              <w:jc w:val="both"/>
              <w:rPr>
                <w:rFonts w:ascii="Times New Roman" w:hAnsi="Times New Roman" w:cs="Times New Roman"/>
                <w:bCs/>
                <w:sz w:val="18"/>
                <w:szCs w:val="18"/>
                <w:lang w:val="en-US"/>
              </w:rPr>
            </w:pPr>
            <w:r w:rsidRPr="003B7DC9">
              <w:rPr>
                <w:rFonts w:ascii="Times New Roman" w:hAnsi="Times New Roman" w:cs="Times New Roman"/>
                <w:bCs/>
                <w:sz w:val="18"/>
                <w:szCs w:val="18"/>
                <w:lang w:val="en-US"/>
              </w:rPr>
              <w:t xml:space="preserve">Informacioni i komunikuar sipas këtij ligji ose ligjeve të posaçme që zbatojnë Direktivën 2011/16/BE i nënshtrohet sekretit zyrtar dhe gëzon të njëjtën mbrojtje si informacioni i ngjashëm sipas legjislacionit shqiptar. Ky informacion mund të përdoret për vlerësimin, administrimin dhe zbatimin e legjislacionit tatimor që lidhet me tatimet e mbuluara nga ky ligj, si dhe për tatimin mbi vlerën e shtuar, tatimet e tjera indirekte, detyrimet doganore dhe për qëllime të parandalimit të pastrimit të parave dhe financimit të terrorizmit. </w:t>
            </w:r>
          </w:p>
          <w:p w14:paraId="23292253" w14:textId="77777777" w:rsidR="00314559" w:rsidRPr="003B7DC9" w:rsidRDefault="00314559" w:rsidP="00314559">
            <w:pPr>
              <w:numPr>
                <w:ilvl w:val="0"/>
                <w:numId w:val="130"/>
              </w:numPr>
              <w:spacing w:after="200" w:line="276" w:lineRule="auto"/>
              <w:jc w:val="both"/>
              <w:rPr>
                <w:rFonts w:ascii="Times New Roman" w:hAnsi="Times New Roman" w:cs="Times New Roman"/>
                <w:bCs/>
                <w:sz w:val="18"/>
                <w:szCs w:val="18"/>
                <w:lang w:val="en-US"/>
              </w:rPr>
            </w:pPr>
            <w:r w:rsidRPr="003B7DC9">
              <w:rPr>
                <w:rFonts w:ascii="Times New Roman" w:hAnsi="Times New Roman" w:cs="Times New Roman"/>
                <w:bCs/>
                <w:sz w:val="18"/>
                <w:szCs w:val="18"/>
                <w:lang w:val="en-US"/>
              </w:rPr>
              <w:t xml:space="preserve">Informacioni mund të përdoret gjithashtu për vlerësimin dhe zbatimin e tatimeve, taksave, detyrimeve dhe masave të tjera që mbulohen nga neni 2 i Direktivës 2010/24/BE të Këshillit, datë 16 mars 2010, për ndihmën e ndërsjellë për rikuperimin e kërkesave që lidhen me tatime, taksa dhe masa të tjera, si dhe për vlerësimin dhe zbatimin e kontributeve të detyrueshme të sigurimeve shoqërore dhe shëndetësore. Informacioni mund të përdoret edhe në procedura administrative ose gjyqësore që mund të çojnë në sanksione, të nisura si pasojë e shkeljeve të legjislacionit tatimor, pa cenuar rregullat për të drejtat e të pandehurve, palëve dhe dëshmitarëve në këto procedura. </w:t>
            </w:r>
          </w:p>
          <w:p w14:paraId="7C169C58" w14:textId="77777777" w:rsidR="00314559" w:rsidRPr="003B7DC9" w:rsidRDefault="00314559" w:rsidP="00314559">
            <w:pPr>
              <w:numPr>
                <w:ilvl w:val="0"/>
                <w:numId w:val="130"/>
              </w:numPr>
              <w:spacing w:after="200" w:line="276" w:lineRule="auto"/>
              <w:jc w:val="both"/>
              <w:rPr>
                <w:rFonts w:ascii="Times New Roman" w:hAnsi="Times New Roman" w:cs="Times New Roman"/>
                <w:bCs/>
                <w:sz w:val="18"/>
                <w:szCs w:val="18"/>
                <w:lang w:val="en-US"/>
              </w:rPr>
            </w:pPr>
            <w:r w:rsidRPr="003B7DC9">
              <w:rPr>
                <w:rFonts w:ascii="Times New Roman" w:hAnsi="Times New Roman" w:cs="Times New Roman"/>
                <w:bCs/>
                <w:sz w:val="18"/>
                <w:szCs w:val="18"/>
                <w:lang w:val="en-US"/>
              </w:rPr>
              <w:t xml:space="preserve">Me lejen e autoritetit kompetent të shtetit anëtar që ka komunikuar informacionin dhe vetëm në masën që lejohet nga legjislacioni shqiptar, </w:t>
            </w:r>
            <w:r w:rsidRPr="003B7DC9">
              <w:rPr>
                <w:rFonts w:ascii="Times New Roman" w:hAnsi="Times New Roman" w:cs="Times New Roman"/>
                <w:bCs/>
                <w:sz w:val="18"/>
                <w:szCs w:val="18"/>
                <w:lang w:val="en-US"/>
              </w:rPr>
              <w:lastRenderedPageBreak/>
              <w:t xml:space="preserve">informacioni dhe dokumentet e marra sipas këtij ligji mund të përdoren për qëllime të tjera nga ato të përcaktuara në pikat 1 dhe 2 të këtij neni. Leja jepet kur informacioni mund të përdoret për qëllime të ngjashme sipas legjislacionit të shtetit anëtar që ka komunikuar informacionin. Kur shteti anëtar që ka komunikuar informacionin ka njoftuar një listë qëllimesh për të cilat informacioni mund të përdoret pa leje të veçantë, Drejtoria e Përgjithshme e Tatimeve mund ta përdorë informacionin për këto qëllime. Informacioni mund të përdoret pa leje të veçantë edhe për qëllime të mbuluara nga një akt i miratuar në bazë të nenit 215 të Traktatit për Funksionimin e Bashkimit Evropian, lidhur me masat kufizuese të miratuara nga Bashkimi Evropian, dhe mund të ndahet për këtë qëllim me autoritetin kompetent për masat kufizuese. </w:t>
            </w:r>
            <w:r w:rsidRPr="003B7DC9">
              <w:rPr>
                <w:rFonts w:ascii="Times New Roman" w:eastAsia="Times New Roman" w:hAnsi="Times New Roman" w:cs="Times New Roman"/>
                <w:sz w:val="18"/>
                <w:szCs w:val="18"/>
                <w:lang w:val="sq-AL"/>
              </w:rPr>
              <w:t>Drejtoria e Përgjithshme e Tatimeve u komunikon autoriteteve kompetente të shteteve të tjera anëtare listën e qëllimeve, të ndryshme nga ato të përcaktuara në pikat 1 dhe 2 të këtij neni, për të cilat informacioni mund të përdoret sipas legjislacionit shqiptar pa leje të veçantë.</w:t>
            </w:r>
          </w:p>
          <w:p w14:paraId="5B21A474" w14:textId="7EF55687" w:rsidR="00314559" w:rsidRPr="003B7DC9" w:rsidRDefault="00314559" w:rsidP="00314559">
            <w:pPr>
              <w:pStyle w:val="ListParagraph"/>
              <w:numPr>
                <w:ilvl w:val="0"/>
                <w:numId w:val="130"/>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 xml:space="preserve">Kur Drejtoria e Përgjithshme e Tatimeve vlerëson se informacioni i marrë nga autoriteti kompetent i një shteti anëtar mund të jetë i dobishëm për autoritetin kompetent të një shteti tjetër anëtar për një ose më shumë nga qëllimet e përcaktuara në pikat 1 dhe 2 të këtij neni, ajo njofton paraprakisht autoritetin kompetent të shtetit anëtar nga i cili buron informacioni për synimin e përcjelljes. Drejtoria e Përgjithshme e Tatimeve mund t’ia përcjellë informacionin shtetit tjetër anëtar, në përputhje me rregullat dhe procedurat e këtij ligji, vetëm nëse autoriteti kompetent i shtetit anëtar nga i cili buron informacioni nuk e kundërshton </w:t>
            </w:r>
            <w:r w:rsidRPr="003B7DC9">
              <w:rPr>
                <w:rFonts w:ascii="Times New Roman" w:eastAsia="Times New Roman" w:hAnsi="Times New Roman" w:cs="Times New Roman"/>
                <w:sz w:val="18"/>
                <w:szCs w:val="18"/>
                <w:lang w:eastAsia="sq-AL"/>
              </w:rPr>
              <w:lastRenderedPageBreak/>
              <w:t>përcjelljen brenda 15 ditëve kalendarike nga marrja e njoftimit.</w:t>
            </w:r>
          </w:p>
          <w:p w14:paraId="34AEEAE1" w14:textId="77777777" w:rsidR="00314559" w:rsidRPr="003B7DC9" w:rsidRDefault="00314559" w:rsidP="00314559">
            <w:pPr>
              <w:numPr>
                <w:ilvl w:val="0"/>
                <w:numId w:val="130"/>
              </w:numPr>
              <w:spacing w:after="200" w:line="276" w:lineRule="auto"/>
              <w:jc w:val="both"/>
              <w:rPr>
                <w:rFonts w:ascii="Times New Roman" w:hAnsi="Times New Roman" w:cs="Times New Roman"/>
                <w:bCs/>
                <w:sz w:val="18"/>
                <w:szCs w:val="18"/>
                <w:lang w:val="en-US"/>
              </w:rPr>
            </w:pPr>
            <w:r w:rsidRPr="003B7DC9">
              <w:rPr>
                <w:rFonts w:ascii="Times New Roman" w:hAnsi="Times New Roman" w:cs="Times New Roman"/>
                <w:bCs/>
                <w:sz w:val="18"/>
                <w:szCs w:val="18"/>
                <w:lang w:val="en-US"/>
              </w:rPr>
              <w:t xml:space="preserve">Informacioni, raportet, deklaratat dhe çdo dokument tjetër, </w:t>
            </w:r>
            <w:r w:rsidRPr="003B7DC9">
              <w:rPr>
                <w:rFonts w:ascii="Times New Roman" w:eastAsia="Times New Roman" w:hAnsi="Times New Roman" w:cs="Times New Roman"/>
                <w:sz w:val="18"/>
                <w:szCs w:val="18"/>
                <w:lang w:eastAsia="sq-AL"/>
              </w:rPr>
              <w:t xml:space="preserve">kopjet e njësuara me origjinalin ose </w:t>
            </w:r>
            <w:r w:rsidRPr="003B7DC9">
              <w:rPr>
                <w:rFonts w:ascii="Times New Roman" w:hAnsi="Times New Roman" w:cs="Times New Roman"/>
                <w:sz w:val="18"/>
                <w:szCs w:val="18"/>
              </w:rPr>
              <w:t>ekstraktet</w:t>
            </w:r>
            <w:r w:rsidRPr="003B7DC9">
              <w:rPr>
                <w:rFonts w:ascii="Times New Roman" w:eastAsia="Times New Roman" w:hAnsi="Times New Roman" w:cs="Times New Roman"/>
                <w:sz w:val="18"/>
                <w:szCs w:val="18"/>
                <w:lang w:eastAsia="sq-AL"/>
              </w:rPr>
              <w:t xml:space="preserve"> e vërtetuara të tyre, </w:t>
            </w:r>
            <w:r w:rsidRPr="003B7DC9">
              <w:rPr>
                <w:rFonts w:ascii="Times New Roman" w:hAnsi="Times New Roman" w:cs="Times New Roman"/>
                <w:bCs/>
                <w:sz w:val="18"/>
                <w:szCs w:val="18"/>
                <w:lang w:val="en-US"/>
              </w:rPr>
              <w:t xml:space="preserve">të marra dhe të komunikuara sipas këtij ligji, mund të përdoren si provë nga organet kompetente në të njëjtat kushte si informacioni, raportet, deklaratat dhe dokumentet e ngjashme të siguruara nga autoritetet shqiptare. </w:t>
            </w:r>
          </w:p>
          <w:p w14:paraId="3575936E" w14:textId="77777777" w:rsidR="00314559" w:rsidRPr="003B7DC9" w:rsidRDefault="00314559" w:rsidP="00314559">
            <w:pPr>
              <w:numPr>
                <w:ilvl w:val="0"/>
                <w:numId w:val="130"/>
              </w:numPr>
              <w:spacing w:after="200" w:line="276" w:lineRule="auto"/>
              <w:jc w:val="both"/>
              <w:rPr>
                <w:rFonts w:ascii="Times New Roman" w:hAnsi="Times New Roman" w:cs="Times New Roman"/>
                <w:bCs/>
                <w:sz w:val="18"/>
                <w:szCs w:val="18"/>
                <w:lang w:val="en-US"/>
              </w:rPr>
            </w:pPr>
            <w:r w:rsidRPr="003B7DC9">
              <w:rPr>
                <w:rFonts w:ascii="Times New Roman" w:hAnsi="Times New Roman" w:cs="Times New Roman"/>
                <w:bCs/>
                <w:sz w:val="18"/>
                <w:szCs w:val="18"/>
                <w:lang w:val="en-US"/>
              </w:rPr>
              <w:t>Kur informacioni i komunikuar nga një shtet anëtar i është transmetuar më tej një shteti tjetër anëtar, leja për përdorimin e tij për qëllime të tjera mund të jepet vetëm nga autoriteti kompetent i shtetit anëtar nga i cili buron informacioni.</w:t>
            </w:r>
          </w:p>
          <w:p w14:paraId="7AA5A6B1" w14:textId="77777777" w:rsidR="00314559" w:rsidRPr="003B7DC9" w:rsidRDefault="00314559" w:rsidP="00314559">
            <w:pPr>
              <w:pStyle w:val="ListParagraph"/>
              <w:numPr>
                <w:ilvl w:val="0"/>
                <w:numId w:val="130"/>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Kur një ligj i posaçëm që zbaton Direktivën 2011/16/BE, të ndryshuar, parashikon kufizime më të ngushta për përdorimin e një kategorie të caktuar informacioni, këto kufizime zbatohen për informacionin e marrë ose të komunikuar sipas atij ligji.</w:t>
            </w:r>
          </w:p>
          <w:p w14:paraId="7089E5B9" w14:textId="0A596462" w:rsidR="00314559" w:rsidRPr="003B7DC9" w:rsidRDefault="00314559" w:rsidP="00314559">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Kur informacioni merret ose komunikohet në bazë të një instrumenti ndërkombëtar të zbatueshëm, për atë informacion zbatohen edhe kufizimet e përdorimit dhe konfidencialitetit të parashikuara në instrumentin përkatës.</w:t>
            </w:r>
          </w:p>
        </w:tc>
        <w:tc>
          <w:tcPr>
            <w:tcW w:w="1066" w:type="dxa"/>
          </w:tcPr>
          <w:p w14:paraId="632F9B16" w14:textId="77777777"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p w14:paraId="753EE87F" w14:textId="7DD467F2" w:rsidR="00314559" w:rsidRPr="003B7DC9" w:rsidRDefault="00314559" w:rsidP="00314559">
            <w:pPr>
              <w:jc w:val="center"/>
              <w:rPr>
                <w:rFonts w:ascii="Times New Roman" w:eastAsia="Calibri" w:hAnsi="Times New Roman" w:cs="Times New Roman"/>
                <w:sz w:val="18"/>
                <w:szCs w:val="18"/>
                <w:lang w:val="en-US"/>
              </w:rPr>
            </w:pPr>
          </w:p>
        </w:tc>
        <w:tc>
          <w:tcPr>
            <w:tcW w:w="3060" w:type="dxa"/>
          </w:tcPr>
          <w:p w14:paraId="096A4328" w14:textId="77777777" w:rsidR="00314559" w:rsidRPr="003B7DC9" w:rsidRDefault="00314559" w:rsidP="00314559">
            <w:pPr>
              <w:pBdr>
                <w:top w:val="nil"/>
                <w:left w:val="nil"/>
                <w:bottom w:val="nil"/>
                <w:right w:val="nil"/>
                <w:between w:val="nil"/>
              </w:pBdr>
              <w:spacing w:before="120"/>
              <w:jc w:val="both"/>
              <w:rPr>
                <w:rFonts w:ascii="Times New Roman" w:eastAsia="Calibri" w:hAnsi="Times New Roman" w:cs="Times New Roman"/>
                <w:sz w:val="18"/>
                <w:szCs w:val="18"/>
                <w:lang w:val="en-US"/>
              </w:rPr>
            </w:pPr>
          </w:p>
        </w:tc>
      </w:tr>
      <w:tr w:rsidR="00314559" w:rsidRPr="003B7DC9" w14:paraId="7CCF4510" w14:textId="77777777" w:rsidTr="00B75638">
        <w:trPr>
          <w:trHeight w:val="269"/>
        </w:trPr>
        <w:tc>
          <w:tcPr>
            <w:tcW w:w="630" w:type="dxa"/>
          </w:tcPr>
          <w:p w14:paraId="6738BE7B" w14:textId="7C2C631E"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5567BFFD" w14:textId="77777777" w:rsidR="00314559" w:rsidRPr="003B7DC9" w:rsidRDefault="00314559" w:rsidP="00314559">
            <w:pPr>
              <w:spacing w:line="276" w:lineRule="auto"/>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17</w:t>
            </w:r>
          </w:p>
          <w:p w14:paraId="083D2D0C" w14:textId="77777777" w:rsidR="00314559" w:rsidRPr="003B7DC9" w:rsidRDefault="00314559" w:rsidP="00314559">
            <w:p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Kufizimet</w:t>
            </w:r>
          </w:p>
          <w:p w14:paraId="2DF5DA8F" w14:textId="77777777" w:rsidR="00314559" w:rsidRPr="003B7DC9" w:rsidRDefault="00314559" w:rsidP="00314559">
            <w:pPr>
              <w:numPr>
                <w:ilvl w:val="0"/>
                <w:numId w:val="66"/>
              </w:num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Një autoritet i kërkuar në një shtet anëtar i jep një autoriteti kërkues në një shtet tjetër anëtar informacionin e përmendur në nenin 5, me kusht që autoriteti kërkues të ketë shteruar burimet e zakonshme të informacionit që ai mund të kishte përdorur në rrethanat për të siguruar informacionin e kërkuar, pa rrezikuar cenimin e arritjes së objektivave të tij.</w:t>
            </w:r>
          </w:p>
          <w:p w14:paraId="4BCE7870" w14:textId="77777777" w:rsidR="00314559" w:rsidRPr="003B7DC9" w:rsidRDefault="00314559" w:rsidP="00314559">
            <w:pPr>
              <w:numPr>
                <w:ilvl w:val="0"/>
                <w:numId w:val="66"/>
              </w:num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Kjo direktivë nuk i imponon asnjë detyrim një shteti anëtar të kërkuar për të kryer hetime ose për të komunikuar informacion, nëse do të ishte në kundërshtim me legjislacionin e tij të kryejë hetime të tilla ose të mbledhë informacionin e kërkuar për qëllimet e veta.</w:t>
            </w:r>
          </w:p>
          <w:p w14:paraId="4AEF4E62" w14:textId="77777777" w:rsidR="00314559" w:rsidRPr="003B7DC9" w:rsidRDefault="00314559" w:rsidP="00314559">
            <w:pPr>
              <w:numPr>
                <w:ilvl w:val="0"/>
                <w:numId w:val="66"/>
              </w:num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i një shteti anëtar të kërkuar mund të refuzojë të japë informacion nëse shteti anëtar kërkues, për arsye ligjore, nuk është në gjendje të japë informacion të ngjashëm.</w:t>
            </w:r>
          </w:p>
          <w:p w14:paraId="599EDC71" w14:textId="77777777" w:rsidR="00314559" w:rsidRPr="003B7DC9" w:rsidRDefault="00314559" w:rsidP="00314559">
            <w:pPr>
              <w:numPr>
                <w:ilvl w:val="0"/>
                <w:numId w:val="66"/>
              </w:num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Dhënia e informacionit mund të refuzohet nëse do të çonte në zbulimin e një sekreti tregtar, industrial ose profesional, ose të një procesi tregtar, ose të informacionit zbulimi i të cilit do të ishte në kundërshtim me rendin publik.</w:t>
            </w:r>
          </w:p>
          <w:p w14:paraId="3E7BC8E5" w14:textId="77777777" w:rsidR="00314559" w:rsidRPr="003B7DC9" w:rsidRDefault="00314559" w:rsidP="00314559">
            <w:pPr>
              <w:numPr>
                <w:ilvl w:val="0"/>
                <w:numId w:val="66"/>
              </w:numPr>
              <w:spacing w:line="276" w:lineRule="auto"/>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i kërkuar informon autoritetin kërkues për arsyet e refuzimit të një kërkese për informacion.</w:t>
            </w:r>
          </w:p>
          <w:p w14:paraId="06F066A7" w14:textId="237219FB" w:rsidR="00314559" w:rsidRPr="003B7DC9" w:rsidRDefault="00314559" w:rsidP="00314559">
            <w:pPr>
              <w:jc w:val="both"/>
              <w:rPr>
                <w:rFonts w:ascii="Times New Roman" w:eastAsia="Calibri" w:hAnsi="Times New Roman" w:cs="Times New Roman"/>
                <w:iCs/>
                <w:sz w:val="18"/>
                <w:szCs w:val="18"/>
                <w:lang w:val="en-US"/>
              </w:rPr>
            </w:pPr>
          </w:p>
        </w:tc>
        <w:tc>
          <w:tcPr>
            <w:tcW w:w="1170" w:type="dxa"/>
          </w:tcPr>
          <w:p w14:paraId="39CED585" w14:textId="091E5D82"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tcPr>
          <w:p w14:paraId="1B0652E2" w14:textId="231A5633"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9</w:t>
            </w:r>
          </w:p>
        </w:tc>
        <w:tc>
          <w:tcPr>
            <w:tcW w:w="4334" w:type="dxa"/>
            <w:tcBorders>
              <w:bottom w:val="dashed" w:sz="4" w:space="0" w:color="auto"/>
            </w:tcBorders>
          </w:tcPr>
          <w:p w14:paraId="6433A194" w14:textId="4088179D" w:rsidR="00314559" w:rsidRPr="003B7DC9" w:rsidRDefault="00314559" w:rsidP="00314559">
            <w:pPr>
              <w:jc w:val="both"/>
              <w:rPr>
                <w:rFonts w:ascii="Times New Roman" w:eastAsia="Calibri" w:hAnsi="Times New Roman" w:cs="Times New Roman"/>
                <w:sz w:val="18"/>
                <w:szCs w:val="18"/>
                <w:lang w:val="en-US"/>
              </w:rPr>
            </w:pPr>
          </w:p>
          <w:p w14:paraId="0DB9567A" w14:textId="77777777" w:rsidR="00314559" w:rsidRPr="003B7DC9" w:rsidRDefault="00314559" w:rsidP="00314559">
            <w:pPr>
              <w:spacing w:before="100" w:beforeAutospacing="1" w:after="100" w:afterAutospacing="1"/>
              <w:ind w:left="360"/>
              <w:jc w:val="center"/>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9</w:t>
            </w:r>
          </w:p>
          <w:p w14:paraId="1A3735AD" w14:textId="77777777" w:rsidR="00314559" w:rsidRPr="003B7DC9" w:rsidRDefault="00314559" w:rsidP="00314559">
            <w:pPr>
              <w:spacing w:before="100" w:beforeAutospacing="1" w:after="100" w:afterAutospacing="1"/>
              <w:ind w:left="360"/>
              <w:jc w:val="center"/>
              <w:rPr>
                <w:rFonts w:ascii="Times New Roman" w:eastAsia="Times New Roman" w:hAnsi="Times New Roman" w:cs="Times New Roman"/>
                <w:bCs/>
                <w:sz w:val="18"/>
                <w:szCs w:val="18"/>
                <w:lang w:val="en-US"/>
              </w:rPr>
            </w:pPr>
            <w:r w:rsidRPr="003B7DC9">
              <w:rPr>
                <w:rFonts w:ascii="Times New Roman" w:eastAsia="Times New Roman" w:hAnsi="Times New Roman" w:cs="Times New Roman"/>
                <w:b/>
                <w:bCs/>
                <w:sz w:val="18"/>
                <w:szCs w:val="18"/>
                <w:lang w:val="en-US"/>
              </w:rPr>
              <w:t>Refuzimet dhe kufizimet</w:t>
            </w:r>
          </w:p>
          <w:p w14:paraId="5312FFE5" w14:textId="77777777" w:rsidR="00314559" w:rsidRPr="003B7DC9" w:rsidRDefault="00314559" w:rsidP="00314559">
            <w:pPr>
              <w:numPr>
                <w:ilvl w:val="0"/>
                <w:numId w:val="131"/>
              </w:numPr>
              <w:spacing w:before="100" w:beforeAutospacing="1" w:after="100" w:afterAutospacing="1"/>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Drejtoria e Përgjithshme e Tatimeve mund të refuzojë dhënien e informacionit të përmendur në nenin 5 në rastet kur:</w:t>
            </w:r>
          </w:p>
          <w:p w14:paraId="1AEFCA10"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a) autoriteti kërkues nuk ka shfrytëzuar burimet e tij të zakonshme të informacionit për të marrë informacionin e kërkuar dhe mund ta kishte bërë këtë pa rrezikuar </w:t>
            </w:r>
            <w:r w:rsidRPr="003B7DC9">
              <w:rPr>
                <w:rFonts w:ascii="Times New Roman" w:hAnsi="Times New Roman" w:cs="Times New Roman"/>
                <w:sz w:val="18"/>
                <w:szCs w:val="18"/>
              </w:rPr>
              <w:t>arritjen e objektivave të kërkesës</w:t>
            </w:r>
            <w:r w:rsidRPr="003B7DC9">
              <w:rPr>
                <w:rFonts w:ascii="Times New Roman" w:eastAsia="Times New Roman" w:hAnsi="Times New Roman" w:cs="Times New Roman"/>
                <w:bCs/>
                <w:sz w:val="18"/>
                <w:szCs w:val="18"/>
                <w:lang w:val="en-US"/>
              </w:rPr>
              <w:t>;</w:t>
            </w:r>
            <w:r w:rsidRPr="003B7DC9">
              <w:rPr>
                <w:rFonts w:ascii="Times New Roman" w:eastAsia="Times New Roman" w:hAnsi="Times New Roman" w:cs="Times New Roman"/>
                <w:bCs/>
                <w:sz w:val="18"/>
                <w:szCs w:val="18"/>
                <w:lang w:val="en-US"/>
              </w:rPr>
              <w:br/>
              <w:t>b) kryerja e hetimeve ose mbledhja e informacionit të kërkuar do të ishte në kundërshtim me legjislacionin shqiptar, nëse hetime ose mbledhje të tilla do të kryheshin për qëllimet e veta tatimore;</w:t>
            </w:r>
            <w:r w:rsidRPr="003B7DC9">
              <w:rPr>
                <w:rFonts w:ascii="Times New Roman" w:eastAsia="Times New Roman" w:hAnsi="Times New Roman" w:cs="Times New Roman"/>
                <w:bCs/>
                <w:sz w:val="18"/>
                <w:szCs w:val="18"/>
                <w:lang w:val="en-US"/>
              </w:rPr>
              <w:br/>
              <w:t>c) autoriteti kërkues nuk mund të japë informacion të ngjashëm për arsye ligjore;</w:t>
            </w:r>
            <w:r w:rsidRPr="003B7DC9">
              <w:rPr>
                <w:rFonts w:ascii="Times New Roman" w:eastAsia="Times New Roman" w:hAnsi="Times New Roman" w:cs="Times New Roman"/>
                <w:bCs/>
                <w:sz w:val="18"/>
                <w:szCs w:val="18"/>
                <w:lang w:val="en-US"/>
              </w:rPr>
              <w:br/>
              <w:t xml:space="preserve">ç) zbulimi i informacionit do të çonte në zbulimin e një sekreti tregtar, industrial, profesional ose të një procesi tregtar, ose të informacionit, zbulimi i të cilit do të ishte në kundërshtim me rendin publik. </w:t>
            </w:r>
          </w:p>
          <w:p w14:paraId="7C27816E"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2. Drejtoria e Përgjithshme e Tatimeve nuk mund të refuzojë dhënien e informacionit vetëm për shkak se ky informacion mbahet nga një bankë, një institucion tjetër financiar, </w:t>
            </w:r>
            <w:r w:rsidRPr="003B7DC9">
              <w:rPr>
                <w:rFonts w:ascii="Times New Roman" w:eastAsia="Times New Roman" w:hAnsi="Times New Roman" w:cs="Times New Roman"/>
                <w:sz w:val="18"/>
                <w:szCs w:val="18"/>
                <w:lang w:eastAsia="sq-AL"/>
              </w:rPr>
              <w:t>një person i emëruar për llogari të një personi tjetër, një agjent ose një person që vepron në cilësi fiduciare</w:t>
            </w:r>
            <w:r w:rsidRPr="003B7DC9">
              <w:rPr>
                <w:rFonts w:ascii="Times New Roman" w:eastAsia="Times New Roman" w:hAnsi="Times New Roman" w:cs="Times New Roman"/>
                <w:bCs/>
                <w:sz w:val="18"/>
                <w:szCs w:val="18"/>
                <w:lang w:val="en-US"/>
              </w:rPr>
              <w:t xml:space="preserve"> ose sepse informacioni lidhet me interesa pronësorë të një personi. </w:t>
            </w:r>
          </w:p>
          <w:p w14:paraId="5CA65582" w14:textId="379DE703"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lastRenderedPageBreak/>
              <w:t xml:space="preserve">3. Drejtoria e Përgjithshme e Tatimeve njofton autoritetin kërkues për arsyet e refuzimit të plotë ose të pjesshëm të kërkesës. </w:t>
            </w:r>
          </w:p>
        </w:tc>
        <w:tc>
          <w:tcPr>
            <w:tcW w:w="1066" w:type="dxa"/>
            <w:tcBorders>
              <w:bottom w:val="dashed" w:sz="4" w:space="0" w:color="auto"/>
            </w:tcBorders>
          </w:tcPr>
          <w:p w14:paraId="742B38E9" w14:textId="251DC0B6" w:rsidR="00314559" w:rsidRPr="003B7DC9" w:rsidRDefault="00314559" w:rsidP="00314559">
            <w:pPr>
              <w:jc w:val="center"/>
              <w:rPr>
                <w:rFonts w:ascii="Times New Roman" w:eastAsia="Calibri" w:hAnsi="Times New Roman" w:cs="Times New Roman"/>
                <w:sz w:val="18"/>
                <w:szCs w:val="18"/>
                <w:lang w:val="en-US"/>
              </w:rPr>
            </w:pPr>
          </w:p>
        </w:tc>
        <w:tc>
          <w:tcPr>
            <w:tcW w:w="3060" w:type="dxa"/>
            <w:tcBorders>
              <w:bottom w:val="dashed" w:sz="4" w:space="0" w:color="auto"/>
            </w:tcBorders>
          </w:tcPr>
          <w:p w14:paraId="393336EF" w14:textId="77777777" w:rsidR="00314559" w:rsidRPr="003B7DC9" w:rsidRDefault="00314559" w:rsidP="00314559">
            <w:pPr>
              <w:rPr>
                <w:rFonts w:ascii="Times New Roman" w:eastAsia="Calibri" w:hAnsi="Times New Roman" w:cs="Times New Roman"/>
                <w:sz w:val="18"/>
                <w:szCs w:val="18"/>
                <w:lang w:val="en-US"/>
              </w:rPr>
            </w:pPr>
          </w:p>
        </w:tc>
      </w:tr>
      <w:tr w:rsidR="00314559" w:rsidRPr="003B7DC9" w14:paraId="12DBA1A2" w14:textId="77777777" w:rsidTr="00B75638">
        <w:tc>
          <w:tcPr>
            <w:tcW w:w="630" w:type="dxa"/>
          </w:tcPr>
          <w:p w14:paraId="369979A3" w14:textId="79F430B9"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20C9E637" w14:textId="77777777" w:rsidR="00314559" w:rsidRPr="003B7DC9" w:rsidRDefault="00314559" w:rsidP="00314559">
            <w:pPr>
              <w:spacing w:line="276" w:lineRule="auto"/>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18</w:t>
            </w:r>
          </w:p>
          <w:p w14:paraId="7C9181A0"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Detyrimet</w:t>
            </w:r>
          </w:p>
          <w:p w14:paraId="7526D96C" w14:textId="77777777" w:rsidR="00314559" w:rsidRPr="003B7DC9" w:rsidRDefault="00314559" w:rsidP="00314559">
            <w:pPr>
              <w:numPr>
                <w:ilvl w:val="0"/>
                <w:numId w:val="67"/>
              </w:numPr>
              <w:spacing w:line="276" w:lineRule="auto"/>
              <w:rPr>
                <w:rFonts w:ascii="Times New Roman" w:eastAsia="Calibri" w:hAnsi="Times New Roman" w:cs="Times New Roman"/>
                <w:iCs/>
                <w:sz w:val="18"/>
                <w:szCs w:val="18"/>
              </w:rPr>
            </w:pPr>
          </w:p>
          <w:p w14:paraId="6E6FFFA4"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Nëse informacioni kërkohet nga një shtet anëtar në përputhje me këtë direktivë, shteti anëtar i kërkuar përdor masat e tij që synojnë mbledhjen e informacionit për të siguruar informacionin e kërkuar, edhe pse ky shtet anëtar mund të mos ketë nevojë për këtë informacion për qëllimet e veta tatimore. Ky detyrim nuk cenon pikat 2, 3 dhe 4 të nenit 17, thirrja e të cilave në asnjë rast nuk interpretohet si lejim për një shtet anëtar të kërkuar të refuzojë dhënien e informacionit vetëm për arsye se ai nuk ka interes të brendshëm për këtë informacion.</w:t>
            </w:r>
          </w:p>
          <w:p w14:paraId="59AF16B6" w14:textId="77777777" w:rsidR="00314559" w:rsidRPr="003B7DC9" w:rsidRDefault="00314559" w:rsidP="00314559">
            <w:pPr>
              <w:numPr>
                <w:ilvl w:val="0"/>
                <w:numId w:val="68"/>
              </w:numPr>
              <w:spacing w:line="276" w:lineRule="auto"/>
              <w:rPr>
                <w:rFonts w:ascii="Times New Roman" w:eastAsia="Calibri" w:hAnsi="Times New Roman" w:cs="Times New Roman"/>
                <w:iCs/>
                <w:sz w:val="18"/>
                <w:szCs w:val="18"/>
              </w:rPr>
            </w:pPr>
          </w:p>
          <w:p w14:paraId="2D071FC2"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Në asnjë rast nenet 17(2) dhe (4) nuk interpretohen si lejim për një autoritet të kërkuar të një shteti anëtar të refuzojë dhënien e informacionit vetëm për arsye se ky informacion mbahet nga një bankë, institucion tjetër financiar, një ndërmjetës ose një person që vepron në një kapacitet agjent ose fiduciari, ose sepse lidhet me interesa pronësie në një person.</w:t>
            </w:r>
          </w:p>
          <w:p w14:paraId="055A0E93" w14:textId="77777777" w:rsidR="00314559" w:rsidRPr="003B7DC9" w:rsidRDefault="00314559" w:rsidP="00314559">
            <w:pPr>
              <w:numPr>
                <w:ilvl w:val="0"/>
                <w:numId w:val="69"/>
              </w:numPr>
              <w:spacing w:line="276" w:lineRule="auto"/>
              <w:rPr>
                <w:rFonts w:ascii="Times New Roman" w:eastAsia="Calibri" w:hAnsi="Times New Roman" w:cs="Times New Roman"/>
                <w:iCs/>
                <w:sz w:val="18"/>
                <w:szCs w:val="18"/>
              </w:rPr>
            </w:pPr>
          </w:p>
          <w:p w14:paraId="6AEDE09C"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Pavarësisht nga pika 2, një shtet anëtar mund të refuzojë transmetimin e informacionit të kërkuar nëse ky informacion lidhet me periudha tatimore përpara 1 janarit 2011 dhe nëse transmetimi i këtij informacioni mund të ishte refuzuar në bazë të nenit 8(1) të Direktivës 77/799/EEC nëse do të ishte kërkuar përpara 11 marsit 2011.</w:t>
            </w:r>
          </w:p>
          <w:p w14:paraId="42CEBE40"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▼M9</w:t>
            </w:r>
          </w:p>
          <w:p w14:paraId="10658794" w14:textId="77777777" w:rsidR="00314559" w:rsidRPr="003B7DC9" w:rsidRDefault="00314559" w:rsidP="00314559">
            <w:pPr>
              <w:numPr>
                <w:ilvl w:val="0"/>
                <w:numId w:val="70"/>
              </w:numPr>
              <w:spacing w:line="276" w:lineRule="auto"/>
              <w:rPr>
                <w:rFonts w:ascii="Times New Roman" w:eastAsia="Calibri" w:hAnsi="Times New Roman" w:cs="Times New Roman"/>
                <w:iCs/>
                <w:sz w:val="18"/>
                <w:szCs w:val="18"/>
              </w:rPr>
            </w:pPr>
          </w:p>
          <w:p w14:paraId="220EE294"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kompetent i çdo shteti anëtar vendos një mekanizëm efektiv për të siguruar përdorimin e informacionit të marrë përmes raportimit ose shkëmbimit të informacionit sipas neneve 8 deri në 8ae.</w:t>
            </w:r>
          </w:p>
          <w:p w14:paraId="38DC41C0" w14:textId="244A296A" w:rsidR="00314559" w:rsidRPr="003B7DC9" w:rsidRDefault="00314559" w:rsidP="00314559">
            <w:pPr>
              <w:spacing w:line="276" w:lineRule="auto"/>
              <w:rPr>
                <w:rFonts w:ascii="Times New Roman" w:eastAsia="Calibri" w:hAnsi="Times New Roman" w:cs="Times New Roman"/>
                <w:iCs/>
                <w:sz w:val="18"/>
                <w:szCs w:val="18"/>
                <w:lang w:val="en-US"/>
              </w:rPr>
            </w:pPr>
          </w:p>
        </w:tc>
        <w:tc>
          <w:tcPr>
            <w:tcW w:w="1170" w:type="dxa"/>
          </w:tcPr>
          <w:p w14:paraId="565A294E" w14:textId="6CF5EFFB"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tcPr>
          <w:p w14:paraId="646F798E" w14:textId="75B236EC"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5, neni 9 dhe neni 25, pika 5</w:t>
            </w:r>
          </w:p>
        </w:tc>
        <w:tc>
          <w:tcPr>
            <w:tcW w:w="4334" w:type="dxa"/>
          </w:tcPr>
          <w:p w14:paraId="7DADCA8E" w14:textId="77777777" w:rsidR="00314559" w:rsidRPr="003B7DC9" w:rsidRDefault="00314559" w:rsidP="00314559">
            <w:pPr>
              <w:spacing w:before="100" w:beforeAutospacing="1" w:after="100" w:afterAutospacing="1"/>
              <w:jc w:val="center"/>
              <w:rPr>
                <w:rFonts w:ascii="Times New Roman" w:eastAsia="Calibri" w:hAnsi="Times New Roman" w:cs="Times New Roman"/>
                <w:sz w:val="18"/>
                <w:szCs w:val="18"/>
                <w:lang w:val="en-US"/>
              </w:rPr>
            </w:pPr>
          </w:p>
          <w:p w14:paraId="364534FE" w14:textId="77777777" w:rsidR="00314559" w:rsidRPr="003B7DC9" w:rsidRDefault="00314559" w:rsidP="00314559">
            <w:pPr>
              <w:spacing w:before="100" w:beforeAutospacing="1" w:after="100" w:afterAutospacing="1"/>
              <w:ind w:left="720"/>
              <w:jc w:val="center"/>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5</w:t>
            </w:r>
          </w:p>
          <w:p w14:paraId="180EC1E7" w14:textId="77777777" w:rsidR="00314559" w:rsidRPr="003B7DC9" w:rsidRDefault="00314559" w:rsidP="00314559">
            <w:pPr>
              <w:spacing w:before="100" w:beforeAutospacing="1" w:after="100" w:afterAutospacing="1"/>
              <w:ind w:left="720"/>
              <w:jc w:val="center"/>
              <w:rPr>
                <w:rFonts w:ascii="Times New Roman" w:eastAsia="Times New Roman" w:hAnsi="Times New Roman" w:cs="Times New Roman"/>
                <w:bCs/>
                <w:sz w:val="18"/>
                <w:szCs w:val="18"/>
                <w:lang w:val="en-US"/>
              </w:rPr>
            </w:pPr>
            <w:r w:rsidRPr="003B7DC9">
              <w:rPr>
                <w:rFonts w:ascii="Times New Roman" w:eastAsia="Times New Roman" w:hAnsi="Times New Roman" w:cs="Times New Roman"/>
                <w:b/>
                <w:bCs/>
                <w:sz w:val="18"/>
                <w:szCs w:val="18"/>
                <w:lang w:val="en-US"/>
              </w:rPr>
              <w:t xml:space="preserve">Shkëmbimi i informacionit sipas kërkesës </w:t>
            </w:r>
          </w:p>
          <w:p w14:paraId="0931754A" w14:textId="182FF92A" w:rsidR="00314559" w:rsidRPr="003B7DC9" w:rsidRDefault="00314559" w:rsidP="00314559">
            <w:pPr>
              <w:pStyle w:val="ListParagraph"/>
              <w:numPr>
                <w:ilvl w:val="1"/>
                <w:numId w:val="68"/>
              </w:numPr>
              <w:spacing w:before="100" w:beforeAutospacing="1" w:after="100" w:afterAutospacing="1"/>
              <w:jc w:val="both"/>
              <w:rPr>
                <w:rFonts w:ascii="Times New Roman" w:eastAsia="Times New Roman" w:hAnsi="Times New Roman" w:cs="Times New Roman"/>
                <w:bCs/>
                <w:sz w:val="18"/>
                <w:szCs w:val="18"/>
                <w:lang w:val="en-US"/>
              </w:rPr>
            </w:pPr>
            <w:r w:rsidRPr="003B7DC9">
              <w:rPr>
                <w:rFonts w:ascii="Times New Roman" w:hAnsi="Times New Roman" w:cs="Times New Roman"/>
                <w:sz w:val="18"/>
                <w:szCs w:val="18"/>
              </w:rPr>
              <w:t>Drejtoria e Përgjithshme e Tatimeve, si autoriteti kompetent i Republikës së Shqipërisë, me kërkesë të autoritetit kërkues, i komunikon atij çdo informacion me rëndësi të parashikueshme</w:t>
            </w:r>
            <w:r w:rsidRPr="003B7DC9">
              <w:rPr>
                <w:rFonts w:ascii="Times New Roman" w:eastAsia="Times New Roman" w:hAnsi="Times New Roman" w:cs="Times New Roman"/>
                <w:bCs/>
                <w:sz w:val="18"/>
                <w:szCs w:val="18"/>
                <w:lang w:val="en-US"/>
              </w:rPr>
              <w:t xml:space="preserve"> për administrimin dhe zbatimin e tatimeve të mbuluara nga ky ligj, të cilin e ka në dispozicion ose që mund ta sigurojë nëpërmjet hetimeve administrative. </w:t>
            </w:r>
          </w:p>
          <w:p w14:paraId="496D5E77" w14:textId="66338353" w:rsidR="00314559" w:rsidRPr="003B7DC9" w:rsidRDefault="00314559" w:rsidP="00314559">
            <w:pPr>
              <w:pStyle w:val="ListParagraph"/>
              <w:numPr>
                <w:ilvl w:val="1"/>
                <w:numId w:val="68"/>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Kërkesa e parashikuar në pikën 1 mund të përfshijë edhe një kërkesë të arsyetuar për kryerjen e një hetimi administrativ të posaçëm</w:t>
            </w:r>
            <w:r w:rsidRPr="003B7DC9">
              <w:rPr>
                <w:rFonts w:ascii="Times New Roman" w:eastAsia="Times New Roman" w:hAnsi="Times New Roman" w:cs="Times New Roman"/>
                <w:bCs/>
                <w:sz w:val="18"/>
                <w:szCs w:val="18"/>
                <w:lang w:val="en-US"/>
              </w:rPr>
              <w:t xml:space="preserve">. Nëse Drejtoria e Përgjithshme e Tatimeve vlerëson se një hetim i tillë nuk është i nevojshëm, ajo njofton pa vonesë autoritetin kërkues, duke paraqitur arsyet përkatëse. </w:t>
            </w:r>
          </w:p>
          <w:p w14:paraId="03CDD91F" w14:textId="28CB38A8" w:rsidR="00314559" w:rsidRPr="003B7DC9" w:rsidRDefault="00314559" w:rsidP="00314559">
            <w:pPr>
              <w:pStyle w:val="ListParagraph"/>
              <w:numPr>
                <w:ilvl w:val="0"/>
                <w:numId w:val="68"/>
              </w:numPr>
              <w:spacing w:before="100" w:beforeAutospacing="1" w:after="100" w:afterAutospacing="1" w:line="240" w:lineRule="auto"/>
              <w:jc w:val="both"/>
              <w:rPr>
                <w:rFonts w:ascii="Times New Roman" w:eastAsia="Times New Roman" w:hAnsi="Times New Roman" w:cs="Times New Roman"/>
                <w:sz w:val="18"/>
                <w:szCs w:val="18"/>
                <w:lang w:val="sq" w:eastAsia="sq-AL"/>
              </w:rPr>
            </w:pPr>
            <w:r w:rsidRPr="003B7DC9">
              <w:rPr>
                <w:rFonts w:ascii="Times New Roman" w:eastAsia="Times New Roman" w:hAnsi="Times New Roman" w:cs="Times New Roman"/>
                <w:bCs/>
                <w:sz w:val="18"/>
                <w:szCs w:val="18"/>
              </w:rPr>
              <w:t xml:space="preserve">Drejtoria e Përgjithshme e Tatimeve siguron kryerjen e hetimeve administrative të nevojshme për të marrë informacionin e kërkuar, edhe kur ky informacion nuk i nevojitet për qëllimet e veta tatimore. </w:t>
            </w:r>
            <w:r w:rsidRPr="003B7DC9">
              <w:rPr>
                <w:rFonts w:ascii="Times New Roman" w:eastAsia="Times New Roman" w:hAnsi="Times New Roman" w:cs="Times New Roman"/>
                <w:sz w:val="18"/>
                <w:szCs w:val="18"/>
                <w:lang w:eastAsia="sq-AL"/>
              </w:rPr>
              <w:t>Kur autoriteti kërkues e kërkon shprehimisht, Drejtoria e Përgjithshme e Tatimeve i komunikon dokumentet origjinale, për aq sa kjo nuk bie në kundërshtim me legjislacionin shqiptar.</w:t>
            </w:r>
          </w:p>
          <w:p w14:paraId="00B81AF5" w14:textId="5551D4B9" w:rsidR="00314559" w:rsidRPr="003B7DC9" w:rsidRDefault="00314559" w:rsidP="00314559">
            <w:pPr>
              <w:numPr>
                <w:ilvl w:val="0"/>
                <w:numId w:val="68"/>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lastRenderedPageBreak/>
              <w:t xml:space="preserve">Për përmbushjen e kërkesave sipas këtij neni, Drejtoria e Përgjithshme e Tatimeve zbaton të njëjtat procedura që do të ndiqte kur vepron me nismën e vet ose në përgjigje të një kërkese nga një autoritet tjetër në Republikën e Shqipërisë. </w:t>
            </w:r>
          </w:p>
          <w:p w14:paraId="47C53036" w14:textId="77777777" w:rsidR="00314559" w:rsidRPr="003B7DC9" w:rsidRDefault="00314559" w:rsidP="00314559">
            <w:pPr>
              <w:spacing w:before="100" w:beforeAutospacing="1" w:after="100" w:afterAutospacing="1"/>
              <w:ind w:left="360"/>
              <w:jc w:val="center"/>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9</w:t>
            </w:r>
          </w:p>
          <w:p w14:paraId="72D76B6B" w14:textId="77777777" w:rsidR="00314559" w:rsidRPr="003B7DC9" w:rsidRDefault="00314559" w:rsidP="00314559">
            <w:pPr>
              <w:spacing w:before="100" w:beforeAutospacing="1" w:after="100" w:afterAutospacing="1"/>
              <w:ind w:left="360"/>
              <w:jc w:val="center"/>
              <w:rPr>
                <w:rFonts w:ascii="Times New Roman" w:eastAsia="Times New Roman" w:hAnsi="Times New Roman" w:cs="Times New Roman"/>
                <w:bCs/>
                <w:sz w:val="18"/>
                <w:szCs w:val="18"/>
                <w:lang w:val="en-US"/>
              </w:rPr>
            </w:pPr>
            <w:r w:rsidRPr="003B7DC9">
              <w:rPr>
                <w:rFonts w:ascii="Times New Roman" w:eastAsia="Times New Roman" w:hAnsi="Times New Roman" w:cs="Times New Roman"/>
                <w:b/>
                <w:bCs/>
                <w:sz w:val="18"/>
                <w:szCs w:val="18"/>
                <w:lang w:val="en-US"/>
              </w:rPr>
              <w:t>Refuzimet dhe kufizimet</w:t>
            </w:r>
          </w:p>
          <w:p w14:paraId="4D40E5FA" w14:textId="7489AC4B" w:rsidR="00314559" w:rsidRPr="003B7DC9" w:rsidRDefault="00314559" w:rsidP="00314559">
            <w:pPr>
              <w:pStyle w:val="ListParagraph"/>
              <w:numPr>
                <w:ilvl w:val="1"/>
                <w:numId w:val="68"/>
              </w:numPr>
              <w:spacing w:before="100" w:beforeAutospacing="1" w:after="100" w:afterAutospacing="1" w:line="240" w:lineRule="auto"/>
              <w:jc w:val="both"/>
              <w:rPr>
                <w:rFonts w:ascii="Times New Roman" w:eastAsia="Times New Roman" w:hAnsi="Times New Roman" w:cs="Times New Roman"/>
                <w:bCs/>
                <w:sz w:val="18"/>
                <w:szCs w:val="18"/>
              </w:rPr>
            </w:pPr>
            <w:r w:rsidRPr="003B7DC9">
              <w:rPr>
                <w:rFonts w:ascii="Times New Roman" w:eastAsia="Times New Roman" w:hAnsi="Times New Roman" w:cs="Times New Roman"/>
                <w:bCs/>
                <w:sz w:val="18"/>
                <w:szCs w:val="18"/>
              </w:rPr>
              <w:t>Drejtoria e Përgjithshme e Tatimeve mund të refuzojë dhënien e informacionit të përmendur në nenin 5 në rastet kur:</w:t>
            </w:r>
          </w:p>
          <w:p w14:paraId="4DC37645" w14:textId="77777777" w:rsidR="00314559" w:rsidRPr="003B7DC9" w:rsidRDefault="00314559" w:rsidP="00314559">
            <w:pPr>
              <w:spacing w:before="100" w:beforeAutospacing="1" w:after="100" w:afterAutospacing="1"/>
              <w:ind w:left="720"/>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a) autoriteti kërkues nuk ka shfrytëzuar burimet e tij të zakonshme të informacionit për të marrë informacionin e kërkuar dhe mund ta kishte bërë këtë pa rrezikuar </w:t>
            </w:r>
            <w:r w:rsidRPr="003B7DC9">
              <w:rPr>
                <w:rFonts w:ascii="Times New Roman" w:hAnsi="Times New Roman" w:cs="Times New Roman"/>
                <w:sz w:val="18"/>
                <w:szCs w:val="18"/>
              </w:rPr>
              <w:t>arritjen e objektivave të kërkesës</w:t>
            </w:r>
            <w:r w:rsidRPr="003B7DC9">
              <w:rPr>
                <w:rFonts w:ascii="Times New Roman" w:eastAsia="Times New Roman" w:hAnsi="Times New Roman" w:cs="Times New Roman"/>
                <w:bCs/>
                <w:sz w:val="18"/>
                <w:szCs w:val="18"/>
                <w:lang w:val="en-US"/>
              </w:rPr>
              <w:t>;</w:t>
            </w:r>
            <w:r w:rsidRPr="003B7DC9">
              <w:rPr>
                <w:rFonts w:ascii="Times New Roman" w:eastAsia="Times New Roman" w:hAnsi="Times New Roman" w:cs="Times New Roman"/>
                <w:bCs/>
                <w:sz w:val="18"/>
                <w:szCs w:val="18"/>
                <w:lang w:val="en-US"/>
              </w:rPr>
              <w:br/>
              <w:t>b) kryerja e hetimeve ose mbledhja e informacionit të kërkuar do të ishte në kundërshtim me legjislacionin shqiptar, nëse hetime ose mbledhje të tilla do të kryheshin për qëllimet e veta tatimore;</w:t>
            </w:r>
            <w:r w:rsidRPr="003B7DC9">
              <w:rPr>
                <w:rFonts w:ascii="Times New Roman" w:eastAsia="Times New Roman" w:hAnsi="Times New Roman" w:cs="Times New Roman"/>
                <w:bCs/>
                <w:sz w:val="18"/>
                <w:szCs w:val="18"/>
                <w:lang w:val="en-US"/>
              </w:rPr>
              <w:br/>
              <w:t>c) autoriteti kërkues nuk mund të japë informacion të ngjashëm për arsye ligjore;</w:t>
            </w:r>
            <w:r w:rsidRPr="003B7DC9">
              <w:rPr>
                <w:rFonts w:ascii="Times New Roman" w:eastAsia="Times New Roman" w:hAnsi="Times New Roman" w:cs="Times New Roman"/>
                <w:bCs/>
                <w:sz w:val="18"/>
                <w:szCs w:val="18"/>
                <w:lang w:val="en-US"/>
              </w:rPr>
              <w:br/>
              <w:t xml:space="preserve">ç) zbulimi i informacionit do të çonte në zbulimin e një sekreti tregtar, industrial, profesional ose të një procesi tregtar, ose të informacionit, zbulimi i të cilit do të ishte në kundërshtim me rendin publik. </w:t>
            </w:r>
          </w:p>
          <w:p w14:paraId="5E9D15B9" w14:textId="77777777"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2. Drejtoria e Përgjithshme e Tatimeve nuk mund të refuzojë dhënien e informacionit vetëm për shkak se ky informacion mbahet nga një bankë, një institucion tjetër financiar, </w:t>
            </w:r>
            <w:r w:rsidRPr="003B7DC9">
              <w:rPr>
                <w:rFonts w:ascii="Times New Roman" w:eastAsia="Times New Roman" w:hAnsi="Times New Roman" w:cs="Times New Roman"/>
                <w:sz w:val="18"/>
                <w:szCs w:val="18"/>
                <w:lang w:eastAsia="sq-AL"/>
              </w:rPr>
              <w:t xml:space="preserve">një person i emëruar për llogari të një personi tjetër, </w:t>
            </w:r>
            <w:r w:rsidRPr="003B7DC9">
              <w:rPr>
                <w:rFonts w:ascii="Times New Roman" w:eastAsia="Times New Roman" w:hAnsi="Times New Roman" w:cs="Times New Roman"/>
                <w:sz w:val="18"/>
                <w:szCs w:val="18"/>
                <w:lang w:eastAsia="sq-AL"/>
              </w:rPr>
              <w:lastRenderedPageBreak/>
              <w:t>një agjent ose një person që vepron në cilësi fiduciare</w:t>
            </w:r>
            <w:r w:rsidRPr="003B7DC9">
              <w:rPr>
                <w:rFonts w:ascii="Times New Roman" w:eastAsia="Times New Roman" w:hAnsi="Times New Roman" w:cs="Times New Roman"/>
                <w:bCs/>
                <w:sz w:val="18"/>
                <w:szCs w:val="18"/>
                <w:lang w:val="en-US"/>
              </w:rPr>
              <w:t xml:space="preserve"> ose sepse informacioni lidhet me interesa pronësorë të një personi. </w:t>
            </w:r>
          </w:p>
          <w:p w14:paraId="7438DC1D" w14:textId="444A8983" w:rsidR="00314559" w:rsidRPr="003B7DC9" w:rsidRDefault="00314559" w:rsidP="00314559">
            <w:pPr>
              <w:spacing w:before="100" w:beforeAutospacing="1" w:after="100" w:afterAutospacing="1"/>
              <w:ind w:left="720"/>
              <w:jc w:val="both"/>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3. Drejtoria e Përgjithshme e Tatimeve njofton autoritetin kërkues për arsyet e refuzimit të plotë ose të pjesshëm të kërkesës. </w:t>
            </w:r>
          </w:p>
          <w:p w14:paraId="3BB6DDC6"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r w:rsidRPr="003B7DC9">
              <w:rPr>
                <w:rFonts w:ascii="Times New Roman" w:eastAsia="Times New Roman" w:hAnsi="Times New Roman" w:cs="Times New Roman"/>
                <w:b/>
                <w:color w:val="000000" w:themeColor="text1"/>
                <w:sz w:val="18"/>
                <w:szCs w:val="18"/>
                <w:lang w:val="en-US"/>
              </w:rPr>
              <w:t>Neni 25</w:t>
            </w:r>
          </w:p>
          <w:p w14:paraId="7166C001" w14:textId="7A8A4093" w:rsidR="00314559" w:rsidRPr="003B7DC9" w:rsidRDefault="00314559" w:rsidP="00314559">
            <w:pPr>
              <w:jc w:val="center"/>
              <w:rPr>
                <w:rFonts w:ascii="Times New Roman" w:eastAsia="Times New Roman" w:hAnsi="Times New Roman" w:cs="Times New Roman"/>
                <w:b/>
                <w:color w:val="000000" w:themeColor="text1"/>
                <w:sz w:val="18"/>
                <w:szCs w:val="18"/>
                <w:lang w:val="en-US"/>
              </w:rPr>
            </w:pPr>
            <w:r w:rsidRPr="003B7DC9">
              <w:rPr>
                <w:rFonts w:ascii="Times New Roman" w:eastAsia="Times New Roman" w:hAnsi="Times New Roman" w:cs="Times New Roman"/>
                <w:b/>
                <w:color w:val="000000" w:themeColor="text1"/>
                <w:sz w:val="18"/>
                <w:szCs w:val="18"/>
                <w:lang w:val="en-US"/>
              </w:rPr>
              <w:t>Detyrimet e veçanta të Drejtorisë së Përgjithshme të Tatimeve</w:t>
            </w:r>
          </w:p>
          <w:p w14:paraId="24DC4D60"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p>
          <w:p w14:paraId="0DE0E6B8" w14:textId="77777777" w:rsidR="00314559" w:rsidRPr="003B7DC9" w:rsidRDefault="00314559" w:rsidP="00314559">
            <w:pPr>
              <w:numPr>
                <w:ilvl w:val="0"/>
                <w:numId w:val="132"/>
              </w:numPr>
              <w:spacing w:after="200"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Drejtoria e Përgjithshme e Tatimeve merr të gjitha masat e nevojshme për të:</w:t>
            </w:r>
            <w:r w:rsidRPr="003B7DC9">
              <w:rPr>
                <w:rFonts w:ascii="Times New Roman" w:eastAsia="Times New Roman" w:hAnsi="Times New Roman" w:cs="Times New Roman"/>
                <w:bCs/>
                <w:color w:val="000000" w:themeColor="text1"/>
                <w:sz w:val="18"/>
                <w:szCs w:val="18"/>
                <w:lang w:val="en-US"/>
              </w:rPr>
              <w:br/>
              <w:t>a) siguruar koordinimin efektiv të brendshëm ndërmjet strukturave të përmendura në nenin 4;</w:t>
            </w:r>
            <w:r w:rsidRPr="003B7DC9">
              <w:rPr>
                <w:rFonts w:ascii="Times New Roman" w:eastAsia="Times New Roman" w:hAnsi="Times New Roman" w:cs="Times New Roman"/>
                <w:bCs/>
                <w:color w:val="000000" w:themeColor="text1"/>
                <w:sz w:val="18"/>
                <w:szCs w:val="18"/>
                <w:lang w:val="en-US"/>
              </w:rPr>
              <w:br/>
              <w:t>b) vendosur dhe zhvilluar bashkëpunimin e drejtpërdrejtë me autoritetet kompetente të shteteve anëtare;</w:t>
            </w:r>
            <w:r w:rsidRPr="003B7DC9">
              <w:rPr>
                <w:rFonts w:ascii="Times New Roman" w:eastAsia="Times New Roman" w:hAnsi="Times New Roman" w:cs="Times New Roman"/>
                <w:bCs/>
                <w:color w:val="000000" w:themeColor="text1"/>
                <w:sz w:val="18"/>
                <w:szCs w:val="18"/>
                <w:lang w:val="en-US"/>
              </w:rPr>
              <w:br/>
              <w:t xml:space="preserve">c) siguruar funksionimin e rregullt të mekanizmave të bashkëpunimit administrativ të parashikuar në këtë ligj dhe ligjet e posaçme. </w:t>
            </w:r>
          </w:p>
          <w:p w14:paraId="07FFDA2B" w14:textId="77777777" w:rsidR="00314559" w:rsidRPr="003B7DC9" w:rsidRDefault="00314559" w:rsidP="00314559">
            <w:pPr>
              <w:numPr>
                <w:ilvl w:val="0"/>
                <w:numId w:val="132"/>
              </w:numPr>
              <w:spacing w:after="200"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hAnsi="Times New Roman" w:cs="Times New Roman"/>
                <w:color w:val="000000"/>
                <w:sz w:val="18"/>
                <w:szCs w:val="18"/>
              </w:rPr>
              <w:t>Për qëllimet e zbatimit dhe kontrollit të këtij ligji dhe të ligjeve të posaçme që zbatojnë Direktivën 2011/16/BE</w:t>
            </w:r>
            <w:r w:rsidRPr="003B7DC9">
              <w:rPr>
                <w:rFonts w:ascii="Times New Roman" w:eastAsia="Times New Roman" w:hAnsi="Times New Roman" w:cs="Times New Roman"/>
                <w:bCs/>
                <w:color w:val="000000" w:themeColor="text1"/>
                <w:sz w:val="18"/>
                <w:szCs w:val="18"/>
                <w:lang w:val="en-US"/>
              </w:rPr>
              <w:t xml:space="preserve">, Drejtoria e Përgjithshme e Tatimeve </w:t>
            </w:r>
            <w:r w:rsidRPr="003B7DC9">
              <w:rPr>
                <w:rFonts w:ascii="Times New Roman" w:eastAsia="Times New Roman" w:hAnsi="Times New Roman" w:cs="Times New Roman"/>
                <w:sz w:val="18"/>
                <w:szCs w:val="18"/>
                <w:lang w:eastAsia="sq-AL"/>
              </w:rPr>
              <w:t xml:space="preserve">ka të drejtë aksesi, sipas legjislacionit në fuqi, </w:t>
            </w:r>
            <w:r w:rsidRPr="003B7DC9">
              <w:rPr>
                <w:rFonts w:ascii="Times New Roman" w:eastAsia="Times New Roman" w:hAnsi="Times New Roman" w:cs="Times New Roman"/>
                <w:bCs/>
                <w:color w:val="000000" w:themeColor="text1"/>
                <w:sz w:val="18"/>
                <w:szCs w:val="18"/>
                <w:lang w:val="en-US"/>
              </w:rPr>
              <w:t xml:space="preserve">në mekanizmat, procedurat, dokumentet dhe informacionin e përcaktuar në legjislacionin për parandalimin e pastrimit të parave dhe financimit të terrorizmit. </w:t>
            </w:r>
          </w:p>
          <w:p w14:paraId="7D61555F" w14:textId="77777777" w:rsidR="00314559" w:rsidRPr="003B7DC9" w:rsidRDefault="00314559" w:rsidP="00314559">
            <w:pPr>
              <w:numPr>
                <w:ilvl w:val="0"/>
                <w:numId w:val="132"/>
              </w:numPr>
              <w:spacing w:after="200"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Drejtoria e Përgjithshme e Tatimeve ruan regjistrimet e informacionit të marrë përmes shkëmbimit automatik sipas nenit 12 dhe ligjeve të posaçme jo më gjatë sesa është e </w:t>
            </w:r>
            <w:r w:rsidRPr="003B7DC9">
              <w:rPr>
                <w:rFonts w:ascii="Times New Roman" w:eastAsia="Times New Roman" w:hAnsi="Times New Roman" w:cs="Times New Roman"/>
                <w:bCs/>
                <w:color w:val="000000" w:themeColor="text1"/>
                <w:sz w:val="18"/>
                <w:szCs w:val="18"/>
                <w:lang w:val="en-US"/>
              </w:rPr>
              <w:lastRenderedPageBreak/>
              <w:t xml:space="preserve">nevojshme dhe, në çdo rast, jo më pak se pesë vjet nga data e marrjes. </w:t>
            </w:r>
          </w:p>
          <w:p w14:paraId="1A150EBB" w14:textId="77777777" w:rsidR="00314559" w:rsidRPr="003B7DC9" w:rsidRDefault="00314559" w:rsidP="00314559">
            <w:pPr>
              <w:pStyle w:val="ListParagraph"/>
              <w:numPr>
                <w:ilvl w:val="0"/>
                <w:numId w:val="132"/>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 xml:space="preserve">Drejtoria e Përgjithshme e Tatimeve </w:t>
            </w:r>
            <w:r w:rsidRPr="003B7DC9">
              <w:rPr>
                <w:rFonts w:ascii="Times New Roman" w:hAnsi="Times New Roman" w:cs="Times New Roman"/>
                <w:sz w:val="18"/>
                <w:szCs w:val="18"/>
              </w:rPr>
              <w:t xml:space="preserve">bën përpjekjet e nevojshme për t’u mundësuar </w:t>
            </w:r>
            <w:r w:rsidRPr="003B7DC9">
              <w:rPr>
                <w:rFonts w:ascii="Times New Roman" w:eastAsia="Times New Roman" w:hAnsi="Times New Roman" w:cs="Times New Roman"/>
                <w:sz w:val="18"/>
                <w:szCs w:val="18"/>
                <w:lang w:eastAsia="sq-AL"/>
              </w:rPr>
              <w:t xml:space="preserve">personave raportues </w:t>
            </w:r>
            <w:r w:rsidRPr="003B7DC9">
              <w:rPr>
                <w:rFonts w:ascii="Times New Roman" w:hAnsi="Times New Roman" w:cs="Times New Roman"/>
                <w:sz w:val="18"/>
                <w:szCs w:val="18"/>
              </w:rPr>
              <w:t xml:space="preserve">validimin elektronik të numrit të identifikimit tatimor (TIN) të çdo tatimpaguesi që i nënshtrohet shkëmbimit të informacionit, </w:t>
            </w:r>
            <w:r w:rsidRPr="003B7DC9">
              <w:rPr>
                <w:rFonts w:ascii="Times New Roman" w:eastAsia="Times New Roman" w:hAnsi="Times New Roman" w:cs="Times New Roman"/>
                <w:sz w:val="18"/>
                <w:szCs w:val="18"/>
                <w:lang w:eastAsia="sq-AL"/>
              </w:rPr>
              <w:t>vetëm për qëllimet e validimit të TIN-it dhe verifikimit të saktësisë së të dhënave që do të raportohen.</w:t>
            </w:r>
          </w:p>
          <w:p w14:paraId="34E2E118" w14:textId="77777777" w:rsidR="00314559" w:rsidRPr="003B7DC9" w:rsidRDefault="00314559" w:rsidP="00314559">
            <w:pPr>
              <w:numPr>
                <w:ilvl w:val="0"/>
                <w:numId w:val="132"/>
              </w:numPr>
              <w:spacing w:before="100" w:beforeAutospacing="1" w:after="100" w:afterAutospacing="1"/>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 xml:space="preserve">Drejtoria e Përgjithshme e Tatimeve krijon dhe zbaton një mekanizëm efektiv për të siguruar përdorimin e informacionit të marrë nëpërmjet raportimit ose shkëmbimit sipas nenit 12 të këtij ligji dhe ligjeve të posaçme, përfshirë analizën e riskut, përzgjedhjen </w:t>
            </w:r>
            <w:r w:rsidRPr="003B7DC9">
              <w:rPr>
                <w:rFonts w:ascii="Times New Roman" w:hAnsi="Times New Roman" w:cs="Times New Roman"/>
                <w:sz w:val="18"/>
                <w:szCs w:val="18"/>
              </w:rPr>
              <w:t xml:space="preserve">e rasteve </w:t>
            </w:r>
            <w:r w:rsidRPr="003B7DC9">
              <w:rPr>
                <w:rFonts w:ascii="Times New Roman" w:eastAsia="Times New Roman" w:hAnsi="Times New Roman" w:cs="Times New Roman"/>
                <w:sz w:val="18"/>
                <w:szCs w:val="18"/>
                <w:lang w:eastAsia="sq-AL"/>
              </w:rPr>
              <w:t>për kontroll, ndjekjen e rasteve, dhënien e informacionit për rezultatet e përdorimit dhe monitorimin e rezultateve të përdorimit të informacionit.</w:t>
            </w:r>
          </w:p>
          <w:p w14:paraId="7EE2224B" w14:textId="77777777" w:rsidR="00314559" w:rsidRPr="003B7DC9" w:rsidRDefault="00314559" w:rsidP="00314559">
            <w:pPr>
              <w:numPr>
                <w:ilvl w:val="0"/>
                <w:numId w:val="132"/>
              </w:numPr>
              <w:spacing w:before="100" w:beforeAutospacing="1" w:after="100" w:afterAutospacing="1"/>
              <w:jc w:val="both"/>
              <w:rPr>
                <w:rFonts w:ascii="Times New Roman" w:eastAsia="Times New Roman" w:hAnsi="Times New Roman" w:cs="Times New Roman"/>
                <w:sz w:val="18"/>
                <w:szCs w:val="18"/>
                <w:lang w:val="sq-AL"/>
              </w:rPr>
            </w:pPr>
            <w:r w:rsidRPr="003B7DC9">
              <w:rPr>
                <w:rFonts w:ascii="Times New Roman" w:eastAsia="Times New Roman" w:hAnsi="Times New Roman" w:cs="Times New Roman"/>
                <w:sz w:val="18"/>
                <w:szCs w:val="18"/>
                <w:lang w:val="sq-AL"/>
              </w:rPr>
              <w:t xml:space="preserve">Drejtoria e Përgjithshme e Tatimeve </w:t>
            </w:r>
            <w:r w:rsidRPr="003B7DC9">
              <w:rPr>
                <w:rFonts w:ascii="Times New Roman" w:eastAsia="Times New Roman" w:hAnsi="Times New Roman" w:cs="Times New Roman"/>
                <w:sz w:val="18"/>
                <w:szCs w:val="18"/>
                <w:lang w:eastAsia="sq-AL"/>
              </w:rPr>
              <w:t xml:space="preserve">heq dorë nga çdo kërkesë për rimbursimin e shpenzimeve të krijuara nga zbatimi i këtij ligji, përveç, sipas rastit, </w:t>
            </w:r>
            <w:r w:rsidRPr="003B7DC9">
              <w:rPr>
                <w:rFonts w:ascii="Times New Roman" w:hAnsi="Times New Roman" w:cs="Times New Roman"/>
                <w:color w:val="000000"/>
                <w:sz w:val="18"/>
                <w:szCs w:val="18"/>
              </w:rPr>
              <w:t>shpërblimeve të paguara ekspertëve.</w:t>
            </w:r>
          </w:p>
          <w:p w14:paraId="6EB4178A" w14:textId="0776D411" w:rsidR="00314559" w:rsidRPr="003B7DC9" w:rsidRDefault="00314559" w:rsidP="00314559">
            <w:pPr>
              <w:spacing w:before="100" w:beforeAutospacing="1" w:after="100" w:afterAutospacing="1"/>
              <w:jc w:val="both"/>
              <w:rPr>
                <w:rFonts w:ascii="Times New Roman" w:eastAsia="Times New Roman" w:hAnsi="Times New Roman" w:cs="Times New Roman"/>
                <w:sz w:val="18"/>
                <w:szCs w:val="18"/>
              </w:rPr>
            </w:pPr>
          </w:p>
          <w:p w14:paraId="2397275C" w14:textId="0DDFCF1D" w:rsidR="00314559" w:rsidRPr="003B7DC9" w:rsidRDefault="00314559" w:rsidP="00314559">
            <w:pPr>
              <w:tabs>
                <w:tab w:val="left" w:pos="1650"/>
              </w:tabs>
              <w:spacing w:before="100" w:beforeAutospacing="1" w:after="100" w:afterAutospacing="1"/>
              <w:rPr>
                <w:rFonts w:ascii="Times New Roman" w:eastAsia="Calibri" w:hAnsi="Times New Roman" w:cs="Times New Roman"/>
                <w:sz w:val="18"/>
                <w:szCs w:val="18"/>
                <w:lang w:val="en-US"/>
              </w:rPr>
            </w:pPr>
          </w:p>
          <w:p w14:paraId="06F8B260" w14:textId="77777777" w:rsidR="00314559" w:rsidRPr="003B7DC9" w:rsidRDefault="00314559" w:rsidP="00314559">
            <w:pPr>
              <w:rPr>
                <w:rFonts w:ascii="Times New Roman" w:eastAsia="Calibri" w:hAnsi="Times New Roman" w:cs="Times New Roman"/>
                <w:sz w:val="18"/>
                <w:szCs w:val="18"/>
              </w:rPr>
            </w:pPr>
          </w:p>
        </w:tc>
        <w:tc>
          <w:tcPr>
            <w:tcW w:w="1066" w:type="dxa"/>
          </w:tcPr>
          <w:p w14:paraId="78CDC80A" w14:textId="09BC8C89"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tcPr>
          <w:p w14:paraId="09801CC0" w14:textId="5C13C26A" w:rsidR="00314559" w:rsidRPr="003B7DC9" w:rsidRDefault="00314559" w:rsidP="00314559">
            <w:pPr>
              <w:rPr>
                <w:rFonts w:ascii="Times New Roman" w:eastAsia="Calibri" w:hAnsi="Times New Roman" w:cs="Times New Roman"/>
                <w:sz w:val="18"/>
                <w:szCs w:val="18"/>
                <w:lang w:val="en-US"/>
              </w:rPr>
            </w:pPr>
          </w:p>
        </w:tc>
      </w:tr>
      <w:tr w:rsidR="00314559" w:rsidRPr="003B7DC9" w14:paraId="0355879C" w14:textId="77777777" w:rsidTr="00B75638">
        <w:tc>
          <w:tcPr>
            <w:tcW w:w="630" w:type="dxa"/>
            <w:shd w:val="clear" w:color="auto" w:fill="D0CECE" w:themeFill="background2" w:themeFillShade="E6"/>
          </w:tcPr>
          <w:p w14:paraId="0ED479F4" w14:textId="77777777" w:rsidR="00314559" w:rsidRPr="003B7DC9" w:rsidRDefault="00314559" w:rsidP="00314559">
            <w:pPr>
              <w:jc w:val="center"/>
              <w:rPr>
                <w:rFonts w:ascii="Times New Roman" w:eastAsia="Calibri" w:hAnsi="Times New Roman" w:cs="Times New Roman"/>
                <w:i/>
                <w:iCs/>
                <w:sz w:val="18"/>
                <w:szCs w:val="18"/>
                <w:lang w:val="en-US"/>
              </w:rPr>
            </w:pPr>
          </w:p>
        </w:tc>
        <w:tc>
          <w:tcPr>
            <w:tcW w:w="5220" w:type="dxa"/>
            <w:shd w:val="clear" w:color="auto" w:fill="D0CECE" w:themeFill="background2" w:themeFillShade="E6"/>
          </w:tcPr>
          <w:p w14:paraId="08573EAA" w14:textId="2164C13C" w:rsidR="00314559" w:rsidRPr="003B7DC9" w:rsidRDefault="00314559" w:rsidP="00314559">
            <w:pPr>
              <w:pStyle w:val="Heading1"/>
              <w:rPr>
                <w:rFonts w:ascii="Times New Roman" w:eastAsia="Calibri" w:hAnsi="Times New Roman" w:cs="Times New Roman"/>
                <w:i/>
                <w:iCs/>
                <w:color w:val="auto"/>
                <w:sz w:val="18"/>
                <w:szCs w:val="18"/>
                <w:lang w:val="en-US"/>
              </w:rPr>
            </w:pPr>
          </w:p>
        </w:tc>
        <w:tc>
          <w:tcPr>
            <w:tcW w:w="1170" w:type="dxa"/>
            <w:shd w:val="clear" w:color="auto" w:fill="D0CECE" w:themeFill="background2" w:themeFillShade="E6"/>
          </w:tcPr>
          <w:p w14:paraId="0C241C0A" w14:textId="32047362" w:rsidR="00314559" w:rsidRPr="003B7DC9" w:rsidRDefault="00314559" w:rsidP="00314559">
            <w:pPr>
              <w:jc w:val="center"/>
              <w:rPr>
                <w:rFonts w:ascii="Times New Roman" w:eastAsia="Calibri" w:hAnsi="Times New Roman" w:cs="Times New Roman"/>
                <w:i/>
                <w:iCs/>
                <w:sz w:val="18"/>
                <w:szCs w:val="18"/>
              </w:rPr>
            </w:pPr>
            <w:r w:rsidRPr="003B7DC9">
              <w:rPr>
                <w:rFonts w:ascii="Times New Roman" w:eastAsia="Calibri" w:hAnsi="Times New Roman" w:cs="Times New Roman"/>
                <w:sz w:val="18"/>
                <w:szCs w:val="18"/>
              </w:rPr>
              <w:t>1</w:t>
            </w:r>
          </w:p>
        </w:tc>
        <w:tc>
          <w:tcPr>
            <w:tcW w:w="720" w:type="dxa"/>
            <w:shd w:val="clear" w:color="auto" w:fill="D0CECE" w:themeFill="background2" w:themeFillShade="E6"/>
          </w:tcPr>
          <w:p w14:paraId="5B382756" w14:textId="5BEF7338" w:rsidR="00314559" w:rsidRPr="003B7DC9" w:rsidRDefault="00314559" w:rsidP="00314559">
            <w:pPr>
              <w:jc w:val="center"/>
              <w:rPr>
                <w:rFonts w:ascii="Times New Roman" w:eastAsia="Calibri" w:hAnsi="Times New Roman" w:cs="Times New Roman"/>
                <w:i/>
                <w:iCs/>
                <w:sz w:val="18"/>
                <w:szCs w:val="18"/>
                <w:lang w:val="en-US"/>
              </w:rPr>
            </w:pPr>
          </w:p>
        </w:tc>
        <w:tc>
          <w:tcPr>
            <w:tcW w:w="4334" w:type="dxa"/>
            <w:shd w:val="clear" w:color="auto" w:fill="D0CECE" w:themeFill="background2" w:themeFillShade="E6"/>
          </w:tcPr>
          <w:p w14:paraId="1449F832" w14:textId="77777777" w:rsidR="00314559" w:rsidRPr="003B7DC9" w:rsidRDefault="00314559" w:rsidP="00314559">
            <w:pPr>
              <w:jc w:val="center"/>
              <w:rPr>
                <w:rFonts w:ascii="Times New Roman" w:eastAsia="Calibri" w:hAnsi="Times New Roman" w:cs="Times New Roman"/>
                <w:i/>
                <w:iCs/>
                <w:sz w:val="18"/>
                <w:szCs w:val="18"/>
              </w:rPr>
            </w:pPr>
          </w:p>
        </w:tc>
        <w:tc>
          <w:tcPr>
            <w:tcW w:w="1066" w:type="dxa"/>
            <w:shd w:val="clear" w:color="auto" w:fill="D0CECE" w:themeFill="background2" w:themeFillShade="E6"/>
          </w:tcPr>
          <w:p w14:paraId="74C3437E" w14:textId="77777777" w:rsidR="00314559" w:rsidRPr="003B7DC9" w:rsidRDefault="00314559" w:rsidP="00314559">
            <w:pPr>
              <w:jc w:val="center"/>
              <w:rPr>
                <w:rFonts w:ascii="Times New Roman" w:eastAsia="Calibri" w:hAnsi="Times New Roman" w:cs="Times New Roman"/>
                <w:i/>
                <w:iCs/>
                <w:sz w:val="18"/>
                <w:szCs w:val="18"/>
                <w:lang w:val="en-US"/>
              </w:rPr>
            </w:pPr>
          </w:p>
        </w:tc>
        <w:tc>
          <w:tcPr>
            <w:tcW w:w="3060" w:type="dxa"/>
            <w:shd w:val="clear" w:color="auto" w:fill="D0CECE" w:themeFill="background2" w:themeFillShade="E6"/>
          </w:tcPr>
          <w:p w14:paraId="020134DC" w14:textId="77777777" w:rsidR="00314559" w:rsidRPr="003B7DC9" w:rsidRDefault="00314559" w:rsidP="00314559">
            <w:pPr>
              <w:rPr>
                <w:rFonts w:ascii="Times New Roman" w:eastAsia="Calibri" w:hAnsi="Times New Roman" w:cs="Times New Roman"/>
                <w:i/>
                <w:iCs/>
                <w:sz w:val="18"/>
                <w:szCs w:val="18"/>
                <w:lang w:val="en-US"/>
              </w:rPr>
            </w:pPr>
          </w:p>
        </w:tc>
      </w:tr>
      <w:tr w:rsidR="00314559" w:rsidRPr="003B7DC9" w14:paraId="07041DF6" w14:textId="77777777" w:rsidTr="00B75638">
        <w:tc>
          <w:tcPr>
            <w:tcW w:w="630" w:type="dxa"/>
            <w:shd w:val="clear" w:color="auto" w:fill="F2F2F2"/>
          </w:tcPr>
          <w:p w14:paraId="03401B2F" w14:textId="77777777" w:rsidR="00314559" w:rsidRPr="003B7DC9" w:rsidRDefault="00314559" w:rsidP="00314559">
            <w:pPr>
              <w:jc w:val="center"/>
              <w:rPr>
                <w:rFonts w:ascii="Times New Roman" w:eastAsia="Calibri" w:hAnsi="Times New Roman" w:cs="Times New Roman"/>
                <w:i/>
                <w:sz w:val="18"/>
                <w:szCs w:val="18"/>
                <w:lang w:val="en-US"/>
              </w:rPr>
            </w:pPr>
          </w:p>
        </w:tc>
        <w:tc>
          <w:tcPr>
            <w:tcW w:w="5220" w:type="dxa"/>
            <w:shd w:val="clear" w:color="auto" w:fill="F2F2F2"/>
          </w:tcPr>
          <w:p w14:paraId="0D4C137E" w14:textId="77777777" w:rsidR="00314559" w:rsidRPr="003B7DC9" w:rsidRDefault="00314559" w:rsidP="00314559">
            <w:pPr>
              <w:pStyle w:val="oj-normal"/>
              <w:shd w:val="clear" w:color="auto" w:fill="FFFFFF"/>
              <w:spacing w:before="120" w:beforeAutospacing="0" w:after="0" w:afterAutospacing="0"/>
              <w:jc w:val="both"/>
              <w:rPr>
                <w:rFonts w:eastAsia="Calibri"/>
                <w:b/>
                <w:bCs/>
                <w:iCs/>
                <w:sz w:val="18"/>
                <w:szCs w:val="18"/>
              </w:rPr>
            </w:pPr>
            <w:r w:rsidRPr="003B7DC9">
              <w:rPr>
                <w:rFonts w:eastAsia="Calibri"/>
                <w:b/>
                <w:bCs/>
                <w:iCs/>
                <w:sz w:val="18"/>
                <w:szCs w:val="18"/>
              </w:rPr>
              <w:t>Neni 19</w:t>
            </w:r>
          </w:p>
          <w:p w14:paraId="3A947103" w14:textId="77777777" w:rsidR="00314559" w:rsidRPr="003B7DC9" w:rsidRDefault="00314559" w:rsidP="00314559">
            <w:pPr>
              <w:pStyle w:val="oj-normal"/>
              <w:shd w:val="clear" w:color="auto" w:fill="FFFFFF"/>
              <w:spacing w:before="120" w:beforeAutospacing="0" w:after="0" w:afterAutospacing="0"/>
              <w:jc w:val="both"/>
              <w:rPr>
                <w:rFonts w:eastAsia="Calibri"/>
                <w:iCs/>
                <w:sz w:val="18"/>
                <w:szCs w:val="18"/>
              </w:rPr>
            </w:pPr>
            <w:r w:rsidRPr="003B7DC9">
              <w:rPr>
                <w:rFonts w:eastAsia="Calibri"/>
                <w:b/>
                <w:bCs/>
                <w:iCs/>
                <w:sz w:val="18"/>
                <w:szCs w:val="18"/>
              </w:rPr>
              <w:t>Zgjerimi i bashkëpunimit më të gjerë të dhënë një vendi të tretë</w:t>
            </w:r>
          </w:p>
          <w:p w14:paraId="6BC04852" w14:textId="77777777" w:rsidR="00314559" w:rsidRPr="003B7DC9" w:rsidRDefault="00314559" w:rsidP="00314559">
            <w:pPr>
              <w:pStyle w:val="oj-normal"/>
              <w:shd w:val="clear" w:color="auto" w:fill="FFFFFF"/>
              <w:spacing w:before="120" w:beforeAutospacing="0" w:after="0" w:afterAutospacing="0"/>
              <w:jc w:val="both"/>
              <w:rPr>
                <w:rFonts w:eastAsia="Calibri"/>
                <w:iCs/>
                <w:sz w:val="18"/>
                <w:szCs w:val="18"/>
              </w:rPr>
            </w:pPr>
            <w:r w:rsidRPr="003B7DC9">
              <w:rPr>
                <w:rFonts w:eastAsia="Calibri"/>
                <w:iCs/>
                <w:sz w:val="18"/>
                <w:szCs w:val="18"/>
              </w:rPr>
              <w:t xml:space="preserve">Kur një shtet anëtar siguron një bashkëpunim më të gjerë ndaj një vendi të tretë sesa ai i parashikuar sipas kësaj direktive, ky shtet anëtar </w:t>
            </w:r>
            <w:r w:rsidRPr="003B7DC9">
              <w:rPr>
                <w:rFonts w:eastAsia="Calibri"/>
                <w:iCs/>
                <w:sz w:val="18"/>
                <w:szCs w:val="18"/>
              </w:rPr>
              <w:lastRenderedPageBreak/>
              <w:t>nuk mund të refuzojë të ofrojë një bashkëpunim të tillë më të gjerë ndaj çdo shteti tjetër anëtar që dëshiron të hyjë në një bashkëpunim të tillë reciprok më të gjerë me atë shtet anëtar.</w:t>
            </w:r>
          </w:p>
          <w:p w14:paraId="4D5F8454" w14:textId="359CD3BD" w:rsidR="00314559" w:rsidRPr="003B7DC9" w:rsidRDefault="00314559" w:rsidP="00314559">
            <w:pPr>
              <w:pStyle w:val="oj-normal"/>
              <w:shd w:val="clear" w:color="auto" w:fill="FFFFFF"/>
              <w:spacing w:before="120" w:beforeAutospacing="0" w:after="0" w:afterAutospacing="0"/>
              <w:jc w:val="both"/>
              <w:rPr>
                <w:rFonts w:eastAsia="Calibri"/>
                <w:iCs/>
                <w:sz w:val="18"/>
                <w:szCs w:val="18"/>
                <w:lang w:val="en-US"/>
              </w:rPr>
            </w:pPr>
          </w:p>
        </w:tc>
        <w:tc>
          <w:tcPr>
            <w:tcW w:w="1170" w:type="dxa"/>
          </w:tcPr>
          <w:p w14:paraId="20E57A6E" w14:textId="6FCB5289" w:rsidR="00314559" w:rsidRPr="003B7DC9" w:rsidRDefault="00314559" w:rsidP="00314559">
            <w:pPr>
              <w:jc w:val="center"/>
              <w:rPr>
                <w:rFonts w:ascii="Times New Roman" w:eastAsia="Calibri" w:hAnsi="Times New Roman" w:cs="Times New Roman"/>
                <w:i/>
                <w:sz w:val="18"/>
                <w:szCs w:val="18"/>
              </w:rPr>
            </w:pPr>
            <w:r w:rsidRPr="003B7DC9">
              <w:rPr>
                <w:rFonts w:ascii="Times New Roman" w:eastAsia="Calibri" w:hAnsi="Times New Roman" w:cs="Times New Roman"/>
                <w:sz w:val="18"/>
                <w:szCs w:val="18"/>
              </w:rPr>
              <w:lastRenderedPageBreak/>
              <w:t>1</w:t>
            </w:r>
          </w:p>
        </w:tc>
        <w:tc>
          <w:tcPr>
            <w:tcW w:w="720" w:type="dxa"/>
            <w:shd w:val="clear" w:color="auto" w:fill="F2F2F2"/>
          </w:tcPr>
          <w:p w14:paraId="7BD59961" w14:textId="503B91F0" w:rsidR="00314559" w:rsidRPr="003B7DC9" w:rsidRDefault="00314559" w:rsidP="00314559">
            <w:pPr>
              <w:jc w:val="center"/>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Neni 26</w:t>
            </w:r>
          </w:p>
        </w:tc>
        <w:tc>
          <w:tcPr>
            <w:tcW w:w="4334" w:type="dxa"/>
            <w:shd w:val="clear" w:color="auto" w:fill="F2F2F2"/>
          </w:tcPr>
          <w:p w14:paraId="185A86DF"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r w:rsidRPr="003B7DC9">
              <w:rPr>
                <w:rFonts w:ascii="Times New Roman" w:eastAsia="Times New Roman" w:hAnsi="Times New Roman" w:cs="Times New Roman"/>
                <w:b/>
                <w:color w:val="000000" w:themeColor="text1"/>
                <w:sz w:val="18"/>
                <w:szCs w:val="18"/>
                <w:lang w:val="en-US"/>
              </w:rPr>
              <w:t>Neni 26</w:t>
            </w:r>
          </w:p>
          <w:p w14:paraId="63F4D4F4"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r w:rsidRPr="003B7DC9">
              <w:rPr>
                <w:rFonts w:ascii="Times New Roman" w:eastAsia="Times New Roman" w:hAnsi="Times New Roman" w:cs="Times New Roman"/>
                <w:b/>
                <w:color w:val="000000" w:themeColor="text1"/>
                <w:sz w:val="18"/>
                <w:szCs w:val="18"/>
                <w:lang w:val="en-US"/>
              </w:rPr>
              <w:t>Bashkëpunimi më i gjerë</w:t>
            </w:r>
          </w:p>
          <w:p w14:paraId="429A7A78" w14:textId="77777777" w:rsidR="00314559" w:rsidRPr="003B7DC9" w:rsidRDefault="00314559" w:rsidP="00314559">
            <w:pPr>
              <w:pStyle w:val="ListParagraph"/>
              <w:numPr>
                <w:ilvl w:val="0"/>
                <w:numId w:val="133"/>
              </w:numPr>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Kur Republika e Shqipërisë i ofron një vendi të tretë një nivel bashkëpunimi më të gjerë se ai i parashikuar në këtë ligj, ky nivel bashkëpunimi </w:t>
            </w:r>
            <w:r w:rsidRPr="003B7DC9">
              <w:rPr>
                <w:rFonts w:ascii="Times New Roman" w:eastAsia="Times New Roman" w:hAnsi="Times New Roman" w:cs="Times New Roman"/>
                <w:bCs/>
                <w:color w:val="000000" w:themeColor="text1"/>
                <w:sz w:val="18"/>
                <w:szCs w:val="18"/>
                <w:lang w:val="en-US"/>
              </w:rPr>
              <w:lastRenderedPageBreak/>
              <w:t>nuk mund t’i refuzohet një shteti anëtar të Bashkimit Evropian që kërkon të vendosë bashkëpunim të ndërsjellë me Republikën e Shqipërisë.</w:t>
            </w:r>
          </w:p>
          <w:p w14:paraId="5FA201EC" w14:textId="4925FFA6" w:rsidR="00314559" w:rsidRPr="003B7DC9" w:rsidRDefault="00314559" w:rsidP="00314559">
            <w:pPr>
              <w:spacing w:before="100" w:beforeAutospacing="1" w:after="100" w:afterAutospacing="1" w:line="276" w:lineRule="auto"/>
              <w:jc w:val="both"/>
              <w:rPr>
                <w:rFonts w:ascii="Times New Roman" w:eastAsia="Calibri" w:hAnsi="Times New Roman" w:cs="Times New Roman"/>
                <w:sz w:val="18"/>
                <w:szCs w:val="18"/>
                <w:lang w:val="en-US"/>
              </w:rPr>
            </w:pPr>
          </w:p>
          <w:p w14:paraId="4C6A0FC1" w14:textId="55D02866" w:rsidR="00314559" w:rsidRPr="003B7DC9" w:rsidRDefault="00314559" w:rsidP="00314559">
            <w:pPr>
              <w:spacing w:before="100" w:beforeAutospacing="1" w:after="100" w:afterAutospacing="1" w:line="276" w:lineRule="auto"/>
              <w:jc w:val="both"/>
              <w:rPr>
                <w:rFonts w:ascii="Times New Roman" w:eastAsia="Calibri" w:hAnsi="Times New Roman" w:cs="Times New Roman"/>
                <w:sz w:val="18"/>
                <w:szCs w:val="18"/>
                <w:lang w:val="en-US"/>
              </w:rPr>
            </w:pPr>
          </w:p>
        </w:tc>
        <w:tc>
          <w:tcPr>
            <w:tcW w:w="1066" w:type="dxa"/>
            <w:shd w:val="clear" w:color="auto" w:fill="F2F2F2"/>
          </w:tcPr>
          <w:p w14:paraId="1BEB4026" w14:textId="63DAE492" w:rsidR="00314559" w:rsidRPr="004A5803" w:rsidRDefault="00314559" w:rsidP="00314559">
            <w:pPr>
              <w:jc w:val="center"/>
              <w:rPr>
                <w:rFonts w:ascii="Times New Roman" w:eastAsia="Calibri" w:hAnsi="Times New Roman" w:cs="Times New Roman"/>
                <w:iCs/>
                <w:sz w:val="18"/>
                <w:szCs w:val="18"/>
                <w:lang w:val="en-US"/>
              </w:rPr>
            </w:pPr>
            <w:r w:rsidRPr="004A5803">
              <w:rPr>
                <w:rFonts w:ascii="Times New Roman" w:eastAsia="Calibri" w:hAnsi="Times New Roman" w:cs="Times New Roman"/>
                <w:iCs/>
                <w:sz w:val="18"/>
                <w:szCs w:val="18"/>
              </w:rPr>
              <w:lastRenderedPageBreak/>
              <w:t>F</w:t>
            </w:r>
          </w:p>
        </w:tc>
        <w:tc>
          <w:tcPr>
            <w:tcW w:w="3060" w:type="dxa"/>
            <w:shd w:val="clear" w:color="auto" w:fill="F2F2F2"/>
          </w:tcPr>
          <w:p w14:paraId="62F2BCC3" w14:textId="77777777" w:rsidR="00314559" w:rsidRPr="003B7DC9" w:rsidRDefault="00314559" w:rsidP="00314559">
            <w:pPr>
              <w:pStyle w:val="NormalWeb"/>
              <w:spacing w:line="240" w:lineRule="auto"/>
              <w:jc w:val="both"/>
              <w:rPr>
                <w:rFonts w:eastAsia="Calibri"/>
                <w:sz w:val="18"/>
                <w:szCs w:val="18"/>
              </w:rPr>
            </w:pPr>
          </w:p>
          <w:p w14:paraId="2B08ADE6" w14:textId="2D18E932" w:rsidR="00314559" w:rsidRPr="003B7DC9" w:rsidRDefault="00314559" w:rsidP="00314559">
            <w:pPr>
              <w:pStyle w:val="NormalWeb"/>
              <w:spacing w:line="240" w:lineRule="auto"/>
              <w:jc w:val="both"/>
              <w:rPr>
                <w:rFonts w:eastAsia="Calibri"/>
                <w:sz w:val="18"/>
                <w:szCs w:val="18"/>
              </w:rPr>
            </w:pPr>
          </w:p>
        </w:tc>
      </w:tr>
      <w:tr w:rsidR="00314559" w:rsidRPr="003B7DC9" w14:paraId="01DB1503" w14:textId="77777777" w:rsidTr="00B75638">
        <w:tc>
          <w:tcPr>
            <w:tcW w:w="630" w:type="dxa"/>
          </w:tcPr>
          <w:p w14:paraId="43FE0BD5" w14:textId="1FA8AC90" w:rsidR="00314559" w:rsidRPr="003B7DC9" w:rsidRDefault="00314559" w:rsidP="00314559">
            <w:pPr>
              <w:jc w:val="both"/>
              <w:rPr>
                <w:rFonts w:ascii="Times New Roman" w:eastAsia="Calibri" w:hAnsi="Times New Roman" w:cs="Times New Roman"/>
                <w:sz w:val="18"/>
                <w:szCs w:val="18"/>
                <w:lang w:val="en-US"/>
              </w:rPr>
            </w:pPr>
          </w:p>
        </w:tc>
        <w:tc>
          <w:tcPr>
            <w:tcW w:w="5220" w:type="dxa"/>
            <w:shd w:val="clear" w:color="auto" w:fill="FFFFFF" w:themeFill="background1"/>
          </w:tcPr>
          <w:p w14:paraId="1E27F57E" w14:textId="77777777"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20</w:t>
            </w:r>
          </w:p>
          <w:p w14:paraId="7E0198CB"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Formatet standarde dhe formatet e kompjuterizuara</w:t>
            </w:r>
          </w:p>
          <w:p w14:paraId="1E4FA287" w14:textId="77777777" w:rsidR="00314559" w:rsidRPr="003B7DC9" w:rsidRDefault="00314559" w:rsidP="00314559">
            <w:pPr>
              <w:numPr>
                <w:ilvl w:val="0"/>
                <w:numId w:val="71"/>
              </w:numPr>
              <w:jc w:val="both"/>
              <w:rPr>
                <w:rFonts w:ascii="Times New Roman" w:eastAsia="Calibri" w:hAnsi="Times New Roman" w:cs="Times New Roman"/>
                <w:iCs/>
                <w:sz w:val="18"/>
                <w:szCs w:val="18"/>
              </w:rPr>
            </w:pPr>
          </w:p>
          <w:p w14:paraId="701AD567"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Kërkesat për informacion dhe për hetime administrative sipas nenit 5 dhe përgjigjet e tyre, konfirmimet e marrjes, kërkesat për informacion shtesë mbështetës, pamundësia ose refuzimi sipas nenit 7, në masën e mundshme, dërgohen duke përdorur një formular standard të miratuar nga Komisioni në përputhje me procedurën e përmendur në nenin 26(2).</w:t>
            </w:r>
          </w:p>
          <w:p w14:paraId="5079D1BE"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Formularët standardë mund të shoqërohen me raporte, deklarata dhe çdo dokument tjetër, ose kopje të tyre të vërtetuara ose ekstrakte prej tyre.</w:t>
            </w:r>
          </w:p>
          <w:p w14:paraId="6C7053A4"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▼M7</w:t>
            </w:r>
          </w:p>
          <w:p w14:paraId="2C45B0D1" w14:textId="77777777" w:rsidR="00314559" w:rsidRPr="003B7DC9" w:rsidRDefault="00314559" w:rsidP="00314559">
            <w:pPr>
              <w:numPr>
                <w:ilvl w:val="0"/>
                <w:numId w:val="72"/>
              </w:numPr>
              <w:jc w:val="both"/>
              <w:rPr>
                <w:rFonts w:ascii="Times New Roman" w:eastAsia="Calibri" w:hAnsi="Times New Roman" w:cs="Times New Roman"/>
                <w:iCs/>
                <w:sz w:val="18"/>
                <w:szCs w:val="18"/>
              </w:rPr>
            </w:pPr>
          </w:p>
          <w:p w14:paraId="089D0DAF"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Formulari standard i përmendur në pikën 1 përfshin të paktën informacionin e mëposhtëm që do të sigurohet nga autoriteti kërkues:</w:t>
            </w:r>
          </w:p>
          <w:p w14:paraId="0C229831"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identitetin e personit nën shqyrtim ose hetim dhe, në rastin e kërkesave të grupit siç përmenden në nenin 5a(3), një përshkrim të detajuar të grupit;</w:t>
            </w:r>
          </w:p>
          <w:p w14:paraId="26354A5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 qëllimin tatimor për të cilin kërkohet informacioni.</w:t>
            </w:r>
          </w:p>
          <w:p w14:paraId="6571004E"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w:t>
            </w:r>
          </w:p>
          <w:p w14:paraId="3B25AC58"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Autoriteti kërkues mund, në masën që është i njohur dhe në përputhje me zhvillimet ndërkombëtare, të sigurojë emrin dhe adresën e çdo personi që besohet të jetë në posedim të informacionit të kërkuar, si dhe çdo element që mund të lehtësojë mbledhjen e informacionit nga autoriteti i kërkuar.</w:t>
            </w:r>
          </w:p>
          <w:p w14:paraId="2F51770C"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▼M7</w:t>
            </w:r>
          </w:p>
          <w:p w14:paraId="6350E159" w14:textId="77777777" w:rsidR="00314559" w:rsidRPr="003B7DC9" w:rsidRDefault="00314559" w:rsidP="00314559">
            <w:pPr>
              <w:numPr>
                <w:ilvl w:val="0"/>
                <w:numId w:val="73"/>
              </w:numPr>
              <w:jc w:val="both"/>
              <w:rPr>
                <w:rFonts w:ascii="Times New Roman" w:eastAsia="Calibri" w:hAnsi="Times New Roman" w:cs="Times New Roman"/>
                <w:iCs/>
                <w:sz w:val="18"/>
                <w:szCs w:val="18"/>
              </w:rPr>
            </w:pPr>
          </w:p>
          <w:p w14:paraId="30E1F2F1"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Informacioni spontan dhe konfirmimi i tij sipas neneve 9 dhe 10 përkatësisht, kërkesat për njoftime administrative sipas nenit 13, </w:t>
            </w:r>
            <w:r w:rsidRPr="003B7DC9">
              <w:rPr>
                <w:rFonts w:ascii="Times New Roman" w:eastAsia="Calibri" w:hAnsi="Times New Roman" w:cs="Times New Roman"/>
                <w:iCs/>
                <w:sz w:val="18"/>
                <w:szCs w:val="18"/>
              </w:rPr>
              <w:lastRenderedPageBreak/>
              <w:t>informacione feedback sipas nenit 14 dhe komunikimet sipas nenit 16(2) dhe (3) dhe nenit 24(2) dërgohen duke përdorur formularët standardë të miratuar nga Komisioni në përputhje me procedurën e përmendur në nenin 26(2).</w:t>
            </w:r>
          </w:p>
          <w:p w14:paraId="6731D8B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▼M9</w:t>
            </w:r>
          </w:p>
          <w:p w14:paraId="7E531A00" w14:textId="77777777" w:rsidR="00314559" w:rsidRPr="003B7DC9" w:rsidRDefault="00314559" w:rsidP="00314559">
            <w:pPr>
              <w:numPr>
                <w:ilvl w:val="0"/>
                <w:numId w:val="74"/>
              </w:numPr>
              <w:jc w:val="both"/>
              <w:rPr>
                <w:rFonts w:ascii="Times New Roman" w:eastAsia="Calibri" w:hAnsi="Times New Roman" w:cs="Times New Roman"/>
                <w:iCs/>
                <w:sz w:val="18"/>
                <w:szCs w:val="18"/>
              </w:rPr>
            </w:pPr>
          </w:p>
          <w:p w14:paraId="55195D1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Shkëmbimi automatik i informacionit sipas neneve 8, 8ac dhe 8ae realizohet duke përdorur një format standard të kompjuterizuar me qëllim lehtësimin e këtij shkëmbimi automatik, të miratuar nga Komisioni në përputhje me procedurën e përmendur në nenin 26(2).</w:t>
            </w:r>
          </w:p>
          <w:p w14:paraId="49146B1B"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▼M8</w:t>
            </w:r>
          </w:p>
          <w:p w14:paraId="2F5DD668" w14:textId="77777777" w:rsidR="00314559" w:rsidRPr="003B7DC9" w:rsidRDefault="00314559" w:rsidP="00314559">
            <w:pPr>
              <w:numPr>
                <w:ilvl w:val="0"/>
                <w:numId w:val="75"/>
              </w:numPr>
              <w:jc w:val="both"/>
              <w:rPr>
                <w:rFonts w:ascii="Times New Roman" w:eastAsia="Calibri" w:hAnsi="Times New Roman" w:cs="Times New Roman"/>
                <w:iCs/>
                <w:sz w:val="18"/>
                <w:szCs w:val="18"/>
              </w:rPr>
            </w:pPr>
          </w:p>
          <w:p w14:paraId="3DF72754"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Komisioni miraton akte zbatuese që përcaktojnë formularë standardë të kompjuterizuar, duke përfshirë rregullimet gjuhësore, në rastet e mëposhtme:</w:t>
            </w:r>
          </w:p>
          <w:p w14:paraId="4DAC894C"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për shkëmbimin automatik të informacionit për vendimet paraprake ndërkufitare dhe marrëveshjet paraprake për çmimet e transferimit sipas nenit 8a përpara 1 janarit 2017;</w:t>
            </w:r>
          </w:p>
          <w:p w14:paraId="6F1C02E5"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 për shkëmbimin automatik të informacionit për marrëveshjet ndërkufitare të raportueshme sipas nenit 8ab përpara 30 qershorit 2019;</w:t>
            </w:r>
          </w:p>
          <w:p w14:paraId="20A806AD"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(c) për shkëmbimin automatik të informacionit për Asetet Kripto të Raportueshme sipas nenit 8ad përpara 30 qershorit 2025.</w:t>
            </w:r>
          </w:p>
          <w:p w14:paraId="6914DB8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Këta formularë standardë të kompjuterizuar nuk tejkalojnë komponentët për shkëmbimin e informacionit të listuar në nenet 8a(6), 8ab(14) dhe 8ad(3), dhe fusha të tjera të lidhura me këta komponentë që janë të nevojshme për arritjen e objektivave të neneve 8a, 8ab dhe 8ad, përkatësisht.</w:t>
            </w:r>
          </w:p>
          <w:p w14:paraId="60360110"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Rregullimet gjuhësore të përmendura në nënparagrafin e parë të kësaj pike nuk pengojnë shtetet anëtare nga komunikimi i informacionit të përmendur në nenet 8a dhe 8ab në cilëndo nga gjuhët zyrtare të Bashkimit. Megjithatë, këto rregullime gjuhësore mund të parashikojnë që elementët kryesorë të këtij informacioni të dërgohen gjithashtu në një gjuhë tjetër zyrtare të Bashkimit.</w:t>
            </w:r>
          </w:p>
          <w:p w14:paraId="12D39FCD"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Aktet zbatuese të përmendura në këtë pikë miratohen në përputhje me procedurën e përmendur në nenin 26(2).</w:t>
            </w:r>
          </w:p>
          <w:p w14:paraId="5BA63EE8"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▼M3</w:t>
            </w:r>
          </w:p>
          <w:p w14:paraId="13C83668" w14:textId="77777777" w:rsidR="00314559" w:rsidRPr="003B7DC9" w:rsidRDefault="00314559" w:rsidP="00314559">
            <w:pPr>
              <w:numPr>
                <w:ilvl w:val="0"/>
                <w:numId w:val="76"/>
              </w:numPr>
              <w:jc w:val="both"/>
              <w:rPr>
                <w:rFonts w:ascii="Times New Roman" w:eastAsia="Calibri" w:hAnsi="Times New Roman" w:cs="Times New Roman"/>
                <w:iCs/>
                <w:sz w:val="18"/>
                <w:szCs w:val="18"/>
              </w:rPr>
            </w:pPr>
          </w:p>
          <w:p w14:paraId="02DBEB6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Shkëmbimi automatik i informacionit për raportin vend</w:t>
            </w:r>
            <w:r w:rsidRPr="003B7DC9">
              <w:rPr>
                <w:rFonts w:ascii="Times New Roman" w:eastAsia="Calibri" w:hAnsi="Times New Roman" w:cs="Times New Roman"/>
                <w:iCs/>
                <w:sz w:val="18"/>
                <w:szCs w:val="18"/>
              </w:rPr>
              <w:noBreakHyphen/>
              <w:t>më</w:t>
            </w:r>
            <w:r w:rsidRPr="003B7DC9">
              <w:rPr>
                <w:rFonts w:ascii="Times New Roman" w:eastAsia="Calibri" w:hAnsi="Times New Roman" w:cs="Times New Roman"/>
                <w:iCs/>
                <w:sz w:val="18"/>
                <w:szCs w:val="18"/>
              </w:rPr>
              <w:noBreakHyphen/>
              <w:t xml:space="preserve">vend sipas nenit 8aa kryhet duke përdorur formularin standard të përcaktuar </w:t>
            </w:r>
            <w:r w:rsidRPr="003B7DC9">
              <w:rPr>
                <w:rFonts w:ascii="Times New Roman" w:eastAsia="Calibri" w:hAnsi="Times New Roman" w:cs="Times New Roman"/>
                <w:iCs/>
                <w:sz w:val="18"/>
                <w:szCs w:val="18"/>
              </w:rPr>
              <w:lastRenderedPageBreak/>
              <w:t>në Tabelat 1, 2 dhe 3 të Seksionit III të Aneksit III. Komisioni, me anë të akteve zbatuese, miraton rregullimet gjuhësore për këtë shkëmbim deri më 31 dhjetor 2016. Këto nuk pengojnë shtetet anëtare nga komunikimi i informacionit të përmendur në nenin 8aa në cilëndo nga gjuhët zyrtare dhe të punës të Bashkimit. Megjithatë, këto rregullime gjuhësore mund të parashikojnë që elementët kryesorë të këtij informacioni të dërgohen gjithashtu në një gjuhë tjetër zyrtare të Bashkimit. Këto akte zbatuese miratohen në përputhje me procedurën e përmendur në nenin 26(2).</w:t>
            </w:r>
          </w:p>
          <w:p w14:paraId="0418BD54" w14:textId="796F7157" w:rsidR="00314559" w:rsidRPr="003B7DC9" w:rsidRDefault="00314559" w:rsidP="00314559">
            <w:pPr>
              <w:jc w:val="both"/>
              <w:rPr>
                <w:rFonts w:ascii="Times New Roman" w:eastAsia="Calibri" w:hAnsi="Times New Roman" w:cs="Times New Roman"/>
                <w:iCs/>
                <w:sz w:val="18"/>
                <w:szCs w:val="18"/>
                <w:lang w:val="en-US"/>
              </w:rPr>
            </w:pPr>
          </w:p>
        </w:tc>
        <w:tc>
          <w:tcPr>
            <w:tcW w:w="1170" w:type="dxa"/>
            <w:shd w:val="clear" w:color="auto" w:fill="FFFFFF" w:themeFill="background1"/>
          </w:tcPr>
          <w:p w14:paraId="12D30A9E" w14:textId="662A4D19"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shd w:val="clear" w:color="auto" w:fill="FFFFFF" w:themeFill="background1"/>
          </w:tcPr>
          <w:p w14:paraId="589A5FA3" w14:textId="682D84FE"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23 dhe neni 13, pika 2</w:t>
            </w:r>
          </w:p>
        </w:tc>
        <w:tc>
          <w:tcPr>
            <w:tcW w:w="4334" w:type="dxa"/>
            <w:shd w:val="clear" w:color="auto" w:fill="FFFFFF" w:themeFill="background1"/>
          </w:tcPr>
          <w:p w14:paraId="0E0173D1"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r w:rsidRPr="003B7DC9">
              <w:rPr>
                <w:rFonts w:ascii="Times New Roman" w:eastAsia="Times New Roman" w:hAnsi="Times New Roman" w:cs="Times New Roman"/>
                <w:b/>
                <w:color w:val="000000" w:themeColor="text1"/>
                <w:sz w:val="18"/>
                <w:szCs w:val="18"/>
                <w:lang w:val="en-US"/>
              </w:rPr>
              <w:t>Neni 23</w:t>
            </w:r>
          </w:p>
          <w:p w14:paraId="68C4C295"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r w:rsidRPr="003B7DC9">
              <w:rPr>
                <w:rFonts w:ascii="Times New Roman" w:eastAsia="Times New Roman" w:hAnsi="Times New Roman" w:cs="Times New Roman"/>
                <w:b/>
                <w:color w:val="000000" w:themeColor="text1"/>
                <w:sz w:val="18"/>
                <w:szCs w:val="18"/>
                <w:lang w:val="en-US"/>
              </w:rPr>
              <w:t>Formularët standardë, formatet e kompjuterizuara dhe gjuhët</w:t>
            </w:r>
          </w:p>
          <w:p w14:paraId="5F69CE08" w14:textId="77777777" w:rsidR="00314559" w:rsidRPr="003B7DC9" w:rsidRDefault="00314559" w:rsidP="00314559">
            <w:pPr>
              <w:pStyle w:val="ListParagraph"/>
              <w:numPr>
                <w:ilvl w:val="0"/>
                <w:numId w:val="134"/>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Kërkesat për informacion dhe hetime administrative sipas nenit 5, përgjigjet e tyre, konfirmimet e marrjes, kërkesat për informacion plotësues dhe njoftimet për pamundësi ose refuzim dërgohen, për aq sa është e mundur, duke përdorur formularin standard të përcaktuar në aneksin I të Rregullores Zbatuese të Komisionit (BE) 2015/2378, të ndryshuar.</w:t>
            </w:r>
          </w:p>
          <w:p w14:paraId="7911E511" w14:textId="77777777" w:rsidR="00314559" w:rsidRPr="003B7DC9" w:rsidRDefault="00314559" w:rsidP="00314559">
            <w:pPr>
              <w:pStyle w:val="ListParagraph"/>
              <w:numPr>
                <w:ilvl w:val="0"/>
                <w:numId w:val="134"/>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Shkëmbimi spontan i informacionit dhe konfirmimi i marrjes kryhen duke përdorur formularin standard të përcaktuar në aneksin II; kërkesat për njoftim administrativ dhe përgjigjet e tyre, formularin e përcaktuar në aneksin III; ndërsa informacioni për rezultatet e përdorimit, formularin e përcaktuar në aneksin IV të së njëjtës rregullore.</w:t>
            </w:r>
          </w:p>
          <w:p w14:paraId="3E8DA70D" w14:textId="77777777" w:rsidR="00314559" w:rsidRPr="003B7DC9" w:rsidRDefault="00314559" w:rsidP="00314559">
            <w:pPr>
              <w:pStyle w:val="ListParagraph"/>
              <w:numPr>
                <w:ilvl w:val="0"/>
                <w:numId w:val="134"/>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Shkëmbimi automatik sipas nenit 12 kryhet në formatin e kompjuterizuar të përcaktuar në aneksin V të së njëjtës rregullore, në përputhje me nenin 14 të këtij ligji. Komunikimet sipas nenit 21, pikat 3 dhe 4, dhe nenit 27, pika 2, të këtij ligji kryhen duke përdorur formularët standardë të miratuar nga Komisioni Evropian, në përputhje me nenin 20, pika 3, të Direktivës 2011/16/BE.</w:t>
            </w:r>
          </w:p>
          <w:p w14:paraId="5B4E6A86" w14:textId="77777777" w:rsidR="00314559" w:rsidRPr="003B7DC9" w:rsidRDefault="00314559" w:rsidP="00314559">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6A59777C" w14:textId="77777777" w:rsidR="00314559" w:rsidRPr="003B7DC9" w:rsidRDefault="00314559" w:rsidP="00314559">
            <w:pPr>
              <w:pStyle w:val="ListParagraph"/>
              <w:numPr>
                <w:ilvl w:val="0"/>
                <w:numId w:val="134"/>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Procedurat e brendshme për plotësimin, validimin, regjistrimin, përcjelljen, ruajtjen dhe përdorimin e formularëve dhe formateve të miratuara në nivel të Bashkimit Evropian përcaktohen me vendim të Këshillit të Ministrave.</w:t>
            </w:r>
          </w:p>
          <w:p w14:paraId="0549C3F7" w14:textId="77777777" w:rsidR="00314559" w:rsidRPr="003B7DC9" w:rsidRDefault="00314559" w:rsidP="00314559">
            <w:pPr>
              <w:pStyle w:val="ListParagraph"/>
              <w:numPr>
                <w:ilvl w:val="0"/>
                <w:numId w:val="134"/>
              </w:numPr>
              <w:jc w:val="both"/>
              <w:rPr>
                <w:rFonts w:ascii="Times New Roman" w:hAnsi="Times New Roman" w:cs="Times New Roman"/>
                <w:sz w:val="18"/>
                <w:szCs w:val="18"/>
              </w:rPr>
            </w:pPr>
            <w:r w:rsidRPr="003B7DC9">
              <w:rPr>
                <w:rFonts w:ascii="Times New Roman" w:hAnsi="Times New Roman" w:cs="Times New Roman"/>
                <w:sz w:val="18"/>
                <w:szCs w:val="18"/>
              </w:rPr>
              <w:t>Kërkesat për bashkëpunim, përfshirë kërkesat për njoftim administrativ, dhe dokumentet bashkëlidhur mund të hartohen në çdo gjuhë për të cilën bien dakord autoriteti kërkues dhe autoriteti i kërkuar. Përkthimi në një gjuhë zyrtare të shtetit anëtar të kërkuar sigurohet vetëm në raste të veçanta, kur autoriteti i kërkuar paraqet një kërkesë të arsyetuar. Kjo pikë nuk cenon rregullimet gjuhësore të përcaktuara në aktet zbatuese të Bashkimit Evropian.</w:t>
            </w:r>
          </w:p>
          <w:p w14:paraId="79EF8E21" w14:textId="77777777" w:rsidR="00314559" w:rsidRPr="003B7DC9" w:rsidRDefault="00314559" w:rsidP="00314559">
            <w:pPr>
              <w:pStyle w:val="ListParagraph"/>
              <w:numPr>
                <w:ilvl w:val="0"/>
                <w:numId w:val="134"/>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val="sq-AL"/>
              </w:rPr>
              <w:t>Formularët standardë mund të shoqërohen me raporte, deklarata dhe dokumente të tjera, ose me kopje apo ekstrakte të vërtetuara të tyre.</w:t>
            </w:r>
          </w:p>
          <w:p w14:paraId="762C790D" w14:textId="77777777" w:rsidR="00314559" w:rsidRPr="003B7DC9" w:rsidRDefault="00314559" w:rsidP="00314559">
            <w:pPr>
              <w:pStyle w:val="ListParagraph"/>
              <w:numPr>
                <w:ilvl w:val="0"/>
                <w:numId w:val="134"/>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bCs/>
                <w:sz w:val="18"/>
                <w:szCs w:val="18"/>
                <w:lang w:eastAsia="sq-AL"/>
              </w:rPr>
              <w:t xml:space="preserve">Shkëmbimet automatike të informacionit sipas ligjeve të posaçme që zbatojnë Direktivën 2011/16/BE, të ndryshuar, kryhen </w:t>
            </w:r>
            <w:r w:rsidRPr="003B7DC9">
              <w:rPr>
                <w:rFonts w:ascii="Times New Roman" w:eastAsia="Times New Roman" w:hAnsi="Times New Roman" w:cs="Times New Roman"/>
                <w:sz w:val="18"/>
                <w:szCs w:val="18"/>
                <w:lang w:eastAsia="sq-AL"/>
              </w:rPr>
              <w:t>duke përdorur, sipas rastit, formularët standardë ose skemat dhe formatet standarde të kompjuterizuara</w:t>
            </w:r>
            <w:r w:rsidRPr="003B7DC9">
              <w:rPr>
                <w:rFonts w:ascii="Times New Roman" w:eastAsia="Times New Roman" w:hAnsi="Times New Roman" w:cs="Times New Roman"/>
                <w:bCs/>
                <w:sz w:val="18"/>
                <w:szCs w:val="18"/>
                <w:lang w:eastAsia="sq-AL"/>
              </w:rPr>
              <w:t xml:space="preserve"> të miratuara nga Komisioni Evropian për kategorinë përkatëse të shkëmbimit. </w:t>
            </w:r>
            <w:r w:rsidRPr="003B7DC9">
              <w:rPr>
                <w:rFonts w:ascii="Times New Roman" w:eastAsia="Times New Roman" w:hAnsi="Times New Roman" w:cs="Times New Roman"/>
                <w:sz w:val="18"/>
                <w:szCs w:val="18"/>
                <w:lang w:eastAsia="sq-AL"/>
              </w:rPr>
              <w:t>Procedurat kombëtare për raportimin, plotësimin, validimin, korrigjimin dhe transmetimin e informacionit përcaktohen në aktin nënligjor të nxjerrë në zbatim të ligjit të posaçëm përkatës ose, kur ligji i posaçëm nuk parashikon ndryshe, me vendim të Këshillit të Ministrave të nxjerrë në zbatim të këtij ligji.</w:t>
            </w:r>
          </w:p>
          <w:p w14:paraId="46DF99BB" w14:textId="77777777" w:rsidR="00314559" w:rsidRPr="003B7DC9" w:rsidRDefault="00314559" w:rsidP="00314559">
            <w:pPr>
              <w:jc w:val="center"/>
              <w:outlineLvl w:val="2"/>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13</w:t>
            </w:r>
          </w:p>
          <w:p w14:paraId="0B197C92" w14:textId="77777777" w:rsidR="00314559" w:rsidRPr="003B7DC9" w:rsidRDefault="00314559" w:rsidP="00314559">
            <w:pPr>
              <w:jc w:val="center"/>
              <w:outlineLvl w:val="2"/>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lastRenderedPageBreak/>
              <w:t xml:space="preserve">Mbledhja dhe paraqitja e informacionit për qëllime të shkëmbimit automatik </w:t>
            </w:r>
          </w:p>
          <w:p w14:paraId="6BCC9426" w14:textId="77777777" w:rsidR="00314559" w:rsidRPr="003B7DC9" w:rsidRDefault="00314559" w:rsidP="00314559">
            <w:pPr>
              <w:jc w:val="center"/>
              <w:outlineLvl w:val="2"/>
              <w:rPr>
                <w:rFonts w:ascii="Times New Roman" w:eastAsia="Times New Roman" w:hAnsi="Times New Roman" w:cs="Times New Roman"/>
                <w:bCs/>
                <w:sz w:val="18"/>
                <w:szCs w:val="18"/>
                <w:lang w:val="en-US"/>
              </w:rPr>
            </w:pPr>
          </w:p>
          <w:p w14:paraId="225C6EF7" w14:textId="77777777" w:rsidR="00314559" w:rsidRPr="003B7DC9" w:rsidRDefault="00314559" w:rsidP="00314559">
            <w:pPr>
              <w:pStyle w:val="ListParagraph"/>
              <w:numPr>
                <w:ilvl w:val="0"/>
                <w:numId w:val="145"/>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bCs/>
                <w:sz w:val="18"/>
                <w:szCs w:val="18"/>
                <w:lang w:val="en-US"/>
              </w:rPr>
              <w:t xml:space="preserve">Për qëllimet e </w:t>
            </w:r>
            <w:r w:rsidRPr="003B7DC9">
              <w:rPr>
                <w:rFonts w:ascii="Times New Roman" w:eastAsia="Times New Roman" w:hAnsi="Times New Roman" w:cs="Times New Roman"/>
                <w:sz w:val="18"/>
                <w:szCs w:val="18"/>
                <w:lang w:val="en-US"/>
              </w:rPr>
              <w:t>nenit 12,</w:t>
            </w:r>
            <w:r w:rsidRPr="003B7DC9">
              <w:rPr>
                <w:rFonts w:ascii="Times New Roman" w:eastAsia="Times New Roman" w:hAnsi="Times New Roman" w:cs="Times New Roman"/>
                <w:bCs/>
                <w:sz w:val="18"/>
                <w:szCs w:val="18"/>
                <w:lang w:val="en-US"/>
              </w:rPr>
              <w:t xml:space="preserve"> personat që disponojnë ose administrojnë informacion mbi kategoritë e të ardhurave dhe kapitalit të përcaktuara në atë nen, përfshirë punëdhënësit, paguesit e shpërblimeve të anëtarëve të organeve drejtuese, shoqëritë e sigurimit të jetës, fondet e pensionit dhe administratorët e tyre, organet që administrojnë regjistrat e pasurive të paluajtshme, paguesit e honorareve dhe paguesit </w:t>
            </w:r>
            <w:r w:rsidRPr="003B7DC9">
              <w:rPr>
                <w:rFonts w:ascii="Times New Roman" w:hAnsi="Times New Roman" w:cs="Times New Roman"/>
                <w:sz w:val="18"/>
                <w:szCs w:val="18"/>
              </w:rPr>
              <w:t xml:space="preserve">e të ardhurave nga dividendët </w:t>
            </w:r>
            <w:r w:rsidRPr="003B7DC9">
              <w:rPr>
                <w:rFonts w:ascii="Times New Roman" w:eastAsia="Times New Roman" w:hAnsi="Times New Roman" w:cs="Times New Roman"/>
                <w:bCs/>
                <w:sz w:val="18"/>
                <w:szCs w:val="18"/>
                <w:lang w:val="en-US"/>
              </w:rPr>
              <w:t xml:space="preserve">që nuk lidhen me një llogari kujdestare, ia paraqesin informacionin Drejtorisë së Përgjithshme të Tatimeve. </w:t>
            </w:r>
            <w:r w:rsidRPr="003B7DC9">
              <w:rPr>
                <w:rFonts w:ascii="Times New Roman" w:eastAsia="Times New Roman" w:hAnsi="Times New Roman" w:cs="Times New Roman"/>
                <w:sz w:val="18"/>
                <w:szCs w:val="18"/>
                <w:lang w:eastAsia="sq-AL"/>
              </w:rPr>
              <w:t>Personat e përmendur në këtë pikë paraqesin vetëm informacionin që është i nevojshëm për shkëmbimin automatik dhe që ata zotërojnë ose administrojnë në mënyrë të ligjshme.</w:t>
            </w:r>
          </w:p>
          <w:p w14:paraId="4F19C8A1" w14:textId="77777777" w:rsidR="00314559" w:rsidRPr="003B7DC9" w:rsidRDefault="00314559" w:rsidP="00314559">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2B32AC98" w14:textId="77777777" w:rsidR="00314559" w:rsidRPr="003B7DC9" w:rsidRDefault="00314559" w:rsidP="00314559">
            <w:pPr>
              <w:pStyle w:val="ListParagraph"/>
              <w:numPr>
                <w:ilvl w:val="0"/>
                <w:numId w:val="145"/>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 xml:space="preserve">Informacioni përmban të dhënat e nevojshme për identifikimin e personit, shtetin e rezidencës tatimore, </w:t>
            </w:r>
            <w:r w:rsidRPr="003B7DC9">
              <w:rPr>
                <w:rFonts w:ascii="Times New Roman" w:hAnsi="Times New Roman" w:cs="Times New Roman"/>
                <w:sz w:val="18"/>
                <w:szCs w:val="18"/>
              </w:rPr>
              <w:t>kategorinë e të ardhurave ose kapitalit dhe periudhën përkatëse</w:t>
            </w:r>
            <w:r w:rsidRPr="003B7DC9">
              <w:rPr>
                <w:rFonts w:ascii="Times New Roman" w:eastAsia="Times New Roman" w:hAnsi="Times New Roman" w:cs="Times New Roman"/>
                <w:sz w:val="18"/>
                <w:szCs w:val="18"/>
                <w:lang w:eastAsia="sq-AL"/>
              </w:rPr>
              <w:t>, shumën dhe monedhën, kur është e zbatueshme, si dhe të dhënat e burimit të informacionit. Fushat e detajuara të të dhënave dhe rregullat për plotësimin e tyre përcaktohen me vendim të Këshillit të Ministrave, në përputhje me formatin e kompjuterizuar të Bashkimit Evropian.</w:t>
            </w:r>
          </w:p>
          <w:p w14:paraId="5759BAC5" w14:textId="36419BC4" w:rsidR="00314559" w:rsidRPr="003B7DC9" w:rsidRDefault="00314559" w:rsidP="00314559">
            <w:pPr>
              <w:spacing w:line="276" w:lineRule="auto"/>
              <w:jc w:val="both"/>
              <w:rPr>
                <w:rFonts w:ascii="Times New Roman" w:eastAsia="Calibri" w:hAnsi="Times New Roman" w:cs="Times New Roman"/>
                <w:sz w:val="18"/>
                <w:szCs w:val="18"/>
                <w:lang w:val="en-US"/>
              </w:rPr>
            </w:pPr>
          </w:p>
        </w:tc>
        <w:tc>
          <w:tcPr>
            <w:tcW w:w="1066" w:type="dxa"/>
            <w:shd w:val="clear" w:color="auto" w:fill="FFFFFF" w:themeFill="background1"/>
          </w:tcPr>
          <w:p w14:paraId="285F00D8" w14:textId="3EA24503"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shd w:val="clear" w:color="auto" w:fill="FFFFFF" w:themeFill="background1"/>
          </w:tcPr>
          <w:p w14:paraId="5FB019CF" w14:textId="77777777" w:rsidR="00314559" w:rsidRPr="003B7DC9" w:rsidRDefault="00314559" w:rsidP="00314559">
            <w:pPr>
              <w:rPr>
                <w:rFonts w:ascii="Times New Roman" w:eastAsia="Calibri" w:hAnsi="Times New Roman" w:cs="Times New Roman"/>
                <w:sz w:val="18"/>
                <w:szCs w:val="18"/>
                <w:lang w:val="en-US"/>
              </w:rPr>
            </w:pPr>
          </w:p>
        </w:tc>
      </w:tr>
      <w:tr w:rsidR="00314559" w:rsidRPr="003B7DC9" w14:paraId="0A280824" w14:textId="77777777" w:rsidTr="00B75638">
        <w:tc>
          <w:tcPr>
            <w:tcW w:w="630" w:type="dxa"/>
          </w:tcPr>
          <w:p w14:paraId="4CC1BC67" w14:textId="654A2C67"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46B4D0FF" w14:textId="77777777" w:rsidR="00314559" w:rsidRPr="003B7DC9" w:rsidRDefault="00314559" w:rsidP="00314559">
            <w:pPr>
              <w:spacing w:line="276" w:lineRule="auto"/>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21</w:t>
            </w:r>
          </w:p>
          <w:p w14:paraId="21C2959D"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Rregullimet praktike</w:t>
            </w:r>
          </w:p>
          <w:p w14:paraId="40F26CBF" w14:textId="77777777" w:rsidR="00314559" w:rsidRPr="003B7DC9" w:rsidRDefault="00314559" w:rsidP="00314559">
            <w:pPr>
              <w:numPr>
                <w:ilvl w:val="0"/>
                <w:numId w:val="77"/>
              </w:numPr>
              <w:spacing w:line="276" w:lineRule="auto"/>
              <w:rPr>
                <w:rFonts w:ascii="Times New Roman" w:eastAsia="Calibri" w:hAnsi="Times New Roman" w:cs="Times New Roman"/>
                <w:iCs/>
                <w:sz w:val="18"/>
                <w:szCs w:val="18"/>
              </w:rPr>
            </w:pPr>
          </w:p>
          <w:p w14:paraId="2F42A485"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lastRenderedPageBreak/>
              <w:t>Informacioni i komunikuar sipas kësaj direktive, në masën e mundshme, sigurohet me mjete elektronike duke përdorur rrjetin CCN.</w:t>
            </w:r>
          </w:p>
          <w:p w14:paraId="2AAE4095"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është e nevojshme, Komisioni miraton rregullimet praktike të nevojshme për zbatimin e nënparagrafit të parë në përputhje me procedurën e përmendur në nenin 26(2).</w:t>
            </w:r>
          </w:p>
          <w:p w14:paraId="79F06BCB"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▼M1</w:t>
            </w:r>
            <w:r w:rsidRPr="003B7DC9">
              <w:rPr>
                <w:rFonts w:ascii="Times New Roman" w:eastAsia="Calibri" w:hAnsi="Times New Roman" w:cs="Times New Roman"/>
                <w:iCs/>
                <w:sz w:val="18"/>
                <w:szCs w:val="18"/>
              </w:rPr>
              <w:br/>
              <w:t>2.</w:t>
            </w:r>
            <w:r w:rsidRPr="003B7DC9">
              <w:rPr>
                <w:rFonts w:ascii="Times New Roman" w:eastAsia="Calibri" w:hAnsi="Times New Roman" w:cs="Times New Roman"/>
                <w:iCs/>
                <w:sz w:val="18"/>
                <w:szCs w:val="18"/>
              </w:rPr>
              <w:br/>
              <w:t>Komisioni është përgjegjës për çdo zhvillim të rrjetit CCN që është i nevojshëm për të mundësuar shkëmbimin e atij informacioni ndërmjet shteteve anëtare dhe për të siguruar sigurinë e rrjetit CCN.</w:t>
            </w:r>
          </w:p>
          <w:p w14:paraId="17643885"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Shtetet anëtare janë përgjegjëse për çdo zhvillim të sistemeve të tyre që është i nevojshëm për të mundësuar shkëmbimin e këtij informacioni duke përdorur rrjetin CCN dhe për të siguruar sigurinë e sistemeve të tyre.</w:t>
            </w:r>
          </w:p>
          <w:p w14:paraId="7AD8FDD6"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Shtetet anëtare sigurojnë që çdo Person i Raportueshëm individual të njoftohet për një shkelje sigurie në lidhje me të dhënat e tij kur kjo shkelje ka gjasa të ndikojë negativisht në mbrojtjen e të dhënave të tij personale ose privatësinë e tij.</w:t>
            </w:r>
          </w:p>
          <w:p w14:paraId="718EEB6E"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Shtetet anëtare heqin dorë nga çdo kërkesë për rimbursimin e shpenzimeve të kryera në zbatimin e kësaj direktive, përveç rasteve kur është e përshtatshme, në lidhje me tarifat e paguara ekspertëve.</w:t>
            </w:r>
          </w:p>
          <w:p w14:paraId="12EAE25C"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▼M2</w:t>
            </w:r>
            <w:r w:rsidRPr="003B7DC9">
              <w:rPr>
                <w:rFonts w:ascii="Times New Roman" w:eastAsia="Calibri" w:hAnsi="Times New Roman" w:cs="Times New Roman"/>
                <w:iCs/>
                <w:sz w:val="18"/>
                <w:szCs w:val="18"/>
              </w:rPr>
              <w:br/>
              <w:t>3.</w:t>
            </w:r>
            <w:r w:rsidRPr="003B7DC9">
              <w:rPr>
                <w:rFonts w:ascii="Times New Roman" w:eastAsia="Calibri" w:hAnsi="Times New Roman" w:cs="Times New Roman"/>
                <w:iCs/>
                <w:sz w:val="18"/>
                <w:szCs w:val="18"/>
              </w:rPr>
              <w:br/>
              <w:t>Personat e akredituar në mënyrë të rregullt nga Autoriteti i Akreditimit të Sigurisë i Komisionit mund të kenë akses në atë informacion vetëm në masën që është e nevojshme për mirëmbajtjen, mirëmbajtjen dhe zhvillimin e drejtorisë së përmendur në pikën 5 dhe të rrjetit CCN.</w:t>
            </w:r>
          </w:p>
          <w:p w14:paraId="57FA9F97"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w:t>
            </w:r>
            <w:r w:rsidRPr="003B7DC9">
              <w:rPr>
                <w:rFonts w:ascii="Times New Roman" w:eastAsia="Calibri" w:hAnsi="Times New Roman" w:cs="Times New Roman"/>
                <w:iCs/>
                <w:sz w:val="18"/>
                <w:szCs w:val="18"/>
              </w:rPr>
              <w:br/>
              <w:t>4.</w:t>
            </w:r>
            <w:r w:rsidRPr="003B7DC9">
              <w:rPr>
                <w:rFonts w:ascii="Times New Roman" w:eastAsia="Calibri" w:hAnsi="Times New Roman" w:cs="Times New Roman"/>
                <w:iCs/>
                <w:sz w:val="18"/>
                <w:szCs w:val="18"/>
              </w:rPr>
              <w:br/>
              <w:t>Kërkesat për bashkëpunim, duke përfshirë kërkesat për njoftim, dhe dokumentet e bashkëlidhura mund të bëhen në çdo gjuhë të rënë dakord ndërmjet autoritetit të kërkuar dhe autoritetit kërkues.</w:t>
            </w:r>
          </w:p>
          <w:p w14:paraId="44C9383A"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lastRenderedPageBreak/>
              <w:t>Këto kërkesa shoqërohen me një përkthim në gjuhën zyrtare ose në një nga gjuhët zyrtare të shtetit anëtar të autoritetit të kërkuar vetëm në raste të veçanta kur autoriteti i kërkuar jep arsyen e tij për kërkimin e një përkthimi.</w:t>
            </w:r>
          </w:p>
          <w:p w14:paraId="767ED0C6"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▼M8</w:t>
            </w:r>
            <w:r w:rsidRPr="003B7DC9">
              <w:rPr>
                <w:rFonts w:ascii="Times New Roman" w:eastAsia="Calibri" w:hAnsi="Times New Roman" w:cs="Times New Roman"/>
                <w:iCs/>
                <w:sz w:val="18"/>
                <w:szCs w:val="18"/>
              </w:rPr>
              <w:br/>
              <w:t>5.</w:t>
            </w:r>
            <w:r w:rsidRPr="003B7DC9">
              <w:rPr>
                <w:rFonts w:ascii="Times New Roman" w:eastAsia="Calibri" w:hAnsi="Times New Roman" w:cs="Times New Roman"/>
                <w:iCs/>
                <w:sz w:val="18"/>
                <w:szCs w:val="18"/>
              </w:rPr>
              <w:br/>
              <w:t>Komisioni, deri më 31 dhjetor 2017, zhvillon dhe siguron mbështetje teknike dhe logjistike për një direktori qendrore të sigurt të shteteve anëtare mbi bashkëpunimin administrativ në fushën e tatimeve ku informacioni që do të komunikohet në kuadër të nenit 8a(1) dhe (2) regjistrohet për të përmbushur shkëmbimin automatik të parashikuar në këto pika.</w:t>
            </w:r>
          </w:p>
          <w:p w14:paraId="7A1C359C"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Komisioni, deri më 31 dhjetor 2019, zhvillon dhe siguron mbështetje teknike dhe logjistike për një direktori qendrore të sigurt të shteteve anëtare mbi bashkëpunimin administrativ në fushën e tatimeve ku informacioni që do të komunikohet në kuadër të nenit 8ab(13), (14) dhe (16) regjistrohet për të përmbushur shkëmbimin automatik të parashikuar në këto pika.</w:t>
            </w:r>
          </w:p>
          <w:p w14:paraId="2741A147"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Komisioni, deri më 31 dhjetor 2026, zhvillon dhe siguron mbështetje teknike dhe logjistike për një direktori qendrore të sigurt të shteteve anëtare mbi bashkëpunimin administrativ në fushën e tatimeve ku informacioni që do të komunikohet në kuadër të nenit 8ad(2) dhe (3) regjistrohet për të përmbushur shkëmbimin automatik të parashikuar në këto pika.</w:t>
            </w:r>
          </w:p>
          <w:p w14:paraId="1BD4E129"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Autoritetet kompetente të të gjitha shteteve anëtare kanë akses në informacionin e regjistruar në këtë direktori. Në lidhje me informacionin që do të komunikohet në kuadër të nenit 8ad(2) dhe (3), autoriteti kompetent i një shteti anëtar ka, megjithatë, akses vetëm në informacionin që lidhet me Përdoruesit e Raportueshëm dhe Personat e Raportueshëm rezidentë në atë shtet anëtar.</w:t>
            </w:r>
          </w:p>
          <w:p w14:paraId="50CE967E"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Komisioni ka gjithashtu akses në informacionin e regjistruar në këtë direktori, megjithatë me kufizimet e përcaktuara në nenet 8a(8), 8ab(17) dhe 8ad(5), dhe vetëm për qëllimin e mbledhjes së statistikave në përputhje me pikën 7 të këtij neni. Komisioni, me anë të akteve zbatuese, miraton rregullimet praktike të nevojshme. Këto </w:t>
            </w:r>
            <w:r w:rsidRPr="003B7DC9">
              <w:rPr>
                <w:rFonts w:ascii="Times New Roman" w:eastAsia="Calibri" w:hAnsi="Times New Roman" w:cs="Times New Roman"/>
                <w:iCs/>
                <w:sz w:val="18"/>
                <w:szCs w:val="18"/>
              </w:rPr>
              <w:lastRenderedPageBreak/>
              <w:t>akte zbatuese miratohen në përputhje me procedurën e përmendur në nenin 26(2).</w:t>
            </w:r>
          </w:p>
          <w:p w14:paraId="20704D3F"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Derisa kjo direktori qendrore e sigurt të jetë funksionale, shkëmbimi automatik i parashikuar në nenin 8a(1) dhe (2), nenin 8ab(13), (14) dhe (16) dhe nenin 8ad(2) dhe (3) realizohet në përputhje me pikën 1 të këtij neni dhe rregullimet praktike të zbatueshme.</w:t>
            </w:r>
          </w:p>
          <w:p w14:paraId="0F502BD4"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▼M3</w:t>
            </w:r>
            <w:r w:rsidRPr="003B7DC9">
              <w:rPr>
                <w:rFonts w:ascii="Times New Roman" w:eastAsia="Calibri" w:hAnsi="Times New Roman" w:cs="Times New Roman"/>
                <w:iCs/>
                <w:sz w:val="18"/>
                <w:szCs w:val="18"/>
              </w:rPr>
              <w:br/>
              <w:t>6.</w:t>
            </w:r>
            <w:r w:rsidRPr="003B7DC9">
              <w:rPr>
                <w:rFonts w:ascii="Times New Roman" w:eastAsia="Calibri" w:hAnsi="Times New Roman" w:cs="Times New Roman"/>
                <w:iCs/>
                <w:sz w:val="18"/>
                <w:szCs w:val="18"/>
              </w:rPr>
              <w:br/>
              <w:t>Informacioni i komunikuar sipas nenit 8aa(2) sigurohet me mjete elektronike duke përdorur rrjetin CCN. Komisioni, me anë të akteve zbatuese, miraton rregullimet praktike të nevojshme për përditësimin e rrjetit CCN. Këto akte zbatuese miratohen në përputhje me procedurën e përmendur në nenin 26(2).</w:t>
            </w:r>
          </w:p>
          <w:p w14:paraId="11AE1180"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▼M7</w:t>
            </w:r>
            <w:r w:rsidRPr="003B7DC9">
              <w:rPr>
                <w:rFonts w:ascii="Times New Roman" w:eastAsia="Calibri" w:hAnsi="Times New Roman" w:cs="Times New Roman"/>
                <w:iCs/>
                <w:sz w:val="18"/>
                <w:szCs w:val="18"/>
              </w:rPr>
              <w:br/>
              <w:t>7.</w:t>
            </w:r>
            <w:r w:rsidRPr="003B7DC9">
              <w:rPr>
                <w:rFonts w:ascii="Times New Roman" w:eastAsia="Calibri" w:hAnsi="Times New Roman" w:cs="Times New Roman"/>
                <w:iCs/>
                <w:sz w:val="18"/>
                <w:szCs w:val="18"/>
              </w:rPr>
              <w:br/>
              <w:t>Komisioni zhvillon dhe siguron mbështetje teknike dhe logjistike për një ndërfaqe qendrore të sigurt mbi bashkëpunimin administrativ në fushën e tatimeve ku shtetet anëtare komunikojnë duke përdorur formularët standardë sipas nenit 20(1) dhe (3). Autoritetet kompetente të të gjitha shteteve anëtare kanë akses në këtë ndërfaqe. Për qëllimin e mbledhjes së statistikave, Komisioni ka akses në informacionin mbi shkëmbimet e regjistruara në ndërfaqe dhe që mund të nxirret automatikisht. Komisioni ka akses vetëm në të dhëna anonime dhe të agreguara. Ky akses nga Komisioni nuk cenon detyrimin e shteteve anëtare për të siguruar statistika mbi shkëmbimet e informacionit në përputhje me nenin 23(4).</w:t>
            </w:r>
          </w:p>
          <w:p w14:paraId="5DE218CA"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Komisioni, me anë të akteve zbatuese, përcakton rregullimet praktike të nevojshme. Këto akte zbatuese miratohen në përputhje me procedurën e përmendur në nenin 26(2).</w:t>
            </w:r>
          </w:p>
          <w:p w14:paraId="45DDED8D"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▼M8</w:t>
            </w:r>
            <w:r w:rsidRPr="003B7DC9">
              <w:rPr>
                <w:rFonts w:ascii="Times New Roman" w:eastAsia="Calibri" w:hAnsi="Times New Roman" w:cs="Times New Roman"/>
                <w:iCs/>
                <w:sz w:val="18"/>
                <w:szCs w:val="18"/>
              </w:rPr>
              <w:br/>
              <w:t>8.</w:t>
            </w:r>
            <w:r w:rsidRPr="003B7DC9">
              <w:rPr>
                <w:rFonts w:ascii="Times New Roman" w:eastAsia="Calibri" w:hAnsi="Times New Roman" w:cs="Times New Roman"/>
                <w:iCs/>
                <w:sz w:val="18"/>
                <w:szCs w:val="18"/>
              </w:rPr>
              <w:br/>
              <w:t>Komisioni u siguron shteteve anëtare një mjet që lejon verifikimin elektronik dhe të automatizuar të saktësisë së TIN</w:t>
            </w:r>
            <w:r w:rsidRPr="003B7DC9">
              <w:rPr>
                <w:rFonts w:ascii="Times New Roman" w:eastAsia="Calibri" w:hAnsi="Times New Roman" w:cs="Times New Roman"/>
                <w:iCs/>
                <w:sz w:val="18"/>
                <w:szCs w:val="18"/>
              </w:rPr>
              <w:noBreakHyphen/>
              <w:t>it të dhënë nga një entitet raportues ose një tatimpagues për qëllimet e shkëmbimit automatik të informacionit.</w:t>
            </w:r>
          </w:p>
          <w:p w14:paraId="6DEF10D6"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lastRenderedPageBreak/>
              <w:t>Komisioni zhvillon parametrat teknikë të mjetit të përmendur në nënparagrafin e parë me anë të akteve zbatuese. Këto akte zbatuese miratohen në përputhje me procedurën e përmendur në nenin 26(2).</w:t>
            </w:r>
          </w:p>
          <w:p w14:paraId="3F658A9F" w14:textId="1FF06C70" w:rsidR="00314559" w:rsidRPr="003B7DC9" w:rsidRDefault="00314559" w:rsidP="00314559">
            <w:pPr>
              <w:spacing w:line="276" w:lineRule="auto"/>
              <w:rPr>
                <w:rFonts w:ascii="Times New Roman" w:eastAsia="Calibri" w:hAnsi="Times New Roman" w:cs="Times New Roman"/>
                <w:iCs/>
                <w:sz w:val="18"/>
                <w:szCs w:val="18"/>
                <w:lang w:val="en-US"/>
              </w:rPr>
            </w:pPr>
          </w:p>
        </w:tc>
        <w:tc>
          <w:tcPr>
            <w:tcW w:w="1170" w:type="dxa"/>
          </w:tcPr>
          <w:p w14:paraId="68B1A8F1" w14:textId="7FDCB7AE"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tcPr>
          <w:p w14:paraId="31770AB0" w14:textId="6CD56213"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 xml:space="preserve">Neni 24      </w:t>
            </w:r>
          </w:p>
          <w:p w14:paraId="79AAD39C" w14:textId="77777777" w:rsidR="00314559" w:rsidRPr="003B7DC9" w:rsidRDefault="00314559" w:rsidP="00314559">
            <w:pPr>
              <w:jc w:val="center"/>
              <w:rPr>
                <w:rFonts w:ascii="Times New Roman" w:eastAsia="Calibri" w:hAnsi="Times New Roman" w:cs="Times New Roman"/>
                <w:sz w:val="18"/>
                <w:szCs w:val="18"/>
                <w:lang w:val="en-US"/>
              </w:rPr>
            </w:pPr>
          </w:p>
          <w:p w14:paraId="6CD16D78" w14:textId="77777777" w:rsidR="00314559" w:rsidRPr="003B7DC9" w:rsidRDefault="00314559" w:rsidP="00314559">
            <w:pPr>
              <w:jc w:val="center"/>
              <w:rPr>
                <w:rFonts w:ascii="Times New Roman" w:eastAsia="Calibri" w:hAnsi="Times New Roman" w:cs="Times New Roman"/>
                <w:sz w:val="18"/>
                <w:szCs w:val="18"/>
                <w:lang w:val="en-US"/>
              </w:rPr>
            </w:pPr>
          </w:p>
          <w:p w14:paraId="129A8AC4" w14:textId="5120647E" w:rsidR="00314559" w:rsidRPr="003B7DC9" w:rsidRDefault="00314559" w:rsidP="00314559">
            <w:pPr>
              <w:jc w:val="center"/>
              <w:rPr>
                <w:rFonts w:ascii="Times New Roman" w:eastAsia="Calibri" w:hAnsi="Times New Roman" w:cs="Times New Roman"/>
                <w:sz w:val="18"/>
                <w:szCs w:val="18"/>
                <w:lang w:val="en-US"/>
              </w:rPr>
            </w:pPr>
          </w:p>
        </w:tc>
        <w:tc>
          <w:tcPr>
            <w:tcW w:w="4334" w:type="dxa"/>
          </w:tcPr>
          <w:p w14:paraId="55A0B2D1"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r w:rsidRPr="003B7DC9">
              <w:rPr>
                <w:rFonts w:ascii="Times New Roman" w:eastAsia="Times New Roman" w:hAnsi="Times New Roman" w:cs="Times New Roman"/>
                <w:b/>
                <w:color w:val="000000" w:themeColor="text1"/>
                <w:sz w:val="18"/>
                <w:szCs w:val="18"/>
                <w:lang w:val="en-US"/>
              </w:rPr>
              <w:lastRenderedPageBreak/>
              <w:t>Neni 24</w:t>
            </w:r>
          </w:p>
          <w:p w14:paraId="10F8CF53" w14:textId="77777777" w:rsidR="00314559" w:rsidRPr="003B7DC9" w:rsidRDefault="00314559" w:rsidP="00314559">
            <w:pPr>
              <w:spacing w:before="100" w:beforeAutospacing="1" w:after="100" w:afterAutospacing="1"/>
              <w:jc w:val="center"/>
              <w:rPr>
                <w:rFonts w:ascii="Times New Roman" w:eastAsia="Times New Roman" w:hAnsi="Times New Roman" w:cs="Times New Roman"/>
                <w:b/>
                <w:sz w:val="18"/>
                <w:szCs w:val="18"/>
                <w:lang w:eastAsia="sq-AL"/>
              </w:rPr>
            </w:pPr>
            <w:r w:rsidRPr="003B7DC9">
              <w:rPr>
                <w:rFonts w:ascii="Times New Roman" w:hAnsi="Times New Roman" w:cs="Times New Roman"/>
                <w:b/>
                <w:color w:val="000000"/>
                <w:sz w:val="18"/>
                <w:szCs w:val="18"/>
              </w:rPr>
              <w:lastRenderedPageBreak/>
              <w:t>Regjistri qendror i sigurt, ndërfaqja qendrore e sigurt dhe sistemet evropiane të shkëmbimit të informacionit</w:t>
            </w:r>
          </w:p>
          <w:p w14:paraId="34365CFF" w14:textId="77777777" w:rsidR="00314559" w:rsidRPr="003B7DC9" w:rsidRDefault="00314559" w:rsidP="00314559">
            <w:pPr>
              <w:pStyle w:val="ListParagraph"/>
              <w:numPr>
                <w:ilvl w:val="0"/>
                <w:numId w:val="135"/>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hAnsi="Times New Roman" w:cs="Times New Roman"/>
                <w:sz w:val="18"/>
                <w:szCs w:val="18"/>
              </w:rPr>
              <w:t xml:space="preserve">Drejtoria e Përgjithshme e Tatimeve merr masat e nevojshme, në përputhje me legjislacionin në fuqi, për të mundësuar shkëmbimin e informacionit nëpërmjet rrjetit CCN, duke bashkëpunuar me strukturat përgjegjëse për zhvillimin e sistemeve të nevojshme dhe garantimin e sigurisë së këtyre sistemeve. Informacioni i komunikuar sipas këtij ligji dhe ligjeve të posaçme, për aq sa është e mundur, transmetohet me mjete elektronike nëpërmjet rrjetit CCN. </w:t>
            </w:r>
            <w:r w:rsidRPr="003B7DC9">
              <w:rPr>
                <w:rFonts w:ascii="Times New Roman" w:eastAsia="Times New Roman" w:hAnsi="Times New Roman" w:cs="Times New Roman"/>
                <w:sz w:val="18"/>
                <w:szCs w:val="18"/>
                <w:lang w:eastAsia="sq-AL"/>
              </w:rPr>
              <w:t>Kur legjislacioni i Bashkimit Evropian parashikon përdorimin e regjistrit qendror të sigurt, të ndërfaqes qendrore të sigurt ose të sistemeve të tjera elektronike për shkëmbimin ose vënien në dispozicion të informacionit, Drejtoria e Përgjithshme e Tatimeve i përdor këto sisteme për qëllimet e këtij ligji dhe ligjeve të posaçme, përmes rrjetit CCN dhe sipas rregullimeve praktike të miratuara në nivel të Bashkimit Evropian.</w:t>
            </w:r>
          </w:p>
          <w:p w14:paraId="249A852B" w14:textId="77777777" w:rsidR="00314559" w:rsidRPr="003B7DC9" w:rsidRDefault="00314559" w:rsidP="00314559">
            <w:pPr>
              <w:pStyle w:val="ListParagraph"/>
              <w:numPr>
                <w:ilvl w:val="0"/>
                <w:numId w:val="135"/>
              </w:numPr>
              <w:jc w:val="both"/>
              <w:rPr>
                <w:rFonts w:ascii="Times New Roman" w:hAnsi="Times New Roman" w:cs="Times New Roman"/>
                <w:sz w:val="18"/>
                <w:szCs w:val="18"/>
              </w:rPr>
            </w:pPr>
            <w:r w:rsidRPr="003B7DC9">
              <w:rPr>
                <w:rFonts w:ascii="Times New Roman" w:hAnsi="Times New Roman" w:cs="Times New Roman"/>
                <w:sz w:val="18"/>
                <w:szCs w:val="18"/>
              </w:rPr>
              <w:t>Drejtoria e Përgjithshme e Tatimeve siguron që informacioni dhe dokumentet që ajo transmeton nëpërmjet këtyre sistemeve të jenë të sakta, të plota dhe të transmetohen brenda afateve të përcaktuara në këtë ligj, në ligjet e posaçme dhe në aktet zbatuese të Bashkimit Evropian, si dhe të jenë të disponueshme vetëm për autoritetet kompetente që kanë të drejtë aksesi sipas legjislacionit të zbatueshëm të Bashkimit Evropian.</w:t>
            </w:r>
          </w:p>
          <w:p w14:paraId="56F396FD" w14:textId="77777777" w:rsidR="00314559" w:rsidRPr="003B7DC9" w:rsidRDefault="00314559" w:rsidP="00314559">
            <w:pPr>
              <w:pStyle w:val="ListParagraph"/>
              <w:numPr>
                <w:ilvl w:val="0"/>
                <w:numId w:val="135"/>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bCs/>
                <w:sz w:val="18"/>
                <w:szCs w:val="18"/>
                <w:lang w:eastAsia="sq-AL"/>
              </w:rPr>
              <w:t xml:space="preserve">Procedurat e brendshme teknike, organizative dhe të sigurisë për përdorimin nga Drejtoria e </w:t>
            </w:r>
            <w:r w:rsidRPr="003B7DC9">
              <w:rPr>
                <w:rFonts w:ascii="Times New Roman" w:eastAsia="Times New Roman" w:hAnsi="Times New Roman" w:cs="Times New Roman"/>
                <w:bCs/>
                <w:sz w:val="18"/>
                <w:szCs w:val="18"/>
                <w:lang w:eastAsia="sq-AL"/>
              </w:rPr>
              <w:lastRenderedPageBreak/>
              <w:t>Përgjithshme e Tatimeve të këtyre sistemeve, përfshirë caktimin dhe administrimin e përdoruesve shqiptarë, autorizimin e aksesit, transmetimin, regjistrimin dhe gjurmueshmërinë e veprimeve, përcaktohen me vendim të Këshillit të Ministrave, në përputhje me aktet dhe rregullimet praktike të Bashkimit Evropian.</w:t>
            </w:r>
          </w:p>
          <w:p w14:paraId="59F455FB" w14:textId="77777777" w:rsidR="00314559" w:rsidRPr="003B7DC9" w:rsidRDefault="00314559" w:rsidP="00314559">
            <w:pPr>
              <w:pStyle w:val="ListParagraph"/>
              <w:numPr>
                <w:ilvl w:val="0"/>
                <w:numId w:val="135"/>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Aksesi i personave të akredituar nga autoriteti i akreditimit të sigurisë së Komisionit Evropian në informacionin e transmetuar nga Drejtoria e Përgjithshme e Tatimeve nëpërmjet rrjetit CCN ose të regjistruar prej saj në regjistrin qendror të sigurt lejohet vetëm në masën që është i nevojshëm për administrimin, mirëmbajtjen dhe zhvillimin e regjistrit qendror të sigurt ose të rrjetit CCN dhe në përputhje me legjislacionin e Bashkimit Evropian.</w:t>
            </w:r>
          </w:p>
          <w:p w14:paraId="5AA6CCE5" w14:textId="1C4D1EBB" w:rsidR="00314559" w:rsidRPr="003B7DC9" w:rsidRDefault="00314559" w:rsidP="00314559">
            <w:pPr>
              <w:tabs>
                <w:tab w:val="left" w:pos="1155"/>
              </w:tabs>
              <w:spacing w:line="276" w:lineRule="auto"/>
              <w:jc w:val="both"/>
              <w:rPr>
                <w:rFonts w:ascii="Times New Roman" w:eastAsia="Calibri" w:hAnsi="Times New Roman" w:cs="Times New Roman"/>
                <w:sz w:val="18"/>
                <w:szCs w:val="18"/>
                <w:lang w:val="sq-AL"/>
              </w:rPr>
            </w:pPr>
          </w:p>
        </w:tc>
        <w:tc>
          <w:tcPr>
            <w:tcW w:w="1066" w:type="dxa"/>
          </w:tcPr>
          <w:p w14:paraId="4C0F418F" w14:textId="43FB6966" w:rsidR="00314559" w:rsidRPr="003B7DC9" w:rsidRDefault="00314559" w:rsidP="00314559">
            <w:pPr>
              <w:jc w:val="center"/>
              <w:rPr>
                <w:rFonts w:ascii="Times New Roman" w:eastAsia="Calibri" w:hAnsi="Times New Roman" w:cs="Times New Roman"/>
                <w:sz w:val="18"/>
                <w:szCs w:val="18"/>
                <w:lang w:val="en-US"/>
              </w:rPr>
            </w:pPr>
          </w:p>
        </w:tc>
        <w:tc>
          <w:tcPr>
            <w:tcW w:w="3060" w:type="dxa"/>
          </w:tcPr>
          <w:p w14:paraId="7699D7EC" w14:textId="77777777" w:rsidR="00314559" w:rsidRPr="003B7DC9" w:rsidRDefault="00314559" w:rsidP="00314559">
            <w:pPr>
              <w:rPr>
                <w:rFonts w:ascii="Times New Roman" w:eastAsia="Calibri" w:hAnsi="Times New Roman" w:cs="Times New Roman"/>
                <w:sz w:val="18"/>
                <w:szCs w:val="18"/>
                <w:lang w:val="en-US"/>
              </w:rPr>
            </w:pPr>
          </w:p>
          <w:p w14:paraId="0052F906" w14:textId="04F93D2C" w:rsidR="00314559" w:rsidRPr="003B7DC9" w:rsidRDefault="00314559" w:rsidP="00314559">
            <w:pPr>
              <w:rPr>
                <w:rFonts w:ascii="Times New Roman" w:eastAsia="Calibri" w:hAnsi="Times New Roman" w:cs="Times New Roman"/>
                <w:sz w:val="18"/>
                <w:szCs w:val="18"/>
                <w:lang w:val="en-US"/>
              </w:rPr>
            </w:pPr>
          </w:p>
        </w:tc>
      </w:tr>
      <w:tr w:rsidR="00314559" w:rsidRPr="003B7DC9" w14:paraId="42D63892" w14:textId="77777777" w:rsidTr="00B75638">
        <w:trPr>
          <w:trHeight w:val="1008"/>
        </w:trPr>
        <w:tc>
          <w:tcPr>
            <w:tcW w:w="630" w:type="dxa"/>
            <w:shd w:val="clear" w:color="auto" w:fill="FFFFFF" w:themeFill="background1"/>
          </w:tcPr>
          <w:p w14:paraId="3CCCFFF5" w14:textId="3D21E7E1" w:rsidR="00314559" w:rsidRPr="003B7DC9" w:rsidRDefault="00314559" w:rsidP="00314559">
            <w:pPr>
              <w:jc w:val="both"/>
              <w:rPr>
                <w:rFonts w:ascii="Times New Roman" w:eastAsia="Calibri" w:hAnsi="Times New Roman" w:cs="Times New Roman"/>
                <w:sz w:val="18"/>
                <w:szCs w:val="18"/>
                <w:lang w:val="en-US"/>
              </w:rPr>
            </w:pPr>
            <w:bookmarkStart w:id="2" w:name="_Hlk227911050"/>
          </w:p>
        </w:tc>
        <w:tc>
          <w:tcPr>
            <w:tcW w:w="5220" w:type="dxa"/>
            <w:shd w:val="clear" w:color="auto" w:fill="FFFFFF" w:themeFill="background1"/>
          </w:tcPr>
          <w:p w14:paraId="3F9C5C5E" w14:textId="77777777" w:rsidR="00314559" w:rsidRPr="003B7DC9" w:rsidRDefault="00314559" w:rsidP="00314559">
            <w:pPr>
              <w:spacing w:line="276" w:lineRule="auto"/>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22</w:t>
            </w:r>
          </w:p>
          <w:p w14:paraId="6C906B6C"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Detyrime specifike</w:t>
            </w:r>
          </w:p>
          <w:p w14:paraId="7B75EFF0" w14:textId="77777777" w:rsidR="00314559" w:rsidRPr="003B7DC9" w:rsidRDefault="00314559" w:rsidP="00314559">
            <w:pPr>
              <w:numPr>
                <w:ilvl w:val="0"/>
                <w:numId w:val="78"/>
              </w:num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Shtetet anëtare marrin të gjitha masat e nevojshme për të:</w:t>
            </w:r>
          </w:p>
          <w:p w14:paraId="7682C4FE"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siguruar koordinim efektiv të brendshëm brenda strukturës së përmendur në nenin 4;</w:t>
            </w:r>
          </w:p>
          <w:p w14:paraId="11CC3964"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 vendosur bashkëpunim të drejtpërdrejtë me autoritetet e shteteve të tjera anëtare të përmendura në nenin 4;</w:t>
            </w:r>
          </w:p>
          <w:p w14:paraId="62C26135"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(c) siguruar funksionimin e qetë të mekanizmave të bashkëpunimit administrativ të parashikuar në këtë direktivë.</w:t>
            </w:r>
          </w:p>
          <w:p w14:paraId="56180AB7"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▼M7</w:t>
            </w:r>
          </w:p>
          <w:p w14:paraId="735FEDDD"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1a. Për qëllimet e zbatimit dhe të garantimit të zbatimit të ligjeve të shteteve anëtare që japin efekt kësaj direktive dhe për të siguruar funksionimin e bashkëpunimit administrativ që ajo vendos, shtetet anëtare parashikojnë me ligj aksesin e autoriteteve tatimore ndaj mekanizmave, procedurave, dokumenteve dhe informacionit të përmendur në nenet 13, 30, 31, 32a dhe 40 të Direktivës (BE) 2015/849 të Parlamentit Evropian dhe të Këshillit.</w:t>
            </w:r>
          </w:p>
          <w:p w14:paraId="423519E4"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w:t>
            </w:r>
          </w:p>
          <w:p w14:paraId="0A2F1B2B" w14:textId="77777777" w:rsidR="00314559" w:rsidRPr="003B7DC9" w:rsidRDefault="00314559" w:rsidP="00314559">
            <w:pPr>
              <w:numPr>
                <w:ilvl w:val="0"/>
                <w:numId w:val="79"/>
              </w:num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Komisioni i komunikon çdo shteti anëtar çdo informacion të përgjithshëm në lidhje me zbatimin dhe aplikimin e kësaj direktive që ai merr dhe që është në gjendje të ofrojë.</w:t>
            </w:r>
          </w:p>
          <w:p w14:paraId="4C320435"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▼M8</w:t>
            </w:r>
          </w:p>
          <w:p w14:paraId="35D838F3" w14:textId="77777777" w:rsidR="00314559" w:rsidRPr="003B7DC9" w:rsidRDefault="00314559" w:rsidP="00314559">
            <w:pPr>
              <w:numPr>
                <w:ilvl w:val="0"/>
                <w:numId w:val="80"/>
              </w:num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Shtetet anëtare mbajnë regjistrimet e informacionit të marrë përmes shkëmbimit automatik të informacionit sipas neneve 8 deri në 8ad për aq kohë sa është e nevojshme, por në çdo rast jo më pak se pesë vjet nga data e marrjes së tij, për të arritur qëllimet e kësaj direktive.</w:t>
            </w:r>
          </w:p>
          <w:p w14:paraId="1F8428AC" w14:textId="17ED1567" w:rsidR="00314559" w:rsidRPr="003B7DC9" w:rsidRDefault="00314559" w:rsidP="00314559">
            <w:pPr>
              <w:spacing w:line="276" w:lineRule="auto"/>
              <w:rPr>
                <w:rFonts w:ascii="Times New Roman" w:eastAsia="Calibri" w:hAnsi="Times New Roman" w:cs="Times New Roman"/>
                <w:iCs/>
                <w:sz w:val="18"/>
                <w:szCs w:val="18"/>
                <w:lang w:val="en-US"/>
              </w:rPr>
            </w:pPr>
          </w:p>
        </w:tc>
        <w:tc>
          <w:tcPr>
            <w:tcW w:w="1170" w:type="dxa"/>
            <w:shd w:val="clear" w:color="auto" w:fill="FFFFFF" w:themeFill="background1"/>
          </w:tcPr>
          <w:p w14:paraId="7A167751" w14:textId="517F9B3A"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584A3692" w14:textId="39513C39" w:rsidR="00314559" w:rsidRPr="003B7DC9" w:rsidRDefault="00314559" w:rsidP="00314559">
            <w:pP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25</w:t>
            </w:r>
          </w:p>
        </w:tc>
        <w:tc>
          <w:tcPr>
            <w:tcW w:w="4334" w:type="dxa"/>
            <w:shd w:val="clear" w:color="auto" w:fill="FFFFFF" w:themeFill="background1"/>
          </w:tcPr>
          <w:p w14:paraId="27145AA2"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r w:rsidRPr="003B7DC9">
              <w:rPr>
                <w:rFonts w:ascii="Times New Roman" w:eastAsia="Times New Roman" w:hAnsi="Times New Roman" w:cs="Times New Roman"/>
                <w:b/>
                <w:color w:val="000000" w:themeColor="text1"/>
                <w:sz w:val="18"/>
                <w:szCs w:val="18"/>
                <w:lang w:val="en-US"/>
              </w:rPr>
              <w:t>Neni 25</w:t>
            </w:r>
          </w:p>
          <w:p w14:paraId="52E5CD4B"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r w:rsidRPr="003B7DC9">
              <w:rPr>
                <w:rFonts w:ascii="Times New Roman" w:eastAsia="Times New Roman" w:hAnsi="Times New Roman" w:cs="Times New Roman"/>
                <w:b/>
                <w:color w:val="000000" w:themeColor="text1"/>
                <w:sz w:val="18"/>
                <w:szCs w:val="18"/>
                <w:lang w:val="en-US"/>
              </w:rPr>
              <w:t>Detyrimet e veçanta të Drejtorisë së Përgjithshme të Tatimeve</w:t>
            </w:r>
          </w:p>
          <w:p w14:paraId="5501AB48" w14:textId="77777777" w:rsidR="00314559" w:rsidRPr="003B7DC9" w:rsidRDefault="00314559" w:rsidP="00314559">
            <w:pPr>
              <w:numPr>
                <w:ilvl w:val="0"/>
                <w:numId w:val="139"/>
              </w:numPr>
              <w:spacing w:after="200" w:line="276" w:lineRule="auto"/>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Drejtoria e Përgjithshme e Tatimeve merr të gjitha masat e nevojshme për të:</w:t>
            </w:r>
            <w:r w:rsidRPr="003B7DC9">
              <w:rPr>
                <w:rFonts w:ascii="Times New Roman" w:eastAsia="Times New Roman" w:hAnsi="Times New Roman" w:cs="Times New Roman"/>
                <w:bCs/>
                <w:color w:val="000000" w:themeColor="text1"/>
                <w:sz w:val="18"/>
                <w:szCs w:val="18"/>
                <w:lang w:val="en-US"/>
              </w:rPr>
              <w:br/>
              <w:t>a) siguruar koordinimin efektiv të brendshëm ndërmjet strukturave të përmendura në nenin 4;</w:t>
            </w:r>
            <w:r w:rsidRPr="003B7DC9">
              <w:rPr>
                <w:rFonts w:ascii="Times New Roman" w:eastAsia="Times New Roman" w:hAnsi="Times New Roman" w:cs="Times New Roman"/>
                <w:bCs/>
                <w:color w:val="000000" w:themeColor="text1"/>
                <w:sz w:val="18"/>
                <w:szCs w:val="18"/>
                <w:lang w:val="en-US"/>
              </w:rPr>
              <w:br/>
              <w:t>b) vendosur dhe zhvilluar bashkëpunimin e drejtpërdrejtë me autoritetet kompetente të shteteve anëtare;</w:t>
            </w:r>
            <w:r w:rsidRPr="003B7DC9">
              <w:rPr>
                <w:rFonts w:ascii="Times New Roman" w:eastAsia="Times New Roman" w:hAnsi="Times New Roman" w:cs="Times New Roman"/>
                <w:bCs/>
                <w:color w:val="000000" w:themeColor="text1"/>
                <w:sz w:val="18"/>
                <w:szCs w:val="18"/>
                <w:lang w:val="en-US"/>
              </w:rPr>
              <w:br/>
              <w:t xml:space="preserve">c) siguruar funksionimin e rregullt të mekanizmave të bashkëpunimit administrativ të parashikuar në këtë ligj dhe ligjet e posaçme. </w:t>
            </w:r>
          </w:p>
          <w:p w14:paraId="3C14DEB8" w14:textId="77777777" w:rsidR="00314559" w:rsidRPr="003B7DC9" w:rsidRDefault="00314559" w:rsidP="00314559">
            <w:pPr>
              <w:numPr>
                <w:ilvl w:val="0"/>
                <w:numId w:val="139"/>
              </w:numPr>
              <w:spacing w:after="200"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hAnsi="Times New Roman" w:cs="Times New Roman"/>
                <w:color w:val="000000"/>
                <w:sz w:val="18"/>
                <w:szCs w:val="18"/>
              </w:rPr>
              <w:t>Për qëllimet e zbatimit dhe kontrollit të këtij ligji dhe të ligjeve të posaçme që zbatojnë Direktivën 2011/16/BE</w:t>
            </w:r>
            <w:r w:rsidRPr="003B7DC9">
              <w:rPr>
                <w:rFonts w:ascii="Times New Roman" w:eastAsia="Times New Roman" w:hAnsi="Times New Roman" w:cs="Times New Roman"/>
                <w:bCs/>
                <w:color w:val="000000" w:themeColor="text1"/>
                <w:sz w:val="18"/>
                <w:szCs w:val="18"/>
                <w:lang w:val="en-US"/>
              </w:rPr>
              <w:t xml:space="preserve">, Drejtoria e Përgjithshme e Tatimeve </w:t>
            </w:r>
            <w:r w:rsidRPr="003B7DC9">
              <w:rPr>
                <w:rFonts w:ascii="Times New Roman" w:eastAsia="Times New Roman" w:hAnsi="Times New Roman" w:cs="Times New Roman"/>
                <w:sz w:val="18"/>
                <w:szCs w:val="18"/>
                <w:lang w:eastAsia="sq-AL"/>
              </w:rPr>
              <w:t xml:space="preserve">ka të drejtë aksesi, sipas legjislacionit në fuqi, </w:t>
            </w:r>
            <w:r w:rsidRPr="003B7DC9">
              <w:rPr>
                <w:rFonts w:ascii="Times New Roman" w:eastAsia="Times New Roman" w:hAnsi="Times New Roman" w:cs="Times New Roman"/>
                <w:bCs/>
                <w:color w:val="000000" w:themeColor="text1"/>
                <w:sz w:val="18"/>
                <w:szCs w:val="18"/>
                <w:lang w:val="en-US"/>
              </w:rPr>
              <w:t xml:space="preserve">në mekanizmat, procedurat, dokumentet dhe informacionin e përcaktuar në legjislacionin për parandalimin e pastrimit të parave dhe financimit të terrorizmit. </w:t>
            </w:r>
          </w:p>
          <w:p w14:paraId="07B11276" w14:textId="77777777" w:rsidR="00314559" w:rsidRPr="003B7DC9" w:rsidRDefault="00314559" w:rsidP="00314559">
            <w:pPr>
              <w:numPr>
                <w:ilvl w:val="0"/>
                <w:numId w:val="139"/>
              </w:numPr>
              <w:spacing w:after="200"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Drejtoria e Përgjithshme e Tatimeve ruan regjistrimet e informacionit të marrë përmes shkëmbimit automatik sipas nenit 12 dhe ligjeve të posaçme jo më gjatë sesa është e nevojshme dhe, në çdo rast, jo më pak se pesë vjet nga data e marrjes. </w:t>
            </w:r>
          </w:p>
          <w:p w14:paraId="2F1DF5A3" w14:textId="77777777" w:rsidR="00314559" w:rsidRPr="003B7DC9" w:rsidRDefault="00314559" w:rsidP="00314559">
            <w:pPr>
              <w:pStyle w:val="ListParagraph"/>
              <w:numPr>
                <w:ilvl w:val="0"/>
                <w:numId w:val="139"/>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lastRenderedPageBreak/>
              <w:t xml:space="preserve">Drejtoria e Përgjithshme e Tatimeve </w:t>
            </w:r>
            <w:r w:rsidRPr="003B7DC9">
              <w:rPr>
                <w:rFonts w:ascii="Times New Roman" w:hAnsi="Times New Roman" w:cs="Times New Roman"/>
                <w:sz w:val="18"/>
                <w:szCs w:val="18"/>
              </w:rPr>
              <w:t xml:space="preserve">bën përpjekjet e nevojshme për t’u mundësuar </w:t>
            </w:r>
            <w:r w:rsidRPr="003B7DC9">
              <w:rPr>
                <w:rFonts w:ascii="Times New Roman" w:eastAsia="Times New Roman" w:hAnsi="Times New Roman" w:cs="Times New Roman"/>
                <w:sz w:val="18"/>
                <w:szCs w:val="18"/>
                <w:lang w:eastAsia="sq-AL"/>
              </w:rPr>
              <w:t xml:space="preserve">personave raportues </w:t>
            </w:r>
            <w:r w:rsidRPr="003B7DC9">
              <w:rPr>
                <w:rFonts w:ascii="Times New Roman" w:hAnsi="Times New Roman" w:cs="Times New Roman"/>
                <w:sz w:val="18"/>
                <w:szCs w:val="18"/>
              </w:rPr>
              <w:t xml:space="preserve">validimin elektronik të numrit të identifikimit tatimor (TIN) të çdo tatimpaguesi që i nënshtrohet shkëmbimit të informacionit, </w:t>
            </w:r>
            <w:r w:rsidRPr="003B7DC9">
              <w:rPr>
                <w:rFonts w:ascii="Times New Roman" w:eastAsia="Times New Roman" w:hAnsi="Times New Roman" w:cs="Times New Roman"/>
                <w:sz w:val="18"/>
                <w:szCs w:val="18"/>
                <w:lang w:eastAsia="sq-AL"/>
              </w:rPr>
              <w:t>vetëm për qëllimet e validimit të TIN-it dhe verifikimit të saktësisë së të dhënave që do të raportohen.</w:t>
            </w:r>
          </w:p>
          <w:p w14:paraId="2B652D9B" w14:textId="77777777" w:rsidR="00314559" w:rsidRPr="003B7DC9" w:rsidRDefault="00314559" w:rsidP="00314559">
            <w:pPr>
              <w:numPr>
                <w:ilvl w:val="0"/>
                <w:numId w:val="139"/>
              </w:numPr>
              <w:spacing w:before="100" w:beforeAutospacing="1" w:after="100" w:afterAutospacing="1"/>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 xml:space="preserve">Drejtoria e Përgjithshme e Tatimeve krijon dhe zbaton një mekanizëm efektiv për të siguruar përdorimin e informacionit të marrë nëpërmjet raportimit ose shkëmbimit sipas nenit 12 të këtij ligji dhe ligjeve të posaçme, përfshirë analizën e riskut, përzgjedhjen </w:t>
            </w:r>
            <w:r w:rsidRPr="003B7DC9">
              <w:rPr>
                <w:rFonts w:ascii="Times New Roman" w:hAnsi="Times New Roman" w:cs="Times New Roman"/>
                <w:sz w:val="18"/>
                <w:szCs w:val="18"/>
              </w:rPr>
              <w:t xml:space="preserve">e rasteve </w:t>
            </w:r>
            <w:r w:rsidRPr="003B7DC9">
              <w:rPr>
                <w:rFonts w:ascii="Times New Roman" w:eastAsia="Times New Roman" w:hAnsi="Times New Roman" w:cs="Times New Roman"/>
                <w:sz w:val="18"/>
                <w:szCs w:val="18"/>
                <w:lang w:eastAsia="sq-AL"/>
              </w:rPr>
              <w:t>për kontroll, ndjekjen e rasteve, dhënien e informacionit për rezultatet e përdorimit dhe monitorimin e rezultateve të përdorimit të informacionit.</w:t>
            </w:r>
          </w:p>
          <w:p w14:paraId="63936068" w14:textId="77777777" w:rsidR="00314559" w:rsidRPr="003B7DC9" w:rsidRDefault="00314559" w:rsidP="00314559">
            <w:pPr>
              <w:numPr>
                <w:ilvl w:val="0"/>
                <w:numId w:val="139"/>
              </w:numPr>
              <w:spacing w:before="100" w:beforeAutospacing="1" w:after="100" w:afterAutospacing="1"/>
              <w:jc w:val="both"/>
              <w:rPr>
                <w:rFonts w:ascii="Times New Roman" w:eastAsia="Times New Roman" w:hAnsi="Times New Roman" w:cs="Times New Roman"/>
                <w:sz w:val="18"/>
                <w:szCs w:val="18"/>
                <w:lang w:val="sq-AL"/>
              </w:rPr>
            </w:pPr>
            <w:r w:rsidRPr="003B7DC9">
              <w:rPr>
                <w:rFonts w:ascii="Times New Roman" w:eastAsia="Times New Roman" w:hAnsi="Times New Roman" w:cs="Times New Roman"/>
                <w:sz w:val="18"/>
                <w:szCs w:val="18"/>
                <w:lang w:val="sq-AL"/>
              </w:rPr>
              <w:t xml:space="preserve">Drejtoria e Përgjithshme e Tatimeve </w:t>
            </w:r>
            <w:r w:rsidRPr="003B7DC9">
              <w:rPr>
                <w:rFonts w:ascii="Times New Roman" w:eastAsia="Times New Roman" w:hAnsi="Times New Roman" w:cs="Times New Roman"/>
                <w:sz w:val="18"/>
                <w:szCs w:val="18"/>
                <w:lang w:eastAsia="sq-AL"/>
              </w:rPr>
              <w:t xml:space="preserve">heq dorë nga çdo kërkesë për rimbursimin e shpenzimeve të krijuara nga zbatimi i këtij ligji, përveç, sipas rastit, </w:t>
            </w:r>
            <w:r w:rsidRPr="003B7DC9">
              <w:rPr>
                <w:rFonts w:ascii="Times New Roman" w:hAnsi="Times New Roman" w:cs="Times New Roman"/>
                <w:color w:val="000000"/>
                <w:sz w:val="18"/>
                <w:szCs w:val="18"/>
              </w:rPr>
              <w:t>shpërblimeve të paguara ekspertëve.</w:t>
            </w:r>
          </w:p>
          <w:p w14:paraId="321C5EE0" w14:textId="72AE62E2" w:rsidR="00314559" w:rsidRPr="003B7DC9" w:rsidRDefault="00314559" w:rsidP="00314559">
            <w:pPr>
              <w:spacing w:before="100" w:beforeAutospacing="1" w:after="100" w:afterAutospacing="1"/>
              <w:jc w:val="both"/>
              <w:rPr>
                <w:rFonts w:ascii="Times New Roman" w:eastAsia="Calibri" w:hAnsi="Times New Roman" w:cs="Times New Roman"/>
                <w:sz w:val="18"/>
                <w:szCs w:val="18"/>
                <w:lang w:val="en-US"/>
              </w:rPr>
            </w:pPr>
          </w:p>
        </w:tc>
        <w:tc>
          <w:tcPr>
            <w:tcW w:w="1066" w:type="dxa"/>
            <w:shd w:val="clear" w:color="auto" w:fill="FFFFFF" w:themeFill="background1"/>
          </w:tcPr>
          <w:p w14:paraId="05707711" w14:textId="057D0177"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shd w:val="clear" w:color="auto" w:fill="FFFFFF" w:themeFill="background1"/>
          </w:tcPr>
          <w:p w14:paraId="1F1D51C2" w14:textId="572A6EB9" w:rsidR="00314559" w:rsidRPr="003B7DC9" w:rsidRDefault="00314559" w:rsidP="00314559">
            <w:pPr>
              <w:rPr>
                <w:rFonts w:ascii="Times New Roman" w:eastAsia="Calibri" w:hAnsi="Times New Roman" w:cs="Times New Roman"/>
                <w:sz w:val="18"/>
                <w:szCs w:val="18"/>
                <w:lang w:val="en-US"/>
              </w:rPr>
            </w:pPr>
          </w:p>
        </w:tc>
      </w:tr>
      <w:bookmarkEnd w:id="2"/>
      <w:tr w:rsidR="00314559" w:rsidRPr="003B7DC9" w14:paraId="1E7B05E8" w14:textId="77777777" w:rsidTr="00B75638">
        <w:tc>
          <w:tcPr>
            <w:tcW w:w="630" w:type="dxa"/>
          </w:tcPr>
          <w:p w14:paraId="2F45229D" w14:textId="00C2B9F7"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34BF997A" w14:textId="77777777" w:rsidR="00314559" w:rsidRPr="003B7DC9" w:rsidRDefault="00314559" w:rsidP="00314559">
            <w:pPr>
              <w:spacing w:line="276" w:lineRule="auto"/>
              <w:rPr>
                <w:rFonts w:ascii="Times New Roman" w:hAnsi="Times New Roman" w:cs="Times New Roman"/>
                <w:b/>
                <w:bCs/>
                <w:sz w:val="18"/>
                <w:szCs w:val="18"/>
              </w:rPr>
            </w:pPr>
            <w:r w:rsidRPr="003B7DC9">
              <w:rPr>
                <w:rFonts w:ascii="Times New Roman" w:hAnsi="Times New Roman" w:cs="Times New Roman"/>
                <w:b/>
                <w:bCs/>
                <w:sz w:val="18"/>
                <w:szCs w:val="18"/>
              </w:rPr>
              <w:t>KREU V</w:t>
            </w:r>
          </w:p>
          <w:p w14:paraId="356FB703"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b/>
                <w:bCs/>
                <w:sz w:val="18"/>
                <w:szCs w:val="18"/>
              </w:rPr>
              <w:t>Marrëdhëniet me Komisionin</w:t>
            </w:r>
          </w:p>
          <w:p w14:paraId="19CCB1D4" w14:textId="77777777" w:rsidR="00314559" w:rsidRPr="003B7DC9" w:rsidRDefault="00314559" w:rsidP="00314559">
            <w:pPr>
              <w:spacing w:line="276" w:lineRule="auto"/>
              <w:rPr>
                <w:rFonts w:ascii="Times New Roman" w:hAnsi="Times New Roman" w:cs="Times New Roman"/>
                <w:b/>
                <w:bCs/>
                <w:sz w:val="18"/>
                <w:szCs w:val="18"/>
              </w:rPr>
            </w:pPr>
            <w:r w:rsidRPr="003B7DC9">
              <w:rPr>
                <w:rFonts w:ascii="Times New Roman" w:hAnsi="Times New Roman" w:cs="Times New Roman"/>
                <w:b/>
                <w:bCs/>
                <w:sz w:val="18"/>
                <w:szCs w:val="18"/>
              </w:rPr>
              <w:t>Neni 23</w:t>
            </w:r>
          </w:p>
          <w:p w14:paraId="5CCECD48"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b/>
                <w:bCs/>
                <w:sz w:val="18"/>
                <w:szCs w:val="18"/>
              </w:rPr>
              <w:t>Vlerësimi</w:t>
            </w:r>
          </w:p>
          <w:p w14:paraId="04A63700" w14:textId="77777777" w:rsidR="00314559" w:rsidRPr="003B7DC9" w:rsidRDefault="00314559" w:rsidP="00314559">
            <w:pPr>
              <w:numPr>
                <w:ilvl w:val="0"/>
                <w:numId w:val="81"/>
              </w:numPr>
              <w:spacing w:line="276" w:lineRule="auto"/>
              <w:rPr>
                <w:rFonts w:ascii="Times New Roman" w:hAnsi="Times New Roman" w:cs="Times New Roman"/>
                <w:sz w:val="18"/>
                <w:szCs w:val="18"/>
              </w:rPr>
            </w:pPr>
          </w:p>
          <w:p w14:paraId="7798A76E"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Shtetet anëtare dhe Komisioni shqyrtojnë dhe vlerësojnë funksionimin e bashkëpunimit administrativ të parashikuar në këtë direktivë.</w:t>
            </w:r>
          </w:p>
          <w:p w14:paraId="365C1C26" w14:textId="77777777" w:rsidR="00314559" w:rsidRPr="003B7DC9" w:rsidRDefault="00314559" w:rsidP="00314559">
            <w:pPr>
              <w:numPr>
                <w:ilvl w:val="0"/>
                <w:numId w:val="82"/>
              </w:numPr>
              <w:spacing w:line="276" w:lineRule="auto"/>
              <w:rPr>
                <w:rFonts w:ascii="Times New Roman" w:hAnsi="Times New Roman" w:cs="Times New Roman"/>
                <w:sz w:val="18"/>
                <w:szCs w:val="18"/>
              </w:rPr>
            </w:pPr>
          </w:p>
          <w:p w14:paraId="06B0BAF2"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Shtetet anëtare i komunikojnë Komisionit çdo informacion përkatës të nevojshëm për vlerësimin e efektivitetit të bashkëpunimit administrativ në përputhje me këtë direktivë në luftën kundër evazionit fiskal dhe shmangies tatimore.</w:t>
            </w:r>
          </w:p>
          <w:p w14:paraId="450080EC"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▼M8</w:t>
            </w:r>
          </w:p>
          <w:p w14:paraId="3F5EC19D" w14:textId="77777777" w:rsidR="00314559" w:rsidRPr="003B7DC9" w:rsidRDefault="00314559" w:rsidP="00314559">
            <w:pPr>
              <w:numPr>
                <w:ilvl w:val="0"/>
                <w:numId w:val="83"/>
              </w:numPr>
              <w:spacing w:line="276" w:lineRule="auto"/>
              <w:rPr>
                <w:rFonts w:ascii="Times New Roman" w:hAnsi="Times New Roman" w:cs="Times New Roman"/>
                <w:sz w:val="18"/>
                <w:szCs w:val="18"/>
              </w:rPr>
            </w:pPr>
          </w:p>
          <w:p w14:paraId="313682BF"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Çdo shtet anëtar monitoron dhe vlerëson, në lidhje me vetveten, efektivitetin e bashkëpunimit administrativ në përputhje me këtë direktivë, duke përfshirë në luftën kundër evazionit fiskal dhe shmangies tatimore, dhe i komunikon rezultatet e vlerësimit të tij Komisionit një herë në vit. Komisioni, me anë të akteve zbatuese, miraton formën dhe kushtet e komunikimit për këtë vlerësim vjetor. Këto akte zbatuese miratohen në përputhje me procedurën e përmendur në nenin 26(2).</w:t>
            </w:r>
          </w:p>
          <w:p w14:paraId="1342A3A5"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▼B</w:t>
            </w:r>
          </w:p>
          <w:p w14:paraId="7E8CA4A3" w14:textId="77777777" w:rsidR="00314559" w:rsidRPr="003B7DC9" w:rsidRDefault="00314559" w:rsidP="00314559">
            <w:pPr>
              <w:numPr>
                <w:ilvl w:val="0"/>
                <w:numId w:val="84"/>
              </w:numPr>
              <w:spacing w:line="276" w:lineRule="auto"/>
              <w:rPr>
                <w:rFonts w:ascii="Times New Roman" w:hAnsi="Times New Roman" w:cs="Times New Roman"/>
                <w:sz w:val="18"/>
                <w:szCs w:val="18"/>
              </w:rPr>
            </w:pPr>
          </w:p>
          <w:p w14:paraId="74950E27" w14:textId="77777777" w:rsidR="00314559" w:rsidRPr="003B7DC9" w:rsidRDefault="00314559" w:rsidP="00314559">
            <w:pPr>
              <w:spacing w:line="276" w:lineRule="auto"/>
              <w:rPr>
                <w:rFonts w:ascii="Times New Roman" w:hAnsi="Times New Roman" w:cs="Times New Roman"/>
                <w:sz w:val="18"/>
                <w:szCs w:val="18"/>
              </w:rPr>
            </w:pPr>
            <w:r w:rsidRPr="003B7DC9">
              <w:rPr>
                <w:rFonts w:ascii="Times New Roman" w:hAnsi="Times New Roman" w:cs="Times New Roman"/>
                <w:sz w:val="18"/>
                <w:szCs w:val="18"/>
              </w:rPr>
              <w:t>Komisioni, në përputhje me procedurën e përmendur në nenin 26(2), përcakton një listë të të dhënave statistikore që do të sigurohen nga shtetet anëtare për qëllimet e vlerësimit të kësaj direktive.</w:t>
            </w:r>
          </w:p>
          <w:p w14:paraId="62A25992" w14:textId="19DB41AD" w:rsidR="00314559" w:rsidRPr="003B7DC9" w:rsidRDefault="00314559" w:rsidP="00314559">
            <w:pPr>
              <w:spacing w:line="276" w:lineRule="auto"/>
              <w:rPr>
                <w:rFonts w:ascii="Times New Roman" w:hAnsi="Times New Roman" w:cs="Times New Roman"/>
                <w:sz w:val="18"/>
                <w:szCs w:val="18"/>
                <w:lang w:val="en-US"/>
              </w:rPr>
            </w:pPr>
          </w:p>
        </w:tc>
        <w:tc>
          <w:tcPr>
            <w:tcW w:w="1170" w:type="dxa"/>
          </w:tcPr>
          <w:p w14:paraId="696A29FD" w14:textId="2772D437"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shd w:val="clear" w:color="auto" w:fill="FFFFFF" w:themeFill="background1"/>
          </w:tcPr>
          <w:p w14:paraId="56E1EAE1" w14:textId="7DC43116" w:rsidR="00314559" w:rsidRPr="003B7DC9" w:rsidRDefault="00314559" w:rsidP="00314559">
            <w:pPr>
              <w:jc w:val="center"/>
              <w:rPr>
                <w:rFonts w:ascii="Times New Roman" w:eastAsia="Calibri" w:hAnsi="Times New Roman" w:cs="Times New Roman"/>
                <w:sz w:val="18"/>
                <w:szCs w:val="18"/>
                <w:highlight w:val="yellow"/>
                <w:lang w:val="en-US"/>
              </w:rPr>
            </w:pPr>
            <w:r w:rsidRPr="003B7DC9">
              <w:rPr>
                <w:rFonts w:ascii="Times New Roman" w:eastAsia="Calibri" w:hAnsi="Times New Roman" w:cs="Times New Roman"/>
                <w:sz w:val="18"/>
                <w:szCs w:val="18"/>
                <w:lang w:val="en-US"/>
              </w:rPr>
              <w:t xml:space="preserve">Neni 17 </w:t>
            </w:r>
          </w:p>
        </w:tc>
        <w:tc>
          <w:tcPr>
            <w:tcW w:w="4334" w:type="dxa"/>
          </w:tcPr>
          <w:p w14:paraId="609F082C" w14:textId="46C516AB" w:rsidR="00314559" w:rsidRPr="003B7DC9" w:rsidRDefault="00314559" w:rsidP="00314559">
            <w:pPr>
              <w:spacing w:before="100" w:beforeAutospacing="1" w:afterAutospacing="1"/>
              <w:jc w:val="center"/>
              <w:outlineLvl w:val="2"/>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17</w:t>
            </w:r>
          </w:p>
          <w:p w14:paraId="50096908" w14:textId="77777777" w:rsidR="00314559" w:rsidRPr="003B7DC9" w:rsidRDefault="00314559" w:rsidP="00314559">
            <w:pPr>
              <w:spacing w:before="100" w:beforeAutospacing="1" w:afterAutospacing="1"/>
              <w:ind w:left="720"/>
              <w:jc w:val="center"/>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
                <w:bCs/>
                <w:sz w:val="18"/>
                <w:szCs w:val="18"/>
                <w:lang w:val="en-US"/>
              </w:rPr>
              <w:t>Monitorimi, vlerësimi dhe statistikat</w:t>
            </w:r>
          </w:p>
          <w:p w14:paraId="140F4B13" w14:textId="77777777" w:rsidR="00314559" w:rsidRPr="003B7DC9" w:rsidRDefault="00314559" w:rsidP="00314559">
            <w:pPr>
              <w:numPr>
                <w:ilvl w:val="0"/>
                <w:numId w:val="122"/>
              </w:numPr>
              <w:spacing w:before="100" w:beforeAutospacing="1" w:afterAutospacing="1"/>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Drejtoria e Përgjithshme e Tatimeve monitoron dhe vlerëson çdo vit efektivitetin e bashkëpunimit administrativ sipas këtij ligji dhe ligjeve të posaçme që zbatojnë Direktivën 2011/16/BE, të ndryshuar, përfshirë kontributin e tij në luftën kundër shmangies dhe evazionit tatimor. </w:t>
            </w:r>
          </w:p>
          <w:p w14:paraId="29BFD259" w14:textId="77777777" w:rsidR="00314559" w:rsidRPr="003B7DC9" w:rsidRDefault="00314559" w:rsidP="00314559">
            <w:pPr>
              <w:numPr>
                <w:ilvl w:val="0"/>
                <w:numId w:val="122"/>
              </w:numPr>
              <w:spacing w:before="100" w:beforeAutospacing="1" w:afterAutospacing="1"/>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Drejtoria e Përgjithshme e Tatimeve i komunikon Komisionit Evropian vlerësimin vjetor, rezultatet praktike të arritura dhe çdo </w:t>
            </w:r>
            <w:r w:rsidRPr="003B7DC9">
              <w:rPr>
                <w:rFonts w:ascii="Times New Roman" w:eastAsia="Times New Roman" w:hAnsi="Times New Roman" w:cs="Times New Roman"/>
                <w:bCs/>
                <w:sz w:val="18"/>
                <w:szCs w:val="18"/>
                <w:lang w:val="en-US"/>
              </w:rPr>
              <w:lastRenderedPageBreak/>
              <w:t xml:space="preserve">informacion tjetër të nevojshëm për vlerësimin e efektivitetit të bashkëpunimit administrativ. </w:t>
            </w:r>
          </w:p>
          <w:p w14:paraId="3EF56DE2" w14:textId="77777777" w:rsidR="00314559" w:rsidRPr="003B7DC9" w:rsidRDefault="00314559" w:rsidP="00314559">
            <w:pPr>
              <w:numPr>
                <w:ilvl w:val="0"/>
                <w:numId w:val="122"/>
              </w:numPr>
              <w:spacing w:before="100" w:beforeAutospacing="1" w:afterAutospacing="1"/>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Drejtoria e Përgjithshme e Tatimeve mbledh, përpunon dhe i komunikon Komisionit Evropian statistikat për:</w:t>
            </w:r>
            <w:r w:rsidRPr="003B7DC9">
              <w:rPr>
                <w:rFonts w:ascii="Times New Roman" w:eastAsia="Times New Roman" w:hAnsi="Times New Roman" w:cs="Times New Roman"/>
                <w:bCs/>
                <w:sz w:val="18"/>
                <w:szCs w:val="18"/>
                <w:lang w:val="en-US"/>
              </w:rPr>
              <w:br/>
              <w:t>a) shkëmbimin sipas kërkesës;</w:t>
            </w:r>
            <w:r w:rsidRPr="003B7DC9">
              <w:rPr>
                <w:rFonts w:ascii="Times New Roman" w:eastAsia="Times New Roman" w:hAnsi="Times New Roman" w:cs="Times New Roman"/>
                <w:bCs/>
                <w:sz w:val="18"/>
                <w:szCs w:val="18"/>
                <w:lang w:val="en-US"/>
              </w:rPr>
              <w:br/>
              <w:t>b) shkëmbimin spontan;</w:t>
            </w:r>
            <w:r w:rsidRPr="003B7DC9">
              <w:rPr>
                <w:rFonts w:ascii="Times New Roman" w:eastAsia="Times New Roman" w:hAnsi="Times New Roman" w:cs="Times New Roman"/>
                <w:bCs/>
                <w:sz w:val="18"/>
                <w:szCs w:val="18"/>
                <w:lang w:val="en-US"/>
              </w:rPr>
              <w:br/>
              <w:t>c) shkëmbimin automatik;</w:t>
            </w:r>
            <w:r w:rsidRPr="003B7DC9">
              <w:rPr>
                <w:rFonts w:ascii="Times New Roman" w:eastAsia="Times New Roman" w:hAnsi="Times New Roman" w:cs="Times New Roman"/>
                <w:bCs/>
                <w:sz w:val="18"/>
                <w:szCs w:val="18"/>
                <w:lang w:val="en-US"/>
              </w:rPr>
              <w:br/>
              <w:t>ç) praninë në zyrat administrative;</w:t>
            </w:r>
            <w:r w:rsidRPr="003B7DC9">
              <w:rPr>
                <w:rFonts w:ascii="Times New Roman" w:eastAsia="Times New Roman" w:hAnsi="Times New Roman" w:cs="Times New Roman"/>
                <w:bCs/>
                <w:sz w:val="18"/>
                <w:szCs w:val="18"/>
                <w:lang w:val="en-US"/>
              </w:rPr>
              <w:br/>
              <w:t>d) kontrollet e njëkohshme;</w:t>
            </w:r>
            <w:r w:rsidRPr="003B7DC9">
              <w:rPr>
                <w:rFonts w:ascii="Times New Roman" w:eastAsia="Times New Roman" w:hAnsi="Times New Roman" w:cs="Times New Roman"/>
                <w:bCs/>
                <w:sz w:val="18"/>
                <w:szCs w:val="18"/>
                <w:lang w:val="en-US"/>
              </w:rPr>
              <w:br/>
              <w:t>dh) auditimet e përbashkëta;</w:t>
            </w:r>
            <w:r w:rsidRPr="003B7DC9">
              <w:rPr>
                <w:rFonts w:ascii="Times New Roman" w:eastAsia="Times New Roman" w:hAnsi="Times New Roman" w:cs="Times New Roman"/>
                <w:bCs/>
                <w:sz w:val="18"/>
                <w:szCs w:val="18"/>
                <w:lang w:val="en-US"/>
              </w:rPr>
              <w:br/>
              <w:t>e) njoftimet administrative;</w:t>
            </w:r>
            <w:r w:rsidRPr="003B7DC9">
              <w:rPr>
                <w:rFonts w:ascii="Times New Roman" w:eastAsia="Times New Roman" w:hAnsi="Times New Roman" w:cs="Times New Roman"/>
                <w:bCs/>
                <w:sz w:val="18"/>
                <w:szCs w:val="18"/>
                <w:lang w:val="en-US"/>
              </w:rPr>
              <w:br/>
              <w:t xml:space="preserve">ë) </w:t>
            </w:r>
            <w:r w:rsidRPr="003B7DC9">
              <w:rPr>
                <w:rFonts w:ascii="Times New Roman" w:eastAsia="Times New Roman" w:hAnsi="Times New Roman" w:cs="Times New Roman"/>
                <w:sz w:val="18"/>
                <w:szCs w:val="18"/>
                <w:lang w:eastAsia="sq-AL"/>
              </w:rPr>
              <w:t>informacionin për rezultatet e përdorimit.</w:t>
            </w:r>
          </w:p>
          <w:p w14:paraId="688550DD" w14:textId="77777777" w:rsidR="00314559" w:rsidRPr="003B7DC9" w:rsidRDefault="00314559" w:rsidP="00314559">
            <w:pPr>
              <w:pStyle w:val="ListParagraph"/>
              <w:numPr>
                <w:ilvl w:val="0"/>
                <w:numId w:val="122"/>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Forma, përmbajtja, procedurat dhe afatet për komunikimin e vlerësimit dhe statistikave përcaktohen me vendim të Këshillit të Ministrave, në përputhje me Rregulloren Zbatuese të Komisionit (BE) 2015/2378, të ndryshuar.</w:t>
            </w:r>
          </w:p>
          <w:p w14:paraId="5D7C1F5A" w14:textId="77777777" w:rsidR="00314559" w:rsidRPr="003B7DC9" w:rsidRDefault="00314559" w:rsidP="00314559">
            <w:pPr>
              <w:pStyle w:val="ListParagraph"/>
              <w:numPr>
                <w:ilvl w:val="0"/>
                <w:numId w:val="122"/>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Informacioni, raportet ose dokumentet që i transmetohen Drejtorisë së Përgjithshme të Tatimeve nga Komisioni Evropian ose nga një shtet tjetër anëtar sipas këtij neni i nënshtrohen sekretit zyrtar dhe gëzojnë të njëjtën mbrojtje si informacioni i ngjashëm sipas legjislacionit shqiptar. Raportet ose dokumentet e përgatitura nga Komisioni Evropian përdoren nga Drejtoria e Përgjithshme e Tatimeve vetëm për qëllime analitike dhe nuk publikohen ose u vihen në dispozicion personave ose organeve të tjera pa pëlqimin e shprehur të Komisionit Evropian.</w:t>
            </w:r>
          </w:p>
          <w:p w14:paraId="7AD350A7" w14:textId="077ABA17" w:rsidR="00314559" w:rsidRPr="003B7DC9" w:rsidRDefault="00314559" w:rsidP="00314559">
            <w:pPr>
              <w:spacing w:line="276" w:lineRule="auto"/>
              <w:jc w:val="both"/>
              <w:rPr>
                <w:rFonts w:ascii="Times New Roman" w:eastAsia="Calibri" w:hAnsi="Times New Roman" w:cs="Times New Roman"/>
                <w:sz w:val="18"/>
                <w:szCs w:val="18"/>
                <w:lang w:val="sq-AL"/>
              </w:rPr>
            </w:pPr>
          </w:p>
        </w:tc>
        <w:tc>
          <w:tcPr>
            <w:tcW w:w="1066" w:type="dxa"/>
          </w:tcPr>
          <w:p w14:paraId="17CA02B8" w14:textId="2A57B473"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tcPr>
          <w:p w14:paraId="62277331" w14:textId="7EF339D8" w:rsidR="00314559" w:rsidRPr="003B7DC9" w:rsidRDefault="00314559" w:rsidP="00314559">
            <w:pPr>
              <w:rPr>
                <w:rFonts w:ascii="Times New Roman" w:eastAsia="Calibri" w:hAnsi="Times New Roman" w:cs="Times New Roman"/>
                <w:sz w:val="18"/>
                <w:szCs w:val="18"/>
                <w:lang w:val="en-US"/>
              </w:rPr>
            </w:pPr>
          </w:p>
        </w:tc>
      </w:tr>
      <w:tr w:rsidR="00314559" w:rsidRPr="003B7DC9" w14:paraId="4DDC655C" w14:textId="77777777" w:rsidTr="00B75638">
        <w:tc>
          <w:tcPr>
            <w:tcW w:w="630" w:type="dxa"/>
            <w:shd w:val="clear" w:color="auto" w:fill="FFFFFF" w:themeFill="background1"/>
          </w:tcPr>
          <w:p w14:paraId="709E465B" w14:textId="36F5F544" w:rsidR="00314559" w:rsidRPr="003B7DC9" w:rsidRDefault="00314559" w:rsidP="00314559">
            <w:pPr>
              <w:jc w:val="both"/>
              <w:rPr>
                <w:rFonts w:ascii="Times New Roman" w:eastAsia="Calibri" w:hAnsi="Times New Roman" w:cs="Times New Roman"/>
                <w:sz w:val="18"/>
                <w:szCs w:val="18"/>
                <w:lang w:val="en-US"/>
              </w:rPr>
            </w:pPr>
          </w:p>
        </w:tc>
        <w:tc>
          <w:tcPr>
            <w:tcW w:w="5220" w:type="dxa"/>
            <w:shd w:val="clear" w:color="auto" w:fill="FFFFFF" w:themeFill="background1"/>
          </w:tcPr>
          <w:p w14:paraId="20C49263" w14:textId="77777777" w:rsidR="00314559" w:rsidRPr="003B7DC9" w:rsidRDefault="00314559" w:rsidP="00314559">
            <w:pPr>
              <w:spacing w:line="276" w:lineRule="auto"/>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23a</w:t>
            </w:r>
          </w:p>
          <w:p w14:paraId="3030B349"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Konfidencialiteti i informacionit</w:t>
            </w:r>
          </w:p>
          <w:p w14:paraId="575AD0C2" w14:textId="77777777" w:rsidR="00314559" w:rsidRPr="003B7DC9" w:rsidRDefault="00314559" w:rsidP="00314559">
            <w:pPr>
              <w:numPr>
                <w:ilvl w:val="0"/>
                <w:numId w:val="85"/>
              </w:numPr>
              <w:spacing w:line="276" w:lineRule="auto"/>
              <w:rPr>
                <w:rFonts w:ascii="Times New Roman" w:eastAsia="Calibri" w:hAnsi="Times New Roman" w:cs="Times New Roman"/>
                <w:iCs/>
                <w:sz w:val="18"/>
                <w:szCs w:val="18"/>
              </w:rPr>
            </w:pPr>
          </w:p>
          <w:p w14:paraId="52078921"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Informacioni i komunikuar Komisionit sipas kësaj direktive ruhet konfidencial nga Komisioni në përputhje me dispozitat e zbatueshme për autoritetet e Bashkimit dhe nuk mund të përdoret për asnjë qëllim </w:t>
            </w:r>
            <w:r w:rsidRPr="003B7DC9">
              <w:rPr>
                <w:rFonts w:ascii="Times New Roman" w:eastAsia="Calibri" w:hAnsi="Times New Roman" w:cs="Times New Roman"/>
                <w:iCs/>
                <w:sz w:val="18"/>
                <w:szCs w:val="18"/>
              </w:rPr>
              <w:lastRenderedPageBreak/>
              <w:t>tjetër përveç atyre që kërkohen për të përcaktuar nëse dhe në çfarë mase shtetet anëtare përputhen me këtë direktivë.</w:t>
            </w:r>
          </w:p>
          <w:p w14:paraId="06248AFD"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▼M7</w:t>
            </w:r>
          </w:p>
          <w:p w14:paraId="42F4B0C6" w14:textId="77777777" w:rsidR="00314559" w:rsidRPr="003B7DC9" w:rsidRDefault="00314559" w:rsidP="00314559">
            <w:pPr>
              <w:numPr>
                <w:ilvl w:val="0"/>
                <w:numId w:val="86"/>
              </w:numPr>
              <w:spacing w:line="276" w:lineRule="auto"/>
              <w:rPr>
                <w:rFonts w:ascii="Times New Roman" w:eastAsia="Calibri" w:hAnsi="Times New Roman" w:cs="Times New Roman"/>
                <w:iCs/>
                <w:sz w:val="18"/>
                <w:szCs w:val="18"/>
              </w:rPr>
            </w:pPr>
          </w:p>
          <w:p w14:paraId="402E83DB"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Informacioni i komunikuar Komisionit nga një shtet anëtar sipas nenit 23, si dhe çdo raport ose dokument i prodhuar nga Komisioni duke përdorur një informacion të tillë, mund t’u transmetohet shteteve të tjera anëtare. Një informacion i tillë i transmetuar mbulohet nga detyrimi i sekretit zyrtar dhe gëzon mbrojtjen që u jepet informacioneve të ngjashme sipas legjislacionit kombëtar të shtetit anëtar që e ka marrë atë.</w:t>
            </w:r>
          </w:p>
          <w:p w14:paraId="53853FED"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Raportet dhe dokumentet e prodhuara nga Komisioni, të përmendura në nënparagrafin e parë, mund të përdoren nga shtetet anëtare vetëm për qëllime analitike dhe nuk publikohen ose vihen në dispozicion të ndonjë personi ose organi tjetër pa pëlqimin e shprehur të Komisionit.</w:t>
            </w:r>
          </w:p>
          <w:p w14:paraId="39F238FF"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Pavarësisht nga nënparagrafët e parë dhe të dytë, Komisioni mund të publikojë çdo vit përmbledhje të anonimizuara të të dhënave statistikore që shtetet anëtare i komunikojnë atij në përputhje me nenin 23(4).</w:t>
            </w:r>
          </w:p>
          <w:p w14:paraId="02FE104A" w14:textId="752ECA5E" w:rsidR="00314559" w:rsidRPr="003B7DC9" w:rsidRDefault="00314559" w:rsidP="00314559">
            <w:pPr>
              <w:spacing w:line="276" w:lineRule="auto"/>
              <w:rPr>
                <w:rFonts w:ascii="Times New Roman" w:eastAsia="Calibri" w:hAnsi="Times New Roman" w:cs="Times New Roman"/>
                <w:iCs/>
                <w:sz w:val="18"/>
                <w:szCs w:val="18"/>
                <w:lang w:val="en-US"/>
              </w:rPr>
            </w:pPr>
          </w:p>
        </w:tc>
        <w:tc>
          <w:tcPr>
            <w:tcW w:w="1170" w:type="dxa"/>
            <w:shd w:val="clear" w:color="auto" w:fill="FFFFFF" w:themeFill="background1"/>
          </w:tcPr>
          <w:p w14:paraId="43C9614A" w14:textId="7B441B24" w:rsidR="00314559" w:rsidRPr="003B7DC9" w:rsidRDefault="00314559" w:rsidP="00314559">
            <w:pPr>
              <w:jc w:val="center"/>
              <w:rPr>
                <w:rFonts w:ascii="Times New Roman" w:eastAsia="Calibri" w:hAnsi="Times New Roman" w:cs="Times New Roman"/>
                <w:i/>
                <w:iCs/>
                <w:sz w:val="18"/>
                <w:szCs w:val="18"/>
              </w:rPr>
            </w:pPr>
            <w:r w:rsidRPr="003B7DC9">
              <w:rPr>
                <w:rFonts w:ascii="Times New Roman" w:eastAsia="Calibri" w:hAnsi="Times New Roman" w:cs="Times New Roman"/>
                <w:sz w:val="18"/>
                <w:szCs w:val="18"/>
              </w:rPr>
              <w:lastRenderedPageBreak/>
              <w:t>1</w:t>
            </w:r>
          </w:p>
        </w:tc>
        <w:tc>
          <w:tcPr>
            <w:tcW w:w="720" w:type="dxa"/>
            <w:shd w:val="clear" w:color="auto" w:fill="FFFFFF" w:themeFill="background1"/>
          </w:tcPr>
          <w:p w14:paraId="05BDF9B8" w14:textId="040047AD" w:rsidR="00314559" w:rsidRPr="003B7DC9" w:rsidRDefault="00314559" w:rsidP="00314559">
            <w:pPr>
              <w:rPr>
                <w:rFonts w:ascii="Times New Roman" w:eastAsia="Calibri" w:hAnsi="Times New Roman" w:cs="Times New Roman"/>
                <w:i/>
                <w:iCs/>
                <w:sz w:val="18"/>
                <w:szCs w:val="18"/>
                <w:highlight w:val="cyan"/>
                <w:lang w:val="en-US"/>
              </w:rPr>
            </w:pPr>
            <w:r w:rsidRPr="003B7DC9">
              <w:rPr>
                <w:rFonts w:ascii="Times New Roman" w:eastAsia="Calibri" w:hAnsi="Times New Roman" w:cs="Times New Roman"/>
                <w:i/>
                <w:iCs/>
                <w:sz w:val="18"/>
                <w:szCs w:val="18"/>
                <w:lang w:val="en-US"/>
              </w:rPr>
              <w:t>N/A</w:t>
            </w:r>
          </w:p>
        </w:tc>
        <w:tc>
          <w:tcPr>
            <w:tcW w:w="4334" w:type="dxa"/>
            <w:shd w:val="clear" w:color="auto" w:fill="FFFFFF" w:themeFill="background1"/>
          </w:tcPr>
          <w:p w14:paraId="48D826B2" w14:textId="77777777" w:rsidR="00314559" w:rsidRPr="003B7DC9" w:rsidRDefault="00314559" w:rsidP="00314559">
            <w:pPr>
              <w:jc w:val="both"/>
              <w:rPr>
                <w:rFonts w:ascii="Times New Roman" w:hAnsi="Times New Roman" w:cs="Times New Roman"/>
                <w:i/>
                <w:iCs/>
                <w:sz w:val="18"/>
                <w:szCs w:val="18"/>
                <w:lang w:val="sq-AL"/>
              </w:rPr>
            </w:pPr>
          </w:p>
          <w:p w14:paraId="275147D8" w14:textId="72F4EDB5" w:rsidR="00314559" w:rsidRPr="003B7DC9" w:rsidRDefault="00314559" w:rsidP="00314559">
            <w:pPr>
              <w:jc w:val="center"/>
              <w:rPr>
                <w:rFonts w:ascii="Times New Roman" w:hAnsi="Times New Roman" w:cs="Times New Roman"/>
                <w:i/>
                <w:iCs/>
                <w:sz w:val="18"/>
                <w:szCs w:val="18"/>
              </w:rPr>
            </w:pPr>
            <w:r w:rsidRPr="003B7DC9">
              <w:rPr>
                <w:rFonts w:ascii="Times New Roman" w:hAnsi="Times New Roman" w:cs="Times New Roman"/>
                <w:i/>
                <w:iCs/>
                <w:sz w:val="18"/>
                <w:szCs w:val="18"/>
              </w:rPr>
              <w:t>N/A</w:t>
            </w:r>
          </w:p>
          <w:p w14:paraId="18A13A99" w14:textId="194EC885" w:rsidR="00314559" w:rsidRPr="003B7DC9" w:rsidRDefault="00314559" w:rsidP="00314559">
            <w:pPr>
              <w:jc w:val="both"/>
              <w:rPr>
                <w:rFonts w:ascii="Times New Roman" w:eastAsia="Calibri" w:hAnsi="Times New Roman" w:cs="Times New Roman"/>
                <w:i/>
                <w:iCs/>
                <w:sz w:val="18"/>
                <w:szCs w:val="18"/>
                <w:lang w:val="en-US"/>
              </w:rPr>
            </w:pPr>
          </w:p>
        </w:tc>
        <w:tc>
          <w:tcPr>
            <w:tcW w:w="1066" w:type="dxa"/>
            <w:shd w:val="clear" w:color="auto" w:fill="FFFFFF" w:themeFill="background1"/>
          </w:tcPr>
          <w:p w14:paraId="7C51AE8F" w14:textId="7F311D01" w:rsidR="00314559" w:rsidRPr="003B7DC9" w:rsidRDefault="00314559" w:rsidP="00314559">
            <w:pPr>
              <w:jc w:val="center"/>
              <w:rPr>
                <w:rFonts w:ascii="Times New Roman" w:eastAsia="Calibri" w:hAnsi="Times New Roman" w:cs="Times New Roman"/>
                <w:i/>
                <w:iCs/>
                <w:sz w:val="18"/>
                <w:szCs w:val="18"/>
                <w:lang w:val="en-US"/>
              </w:rPr>
            </w:pPr>
            <w:r w:rsidRPr="003B7DC9">
              <w:rPr>
                <w:rFonts w:ascii="Times New Roman" w:eastAsia="Calibri" w:hAnsi="Times New Roman" w:cs="Times New Roman"/>
                <w:i/>
                <w:iCs/>
                <w:sz w:val="18"/>
                <w:szCs w:val="18"/>
                <w:lang w:val="en-US"/>
              </w:rPr>
              <w:t>N/A</w:t>
            </w:r>
          </w:p>
        </w:tc>
        <w:tc>
          <w:tcPr>
            <w:tcW w:w="3060" w:type="dxa"/>
            <w:shd w:val="clear" w:color="auto" w:fill="FFFFFF" w:themeFill="background1"/>
          </w:tcPr>
          <w:p w14:paraId="0CA16795" w14:textId="77777777"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Neni 23a i Direktivës 2011/16/BE rregullon detyrimet e konfidencialitetit dhe kompetencat e publikimit të Komisionit Evropian. Duke qenë se ai nuk vendos detyrime për shtetet anëtare, nuk kërkon transpozim në legjislacionin kombëtar.</w:t>
            </w:r>
          </w:p>
          <w:p w14:paraId="64A29FE1" w14:textId="473745A6" w:rsidR="00314559" w:rsidRPr="003B7DC9" w:rsidRDefault="00314559" w:rsidP="00314559">
            <w:pPr>
              <w:rPr>
                <w:rFonts w:ascii="Times New Roman" w:eastAsia="Calibri" w:hAnsi="Times New Roman" w:cs="Times New Roman"/>
                <w:sz w:val="18"/>
                <w:szCs w:val="18"/>
                <w:lang w:val="en-US"/>
              </w:rPr>
            </w:pPr>
          </w:p>
        </w:tc>
      </w:tr>
      <w:tr w:rsidR="00314559" w:rsidRPr="003B7DC9" w14:paraId="6A9A6B6E" w14:textId="77777777" w:rsidTr="00B75638">
        <w:trPr>
          <w:trHeight w:val="2204"/>
        </w:trPr>
        <w:tc>
          <w:tcPr>
            <w:tcW w:w="630" w:type="dxa"/>
          </w:tcPr>
          <w:p w14:paraId="1B296679" w14:textId="655FEA8B" w:rsidR="00314559" w:rsidRPr="003B7DC9" w:rsidRDefault="00314559" w:rsidP="00314559">
            <w:pPr>
              <w:jc w:val="both"/>
              <w:rPr>
                <w:rFonts w:ascii="Times New Roman" w:eastAsia="Calibri" w:hAnsi="Times New Roman" w:cs="Times New Roman"/>
                <w:sz w:val="18"/>
                <w:szCs w:val="18"/>
                <w:lang w:val="en-US"/>
              </w:rPr>
            </w:pPr>
          </w:p>
        </w:tc>
        <w:tc>
          <w:tcPr>
            <w:tcW w:w="5220" w:type="dxa"/>
          </w:tcPr>
          <w:p w14:paraId="67B61005" w14:textId="77777777" w:rsidR="00314559" w:rsidRPr="003B7DC9" w:rsidRDefault="00314559" w:rsidP="00314559">
            <w:pPr>
              <w:jc w:val="both"/>
              <w:rPr>
                <w:rFonts w:ascii="Times New Roman" w:eastAsia="Calibri" w:hAnsi="Times New Roman" w:cs="Times New Roman"/>
                <w:b/>
                <w:bCs/>
                <w:iCs/>
                <w:sz w:val="18"/>
                <w:szCs w:val="18"/>
                <w:lang w:val="en-US"/>
              </w:rPr>
            </w:pPr>
            <w:r w:rsidRPr="003B7DC9">
              <w:rPr>
                <w:rFonts w:ascii="Times New Roman" w:eastAsia="Calibri" w:hAnsi="Times New Roman" w:cs="Times New Roman"/>
                <w:b/>
                <w:bCs/>
                <w:iCs/>
                <w:sz w:val="18"/>
                <w:szCs w:val="18"/>
                <w:lang w:val="en-US"/>
              </w:rPr>
              <w:t>KREU VI</w:t>
            </w:r>
          </w:p>
          <w:p w14:paraId="72D8BF7C" w14:textId="77777777" w:rsidR="00314559" w:rsidRPr="003B7DC9" w:rsidRDefault="00314559" w:rsidP="00314559">
            <w:pPr>
              <w:jc w:val="both"/>
              <w:rPr>
                <w:rFonts w:ascii="Times New Roman" w:eastAsia="Calibri" w:hAnsi="Times New Roman" w:cs="Times New Roman"/>
                <w:b/>
                <w:bCs/>
                <w:iCs/>
                <w:sz w:val="18"/>
                <w:szCs w:val="18"/>
                <w:lang w:val="en-US"/>
              </w:rPr>
            </w:pPr>
          </w:p>
          <w:p w14:paraId="4E9176FE" w14:textId="3B6D801D"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b/>
                <w:bCs/>
                <w:iCs/>
                <w:sz w:val="18"/>
                <w:szCs w:val="18"/>
                <w:lang w:val="en-US"/>
              </w:rPr>
              <w:t>Marrëdhëniet me vendet e treta</w:t>
            </w:r>
          </w:p>
          <w:p w14:paraId="3D8ECCAF" w14:textId="77777777" w:rsidR="00314559" w:rsidRPr="003B7DC9" w:rsidRDefault="00314559" w:rsidP="00314559">
            <w:pPr>
              <w:jc w:val="both"/>
              <w:rPr>
                <w:rFonts w:ascii="Times New Roman" w:eastAsia="Calibri" w:hAnsi="Times New Roman" w:cs="Times New Roman"/>
                <w:b/>
                <w:bCs/>
                <w:iCs/>
                <w:sz w:val="18"/>
                <w:szCs w:val="18"/>
                <w:lang w:val="en-US"/>
              </w:rPr>
            </w:pPr>
            <w:r w:rsidRPr="003B7DC9">
              <w:rPr>
                <w:rFonts w:ascii="Times New Roman" w:eastAsia="Calibri" w:hAnsi="Times New Roman" w:cs="Times New Roman"/>
                <w:b/>
                <w:bCs/>
                <w:iCs/>
                <w:sz w:val="18"/>
                <w:szCs w:val="18"/>
                <w:lang w:val="en-US"/>
              </w:rPr>
              <w:t>Neni 24</w:t>
            </w:r>
          </w:p>
          <w:p w14:paraId="556BDD30" w14:textId="77777777" w:rsidR="00314559" w:rsidRPr="003B7DC9" w:rsidRDefault="00314559" w:rsidP="00314559">
            <w:pPr>
              <w:jc w:val="both"/>
              <w:rPr>
                <w:rFonts w:ascii="Times New Roman" w:eastAsia="Calibri" w:hAnsi="Times New Roman" w:cs="Times New Roman"/>
                <w:b/>
                <w:bCs/>
                <w:iCs/>
                <w:sz w:val="18"/>
                <w:szCs w:val="18"/>
                <w:lang w:val="en-US"/>
              </w:rPr>
            </w:pPr>
          </w:p>
          <w:p w14:paraId="2A4F2A52" w14:textId="0036E7EB"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b/>
                <w:bCs/>
                <w:iCs/>
                <w:sz w:val="18"/>
                <w:szCs w:val="18"/>
                <w:lang w:val="en-US"/>
              </w:rPr>
              <w:t>Shkëmbimi i informacionit me vendet e treta</w:t>
            </w:r>
          </w:p>
          <w:p w14:paraId="3A174FF9" w14:textId="77777777" w:rsidR="00314559" w:rsidRPr="003B7DC9" w:rsidRDefault="00314559" w:rsidP="00314559">
            <w:pPr>
              <w:numPr>
                <w:ilvl w:val="0"/>
                <w:numId w:val="87"/>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Kur autoriteti kompetent i një shteti anëtar merr nga një vend i tretë informacion që është i rëndësishëm në mënyrë të parashikueshme për administrimin dhe zbatimin e ligjeve të brendshme të atij shteti anëtar në lidhje me tatimet e përmendura në nenin 2, ai autoritet mund, në masën që kjo lejohet sipas një marrëveshjeje me atë vend të tretë, t’ua japë atë informacion autoriteteve kompetente të shteteve anëtare për të cilat ky informacion mund të jetë i dobishëm dhe çdo autoriteti kërkues.</w:t>
            </w:r>
          </w:p>
          <w:p w14:paraId="2B63E889" w14:textId="77777777" w:rsidR="00314559" w:rsidRPr="003B7DC9" w:rsidRDefault="00314559" w:rsidP="00314559">
            <w:pPr>
              <w:numPr>
                <w:ilvl w:val="0"/>
                <w:numId w:val="87"/>
              </w:num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lastRenderedPageBreak/>
              <w:t>Autoritetet kompetente mund të komunikojnë, në përputhje me dispozitat e tyre të brendshme mbi komunikimin e të dhënave personale tek vendet e treta, informacionin e marrë në përputhje me këtë direktivë tek një vend i tretë, me kusht që të plotësohen të gjitha kushtet e mëposhtme:</w:t>
            </w:r>
          </w:p>
          <w:p w14:paraId="32DCAAE2"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(a) autoriteti kompetent i shtetit anëtar nga i cili buron informacioni të ketë dhënë pëlqimin për atë komunikim;</w:t>
            </w:r>
          </w:p>
          <w:p w14:paraId="56947525"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(b) vendi i tretë përkatës të ketë dhënë një angazhim për të ofruar bashkëpunimin e kërkuar për mbledhjen e provave të natyrës së parregullt ose të paligjshme të transaksioneve që duket se bien ndesh ose përbëjnë abuzim të legjislacionit tatimor.</w:t>
            </w:r>
          </w:p>
          <w:p w14:paraId="1E4CE096" w14:textId="6D0016A5" w:rsidR="00314559" w:rsidRPr="003B7DC9" w:rsidRDefault="00314559" w:rsidP="00314559">
            <w:pPr>
              <w:jc w:val="both"/>
              <w:rPr>
                <w:rFonts w:ascii="Times New Roman" w:eastAsia="Calibri" w:hAnsi="Times New Roman" w:cs="Times New Roman"/>
                <w:iCs/>
                <w:sz w:val="18"/>
                <w:szCs w:val="18"/>
                <w:lang w:val="it-CH"/>
              </w:rPr>
            </w:pPr>
          </w:p>
        </w:tc>
        <w:tc>
          <w:tcPr>
            <w:tcW w:w="1170" w:type="dxa"/>
          </w:tcPr>
          <w:p w14:paraId="44F88698" w14:textId="7ED23A1F" w:rsidR="00314559" w:rsidRPr="003B7DC9" w:rsidRDefault="00314559" w:rsidP="00314559">
            <w:pPr>
              <w:jc w:val="center"/>
              <w:rPr>
                <w:rFonts w:ascii="Times New Roman" w:eastAsia="Calibri" w:hAnsi="Times New Roman" w:cs="Times New Roman"/>
                <w:sz w:val="18"/>
                <w:szCs w:val="18"/>
                <w:highlight w:val="cyan"/>
              </w:rPr>
            </w:pPr>
            <w:r w:rsidRPr="003B7DC9">
              <w:rPr>
                <w:rFonts w:ascii="Times New Roman" w:eastAsia="Calibri" w:hAnsi="Times New Roman" w:cs="Times New Roman"/>
                <w:sz w:val="18"/>
                <w:szCs w:val="18"/>
              </w:rPr>
              <w:lastRenderedPageBreak/>
              <w:t>1</w:t>
            </w:r>
          </w:p>
        </w:tc>
        <w:tc>
          <w:tcPr>
            <w:tcW w:w="720" w:type="dxa"/>
          </w:tcPr>
          <w:p w14:paraId="60795A2E" w14:textId="2D7A9955" w:rsidR="00314559" w:rsidRPr="003B7DC9" w:rsidRDefault="00314559" w:rsidP="00314559">
            <w:pPr>
              <w:jc w:val="center"/>
              <w:rPr>
                <w:rFonts w:ascii="Times New Roman" w:eastAsia="Calibri" w:hAnsi="Times New Roman" w:cs="Times New Roman"/>
                <w:sz w:val="18"/>
                <w:szCs w:val="18"/>
                <w:highlight w:val="cyan"/>
                <w:lang w:val="it-CH"/>
              </w:rPr>
            </w:pPr>
            <w:r w:rsidRPr="003B7DC9">
              <w:rPr>
                <w:rFonts w:ascii="Times New Roman" w:eastAsia="Calibri" w:hAnsi="Times New Roman" w:cs="Times New Roman"/>
                <w:sz w:val="18"/>
                <w:szCs w:val="18"/>
                <w:lang w:val="it-CH"/>
              </w:rPr>
              <w:t>Neni 27</w:t>
            </w:r>
          </w:p>
        </w:tc>
        <w:tc>
          <w:tcPr>
            <w:tcW w:w="4334" w:type="dxa"/>
            <w:shd w:val="clear" w:color="auto" w:fill="FFFFFF" w:themeFill="background1"/>
          </w:tcPr>
          <w:p w14:paraId="02CB4B68" w14:textId="77777777" w:rsidR="00314559" w:rsidRPr="003B7DC9" w:rsidRDefault="00314559" w:rsidP="00314559">
            <w:pPr>
              <w:jc w:val="both"/>
              <w:rPr>
                <w:rFonts w:ascii="Times New Roman" w:hAnsi="Times New Roman" w:cs="Times New Roman"/>
                <w:sz w:val="18"/>
                <w:szCs w:val="18"/>
              </w:rPr>
            </w:pPr>
          </w:p>
          <w:p w14:paraId="535925A6"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r w:rsidRPr="003B7DC9">
              <w:rPr>
                <w:rFonts w:ascii="Times New Roman" w:eastAsia="Times New Roman" w:hAnsi="Times New Roman" w:cs="Times New Roman"/>
                <w:b/>
                <w:color w:val="000000" w:themeColor="text1"/>
                <w:sz w:val="18"/>
                <w:szCs w:val="18"/>
                <w:lang w:val="en-US"/>
              </w:rPr>
              <w:t>Neni 27</w:t>
            </w:r>
          </w:p>
          <w:p w14:paraId="1E062DFE"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r w:rsidRPr="003B7DC9">
              <w:rPr>
                <w:rFonts w:ascii="Times New Roman" w:eastAsia="Times New Roman" w:hAnsi="Times New Roman" w:cs="Times New Roman"/>
                <w:b/>
                <w:color w:val="000000" w:themeColor="text1"/>
                <w:sz w:val="18"/>
                <w:szCs w:val="18"/>
                <w:lang w:val="en-US"/>
              </w:rPr>
              <w:t>Shkëmbimi i informacionit me vendet e treta</w:t>
            </w:r>
          </w:p>
          <w:p w14:paraId="6E1F3732" w14:textId="77777777" w:rsidR="00314559" w:rsidRPr="003B7DC9" w:rsidRDefault="00314559" w:rsidP="00314559">
            <w:pPr>
              <w:numPr>
                <w:ilvl w:val="0"/>
                <w:numId w:val="140"/>
              </w:numPr>
              <w:spacing w:after="200"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Kur Drejtoria e Përgjithshme e Tatimeve merr nga një vend i tretë informacion që ka rëndësi të parashikueshme për administrimin ose zbatimin e legjislacionit për tatimet e mbuluara nga ky ligj, ajo mund, në masën që lejohet nga marrëveshja ndërkombëtare përkatëse, t’ia komunikojë këtë informacion autoriteteve kompetente të shteteve anëtare për të cilat informacioni mund të jetë i dobishëm dhe çdo autoriteti kërkues. </w:t>
            </w:r>
          </w:p>
          <w:p w14:paraId="3E9575C5" w14:textId="1A8A08CC" w:rsidR="00314559" w:rsidRPr="003B7DC9" w:rsidRDefault="00314559" w:rsidP="00314559">
            <w:pPr>
              <w:numPr>
                <w:ilvl w:val="0"/>
                <w:numId w:val="140"/>
              </w:numPr>
              <w:spacing w:after="200"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lastRenderedPageBreak/>
              <w:t>Drejtoria e Përgjithshme e Tatimeve mund t’i komunikojë një vendi të tretë informacionin e marrë sipas këtij ligji vetëm kur plotësohen njëkohësisht kushtet e mëposhtme:</w:t>
            </w:r>
          </w:p>
          <w:p w14:paraId="06D3E31B" w14:textId="77777777" w:rsidR="00314559" w:rsidRPr="003B7DC9" w:rsidRDefault="00314559" w:rsidP="00314559">
            <w:pPr>
              <w:ind w:left="720"/>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a) autoriteti kompetent i shtetit anëtar nga i cili buron informacioni ka dhënë pëlqimin paraprak;</w:t>
            </w:r>
            <w:r w:rsidRPr="003B7DC9">
              <w:rPr>
                <w:rFonts w:ascii="Times New Roman" w:eastAsia="Times New Roman" w:hAnsi="Times New Roman" w:cs="Times New Roman"/>
                <w:bCs/>
                <w:color w:val="000000" w:themeColor="text1"/>
                <w:sz w:val="18"/>
                <w:szCs w:val="18"/>
                <w:lang w:val="en-US"/>
              </w:rPr>
              <w:br/>
              <w:t xml:space="preserve">b) vendi i tretë është angazhuar të sigurojë bashkëpunimin e nevojshëm për mbledhjen e provave mbi </w:t>
            </w:r>
            <w:r w:rsidRPr="003B7DC9">
              <w:rPr>
                <w:rFonts w:ascii="Times New Roman" w:eastAsia="Times New Roman" w:hAnsi="Times New Roman" w:cs="Times New Roman"/>
                <w:sz w:val="18"/>
                <w:szCs w:val="18"/>
                <w:lang w:eastAsia="sq-AL"/>
              </w:rPr>
              <w:t>karakterin</w:t>
            </w:r>
            <w:r w:rsidRPr="003B7DC9">
              <w:rPr>
                <w:rFonts w:ascii="Times New Roman" w:eastAsia="Times New Roman" w:hAnsi="Times New Roman" w:cs="Times New Roman"/>
                <w:bCs/>
                <w:color w:val="000000" w:themeColor="text1"/>
                <w:sz w:val="18"/>
                <w:szCs w:val="18"/>
                <w:lang w:val="en-US"/>
              </w:rPr>
              <w:t xml:space="preserve"> e parregullt ose të paligjshëm të </w:t>
            </w:r>
            <w:r w:rsidRPr="003B7DC9">
              <w:rPr>
                <w:rFonts w:ascii="Times New Roman" w:eastAsia="Times New Roman" w:hAnsi="Times New Roman" w:cs="Times New Roman"/>
                <w:sz w:val="18"/>
                <w:szCs w:val="18"/>
                <w:lang w:eastAsia="sq-AL"/>
              </w:rPr>
              <w:t>transaksioneve që duket se bien në kundërshtim me legjislacionin tatimor ose përbëjnë abuzim me të;</w:t>
            </w:r>
            <w:r w:rsidRPr="003B7DC9">
              <w:rPr>
                <w:rFonts w:ascii="Times New Roman" w:eastAsia="Times New Roman" w:hAnsi="Times New Roman" w:cs="Times New Roman"/>
                <w:bCs/>
                <w:color w:val="000000" w:themeColor="text1"/>
                <w:sz w:val="18"/>
                <w:szCs w:val="18"/>
                <w:lang w:val="en-US"/>
              </w:rPr>
              <w:br/>
              <w:t xml:space="preserve">c) respektohen kërkesat e legjislacionit shqiptar dhe të Bashkimit Evropian për transferimin e të dhënave personale në vende të treta. </w:t>
            </w:r>
          </w:p>
          <w:p w14:paraId="09BC42CD" w14:textId="77777777" w:rsidR="00314559" w:rsidRPr="003B7DC9" w:rsidRDefault="00314559" w:rsidP="00314559">
            <w:pPr>
              <w:numPr>
                <w:ilvl w:val="0"/>
                <w:numId w:val="140"/>
              </w:numPr>
              <w:spacing w:after="200"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Informacioni i komunikuar sipas këtij neni i nënshtrohet kufizimeve të përdorimit dhe konfidencialitetit të përcaktuara në nenin 21 të këtij ligji.</w:t>
            </w:r>
          </w:p>
          <w:p w14:paraId="2A857D11" w14:textId="3918E48A" w:rsidR="00314559" w:rsidRPr="003B7DC9" w:rsidRDefault="00314559" w:rsidP="00314559">
            <w:pPr>
              <w:spacing w:before="100" w:beforeAutospacing="1" w:after="100" w:afterAutospacing="1" w:line="276" w:lineRule="auto"/>
              <w:jc w:val="both"/>
              <w:rPr>
                <w:rFonts w:ascii="Times New Roman" w:eastAsia="Calibri" w:hAnsi="Times New Roman" w:cs="Times New Roman"/>
                <w:sz w:val="18"/>
                <w:szCs w:val="18"/>
              </w:rPr>
            </w:pPr>
          </w:p>
        </w:tc>
        <w:tc>
          <w:tcPr>
            <w:tcW w:w="1066" w:type="dxa"/>
          </w:tcPr>
          <w:p w14:paraId="5E1BAD4C" w14:textId="5F8E9ABC"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tcPr>
          <w:p w14:paraId="20525FDF" w14:textId="35614CAE" w:rsidR="00314559" w:rsidRPr="003B7DC9" w:rsidRDefault="00314559" w:rsidP="00314559">
            <w:pPr>
              <w:rPr>
                <w:rFonts w:ascii="Times New Roman" w:eastAsia="Calibri" w:hAnsi="Times New Roman" w:cs="Times New Roman"/>
                <w:sz w:val="18"/>
                <w:szCs w:val="18"/>
                <w:lang w:val="en-US"/>
              </w:rPr>
            </w:pPr>
          </w:p>
          <w:p w14:paraId="6CA6683F" w14:textId="77777777" w:rsidR="00314559" w:rsidRPr="003B7DC9" w:rsidRDefault="00314559" w:rsidP="00314559">
            <w:pPr>
              <w:rPr>
                <w:rFonts w:ascii="Times New Roman" w:eastAsia="Calibri" w:hAnsi="Times New Roman" w:cs="Times New Roman"/>
                <w:sz w:val="18"/>
                <w:szCs w:val="18"/>
                <w:lang w:val="en-US"/>
              </w:rPr>
            </w:pPr>
          </w:p>
          <w:p w14:paraId="71B5E837" w14:textId="53FF1D09" w:rsidR="00314559" w:rsidRPr="003B7DC9" w:rsidRDefault="00314559" w:rsidP="00314559">
            <w:pPr>
              <w:rPr>
                <w:rFonts w:ascii="Times New Roman" w:eastAsia="Calibri" w:hAnsi="Times New Roman" w:cs="Times New Roman"/>
                <w:sz w:val="18"/>
                <w:szCs w:val="18"/>
                <w:highlight w:val="yellow"/>
                <w:lang w:val="en-US"/>
              </w:rPr>
            </w:pPr>
          </w:p>
        </w:tc>
      </w:tr>
      <w:tr w:rsidR="00314559" w:rsidRPr="003B7DC9" w14:paraId="52A8CC74" w14:textId="77777777" w:rsidTr="00B75638">
        <w:trPr>
          <w:trHeight w:val="1008"/>
        </w:trPr>
        <w:tc>
          <w:tcPr>
            <w:tcW w:w="630" w:type="dxa"/>
            <w:shd w:val="clear" w:color="auto" w:fill="FFFFFF" w:themeFill="background1"/>
          </w:tcPr>
          <w:p w14:paraId="190CA677" w14:textId="77777777" w:rsidR="00314559" w:rsidRPr="003B7DC9" w:rsidRDefault="00314559" w:rsidP="00314559">
            <w:pPr>
              <w:jc w:val="both"/>
              <w:rPr>
                <w:rFonts w:ascii="Times New Roman" w:eastAsia="Calibri" w:hAnsi="Times New Roman" w:cs="Times New Roman"/>
                <w:sz w:val="18"/>
                <w:szCs w:val="18"/>
                <w:lang w:val="en-US"/>
              </w:rPr>
            </w:pPr>
            <w:bookmarkStart w:id="3" w:name="_Hlk227914978"/>
          </w:p>
        </w:tc>
        <w:tc>
          <w:tcPr>
            <w:tcW w:w="5220" w:type="dxa"/>
            <w:shd w:val="clear" w:color="auto" w:fill="FFFFFF" w:themeFill="background1"/>
          </w:tcPr>
          <w:p w14:paraId="60AA5F32" w14:textId="77777777" w:rsidR="00314559" w:rsidRPr="003B7DC9" w:rsidRDefault="00314559" w:rsidP="00314559">
            <w:pPr>
              <w:spacing w:line="276" w:lineRule="auto"/>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KREU VII</w:t>
            </w:r>
          </w:p>
          <w:p w14:paraId="0312F2AF"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DISPOZITA TË PËRGJITHSHME DHE PËRFUNDIMTARE</w:t>
            </w:r>
          </w:p>
          <w:p w14:paraId="08F4DE2C"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▼M7</w:t>
            </w:r>
          </w:p>
          <w:p w14:paraId="34FBF31D" w14:textId="77777777" w:rsidR="00314559" w:rsidRPr="003B7DC9" w:rsidRDefault="00314559" w:rsidP="00314559">
            <w:pPr>
              <w:spacing w:line="276" w:lineRule="auto"/>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25</w:t>
            </w:r>
          </w:p>
          <w:p w14:paraId="40AA61B0"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Mbrojtja e të dhënave</w:t>
            </w:r>
          </w:p>
          <w:p w14:paraId="63727670" w14:textId="77777777" w:rsidR="00314559" w:rsidRPr="003B7DC9" w:rsidRDefault="00314559" w:rsidP="00314559">
            <w:pPr>
              <w:numPr>
                <w:ilvl w:val="0"/>
                <w:numId w:val="88"/>
              </w:numPr>
              <w:spacing w:line="276" w:lineRule="auto"/>
              <w:rPr>
                <w:rFonts w:ascii="Times New Roman" w:eastAsia="Calibri" w:hAnsi="Times New Roman" w:cs="Times New Roman"/>
                <w:iCs/>
                <w:sz w:val="18"/>
                <w:szCs w:val="18"/>
              </w:rPr>
            </w:pPr>
          </w:p>
          <w:p w14:paraId="39369296"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Çdo shkëmbim i informacionit sipas kësaj direktive i nënshtrohet Rregullores (BE) 2016/679 të Parlamentit Evropian dhe të Këshillit. Megjithatë, shtetet anëtare, për qëllimet e zbatimit korrekt të kësaj direktive, kufizojnë fushën e detyrimeve dhe të të drejtave të parashikuara në nenin 13, nenin 14(1) dhe nenin 15 të Rregullores (BE) 2016/679, në masën e kërkuar për të mbrojtur interesat e përmendura në shkronjën (e) të nenit 23(1) të asaj rregulloreje.</w:t>
            </w:r>
          </w:p>
          <w:p w14:paraId="7DA24D8B" w14:textId="77777777" w:rsidR="00314559" w:rsidRPr="003B7DC9" w:rsidRDefault="00314559" w:rsidP="00314559">
            <w:pPr>
              <w:numPr>
                <w:ilvl w:val="0"/>
                <w:numId w:val="89"/>
              </w:numPr>
              <w:spacing w:line="276" w:lineRule="auto"/>
              <w:rPr>
                <w:rFonts w:ascii="Times New Roman" w:eastAsia="Calibri" w:hAnsi="Times New Roman" w:cs="Times New Roman"/>
                <w:iCs/>
                <w:sz w:val="18"/>
                <w:szCs w:val="18"/>
              </w:rPr>
            </w:pPr>
          </w:p>
          <w:p w14:paraId="5685D185"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Rregullorja (BE) 2018/1725 e Parlamentit Evropian dhe e Këshillit zbatohet për çdo përpunim të të dhënave personale sipas kësaj direktive nga institucionet, organet, zyrat dhe agjencitë e Bashkimit. Megjithatë, për qëllimet e zbatimit korrekt të kësaj direktive, fusha e detyrimeve dhe të drejtave të parashikuara në nenin 15, nenin 16(1), dhe nenet 17 deri në 21 të Rregullores (BE) 2018/1725 kufizohet në masën e kërkuar për të mbrojtur interesat e përmendura në shkronjën (c) të nenit 25(1) të asaj rregulloreje.</w:t>
            </w:r>
          </w:p>
          <w:p w14:paraId="66C3B740"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▼M8</w:t>
            </w:r>
          </w:p>
          <w:p w14:paraId="7D5A0D94" w14:textId="77777777" w:rsidR="00314559" w:rsidRPr="003B7DC9" w:rsidRDefault="00314559" w:rsidP="00314559">
            <w:pPr>
              <w:numPr>
                <w:ilvl w:val="0"/>
                <w:numId w:val="90"/>
              </w:numPr>
              <w:spacing w:line="276" w:lineRule="auto"/>
              <w:rPr>
                <w:rFonts w:ascii="Times New Roman" w:eastAsia="Calibri" w:hAnsi="Times New Roman" w:cs="Times New Roman"/>
                <w:iCs/>
                <w:sz w:val="18"/>
                <w:szCs w:val="18"/>
              </w:rPr>
            </w:pPr>
          </w:p>
          <w:p w14:paraId="02C7E639"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Institucionet financiare raportuese, ndërmjetësit, Operatorët e Platformave Raportuese, Ofruesit e Shërbimeve të Aseteve Kripto që Raportojnë dhe autoritetet kompetente të shteteve anëtare konsiderohen si kontrollorë, duke vepruar individualisht ose bashkërisht. Kur përpunojnë të dhëna personale për qëllimet e kësaj direktive, Komisioni konsiderohet se përpunon të dhënat personale në emër të kontrollorëve dhe zbaton kërkesat për përpunuesit të përcaktuara në Rregulloren (BE) 2018/1725. Përpunimi rregullohet nga një kontratë në kuptim të nenit 28(3) të Rregullores (BE) 2016/679 dhe nenit 29(3) të Rregullores (BE) 2018/1725.</w:t>
            </w:r>
          </w:p>
          <w:p w14:paraId="49D7CB22" w14:textId="77777777" w:rsidR="00314559" w:rsidRPr="003B7DC9" w:rsidRDefault="00314559" w:rsidP="00314559">
            <w:pPr>
              <w:numPr>
                <w:ilvl w:val="0"/>
                <w:numId w:val="91"/>
              </w:numPr>
              <w:spacing w:line="276" w:lineRule="auto"/>
              <w:rPr>
                <w:rFonts w:ascii="Times New Roman" w:eastAsia="Calibri" w:hAnsi="Times New Roman" w:cs="Times New Roman"/>
                <w:iCs/>
                <w:sz w:val="18"/>
                <w:szCs w:val="18"/>
              </w:rPr>
            </w:pPr>
          </w:p>
          <w:p w14:paraId="7698BA8E"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Pavarësisht nga pika 1, çdo shtet anëtar siguron që çdo institucion financiar raportues, ndërmjetës ose Operator i Platformës Raportuese ose Ofrues i Shërbimeve të Aseteve Kripto që Raporton, sipas rastit, që është nën juridiksionin e tij:</w:t>
            </w:r>
          </w:p>
          <w:p w14:paraId="5C39DD4F"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 të informojë çdo individ të interesuar se informacioni që lidhet me atë individ do të mblidhet dhe transferohet në përputhje me këtë direktivë; dhe</w:t>
            </w:r>
          </w:p>
          <w:p w14:paraId="32EC0621"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(b) t’i japë çdo individi të interesuar të gjithë informacionin që ai ka të drejtë të marrë nga kontrollori i të dhënave në kohë të mjaftueshme që ai individ të ushtrojë të drejtat e tij për mbrojtjen e të dhënave dhe, në çdo rast, përpara se informacioni të raportohet.</w:t>
            </w:r>
          </w:p>
          <w:p w14:paraId="23B3DF14"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▼M7</w:t>
            </w:r>
          </w:p>
          <w:p w14:paraId="4681D9DB"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lastRenderedPageBreak/>
              <w:t>Pavarësisht nga shkronja (b) e nënparagrafit të parë, çdo shtet anëtar vendos rregulla që detyrojnë Operatorët e Platformave Raportuese të informojnë Shitësit e Raportueshëm për Shpërblimin e raportuar.</w:t>
            </w:r>
          </w:p>
          <w:p w14:paraId="7E8F8D5B" w14:textId="77777777" w:rsidR="00314559" w:rsidRPr="003B7DC9" w:rsidRDefault="00314559" w:rsidP="00314559">
            <w:pPr>
              <w:numPr>
                <w:ilvl w:val="0"/>
                <w:numId w:val="92"/>
              </w:numPr>
              <w:spacing w:line="276" w:lineRule="auto"/>
              <w:rPr>
                <w:rFonts w:ascii="Times New Roman" w:eastAsia="Calibri" w:hAnsi="Times New Roman" w:cs="Times New Roman"/>
                <w:iCs/>
                <w:sz w:val="18"/>
                <w:szCs w:val="18"/>
              </w:rPr>
            </w:pPr>
          </w:p>
          <w:p w14:paraId="642EE45A"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Informacioni i përpunuar në përputhje me këtë direktivë ruhet për jo më gjatë se sa është e nevojshme për të arritur qëllimet e kësaj direktive dhe, në çdo rast, në përputhje me rregullat e brendshme të çdo kontrollori të të dhënave mbi afatet e parashkrimit.</w:t>
            </w:r>
          </w:p>
          <w:p w14:paraId="75FB3A1E" w14:textId="77777777" w:rsidR="00314559" w:rsidRPr="003B7DC9" w:rsidRDefault="00314559" w:rsidP="00314559">
            <w:pPr>
              <w:numPr>
                <w:ilvl w:val="0"/>
                <w:numId w:val="93"/>
              </w:numPr>
              <w:spacing w:line="276" w:lineRule="auto"/>
              <w:rPr>
                <w:rFonts w:ascii="Times New Roman" w:eastAsia="Calibri" w:hAnsi="Times New Roman" w:cs="Times New Roman"/>
                <w:iCs/>
                <w:sz w:val="18"/>
                <w:szCs w:val="18"/>
              </w:rPr>
            </w:pPr>
          </w:p>
          <w:p w14:paraId="41F1808B"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Një shtet anëtar ku ka ndodhur një shkelje e të dhënave raporton shkeljen e të dhënave dhe çdo veprim pasues korrigjues tek Komisioni pa vonesë. Komisioni informon të gjitha shtetet anëtare pa vonesë për shkeljen e të dhënave që i është raportuar ose për të cilën ka dijeni dhe për çdo veprim korrigjues.</w:t>
            </w:r>
          </w:p>
          <w:p w14:paraId="68DD20D9"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Çdo shtet anëtar mund të pezullojë shkëmbimin e informacionit me shtetin(et) anëtar(e) ku ka ndodhur shkelja e të dhënave duke njoftuar me shkrim Komisionin dhe shtetin(et) anëtar(e) përkatëse. Një pezullim i tillë hyn në fuqi menjëherë.</w:t>
            </w:r>
          </w:p>
          <w:p w14:paraId="06420232"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Shteti(et) anëtar(e) ku ka ndodhur shkelja e të dhënave heton, kufizon dhe korrigjon shkeljen e të dhënave dhe, duke njoftuar me shkrim Komisionin, kërkon pezullimin e aksesit në rrjetin CCN për qëllimet e kësaj direktive, nëse shkelja e të dhënave nuk mund të kufizohet menjëherë dhe në mënyrë të përshtatshme. Me një kërkesë të tillë, Komisioni pezullon aksesin në rrjetin CCN të këtij shteti/shteteve anëtare për qëllimet e kësaj direktive.</w:t>
            </w:r>
          </w:p>
          <w:p w14:paraId="2D5AF814"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Pas raportimit nga shteti anëtar ku ka ndodhur shkelja e të dhënave për korrigjimin e saj, Komisioni rifillon aksesin në rrjetin CCN të shtetit/shteteve anëtare përkatëse për qëllimet e kësaj direktive. Në rast se një ose më shumë shtete anëtare kërkojnë që Komisioni të verifikojë së bashku nëse korrigjimi i shkeljes së të dhënave ka qenë i suksesshëm, Komisioni rifillon aksesin në rrjetin CCN të atij/shteteve anëtare për qëllimet e kësaj direktive pas një verifikimi të tillë.</w:t>
            </w:r>
          </w:p>
          <w:p w14:paraId="15EBEEC9"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 xml:space="preserve">Kur një shkelje e të dhënave ndodh në direktorinë qendrore ose në rrjetin CCN për qëllimet e kësaj direktive dhe kur shkëmbimet e </w:t>
            </w:r>
            <w:r w:rsidRPr="003B7DC9">
              <w:rPr>
                <w:rFonts w:ascii="Times New Roman" w:eastAsia="Calibri" w:hAnsi="Times New Roman" w:cs="Times New Roman"/>
                <w:iCs/>
                <w:sz w:val="18"/>
                <w:szCs w:val="18"/>
              </w:rPr>
              <w:lastRenderedPageBreak/>
              <w:t>shteteve anëtare përmes rrjetit CCN mund të preken potencialisht, Komisioni informon shtetet anëtare për shkeljen e të dhënave dhe për çdo veprim korrigjues të ndërmarrë pa vonesë të panevojshme. Veprime të tilla korrigjuese mund të përfshijnë pezullimin e aksesit në direktorinë qendrore ose në rrjetin CCN për qëllimet e kësaj direktive deri në korrigjimin e shkeljes së të dhënave.</w:t>
            </w:r>
          </w:p>
          <w:p w14:paraId="17344E7E" w14:textId="77777777" w:rsidR="00314559" w:rsidRPr="003B7DC9" w:rsidRDefault="00314559" w:rsidP="00314559">
            <w:pPr>
              <w:numPr>
                <w:ilvl w:val="0"/>
                <w:numId w:val="94"/>
              </w:numPr>
              <w:spacing w:line="276" w:lineRule="auto"/>
              <w:rPr>
                <w:rFonts w:ascii="Times New Roman" w:eastAsia="Calibri" w:hAnsi="Times New Roman" w:cs="Times New Roman"/>
                <w:iCs/>
                <w:sz w:val="18"/>
                <w:szCs w:val="18"/>
              </w:rPr>
            </w:pPr>
          </w:p>
          <w:p w14:paraId="4CB3F776"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Shtetet anëtare, të asistuara nga Komisioni, bien dakord mbi rregullimet praktike të nevojshme për zbatimin e këtij neni, duke përfshirë proceset e menaxhimit të shkeljeve të të dhënave që janë në përputhje me praktikat e mira të njohura ndërkombëtarisht dhe, sipas rastit, një marrëveshje të përbashkët të kontrollorit të të dhënave, një marrëveshje përpunues</w:t>
            </w:r>
            <w:r w:rsidRPr="003B7DC9">
              <w:rPr>
                <w:rFonts w:ascii="Times New Roman" w:eastAsia="Calibri" w:hAnsi="Times New Roman" w:cs="Times New Roman"/>
                <w:iCs/>
                <w:sz w:val="18"/>
                <w:szCs w:val="18"/>
              </w:rPr>
              <w:noBreakHyphen/>
              <w:t>kontrollor të të dhënave, ose modele të tyre.</w:t>
            </w:r>
          </w:p>
          <w:p w14:paraId="5902AE64" w14:textId="5C009A71" w:rsidR="00314559" w:rsidRPr="003B7DC9" w:rsidRDefault="00314559" w:rsidP="00314559">
            <w:pPr>
              <w:spacing w:line="276" w:lineRule="auto"/>
              <w:rPr>
                <w:rFonts w:ascii="Times New Roman" w:eastAsia="Calibri" w:hAnsi="Times New Roman" w:cs="Times New Roman"/>
                <w:iCs/>
                <w:sz w:val="18"/>
                <w:szCs w:val="18"/>
                <w:lang w:val="en-US"/>
              </w:rPr>
            </w:pPr>
          </w:p>
        </w:tc>
        <w:tc>
          <w:tcPr>
            <w:tcW w:w="1170" w:type="dxa"/>
            <w:shd w:val="clear" w:color="auto" w:fill="FFFFFF" w:themeFill="background1"/>
          </w:tcPr>
          <w:p w14:paraId="56E9111D" w14:textId="620CB5D0"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1</w:t>
            </w:r>
          </w:p>
        </w:tc>
        <w:tc>
          <w:tcPr>
            <w:tcW w:w="720" w:type="dxa"/>
            <w:shd w:val="clear" w:color="auto" w:fill="FFFFFF" w:themeFill="background1"/>
          </w:tcPr>
          <w:p w14:paraId="464256C2" w14:textId="5847B525" w:rsidR="00314559" w:rsidRPr="003B7DC9" w:rsidRDefault="00314559" w:rsidP="00314559">
            <w:pP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22</w:t>
            </w:r>
          </w:p>
        </w:tc>
        <w:tc>
          <w:tcPr>
            <w:tcW w:w="4334" w:type="dxa"/>
            <w:shd w:val="clear" w:color="auto" w:fill="FFFFFF" w:themeFill="background1"/>
          </w:tcPr>
          <w:p w14:paraId="51FD3C4F" w14:textId="77777777" w:rsidR="00314559" w:rsidRPr="003B7DC9" w:rsidRDefault="00314559" w:rsidP="00314559">
            <w:pPr>
              <w:ind w:left="720"/>
              <w:jc w:val="center"/>
              <w:rPr>
                <w:rFonts w:ascii="Times New Roman" w:hAnsi="Times New Roman" w:cs="Times New Roman"/>
                <w:b/>
                <w:bCs/>
                <w:sz w:val="18"/>
                <w:szCs w:val="18"/>
                <w:lang w:val="en-US"/>
              </w:rPr>
            </w:pPr>
            <w:r w:rsidRPr="003B7DC9">
              <w:rPr>
                <w:rFonts w:ascii="Times New Roman" w:hAnsi="Times New Roman" w:cs="Times New Roman"/>
                <w:b/>
                <w:bCs/>
                <w:sz w:val="18"/>
                <w:szCs w:val="18"/>
                <w:lang w:val="en-US"/>
              </w:rPr>
              <w:t>Neni 22</w:t>
            </w:r>
          </w:p>
          <w:p w14:paraId="7AFF83CE" w14:textId="77777777" w:rsidR="00314559" w:rsidRPr="003B7DC9" w:rsidRDefault="00314559" w:rsidP="00314559">
            <w:pPr>
              <w:ind w:left="720"/>
              <w:jc w:val="center"/>
              <w:rPr>
                <w:rFonts w:ascii="Times New Roman" w:hAnsi="Times New Roman" w:cs="Times New Roman"/>
                <w:bCs/>
                <w:sz w:val="18"/>
                <w:szCs w:val="18"/>
                <w:lang w:val="en-US"/>
              </w:rPr>
            </w:pPr>
            <w:r w:rsidRPr="003B7DC9">
              <w:rPr>
                <w:rFonts w:ascii="Times New Roman" w:hAnsi="Times New Roman" w:cs="Times New Roman"/>
                <w:b/>
                <w:bCs/>
                <w:sz w:val="18"/>
                <w:szCs w:val="18"/>
                <w:lang w:val="en-US"/>
              </w:rPr>
              <w:t>Mbrojtja e të dhënave</w:t>
            </w:r>
          </w:p>
          <w:p w14:paraId="37705F43" w14:textId="77777777" w:rsidR="00314559" w:rsidRPr="003B7DC9" w:rsidRDefault="00314559" w:rsidP="00314559">
            <w:pPr>
              <w:pStyle w:val="ListParagraph"/>
              <w:numPr>
                <w:ilvl w:val="0"/>
                <w:numId w:val="14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Përpunimi i të dhënave personale sipas këtij ligji dhe ligjeve të posaçme që zbatojnë Direktivën 2011/16/BE kryhet në përputhje me legjislacionin shqiptar për mbrojtjen e të dhënave personale dhe me Rregulloren (BE) 2016/679.</w:t>
            </w:r>
          </w:p>
          <w:p w14:paraId="6D0356B1" w14:textId="77777777" w:rsidR="00314559" w:rsidRPr="003B7DC9" w:rsidRDefault="00314559" w:rsidP="00314559">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3421BDD6" w14:textId="77777777" w:rsidR="00314559" w:rsidRPr="003B7DC9" w:rsidRDefault="00314559" w:rsidP="00314559">
            <w:pPr>
              <w:pStyle w:val="ListParagraph"/>
              <w:jc w:val="both"/>
              <w:rPr>
                <w:rFonts w:ascii="Times New Roman" w:eastAsia="Times New Roman" w:hAnsi="Times New Roman" w:cs="Times New Roman"/>
                <w:sz w:val="18"/>
                <w:szCs w:val="18"/>
                <w:lang w:eastAsia="sq-AL"/>
              </w:rPr>
            </w:pPr>
          </w:p>
          <w:p w14:paraId="0D7C8633" w14:textId="77777777" w:rsidR="00314559" w:rsidRPr="003B7DC9" w:rsidRDefault="00314559" w:rsidP="00314559">
            <w:pPr>
              <w:pStyle w:val="ListParagraph"/>
              <w:numPr>
                <w:ilvl w:val="0"/>
                <w:numId w:val="14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bCs/>
                <w:sz w:val="18"/>
                <w:szCs w:val="18"/>
                <w:lang w:eastAsia="sq-AL"/>
              </w:rPr>
              <w:t xml:space="preserve">Drejtoria e Përgjithshme e Tatimeve konsiderohet kontrollues i të dhënave personale, vetëm ose bashkërisht, në varësi të rolit të saj në përpunim. Institucionet financiare </w:t>
            </w:r>
            <w:r w:rsidRPr="003B7DC9">
              <w:rPr>
                <w:rFonts w:ascii="Times New Roman" w:eastAsia="Times New Roman" w:hAnsi="Times New Roman" w:cs="Times New Roman"/>
                <w:bCs/>
                <w:sz w:val="18"/>
                <w:szCs w:val="18"/>
                <w:lang w:eastAsia="sq-AL"/>
              </w:rPr>
              <w:lastRenderedPageBreak/>
              <w:t>raportuese, ndërmjetësit, operatorët raportues të platformave dhe ofruesit raportues të shërbimeve të kripto-aseteve që janë nën juridiksionin e Republikës së Shqipërisë konsiderohen kontrollues në përputhje me ligjet e posaçme përkatëse. Statusi i personave të tjerë që paraqesin informacion sipas këtij ligji përcaktohet në përputhje me legjislacionin për mbrojtjen e të dhënave personale dhe rolin e tyre në përpunim.</w:t>
            </w:r>
          </w:p>
          <w:p w14:paraId="7D3502A1" w14:textId="77777777" w:rsidR="00314559" w:rsidRPr="003B7DC9" w:rsidRDefault="00314559" w:rsidP="00314559">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bCs/>
                <w:sz w:val="18"/>
                <w:szCs w:val="18"/>
                <w:lang w:eastAsia="sq-AL"/>
              </w:rPr>
              <w:t>Kur të dhënat personale përpunohen nga Komisioni Evropian në emër të Drejtorisë së Përgjithshme të Tatimeve, kjo e fundit zbaton marrëveshjen ose rregullimet e miratuara në nivel të Bashkimit Evropian për marrëdhënien ndërmjet kontrolluesit dhe përpunuesit, në përputhje me nenin 28, pika 3, të Rregullores (BE) 2016/679.</w:t>
            </w:r>
          </w:p>
          <w:p w14:paraId="75B2CBDA" w14:textId="77777777" w:rsidR="00314559" w:rsidRPr="003B7DC9" w:rsidRDefault="00314559" w:rsidP="00314559">
            <w:pPr>
              <w:numPr>
                <w:ilvl w:val="0"/>
                <w:numId w:val="141"/>
              </w:numPr>
              <w:spacing w:after="200"/>
              <w:jc w:val="both"/>
              <w:rPr>
                <w:rFonts w:ascii="Times New Roman" w:hAnsi="Times New Roman" w:cs="Times New Roman"/>
                <w:bCs/>
                <w:sz w:val="18"/>
                <w:szCs w:val="18"/>
                <w:lang w:val="en-US"/>
              </w:rPr>
            </w:pPr>
            <w:r w:rsidRPr="003B7DC9">
              <w:rPr>
                <w:rFonts w:ascii="Times New Roman" w:hAnsi="Times New Roman" w:cs="Times New Roman"/>
                <w:bCs/>
                <w:sz w:val="18"/>
                <w:szCs w:val="18"/>
                <w:lang w:val="en-US"/>
              </w:rPr>
              <w:t xml:space="preserve">Pavarësisht nga pika 1 e këtij neni, </w:t>
            </w:r>
            <w:r w:rsidRPr="003B7DC9">
              <w:rPr>
                <w:rFonts w:ascii="Times New Roman" w:eastAsia="Times New Roman" w:hAnsi="Times New Roman" w:cs="Times New Roman"/>
                <w:sz w:val="18"/>
                <w:szCs w:val="18"/>
                <w:lang w:eastAsia="sq-AL"/>
              </w:rPr>
              <w:t>për zbatimin e këtij ligji dhe të ligjeve të posaçme që zbatojnë Direktivën 2011/16/BE, si dhe për të siguruar funksionimin efektiv</w:t>
            </w:r>
            <w:r w:rsidRPr="003B7DC9">
              <w:rPr>
                <w:rFonts w:ascii="Times New Roman" w:hAnsi="Times New Roman" w:cs="Times New Roman"/>
                <w:bCs/>
                <w:sz w:val="18"/>
                <w:szCs w:val="18"/>
                <w:lang w:val="en-US"/>
              </w:rPr>
              <w:t xml:space="preserve"> të bashkëpunimit administrativ në fushën e tatimeve, </w:t>
            </w:r>
            <w:r w:rsidRPr="003B7DC9">
              <w:rPr>
                <w:rFonts w:ascii="Times New Roman" w:eastAsia="Times New Roman" w:hAnsi="Times New Roman" w:cs="Times New Roman"/>
                <w:sz w:val="18"/>
                <w:szCs w:val="18"/>
                <w:lang w:val="sq-AL"/>
              </w:rPr>
              <w:t xml:space="preserve">fusha e detyrimeve dhe e të drejtave të parashikuara në nenet 13, 14, pika 1, dhe 15 të Rregullores (BE) 2016/679 kufizohet në masën që </w:t>
            </w:r>
            <w:r w:rsidRPr="003B7DC9">
              <w:rPr>
                <w:rFonts w:ascii="Times New Roman" w:eastAsia="Times New Roman" w:hAnsi="Times New Roman" w:cs="Times New Roman"/>
                <w:sz w:val="18"/>
                <w:szCs w:val="18"/>
                <w:lang w:eastAsia="sq-AL"/>
              </w:rPr>
              <w:t>kufizimi është i nevojshëm dhe proporcional për zbatimin e saktë të këtij ligji dhe të ligjeve të posaçme që zbatojnë Direktivën 2011/16/BE</w:t>
            </w:r>
            <w:r w:rsidRPr="003B7DC9">
              <w:rPr>
                <w:rFonts w:ascii="Times New Roman" w:eastAsia="Times New Roman" w:hAnsi="Times New Roman" w:cs="Times New Roman"/>
                <w:sz w:val="18"/>
                <w:szCs w:val="18"/>
                <w:lang w:val="sq-AL"/>
              </w:rPr>
              <w:t xml:space="preserve"> </w:t>
            </w:r>
            <w:r w:rsidRPr="003B7DC9">
              <w:rPr>
                <w:rFonts w:ascii="Times New Roman" w:hAnsi="Times New Roman" w:cs="Times New Roman"/>
                <w:color w:val="000000"/>
                <w:sz w:val="18"/>
                <w:szCs w:val="18"/>
              </w:rPr>
              <w:t xml:space="preserve">dhe për mbrojtjen e interesave të rëndësishme ekonomike dhe financiare të shtetit, përfshirë çështjet tatimore, sipas nenit 23, pika 1, shkronja “e”, të Rregullores (BE) 2016/679. </w:t>
            </w:r>
            <w:r w:rsidRPr="003B7DC9">
              <w:rPr>
                <w:rFonts w:ascii="Times New Roman" w:hAnsi="Times New Roman" w:cs="Times New Roman"/>
                <w:sz w:val="18"/>
                <w:szCs w:val="18"/>
              </w:rPr>
              <w:t>Çdo kufizim sipas kësaj pike i nënshtrohet masave të përshtatshme mbrojtëse dhe garanton të drejtën për një mjet juridik efektiv.</w:t>
            </w:r>
          </w:p>
          <w:p w14:paraId="674363A7" w14:textId="77777777" w:rsidR="00314559" w:rsidRPr="003B7DC9" w:rsidRDefault="00314559" w:rsidP="00314559">
            <w:pPr>
              <w:pStyle w:val="ListParagraph"/>
              <w:numPr>
                <w:ilvl w:val="0"/>
                <w:numId w:val="141"/>
              </w:numPr>
              <w:spacing w:before="100" w:beforeAutospacing="1" w:after="100" w:afterAutospacing="1" w:line="240" w:lineRule="auto"/>
              <w:jc w:val="both"/>
              <w:rPr>
                <w:rFonts w:ascii="Times New Roman" w:eastAsia="Times New Roman" w:hAnsi="Times New Roman" w:cs="Times New Roman"/>
                <w:sz w:val="18"/>
                <w:szCs w:val="18"/>
                <w:lang w:val="sq-AL"/>
              </w:rPr>
            </w:pPr>
            <w:r w:rsidRPr="003B7DC9">
              <w:rPr>
                <w:rFonts w:ascii="Times New Roman" w:hAnsi="Times New Roman" w:cs="Times New Roman"/>
                <w:sz w:val="18"/>
                <w:szCs w:val="18"/>
              </w:rPr>
              <w:t xml:space="preserve">Drejtoria e Përgjithshme e Tatimeve siguron që institucionet financiare raportuese, </w:t>
            </w:r>
            <w:r w:rsidRPr="003B7DC9">
              <w:rPr>
                <w:rFonts w:ascii="Times New Roman" w:hAnsi="Times New Roman" w:cs="Times New Roman"/>
                <w:sz w:val="18"/>
                <w:szCs w:val="18"/>
              </w:rPr>
              <w:lastRenderedPageBreak/>
              <w:t>ndërmjetësit, operatorët raportues të platformave dhe ofruesit raportues të shërbimeve të kripto-aseteve, sipas përcaktimeve të ligjeve të posaçme, t’i informojnë individët për mbledhjen dhe komunikimin e të dhënave të tyre personale dhe t’u japin informacionin që u takon sipas legjislacionit për mbrojtjen e të dhënave personale, në kohë të mjaftueshme për ushtrimin e të drejtave të tyre dhe, në çdo rast, përpara raportimit</w:t>
            </w:r>
            <w:r w:rsidRPr="003B7DC9">
              <w:rPr>
                <w:rFonts w:ascii="Times New Roman" w:eastAsia="Times New Roman" w:hAnsi="Times New Roman" w:cs="Times New Roman"/>
                <w:sz w:val="18"/>
                <w:szCs w:val="18"/>
                <w:lang w:val="sq-AL"/>
              </w:rPr>
              <w:t>.</w:t>
            </w:r>
          </w:p>
          <w:p w14:paraId="1F52E871" w14:textId="77777777" w:rsidR="00314559" w:rsidRPr="003B7DC9" w:rsidRDefault="00314559" w:rsidP="00314559">
            <w:pPr>
              <w:pStyle w:val="ListParagraph"/>
              <w:spacing w:before="100" w:beforeAutospacing="1" w:after="100" w:afterAutospacing="1" w:line="240" w:lineRule="auto"/>
              <w:jc w:val="both"/>
              <w:rPr>
                <w:rFonts w:ascii="Times New Roman" w:eastAsia="Times New Roman" w:hAnsi="Times New Roman" w:cs="Times New Roman"/>
                <w:sz w:val="18"/>
                <w:szCs w:val="18"/>
                <w:lang w:val="sq-AL"/>
              </w:rPr>
            </w:pPr>
          </w:p>
          <w:p w14:paraId="4AAC0AAC" w14:textId="77777777" w:rsidR="00314559" w:rsidRPr="003B7DC9" w:rsidRDefault="00314559" w:rsidP="00314559">
            <w:pPr>
              <w:pStyle w:val="ListParagraph"/>
              <w:numPr>
                <w:ilvl w:val="0"/>
                <w:numId w:val="14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Drejtoria e Përgjithshme e Tatimeve merr masat e përshtatshme teknike dhe organizative për të garantuar konfidencialitetin, integritetin, disponueshmërinë dhe gjurmueshmërinë e të dhënave personale. Masat teknike dhe organizative, përfshirë administrimin e aksesit, enkriptimin, regjistrimin e veprimeve dhe menaxhimin e incidenteve, përcaktohen me vendim të Këshillit të Ministrave.</w:t>
            </w:r>
          </w:p>
          <w:p w14:paraId="4522373C" w14:textId="77777777" w:rsidR="00314559" w:rsidRPr="003B7DC9" w:rsidRDefault="00314559" w:rsidP="00314559">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4CADCEF7" w14:textId="77777777" w:rsidR="00314559" w:rsidRPr="003B7DC9" w:rsidRDefault="00314559" w:rsidP="00314559">
            <w:pPr>
              <w:pStyle w:val="ListParagraph"/>
              <w:numPr>
                <w:ilvl w:val="0"/>
                <w:numId w:val="14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Të dhënat personale ruhen vetëm për aq kohë sa është e nevojshme për qëllimet për të cilat përpunohen, pa cenuar afatet minimale ose të posaçme të ruajtjes të përcaktuara në nenin 25, pika 3, të këtij ligji dhe në ligjet e posaçme.</w:t>
            </w:r>
          </w:p>
          <w:p w14:paraId="42E9AF39" w14:textId="77777777" w:rsidR="00314559" w:rsidRPr="003B7DC9" w:rsidRDefault="00314559" w:rsidP="00314559">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19F40137" w14:textId="77777777" w:rsidR="00314559" w:rsidRPr="003B7DC9" w:rsidRDefault="00314559" w:rsidP="00314559">
            <w:pPr>
              <w:pStyle w:val="ListParagraph"/>
              <w:numPr>
                <w:ilvl w:val="0"/>
                <w:numId w:val="14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Kur në sistemet ose procedurat shqiptare ndodh një shkelje e të dhënave, Drejtoria e Përgjithshme e Tatimeve:</w:t>
            </w:r>
          </w:p>
          <w:p w14:paraId="40DF56D9" w14:textId="77777777" w:rsidR="00314559" w:rsidRPr="003B7DC9" w:rsidRDefault="00314559" w:rsidP="00314559">
            <w:pPr>
              <w:pStyle w:val="ListParagraph"/>
              <w:rPr>
                <w:rFonts w:ascii="Times New Roman" w:eastAsia="Times New Roman" w:hAnsi="Times New Roman" w:cs="Times New Roman"/>
                <w:sz w:val="18"/>
                <w:szCs w:val="18"/>
                <w:lang w:eastAsia="sq-AL"/>
              </w:rPr>
            </w:pPr>
          </w:p>
          <w:p w14:paraId="5313A1B1" w14:textId="77777777" w:rsidR="00314559" w:rsidRPr="003B7DC9" w:rsidRDefault="00314559" w:rsidP="00314559">
            <w:pPr>
              <w:pStyle w:val="ListParagraph"/>
              <w:spacing w:before="100" w:beforeAutospacing="1" w:after="100" w:afterAutospacing="1" w:line="240" w:lineRule="auto"/>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br/>
              <w:t>a) njofton pa vonesë Komisionin Evropian për shkeljen dhe për çdo masë korrigjuese të ndërmarrë më pas;</w:t>
            </w:r>
            <w:r w:rsidRPr="003B7DC9">
              <w:rPr>
                <w:rFonts w:ascii="Times New Roman" w:eastAsia="Times New Roman" w:hAnsi="Times New Roman" w:cs="Times New Roman"/>
                <w:sz w:val="18"/>
                <w:szCs w:val="18"/>
                <w:lang w:eastAsia="sq-AL"/>
              </w:rPr>
              <w:br/>
              <w:t xml:space="preserve">b) </w:t>
            </w:r>
            <w:r w:rsidRPr="003B7DC9">
              <w:rPr>
                <w:rFonts w:ascii="Times New Roman" w:hAnsi="Times New Roman" w:cs="Times New Roman"/>
                <w:sz w:val="18"/>
                <w:szCs w:val="18"/>
              </w:rPr>
              <w:t>heton shkeljen, e lokalizon dhe e kufizon atë, kufizon pasojat dhe merr masat e nevojshme për korrigjimin e saj</w:t>
            </w:r>
            <w:r w:rsidRPr="003B7DC9">
              <w:rPr>
                <w:rFonts w:ascii="Times New Roman" w:eastAsia="Times New Roman" w:hAnsi="Times New Roman" w:cs="Times New Roman"/>
                <w:sz w:val="18"/>
                <w:szCs w:val="18"/>
                <w:lang w:eastAsia="sq-AL"/>
              </w:rPr>
              <w:t>;</w:t>
            </w:r>
            <w:r w:rsidRPr="003B7DC9">
              <w:rPr>
                <w:rFonts w:ascii="Times New Roman" w:eastAsia="Times New Roman" w:hAnsi="Times New Roman" w:cs="Times New Roman"/>
                <w:sz w:val="18"/>
                <w:szCs w:val="18"/>
                <w:lang w:eastAsia="sq-AL"/>
              </w:rPr>
              <w:br/>
              <w:t xml:space="preserve">c) kur shkelja nuk mund të kufizohet </w:t>
            </w:r>
            <w:r w:rsidRPr="003B7DC9">
              <w:rPr>
                <w:rFonts w:ascii="Times New Roman" w:eastAsia="Times New Roman" w:hAnsi="Times New Roman" w:cs="Times New Roman"/>
                <w:sz w:val="18"/>
                <w:szCs w:val="18"/>
                <w:lang w:eastAsia="sq-AL"/>
              </w:rPr>
              <w:lastRenderedPageBreak/>
              <w:t>menjëherë dhe në mënyrën e duhur, i kërkon me shkrim Komisionit Evropian pezullimin e aksesit të Republikës së Shqipërisë në rrjetin CCN për qëllimet e këtij ligji;</w:t>
            </w:r>
            <w:r w:rsidRPr="003B7DC9">
              <w:rPr>
                <w:rFonts w:ascii="Times New Roman" w:eastAsia="Times New Roman" w:hAnsi="Times New Roman" w:cs="Times New Roman"/>
                <w:sz w:val="18"/>
                <w:szCs w:val="18"/>
                <w:lang w:eastAsia="sq-AL"/>
              </w:rPr>
              <w:br/>
              <w:t>ç) pasi shkelja është korrigjuar, njofton me shkrim Komisionin Evropian dhe kërkon rifillimin e aksesit në rrjetin CCN;</w:t>
            </w:r>
            <w:r w:rsidRPr="003B7DC9">
              <w:rPr>
                <w:rFonts w:ascii="Times New Roman" w:eastAsia="Times New Roman" w:hAnsi="Times New Roman" w:cs="Times New Roman"/>
                <w:sz w:val="18"/>
                <w:szCs w:val="18"/>
                <w:lang w:eastAsia="sq-AL"/>
              </w:rPr>
              <w:br/>
              <w:t>d) bashkëpunon me Komisionin Evropian dhe shtetet e tjera anëtare për verifikimin e masave korrigjuese, kur një ose më shumë shtete anëtare kërkojnë verifikim të përbashkët.</w:t>
            </w:r>
          </w:p>
          <w:p w14:paraId="332EDB7E" w14:textId="77777777" w:rsidR="00314559" w:rsidRPr="003B7DC9" w:rsidRDefault="00314559" w:rsidP="00314559">
            <w:pPr>
              <w:pStyle w:val="ListParagraph"/>
              <w:spacing w:before="100" w:beforeAutospacing="1" w:after="100" w:afterAutospacing="1" w:line="240" w:lineRule="auto"/>
              <w:rPr>
                <w:rFonts w:ascii="Times New Roman" w:eastAsia="Times New Roman" w:hAnsi="Times New Roman" w:cs="Times New Roman"/>
                <w:sz w:val="18"/>
                <w:szCs w:val="18"/>
                <w:lang w:eastAsia="sq-AL"/>
              </w:rPr>
            </w:pPr>
          </w:p>
          <w:p w14:paraId="27A74299" w14:textId="77777777" w:rsidR="00314559" w:rsidRPr="003B7DC9" w:rsidRDefault="00314559" w:rsidP="00314559">
            <w:pPr>
              <w:pStyle w:val="ListParagraph"/>
              <w:numPr>
                <w:ilvl w:val="0"/>
                <w:numId w:val="14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Kur një shkelje e të dhënave ndodh në një shtet tjetër anëtar, Drejtoria e Përgjithshme e Tatimeve mund të pezullojë shkëmbimin e informacionit me atë shtet, duke njoftuar me shkrim Komisionin Evropian dhe autoritetin kompetent të shtetit anëtar përkatës. Pezullimi ka efekt të menjëhershëm. Shkëmbimi rifillon pasi shteti anëtar përkatës të ketë njoftuar korrigjimin e shkeljes dhe, kur kërkohet, pasi masat korrigjuese të jenë verifikuar.</w:t>
            </w:r>
          </w:p>
          <w:p w14:paraId="56B2A88B" w14:textId="77777777" w:rsidR="00314559" w:rsidRPr="003B7DC9" w:rsidRDefault="00314559" w:rsidP="00314559">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1EF8C8D8" w14:textId="77777777" w:rsidR="00314559" w:rsidRPr="003B7DC9" w:rsidRDefault="00314559" w:rsidP="00314559">
            <w:pPr>
              <w:pStyle w:val="ListParagraph"/>
              <w:numPr>
                <w:ilvl w:val="0"/>
                <w:numId w:val="14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Kur shkelja e të dhënave ka të ngjarë të cenojë të dhënat personale ose privatësinë e një individi, Drejtoria e Përgjithshme e Tatimeve siguron që individi të njoftohet pa vonesë, në përputhje me legjislacionin për mbrojtjen e të dhënave personale.</w:t>
            </w:r>
          </w:p>
          <w:p w14:paraId="493DD2F8" w14:textId="77777777" w:rsidR="00314559" w:rsidRPr="003B7DC9" w:rsidRDefault="00314559" w:rsidP="00314559">
            <w:pPr>
              <w:pStyle w:val="ListParagraph"/>
              <w:rPr>
                <w:rFonts w:ascii="Times New Roman" w:eastAsia="Times New Roman" w:hAnsi="Times New Roman" w:cs="Times New Roman"/>
                <w:sz w:val="18"/>
                <w:szCs w:val="18"/>
                <w:lang w:eastAsia="sq-AL"/>
              </w:rPr>
            </w:pPr>
          </w:p>
          <w:p w14:paraId="63D35F64" w14:textId="77777777" w:rsidR="00314559" w:rsidRPr="003B7DC9" w:rsidRDefault="00314559" w:rsidP="00314559">
            <w:pPr>
              <w:pStyle w:val="ListParagraph"/>
              <w:numPr>
                <w:ilvl w:val="0"/>
                <w:numId w:val="14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Drejtoria e Përgjithshme e Tatimeve zbaton dhe mirëmban procedura për menaxhimin e shkeljeve të të dhënave dhe bashkëpunon me Komisionin Evropian dhe autoritetet kompetente të shteteve anëtare për zbatimin e rregullimeve praktike të nevojshme.</w:t>
            </w:r>
          </w:p>
          <w:p w14:paraId="3EFF5D5D" w14:textId="77777777" w:rsidR="00314559" w:rsidRPr="003B7DC9" w:rsidRDefault="00314559" w:rsidP="00314559">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7A07266B" w14:textId="6E242B16" w:rsidR="00314559" w:rsidRPr="003B7DC9" w:rsidRDefault="00314559" w:rsidP="00314559">
            <w:pPr>
              <w:spacing w:after="200" w:line="276" w:lineRule="auto"/>
              <w:jc w:val="both"/>
              <w:rPr>
                <w:rFonts w:ascii="Times New Roman" w:eastAsia="Calibri" w:hAnsi="Times New Roman" w:cs="Times New Roman"/>
                <w:sz w:val="18"/>
                <w:szCs w:val="18"/>
                <w:lang w:val="en-US"/>
              </w:rPr>
            </w:pPr>
          </w:p>
        </w:tc>
        <w:tc>
          <w:tcPr>
            <w:tcW w:w="1066" w:type="dxa"/>
            <w:shd w:val="clear" w:color="auto" w:fill="FFFFFF" w:themeFill="background1"/>
          </w:tcPr>
          <w:p w14:paraId="7F59BDD2" w14:textId="32425DD6"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shd w:val="clear" w:color="auto" w:fill="FFFFFF" w:themeFill="background1"/>
          </w:tcPr>
          <w:p w14:paraId="30D4114F" w14:textId="77777777" w:rsidR="00314559" w:rsidRPr="003B7DC9" w:rsidRDefault="00314559" w:rsidP="00314559">
            <w:pPr>
              <w:rPr>
                <w:rFonts w:ascii="Times New Roman" w:eastAsia="Calibri" w:hAnsi="Times New Roman" w:cs="Times New Roman"/>
                <w:sz w:val="18"/>
                <w:szCs w:val="18"/>
                <w:lang w:val="en-US"/>
              </w:rPr>
            </w:pPr>
          </w:p>
        </w:tc>
      </w:tr>
      <w:bookmarkEnd w:id="3"/>
      <w:tr w:rsidR="00314559" w:rsidRPr="003B7DC9" w14:paraId="5B377569" w14:textId="77777777" w:rsidTr="00B75638">
        <w:trPr>
          <w:trHeight w:val="2204"/>
        </w:trPr>
        <w:tc>
          <w:tcPr>
            <w:tcW w:w="630" w:type="dxa"/>
          </w:tcPr>
          <w:p w14:paraId="316BEC04" w14:textId="77777777" w:rsidR="00314559" w:rsidRPr="003B7DC9" w:rsidRDefault="00314559" w:rsidP="00314559">
            <w:pPr>
              <w:jc w:val="both"/>
              <w:rPr>
                <w:rFonts w:ascii="Times New Roman" w:eastAsia="Calibri" w:hAnsi="Times New Roman" w:cs="Times New Roman"/>
                <w:sz w:val="18"/>
                <w:szCs w:val="18"/>
              </w:rPr>
            </w:pPr>
          </w:p>
        </w:tc>
        <w:tc>
          <w:tcPr>
            <w:tcW w:w="5220" w:type="dxa"/>
          </w:tcPr>
          <w:p w14:paraId="28580F15" w14:textId="77777777" w:rsidR="00314559" w:rsidRPr="003B7DC9" w:rsidRDefault="00314559" w:rsidP="00314559">
            <w:pPr>
              <w:spacing w:line="276" w:lineRule="auto"/>
              <w:rPr>
                <w:rFonts w:ascii="Times New Roman" w:eastAsia="Calibri" w:hAnsi="Times New Roman" w:cs="Times New Roman"/>
                <w:b/>
                <w:bCs/>
                <w:iCs/>
                <w:sz w:val="18"/>
                <w:szCs w:val="18"/>
                <w:lang w:val="en-US"/>
              </w:rPr>
            </w:pPr>
            <w:r w:rsidRPr="003B7DC9">
              <w:rPr>
                <w:rFonts w:ascii="Times New Roman" w:eastAsia="Calibri" w:hAnsi="Times New Roman" w:cs="Times New Roman"/>
                <w:b/>
                <w:bCs/>
                <w:iCs/>
                <w:sz w:val="18"/>
                <w:szCs w:val="18"/>
                <w:lang w:val="en-US"/>
              </w:rPr>
              <w:t>Neni 25a</w:t>
            </w:r>
          </w:p>
          <w:p w14:paraId="28E349A3" w14:textId="77777777" w:rsidR="00314559" w:rsidRPr="003B7DC9" w:rsidRDefault="00314559" w:rsidP="00314559">
            <w:pPr>
              <w:spacing w:line="276" w:lineRule="auto"/>
              <w:rPr>
                <w:rFonts w:ascii="Times New Roman" w:eastAsia="Calibri" w:hAnsi="Times New Roman" w:cs="Times New Roman"/>
                <w:b/>
                <w:bCs/>
                <w:iCs/>
                <w:sz w:val="18"/>
                <w:szCs w:val="18"/>
                <w:lang w:val="en-US"/>
              </w:rPr>
            </w:pPr>
          </w:p>
          <w:p w14:paraId="55475CF6" w14:textId="637C0BF3" w:rsidR="00314559" w:rsidRPr="003B7DC9" w:rsidRDefault="00314559" w:rsidP="00314559">
            <w:pPr>
              <w:spacing w:line="276" w:lineRule="auto"/>
              <w:rPr>
                <w:rFonts w:ascii="Times New Roman" w:eastAsia="Calibri" w:hAnsi="Times New Roman" w:cs="Times New Roman"/>
                <w:iCs/>
                <w:sz w:val="18"/>
                <w:szCs w:val="18"/>
                <w:lang w:val="en-US"/>
              </w:rPr>
            </w:pPr>
            <w:r w:rsidRPr="003B7DC9">
              <w:rPr>
                <w:rFonts w:ascii="Times New Roman" w:eastAsia="Calibri" w:hAnsi="Times New Roman" w:cs="Times New Roman"/>
                <w:b/>
                <w:bCs/>
                <w:iCs/>
                <w:sz w:val="18"/>
                <w:szCs w:val="18"/>
                <w:lang w:val="en-US"/>
              </w:rPr>
              <w:t>Sanksionet</w:t>
            </w:r>
          </w:p>
          <w:p w14:paraId="5C2161EA" w14:textId="77777777" w:rsidR="00314559" w:rsidRPr="003B7DC9" w:rsidRDefault="00314559" w:rsidP="00314559">
            <w:pPr>
              <w:spacing w:line="276" w:lineRule="auto"/>
              <w:rPr>
                <w:rFonts w:ascii="Times New Roman" w:eastAsia="Calibri" w:hAnsi="Times New Roman" w:cs="Times New Roman"/>
                <w:iCs/>
                <w:sz w:val="18"/>
                <w:szCs w:val="18"/>
                <w:lang w:val="en-US"/>
              </w:rPr>
            </w:pPr>
          </w:p>
          <w:p w14:paraId="2DC63C62" w14:textId="328CBC52" w:rsidR="00314559" w:rsidRPr="003B7DC9" w:rsidRDefault="00314559" w:rsidP="00314559">
            <w:pPr>
              <w:spacing w:line="276" w:lineRule="auto"/>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Shtetet anëtare përcaktojnë rregullat mbi sanksionet e zbatueshme për shkeljet e dispozitave kombëtare të miratuara sipas kësaj direktive dhe që lidhen me nenet 8aa deri në 8ae dhe marrin të gjitha masat e nevojshme për të siguruar që ato zbatohen. Sanksionet e parashikuara janë efektive, proporcionale dhe parandaluese.</w:t>
            </w:r>
          </w:p>
          <w:p w14:paraId="144A1F56" w14:textId="77F1FF47" w:rsidR="00314559" w:rsidRPr="003B7DC9" w:rsidRDefault="00314559" w:rsidP="00314559">
            <w:pPr>
              <w:spacing w:line="276" w:lineRule="auto"/>
              <w:rPr>
                <w:rFonts w:ascii="Times New Roman" w:eastAsia="Calibri" w:hAnsi="Times New Roman" w:cs="Times New Roman"/>
                <w:iCs/>
                <w:sz w:val="18"/>
                <w:szCs w:val="18"/>
                <w:lang w:val="it-CH"/>
              </w:rPr>
            </w:pPr>
          </w:p>
        </w:tc>
        <w:tc>
          <w:tcPr>
            <w:tcW w:w="1170" w:type="dxa"/>
          </w:tcPr>
          <w:p w14:paraId="7AA0DD76" w14:textId="1CA7E4D3" w:rsidR="00314559" w:rsidRPr="003B7DC9" w:rsidRDefault="00314559" w:rsidP="00314559">
            <w:pPr>
              <w:jc w:val="center"/>
              <w:rPr>
                <w:rFonts w:ascii="Times New Roman" w:eastAsia="Calibri" w:hAnsi="Times New Roman" w:cs="Times New Roman"/>
                <w:sz w:val="18"/>
                <w:szCs w:val="18"/>
                <w:highlight w:val="cyan"/>
              </w:rPr>
            </w:pPr>
            <w:r w:rsidRPr="003B7DC9">
              <w:rPr>
                <w:rFonts w:ascii="Times New Roman" w:eastAsia="Calibri" w:hAnsi="Times New Roman" w:cs="Times New Roman"/>
                <w:sz w:val="18"/>
                <w:szCs w:val="18"/>
              </w:rPr>
              <w:t>1</w:t>
            </w:r>
          </w:p>
        </w:tc>
        <w:tc>
          <w:tcPr>
            <w:tcW w:w="720" w:type="dxa"/>
          </w:tcPr>
          <w:p w14:paraId="085CF30E" w14:textId="7D32CFB8" w:rsidR="00314559" w:rsidRPr="003B7DC9" w:rsidRDefault="00314559" w:rsidP="00314559">
            <w:pPr>
              <w:jc w:val="center"/>
              <w:rPr>
                <w:rFonts w:ascii="Times New Roman" w:eastAsia="Calibri" w:hAnsi="Times New Roman" w:cs="Times New Roman"/>
                <w:sz w:val="18"/>
                <w:szCs w:val="18"/>
                <w:highlight w:val="cyan"/>
                <w:lang w:val="it-CH"/>
              </w:rPr>
            </w:pPr>
            <w:r w:rsidRPr="003B7DC9">
              <w:rPr>
                <w:rFonts w:ascii="Times New Roman" w:eastAsia="Calibri" w:hAnsi="Times New Roman" w:cs="Times New Roman"/>
                <w:sz w:val="18"/>
                <w:szCs w:val="18"/>
                <w:lang w:val="it-CH"/>
              </w:rPr>
              <w:t>Neni 29</w:t>
            </w:r>
          </w:p>
        </w:tc>
        <w:tc>
          <w:tcPr>
            <w:tcW w:w="4334" w:type="dxa"/>
          </w:tcPr>
          <w:p w14:paraId="2A679246" w14:textId="77777777" w:rsidR="00314559" w:rsidRPr="003B7DC9" w:rsidRDefault="00314559" w:rsidP="00314559">
            <w:pPr>
              <w:jc w:val="center"/>
              <w:rPr>
                <w:rFonts w:ascii="Times New Roman" w:hAnsi="Times New Roman" w:cs="Times New Roman"/>
                <w:b/>
                <w:bCs/>
                <w:sz w:val="18"/>
                <w:szCs w:val="18"/>
                <w:lang w:val="en-US"/>
              </w:rPr>
            </w:pPr>
            <w:r w:rsidRPr="003B7DC9">
              <w:rPr>
                <w:rFonts w:ascii="Times New Roman" w:hAnsi="Times New Roman" w:cs="Times New Roman"/>
                <w:b/>
                <w:bCs/>
                <w:sz w:val="18"/>
                <w:szCs w:val="18"/>
                <w:lang w:val="en-US"/>
              </w:rPr>
              <w:t>Neni 29</w:t>
            </w:r>
          </w:p>
          <w:p w14:paraId="62634ACA" w14:textId="77777777" w:rsidR="00314559" w:rsidRPr="003B7DC9" w:rsidRDefault="00314559" w:rsidP="00314559">
            <w:pPr>
              <w:jc w:val="center"/>
              <w:rPr>
                <w:rFonts w:ascii="Times New Roman" w:hAnsi="Times New Roman" w:cs="Times New Roman"/>
                <w:bCs/>
                <w:sz w:val="18"/>
                <w:szCs w:val="18"/>
                <w:lang w:val="en-US"/>
              </w:rPr>
            </w:pPr>
            <w:r w:rsidRPr="003B7DC9">
              <w:rPr>
                <w:rFonts w:ascii="Times New Roman" w:hAnsi="Times New Roman" w:cs="Times New Roman"/>
                <w:b/>
                <w:bCs/>
                <w:sz w:val="18"/>
                <w:szCs w:val="18"/>
                <w:lang w:val="en-US"/>
              </w:rPr>
              <w:t>Sanksionet</w:t>
            </w:r>
          </w:p>
          <w:p w14:paraId="16390C8A" w14:textId="77777777" w:rsidR="00314559" w:rsidRPr="003B7DC9" w:rsidRDefault="00314559" w:rsidP="00314559">
            <w:pPr>
              <w:pStyle w:val="pdq2pgselectionanchorcontainer"/>
              <w:numPr>
                <w:ilvl w:val="0"/>
                <w:numId w:val="142"/>
              </w:numPr>
              <w:jc w:val="both"/>
              <w:rPr>
                <w:sz w:val="18"/>
                <w:szCs w:val="18"/>
              </w:rPr>
            </w:pPr>
            <w:r w:rsidRPr="003B7DC9">
              <w:rPr>
                <w:sz w:val="18"/>
                <w:szCs w:val="18"/>
              </w:rPr>
              <w:t>Mospërmbushja e detyrimeve të parashikuara në këtë ligj, për të cilat nuk është përcaktuar një masë administrative e posaçme, përbën kundërvajtje administrative dhe dënohet me gjobë nga 100 000 deri në 1 000 000 lekë.</w:t>
            </w:r>
          </w:p>
          <w:p w14:paraId="25A2C5DA" w14:textId="77777777" w:rsidR="00314559" w:rsidRPr="003B7DC9" w:rsidRDefault="00314559" w:rsidP="00314559">
            <w:pPr>
              <w:pStyle w:val="pdq2pgselectionanchorcontainer"/>
              <w:numPr>
                <w:ilvl w:val="0"/>
                <w:numId w:val="142"/>
              </w:numPr>
              <w:jc w:val="both"/>
              <w:rPr>
                <w:sz w:val="18"/>
                <w:szCs w:val="18"/>
              </w:rPr>
            </w:pPr>
            <w:r w:rsidRPr="003B7DC9">
              <w:rPr>
                <w:sz w:val="18"/>
                <w:szCs w:val="18"/>
              </w:rPr>
              <w:t>Përbëjnë në veçanti kundërvajtje administrative shkeljet e mëposhtme, kur kryhen nga personi raportues ose nga një subjekt tjetër që ka detyrimin përkatës sipas këtij ligji, dhe dënohen me gjobë:</w:t>
            </w:r>
          </w:p>
          <w:p w14:paraId="708D0D1D" w14:textId="77777777" w:rsidR="00314559" w:rsidRPr="003B7DC9" w:rsidRDefault="00314559" w:rsidP="00314559">
            <w:pPr>
              <w:pStyle w:val="ListParagraph"/>
              <w:numPr>
                <w:ilvl w:val="1"/>
                <w:numId w:val="142"/>
              </w:numPr>
              <w:jc w:val="both"/>
              <w:rPr>
                <w:rFonts w:ascii="Times New Roman" w:hAnsi="Times New Roman" w:cs="Times New Roman"/>
                <w:sz w:val="18"/>
                <w:szCs w:val="18"/>
              </w:rPr>
            </w:pPr>
            <w:r w:rsidRPr="003B7DC9">
              <w:rPr>
                <w:rFonts w:ascii="Times New Roman" w:hAnsi="Times New Roman" w:cs="Times New Roman"/>
                <w:sz w:val="18"/>
                <w:szCs w:val="18"/>
              </w:rPr>
              <w:t>mosparaqitja e informacionit brenda afatit të përcaktuar në këtë ligj ose në kërkesën e Drejtorisë së Përgjithshme të Tatimeve, nga 100 000 deri në 500 000 lekë;</w:t>
            </w:r>
          </w:p>
          <w:p w14:paraId="6E3D1854" w14:textId="77777777" w:rsidR="00314559" w:rsidRPr="003B7DC9" w:rsidRDefault="00314559" w:rsidP="00314559">
            <w:pPr>
              <w:pStyle w:val="ListParagraph"/>
              <w:numPr>
                <w:ilvl w:val="1"/>
                <w:numId w:val="142"/>
              </w:numPr>
              <w:jc w:val="both"/>
              <w:rPr>
                <w:rFonts w:ascii="Times New Roman" w:hAnsi="Times New Roman" w:cs="Times New Roman"/>
                <w:sz w:val="18"/>
                <w:szCs w:val="18"/>
              </w:rPr>
            </w:pPr>
            <w:r w:rsidRPr="003B7DC9">
              <w:rPr>
                <w:rFonts w:ascii="Times New Roman" w:hAnsi="Times New Roman" w:cs="Times New Roman"/>
                <w:sz w:val="18"/>
                <w:szCs w:val="18"/>
              </w:rPr>
              <w:t>paraqitja e informacionit të paplotë, të pasaktë ose të pavërtetë, si dhe moskorrigjimi i tij brenda afatit të përcaktuar pas njoftimit nga Drejtoria e Përgjithshme e Tatimeve, nga 200 000 deri në 700 000 lekë;</w:t>
            </w:r>
          </w:p>
          <w:p w14:paraId="38DB4607" w14:textId="77777777" w:rsidR="00314559" w:rsidRPr="003B7DC9" w:rsidRDefault="00314559" w:rsidP="00314559">
            <w:pPr>
              <w:pStyle w:val="ListParagraph"/>
              <w:numPr>
                <w:ilvl w:val="1"/>
                <w:numId w:val="142"/>
              </w:numPr>
              <w:jc w:val="both"/>
              <w:rPr>
                <w:rFonts w:ascii="Times New Roman" w:hAnsi="Times New Roman" w:cs="Times New Roman"/>
                <w:sz w:val="18"/>
                <w:szCs w:val="18"/>
              </w:rPr>
            </w:pPr>
            <w:r w:rsidRPr="003B7DC9">
              <w:rPr>
                <w:rFonts w:ascii="Times New Roman" w:hAnsi="Times New Roman" w:cs="Times New Roman"/>
                <w:sz w:val="18"/>
                <w:szCs w:val="18"/>
              </w:rPr>
              <w:t>pengimi, refuzimi ose mosbashkëpunimi gjatë procedurave të verifikimit, hetimit administrativ, kontrollit të njëkohshëm ose auditimit të përbashkët, nga 300 000 deri në 1 000 000 lekë.</w:t>
            </w:r>
          </w:p>
          <w:p w14:paraId="4F1A4997" w14:textId="77777777" w:rsidR="00314559" w:rsidRPr="003B7DC9" w:rsidRDefault="00314559" w:rsidP="00314559">
            <w:pPr>
              <w:pStyle w:val="ListParagraph"/>
              <w:numPr>
                <w:ilvl w:val="0"/>
                <w:numId w:val="142"/>
              </w:numPr>
              <w:jc w:val="both"/>
              <w:rPr>
                <w:rFonts w:ascii="Times New Roman" w:hAnsi="Times New Roman" w:cs="Times New Roman"/>
                <w:sz w:val="18"/>
                <w:szCs w:val="18"/>
              </w:rPr>
            </w:pPr>
            <w:r w:rsidRPr="003B7DC9">
              <w:rPr>
                <w:rFonts w:ascii="Times New Roman" w:hAnsi="Times New Roman" w:cs="Times New Roman"/>
                <w:sz w:val="18"/>
                <w:szCs w:val="18"/>
              </w:rPr>
              <w:t>Për shkeljet e detyrimeve për konfidencialitetin, përdorimin e kufizuar, sigurinë e informacionit ose mbrojtjen e të dhënave personale zbatohen, sipas rastit, masat administrative, disiplinore, civile ose penale të parashikuara nga legjislacioni përkatës.</w:t>
            </w:r>
          </w:p>
          <w:p w14:paraId="3E8617E6" w14:textId="77777777" w:rsidR="00314559" w:rsidRPr="003B7DC9" w:rsidRDefault="00314559" w:rsidP="00314559">
            <w:pPr>
              <w:pStyle w:val="ListParagraph"/>
              <w:numPr>
                <w:ilvl w:val="0"/>
                <w:numId w:val="142"/>
              </w:numPr>
              <w:jc w:val="both"/>
              <w:rPr>
                <w:rFonts w:ascii="Times New Roman" w:hAnsi="Times New Roman" w:cs="Times New Roman"/>
                <w:sz w:val="18"/>
                <w:szCs w:val="18"/>
              </w:rPr>
            </w:pPr>
            <w:r w:rsidRPr="003B7DC9">
              <w:rPr>
                <w:rFonts w:ascii="Times New Roman" w:hAnsi="Times New Roman" w:cs="Times New Roman"/>
                <w:sz w:val="18"/>
                <w:szCs w:val="18"/>
              </w:rPr>
              <w:lastRenderedPageBreak/>
              <w:t>Gjobat e parashikuara në këtë nen vendosen nga titullari i Drejtorisë së Përgjithshme të Tatimeve, në përputhje me legjislacionin në fuqi për kundërvajtjet administrative.</w:t>
            </w:r>
          </w:p>
          <w:p w14:paraId="394F9790" w14:textId="77777777" w:rsidR="00314559" w:rsidRPr="003B7DC9" w:rsidRDefault="00314559" w:rsidP="00314559">
            <w:pPr>
              <w:pStyle w:val="ListParagraph"/>
              <w:numPr>
                <w:ilvl w:val="0"/>
                <w:numId w:val="142"/>
              </w:numPr>
              <w:jc w:val="both"/>
              <w:rPr>
                <w:rFonts w:ascii="Times New Roman" w:hAnsi="Times New Roman" w:cs="Times New Roman"/>
                <w:sz w:val="18"/>
                <w:szCs w:val="18"/>
              </w:rPr>
            </w:pPr>
            <w:r w:rsidRPr="003B7DC9">
              <w:rPr>
                <w:rFonts w:ascii="Times New Roman" w:hAnsi="Times New Roman" w:cs="Times New Roman"/>
                <w:sz w:val="18"/>
                <w:szCs w:val="18"/>
              </w:rPr>
              <w:t>Ky nen nuk zbatohet për shkeljet për të cilat një ligj i posaçëm që zbaton Direktivën 2011/16/BE parashikon një regjim të posaçëm sanksionesh.</w:t>
            </w:r>
          </w:p>
          <w:p w14:paraId="3D765451" w14:textId="77777777" w:rsidR="00314559" w:rsidRPr="003B7DC9" w:rsidRDefault="00314559" w:rsidP="00314559">
            <w:pPr>
              <w:pStyle w:val="ListParagraph"/>
              <w:numPr>
                <w:ilvl w:val="0"/>
                <w:numId w:val="142"/>
              </w:numPr>
              <w:jc w:val="both"/>
              <w:rPr>
                <w:rFonts w:ascii="Times New Roman" w:hAnsi="Times New Roman" w:cs="Times New Roman"/>
                <w:sz w:val="18"/>
                <w:szCs w:val="18"/>
              </w:rPr>
            </w:pPr>
            <w:r w:rsidRPr="003B7DC9">
              <w:rPr>
                <w:rFonts w:ascii="Times New Roman" w:hAnsi="Times New Roman" w:cs="Times New Roman"/>
                <w:sz w:val="18"/>
                <w:szCs w:val="18"/>
              </w:rPr>
              <w:t>Kur i njëjti veprim ose mosveprim dënohet sipas këtij ligji, ligjit nr. 9920, datë 19.5.2008, “Për procedurat tatimore në Republikën e Shqipërisë”, të ndryshuar, ose një ligji të posaçëm që zbaton Direktivën 2011/16/BE, zbatohet vetëm dispozita e posaçme dhe nuk vendosen dy sanksione administrative për të njëjtën shkelje.</w:t>
            </w:r>
          </w:p>
          <w:p w14:paraId="7F8D7B91" w14:textId="77777777" w:rsidR="00314559" w:rsidRPr="003B7DC9" w:rsidRDefault="00314559" w:rsidP="00314559">
            <w:pPr>
              <w:pStyle w:val="ListParagraph"/>
              <w:numPr>
                <w:ilvl w:val="0"/>
                <w:numId w:val="142"/>
              </w:numPr>
              <w:jc w:val="both"/>
              <w:rPr>
                <w:rFonts w:ascii="Times New Roman" w:hAnsi="Times New Roman" w:cs="Times New Roman"/>
                <w:sz w:val="18"/>
                <w:szCs w:val="18"/>
              </w:rPr>
            </w:pPr>
            <w:r w:rsidRPr="003B7DC9">
              <w:rPr>
                <w:rFonts w:ascii="Times New Roman" w:hAnsi="Times New Roman" w:cs="Times New Roman"/>
                <w:sz w:val="18"/>
                <w:szCs w:val="18"/>
              </w:rPr>
              <w:t>Kundër vendimit për vendosjen e gjobës mund të bëhet ankim në gjykatën administrative kompetente, sipas legjislacionit në fuqi.</w:t>
            </w:r>
          </w:p>
          <w:p w14:paraId="22DCECB4" w14:textId="77777777" w:rsidR="00314559" w:rsidRPr="003B7DC9" w:rsidRDefault="00314559" w:rsidP="00314559">
            <w:pPr>
              <w:jc w:val="center"/>
              <w:rPr>
                <w:rFonts w:ascii="Times New Roman" w:hAnsi="Times New Roman" w:cs="Times New Roman"/>
                <w:sz w:val="18"/>
                <w:szCs w:val="18"/>
              </w:rPr>
            </w:pPr>
          </w:p>
          <w:p w14:paraId="28C1A037" w14:textId="1D889AC7" w:rsidR="00314559" w:rsidRPr="003B7DC9" w:rsidRDefault="00314559" w:rsidP="00314559">
            <w:pPr>
              <w:spacing w:after="200" w:line="276" w:lineRule="auto"/>
              <w:jc w:val="both"/>
              <w:rPr>
                <w:rFonts w:ascii="Times New Roman" w:hAnsi="Times New Roman" w:cs="Times New Roman"/>
                <w:sz w:val="18"/>
                <w:szCs w:val="18"/>
              </w:rPr>
            </w:pPr>
          </w:p>
          <w:p w14:paraId="70E504E0" w14:textId="54FB7BA4" w:rsidR="00314559" w:rsidRPr="003B7DC9" w:rsidRDefault="00314559" w:rsidP="00314559">
            <w:pPr>
              <w:spacing w:after="200" w:line="276" w:lineRule="auto"/>
              <w:jc w:val="both"/>
              <w:rPr>
                <w:rFonts w:ascii="Times New Roman" w:hAnsi="Times New Roman" w:cs="Times New Roman"/>
                <w:sz w:val="18"/>
                <w:szCs w:val="18"/>
              </w:rPr>
            </w:pPr>
          </w:p>
        </w:tc>
        <w:tc>
          <w:tcPr>
            <w:tcW w:w="1066" w:type="dxa"/>
          </w:tcPr>
          <w:p w14:paraId="1CF8E656" w14:textId="78D4938B"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lastRenderedPageBreak/>
              <w:t>F</w:t>
            </w:r>
          </w:p>
        </w:tc>
        <w:tc>
          <w:tcPr>
            <w:tcW w:w="3060" w:type="dxa"/>
          </w:tcPr>
          <w:p w14:paraId="13A92685" w14:textId="06A09A97" w:rsidR="00314559" w:rsidRPr="003B7DC9" w:rsidRDefault="00314559" w:rsidP="00314559">
            <w:pPr>
              <w:rPr>
                <w:rFonts w:ascii="Times New Roman" w:eastAsia="Calibri" w:hAnsi="Times New Roman" w:cs="Times New Roman"/>
                <w:sz w:val="18"/>
                <w:szCs w:val="18"/>
              </w:rPr>
            </w:pPr>
          </w:p>
        </w:tc>
      </w:tr>
      <w:tr w:rsidR="00314559" w:rsidRPr="003B7DC9" w14:paraId="0DB00269" w14:textId="77777777" w:rsidTr="00B75638">
        <w:trPr>
          <w:trHeight w:val="1008"/>
        </w:trPr>
        <w:tc>
          <w:tcPr>
            <w:tcW w:w="630" w:type="dxa"/>
            <w:shd w:val="clear" w:color="auto" w:fill="FFFFFF" w:themeFill="background1"/>
          </w:tcPr>
          <w:p w14:paraId="54D98BCA" w14:textId="77777777" w:rsidR="00314559" w:rsidRPr="003B7DC9" w:rsidRDefault="00314559" w:rsidP="00314559">
            <w:pPr>
              <w:jc w:val="both"/>
              <w:rPr>
                <w:rFonts w:ascii="Times New Roman" w:eastAsia="Calibri" w:hAnsi="Times New Roman" w:cs="Times New Roman"/>
                <w:sz w:val="18"/>
                <w:szCs w:val="18"/>
                <w:lang w:val="en-US"/>
              </w:rPr>
            </w:pPr>
            <w:bookmarkStart w:id="4" w:name="_Hlk227915243"/>
          </w:p>
        </w:tc>
        <w:tc>
          <w:tcPr>
            <w:tcW w:w="5220" w:type="dxa"/>
            <w:shd w:val="clear" w:color="auto" w:fill="FFFFFF" w:themeFill="background1"/>
          </w:tcPr>
          <w:p w14:paraId="671F60DA" w14:textId="77777777" w:rsidR="00314559" w:rsidRPr="003B7DC9" w:rsidRDefault="00314559" w:rsidP="00314559">
            <w:pPr>
              <w:spacing w:line="276" w:lineRule="auto"/>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26</w:t>
            </w:r>
          </w:p>
          <w:p w14:paraId="39D37824"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Procedura e komitetit</w:t>
            </w:r>
          </w:p>
          <w:p w14:paraId="00B4DAF8" w14:textId="77777777" w:rsidR="00314559" w:rsidRPr="003B7DC9" w:rsidRDefault="00314559" w:rsidP="00314559">
            <w:pPr>
              <w:numPr>
                <w:ilvl w:val="0"/>
                <w:numId w:val="95"/>
              </w:numPr>
              <w:spacing w:line="276" w:lineRule="auto"/>
              <w:rPr>
                <w:rFonts w:ascii="Times New Roman" w:eastAsia="Calibri" w:hAnsi="Times New Roman" w:cs="Times New Roman"/>
                <w:iCs/>
                <w:sz w:val="18"/>
                <w:szCs w:val="18"/>
              </w:rPr>
            </w:pPr>
          </w:p>
          <w:p w14:paraId="3541000F"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Komisioni asistohet nga Komiteti për bashkëpunimin administrativ për tatimin. Ky komitet është një komitet në kuptim të Rregullores (BE) Nr. 182/2011 të Parlamentit Evropian dhe të Këshillit.</w:t>
            </w:r>
          </w:p>
          <w:p w14:paraId="19AC207C" w14:textId="77777777" w:rsidR="00314559" w:rsidRPr="003B7DC9" w:rsidRDefault="00314559" w:rsidP="00314559">
            <w:pPr>
              <w:numPr>
                <w:ilvl w:val="0"/>
                <w:numId w:val="96"/>
              </w:numPr>
              <w:spacing w:line="276" w:lineRule="auto"/>
              <w:rPr>
                <w:rFonts w:ascii="Times New Roman" w:eastAsia="Calibri" w:hAnsi="Times New Roman" w:cs="Times New Roman"/>
                <w:iCs/>
                <w:sz w:val="18"/>
                <w:szCs w:val="18"/>
              </w:rPr>
            </w:pPr>
          </w:p>
          <w:p w14:paraId="7B66FCA3" w14:textId="77777777" w:rsidR="00314559" w:rsidRPr="003B7DC9" w:rsidRDefault="00314559" w:rsidP="00314559">
            <w:pPr>
              <w:spacing w:line="276" w:lineRule="auto"/>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bëhet referencë në këtë pikë, zbatohet neni 5 i Rregullores (BE) Nr. 182/2011.</w:t>
            </w:r>
          </w:p>
          <w:p w14:paraId="5008DF67" w14:textId="312E014A" w:rsidR="00314559" w:rsidRPr="003B7DC9" w:rsidRDefault="00314559" w:rsidP="00314559">
            <w:pPr>
              <w:spacing w:line="276" w:lineRule="auto"/>
              <w:rPr>
                <w:rFonts w:ascii="Times New Roman" w:eastAsia="Calibri" w:hAnsi="Times New Roman" w:cs="Times New Roman"/>
                <w:iCs/>
                <w:sz w:val="18"/>
                <w:szCs w:val="18"/>
                <w:lang w:val="en-US"/>
              </w:rPr>
            </w:pPr>
          </w:p>
        </w:tc>
        <w:tc>
          <w:tcPr>
            <w:tcW w:w="1170" w:type="dxa"/>
            <w:shd w:val="clear" w:color="auto" w:fill="FFFFFF" w:themeFill="background1"/>
          </w:tcPr>
          <w:p w14:paraId="7F6F601C" w14:textId="70023A95"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6EC70F60" w14:textId="7F2651EE" w:rsidR="00314559" w:rsidRPr="003B7DC9" w:rsidRDefault="00314559" w:rsidP="00314559">
            <w:pP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N/A</w:t>
            </w:r>
          </w:p>
        </w:tc>
        <w:tc>
          <w:tcPr>
            <w:tcW w:w="4334" w:type="dxa"/>
            <w:shd w:val="clear" w:color="auto" w:fill="FFFFFF" w:themeFill="background1"/>
          </w:tcPr>
          <w:p w14:paraId="65A5C3CB" w14:textId="72ECBAEF" w:rsidR="00314559" w:rsidRPr="003B7DC9" w:rsidRDefault="00314559" w:rsidP="00314559">
            <w:pPr>
              <w:widowControl w:val="0"/>
              <w:tabs>
                <w:tab w:val="left" w:pos="742"/>
                <w:tab w:val="left" w:pos="744"/>
              </w:tabs>
              <w:autoSpaceDE w:val="0"/>
              <w:autoSpaceDN w:val="0"/>
              <w:ind w:right="15"/>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N/A</w:t>
            </w:r>
          </w:p>
        </w:tc>
        <w:tc>
          <w:tcPr>
            <w:tcW w:w="1066" w:type="dxa"/>
            <w:shd w:val="clear" w:color="auto" w:fill="FFFFFF" w:themeFill="background1"/>
          </w:tcPr>
          <w:p w14:paraId="23552E92" w14:textId="42CFC47B"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N/A</w:t>
            </w:r>
          </w:p>
        </w:tc>
        <w:tc>
          <w:tcPr>
            <w:tcW w:w="3060" w:type="dxa"/>
            <w:shd w:val="clear" w:color="auto" w:fill="FFFFFF" w:themeFill="background1"/>
          </w:tcPr>
          <w:p w14:paraId="6D839909" w14:textId="77777777" w:rsidR="00314559" w:rsidRPr="003B7DC9" w:rsidRDefault="00314559" w:rsidP="00314559">
            <w:pPr>
              <w:rPr>
                <w:rFonts w:ascii="Times New Roman" w:eastAsia="Calibri" w:hAnsi="Times New Roman" w:cs="Times New Roman"/>
                <w:sz w:val="18"/>
                <w:szCs w:val="18"/>
                <w:lang w:val="en-US"/>
              </w:rPr>
            </w:pPr>
          </w:p>
          <w:p w14:paraId="472F6311" w14:textId="77777777"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Neni 26 i Direktivës 2011/16/BE lidhet me procedurën e komitetit dhe miratimin e akteve zbatuese nga Komisioni Evropian në përputhje me Rregulloren (BE) Nr. 182/2011. Duke qenë se ai vendos detyrime ekskluzivisht për Komisionin, nuk kërkon transpozim në legjislacionin kombëtar.</w:t>
            </w:r>
          </w:p>
          <w:p w14:paraId="15E85921" w14:textId="55F473AF" w:rsidR="00314559" w:rsidRPr="003B7DC9" w:rsidRDefault="00314559" w:rsidP="00314559">
            <w:pPr>
              <w:rPr>
                <w:rFonts w:ascii="Times New Roman" w:eastAsia="Calibri" w:hAnsi="Times New Roman" w:cs="Times New Roman"/>
                <w:sz w:val="18"/>
                <w:szCs w:val="18"/>
                <w:lang w:val="en-US"/>
              </w:rPr>
            </w:pPr>
          </w:p>
        </w:tc>
      </w:tr>
      <w:bookmarkEnd w:id="4"/>
      <w:tr w:rsidR="00314559" w:rsidRPr="003B7DC9" w14:paraId="613C1CFC" w14:textId="77777777" w:rsidTr="00B75638">
        <w:trPr>
          <w:trHeight w:val="4013"/>
        </w:trPr>
        <w:tc>
          <w:tcPr>
            <w:tcW w:w="630" w:type="dxa"/>
          </w:tcPr>
          <w:p w14:paraId="06AC66D3" w14:textId="77777777" w:rsidR="00314559" w:rsidRPr="003B7DC9" w:rsidRDefault="00314559" w:rsidP="00314559">
            <w:pPr>
              <w:jc w:val="both"/>
              <w:rPr>
                <w:rFonts w:ascii="Times New Roman" w:eastAsia="Calibri" w:hAnsi="Times New Roman" w:cs="Times New Roman"/>
                <w:sz w:val="18"/>
                <w:szCs w:val="18"/>
              </w:rPr>
            </w:pPr>
          </w:p>
        </w:tc>
        <w:tc>
          <w:tcPr>
            <w:tcW w:w="5220" w:type="dxa"/>
          </w:tcPr>
          <w:p w14:paraId="6B23179F" w14:textId="77777777" w:rsidR="00314559" w:rsidRPr="003B7DC9" w:rsidRDefault="00314559" w:rsidP="00314559">
            <w:pPr>
              <w:spacing w:line="276" w:lineRule="auto"/>
              <w:rPr>
                <w:rFonts w:ascii="Times New Roman" w:hAnsi="Times New Roman" w:cs="Times New Roman"/>
                <w:b/>
                <w:bCs/>
                <w:sz w:val="18"/>
                <w:szCs w:val="18"/>
                <w:lang w:val="en-US"/>
              </w:rPr>
            </w:pPr>
            <w:r w:rsidRPr="003B7DC9">
              <w:rPr>
                <w:rFonts w:ascii="Times New Roman" w:hAnsi="Times New Roman" w:cs="Times New Roman"/>
                <w:b/>
                <w:bCs/>
                <w:sz w:val="18"/>
                <w:szCs w:val="18"/>
                <w:lang w:val="en-US"/>
              </w:rPr>
              <w:t>Neni 27</w:t>
            </w:r>
          </w:p>
          <w:p w14:paraId="3C4E2898" w14:textId="426A4B5D" w:rsidR="00314559" w:rsidRPr="003B7DC9" w:rsidRDefault="00314559" w:rsidP="00314559">
            <w:pPr>
              <w:spacing w:line="276" w:lineRule="auto"/>
              <w:rPr>
                <w:rFonts w:ascii="Times New Roman" w:hAnsi="Times New Roman" w:cs="Times New Roman"/>
                <w:b/>
                <w:bCs/>
                <w:sz w:val="18"/>
                <w:szCs w:val="18"/>
                <w:lang w:val="en-US"/>
              </w:rPr>
            </w:pPr>
            <w:r w:rsidRPr="003B7DC9">
              <w:rPr>
                <w:rFonts w:ascii="Times New Roman" w:hAnsi="Times New Roman" w:cs="Times New Roman"/>
                <w:b/>
                <w:bCs/>
                <w:sz w:val="18"/>
                <w:szCs w:val="18"/>
                <w:lang w:val="en-US"/>
              </w:rPr>
              <w:t>Raportimi</w:t>
            </w:r>
          </w:p>
          <w:p w14:paraId="02DA070E" w14:textId="77777777" w:rsidR="00314559" w:rsidRPr="003B7DC9" w:rsidRDefault="00314559" w:rsidP="00314559">
            <w:pPr>
              <w:spacing w:line="276" w:lineRule="auto"/>
              <w:rPr>
                <w:rFonts w:ascii="Times New Roman" w:hAnsi="Times New Roman" w:cs="Times New Roman"/>
                <w:sz w:val="18"/>
                <w:szCs w:val="18"/>
                <w:lang w:val="en-US"/>
              </w:rPr>
            </w:pPr>
          </w:p>
          <w:p w14:paraId="1D78368C" w14:textId="77777777" w:rsidR="00314559" w:rsidRPr="003B7DC9" w:rsidRDefault="00314559" w:rsidP="00314559">
            <w:pPr>
              <w:numPr>
                <w:ilvl w:val="0"/>
                <w:numId w:val="97"/>
              </w:numPr>
              <w:spacing w:line="276" w:lineRule="auto"/>
              <w:rPr>
                <w:rFonts w:ascii="Times New Roman" w:hAnsi="Times New Roman" w:cs="Times New Roman"/>
                <w:sz w:val="18"/>
                <w:szCs w:val="18"/>
                <w:lang w:val="en-US"/>
              </w:rPr>
            </w:pPr>
            <w:r w:rsidRPr="003B7DC9">
              <w:rPr>
                <w:rFonts w:ascii="Times New Roman" w:hAnsi="Times New Roman" w:cs="Times New Roman"/>
                <w:sz w:val="18"/>
                <w:szCs w:val="18"/>
                <w:lang w:val="en-US"/>
              </w:rPr>
              <w:t>Çdo pesë vjet pas 1 janarit 2013, Komisioni paraqet një raport mbi zbatimin e kësaj direktive Parlamentit Evropian dhe Këshillit.</w:t>
            </w:r>
          </w:p>
          <w:p w14:paraId="401050BB" w14:textId="77777777" w:rsidR="00314559" w:rsidRPr="003B7DC9" w:rsidRDefault="00314559" w:rsidP="00314559">
            <w:pPr>
              <w:spacing w:line="276" w:lineRule="auto"/>
              <w:rPr>
                <w:rFonts w:ascii="Times New Roman" w:hAnsi="Times New Roman" w:cs="Times New Roman"/>
                <w:sz w:val="18"/>
                <w:szCs w:val="18"/>
                <w:lang w:val="en-GB"/>
              </w:rPr>
            </w:pPr>
          </w:p>
          <w:p w14:paraId="1EF17064" w14:textId="7FAE6877" w:rsidR="00314559" w:rsidRPr="003B7DC9" w:rsidRDefault="00314559" w:rsidP="00314559">
            <w:pPr>
              <w:jc w:val="both"/>
              <w:rPr>
                <w:rFonts w:ascii="Times New Roman" w:eastAsia="Calibri" w:hAnsi="Times New Roman" w:cs="Times New Roman"/>
                <w:iCs/>
                <w:sz w:val="18"/>
                <w:szCs w:val="18"/>
                <w:lang w:val="it-CH"/>
              </w:rPr>
            </w:pPr>
          </w:p>
        </w:tc>
        <w:tc>
          <w:tcPr>
            <w:tcW w:w="1170" w:type="dxa"/>
          </w:tcPr>
          <w:p w14:paraId="2F716799" w14:textId="208E4E5B" w:rsidR="00314559" w:rsidRPr="003B7DC9" w:rsidRDefault="00314559" w:rsidP="00314559">
            <w:pPr>
              <w:jc w:val="center"/>
              <w:rPr>
                <w:rFonts w:ascii="Times New Roman" w:eastAsia="Calibri" w:hAnsi="Times New Roman" w:cs="Times New Roman"/>
                <w:sz w:val="18"/>
                <w:szCs w:val="18"/>
                <w:highlight w:val="cyan"/>
              </w:rPr>
            </w:pPr>
            <w:r w:rsidRPr="003B7DC9">
              <w:rPr>
                <w:rFonts w:ascii="Times New Roman" w:eastAsia="Calibri" w:hAnsi="Times New Roman" w:cs="Times New Roman"/>
                <w:sz w:val="18"/>
                <w:szCs w:val="18"/>
              </w:rPr>
              <w:t>1</w:t>
            </w:r>
          </w:p>
        </w:tc>
        <w:tc>
          <w:tcPr>
            <w:tcW w:w="720" w:type="dxa"/>
          </w:tcPr>
          <w:p w14:paraId="5FF28D72" w14:textId="77777777" w:rsidR="00314559" w:rsidRPr="003B7DC9" w:rsidRDefault="00314559" w:rsidP="00314559">
            <w:pPr>
              <w:jc w:val="center"/>
              <w:rPr>
                <w:rFonts w:ascii="Times New Roman" w:eastAsia="Calibri" w:hAnsi="Times New Roman" w:cs="Times New Roman"/>
                <w:sz w:val="18"/>
                <w:szCs w:val="18"/>
                <w:lang w:val="it-CH"/>
              </w:rPr>
            </w:pPr>
          </w:p>
          <w:p w14:paraId="2CA0260F" w14:textId="712628A7" w:rsidR="00314559" w:rsidRPr="003B7DC9" w:rsidRDefault="00314559" w:rsidP="00314559">
            <w:pPr>
              <w:jc w:val="center"/>
              <w:rPr>
                <w:rFonts w:ascii="Times New Roman" w:eastAsia="Calibri" w:hAnsi="Times New Roman" w:cs="Times New Roman"/>
                <w:sz w:val="18"/>
                <w:szCs w:val="18"/>
                <w:highlight w:val="cyan"/>
                <w:lang w:val="it-CH"/>
              </w:rPr>
            </w:pPr>
            <w:r w:rsidRPr="003B7DC9">
              <w:rPr>
                <w:rFonts w:ascii="Times New Roman" w:eastAsia="Calibri" w:hAnsi="Times New Roman" w:cs="Times New Roman"/>
                <w:sz w:val="18"/>
                <w:szCs w:val="18"/>
                <w:lang w:val="it-CH"/>
              </w:rPr>
              <w:t>N/A</w:t>
            </w:r>
          </w:p>
        </w:tc>
        <w:tc>
          <w:tcPr>
            <w:tcW w:w="4334" w:type="dxa"/>
          </w:tcPr>
          <w:p w14:paraId="24B5DAB2" w14:textId="77777777" w:rsidR="00314559" w:rsidRPr="003B7DC9" w:rsidRDefault="00314559" w:rsidP="00314559">
            <w:pPr>
              <w:jc w:val="center"/>
              <w:rPr>
                <w:rFonts w:ascii="Times New Roman" w:hAnsi="Times New Roman" w:cs="Times New Roman"/>
                <w:sz w:val="18"/>
                <w:szCs w:val="18"/>
              </w:rPr>
            </w:pPr>
          </w:p>
          <w:p w14:paraId="0CC19096" w14:textId="77777777" w:rsidR="00314559" w:rsidRPr="003B7DC9" w:rsidRDefault="00314559" w:rsidP="00314559">
            <w:pPr>
              <w:jc w:val="center"/>
              <w:rPr>
                <w:rFonts w:ascii="Times New Roman" w:hAnsi="Times New Roman" w:cs="Times New Roman"/>
                <w:sz w:val="18"/>
                <w:szCs w:val="18"/>
              </w:rPr>
            </w:pPr>
          </w:p>
          <w:p w14:paraId="16E0E03F" w14:textId="6F939B81" w:rsidR="00314559" w:rsidRPr="003B7DC9" w:rsidRDefault="00314559" w:rsidP="00314559">
            <w:pPr>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tcPr>
          <w:p w14:paraId="02E8810C" w14:textId="77777777" w:rsidR="00314559" w:rsidRPr="003B7DC9" w:rsidRDefault="00314559" w:rsidP="00314559">
            <w:pPr>
              <w:jc w:val="center"/>
              <w:rPr>
                <w:rFonts w:ascii="Times New Roman" w:eastAsia="Calibri" w:hAnsi="Times New Roman" w:cs="Times New Roman"/>
                <w:sz w:val="18"/>
                <w:szCs w:val="18"/>
              </w:rPr>
            </w:pPr>
          </w:p>
          <w:p w14:paraId="4C079FB6" w14:textId="77293523"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tcPr>
          <w:p w14:paraId="7371BE0A" w14:textId="77777777" w:rsidR="00314559" w:rsidRPr="003B7DC9" w:rsidRDefault="00314559" w:rsidP="00314559">
            <w:pPr>
              <w:rPr>
                <w:rFonts w:ascii="Times New Roman" w:eastAsia="Calibri" w:hAnsi="Times New Roman" w:cs="Times New Roman"/>
                <w:sz w:val="18"/>
                <w:szCs w:val="18"/>
              </w:rPr>
            </w:pPr>
          </w:p>
          <w:p w14:paraId="6D9471C0" w14:textId="1CD08590" w:rsidR="00314559" w:rsidRPr="003B7DC9" w:rsidRDefault="00314559" w:rsidP="00314559">
            <w:pPr>
              <w:rPr>
                <w:rFonts w:ascii="Times New Roman" w:eastAsia="Calibri" w:hAnsi="Times New Roman" w:cs="Times New Roman"/>
                <w:sz w:val="18"/>
                <w:szCs w:val="18"/>
              </w:rPr>
            </w:pPr>
          </w:p>
          <w:p w14:paraId="3166A7E5" w14:textId="77777777" w:rsidR="00314559" w:rsidRPr="003B7DC9" w:rsidRDefault="00314559" w:rsidP="00314559">
            <w:pP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27 i Direktivës 2011/16/BE lidhet me detyrimin për raportim të Komisionit Evropian ndaj Parlamentit Evropian dhe Këshillit dhe nuk vendos asnjë detyrim mbi shtetet anëtare. Prandaj, ai nuk kërkon transpozim në legjislacionin kombëtar.</w:t>
            </w:r>
          </w:p>
          <w:p w14:paraId="5B86E640" w14:textId="61BB7BC0" w:rsidR="00314559" w:rsidRPr="003B7DC9" w:rsidRDefault="00314559" w:rsidP="00314559">
            <w:pPr>
              <w:rPr>
                <w:rFonts w:ascii="Times New Roman" w:eastAsia="Calibri" w:hAnsi="Times New Roman" w:cs="Times New Roman"/>
                <w:sz w:val="18"/>
                <w:szCs w:val="18"/>
              </w:rPr>
            </w:pPr>
          </w:p>
        </w:tc>
      </w:tr>
      <w:tr w:rsidR="00314559" w:rsidRPr="003B7DC9" w14:paraId="74829C0D" w14:textId="77777777" w:rsidTr="00B75638">
        <w:trPr>
          <w:trHeight w:val="1008"/>
        </w:trPr>
        <w:tc>
          <w:tcPr>
            <w:tcW w:w="630" w:type="dxa"/>
            <w:shd w:val="clear" w:color="auto" w:fill="FFFFFF" w:themeFill="background1"/>
          </w:tcPr>
          <w:p w14:paraId="01EC6987" w14:textId="77777777" w:rsidR="00314559" w:rsidRPr="003B7DC9" w:rsidRDefault="00314559" w:rsidP="00314559">
            <w:pPr>
              <w:jc w:val="both"/>
              <w:rPr>
                <w:rFonts w:ascii="Times New Roman" w:eastAsia="Calibri" w:hAnsi="Times New Roman" w:cs="Times New Roman"/>
                <w:sz w:val="18"/>
                <w:szCs w:val="18"/>
                <w:lang w:val="en-US"/>
              </w:rPr>
            </w:pPr>
            <w:bookmarkStart w:id="5" w:name="_Hlk227915506"/>
          </w:p>
        </w:tc>
        <w:tc>
          <w:tcPr>
            <w:tcW w:w="5220" w:type="dxa"/>
            <w:shd w:val="clear" w:color="auto" w:fill="FFFFFF" w:themeFill="background1"/>
          </w:tcPr>
          <w:p w14:paraId="2EFB8B99" w14:textId="77777777"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27c</w:t>
            </w:r>
          </w:p>
          <w:p w14:paraId="0327271B" w14:textId="0BF54104"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Raportimi dhe komunikimi i TIN</w:t>
            </w:r>
            <w:r w:rsidRPr="003B7DC9">
              <w:rPr>
                <w:rFonts w:ascii="Times New Roman" w:eastAsia="Calibri" w:hAnsi="Times New Roman" w:cs="Times New Roman"/>
                <w:b/>
                <w:bCs/>
                <w:iCs/>
                <w:sz w:val="18"/>
                <w:szCs w:val="18"/>
              </w:rPr>
              <w:noBreakHyphen/>
              <w:t>it</w:t>
            </w:r>
          </w:p>
          <w:p w14:paraId="5ACBF937" w14:textId="77777777" w:rsidR="00314559" w:rsidRPr="003B7DC9" w:rsidRDefault="00314559" w:rsidP="00314559">
            <w:pPr>
              <w:jc w:val="both"/>
              <w:rPr>
                <w:rFonts w:ascii="Times New Roman" w:eastAsia="Calibri" w:hAnsi="Times New Roman" w:cs="Times New Roman"/>
                <w:iCs/>
                <w:sz w:val="18"/>
                <w:szCs w:val="18"/>
              </w:rPr>
            </w:pPr>
          </w:p>
          <w:p w14:paraId="1013E4F8" w14:textId="77777777" w:rsidR="00314559" w:rsidRPr="003B7DC9" w:rsidRDefault="00314559" w:rsidP="00314559">
            <w:pPr>
              <w:numPr>
                <w:ilvl w:val="0"/>
                <w:numId w:val="98"/>
              </w:numPr>
              <w:jc w:val="both"/>
              <w:rPr>
                <w:rFonts w:ascii="Times New Roman" w:eastAsia="Calibri" w:hAnsi="Times New Roman" w:cs="Times New Roman"/>
                <w:iCs/>
                <w:sz w:val="18"/>
                <w:szCs w:val="18"/>
              </w:rPr>
            </w:pPr>
          </w:p>
          <w:p w14:paraId="6643AD60"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Çdo shtet anëtar merr masat e nevojshme për të kërkuar që TIN</w:t>
            </w:r>
            <w:r w:rsidRPr="003B7DC9">
              <w:rPr>
                <w:rFonts w:ascii="Times New Roman" w:eastAsia="Calibri" w:hAnsi="Times New Roman" w:cs="Times New Roman"/>
                <w:iCs/>
                <w:sz w:val="18"/>
                <w:szCs w:val="18"/>
              </w:rPr>
              <w:noBreakHyphen/>
              <w:t>i i individëve ose entiteteve të raportuara, i lëshuar nga shteti anëtar i rezidencës, të raportohet nga entiteti raportues ose individi raportues dhe të komunikohet nga çdo shtet anëtar kur kërkohet shprehimisht dhe në përputhje me nenet dhe anekset e kësaj direktive.</w:t>
            </w:r>
          </w:p>
          <w:p w14:paraId="4D5F1DF5" w14:textId="77777777" w:rsidR="00314559" w:rsidRPr="003B7DC9" w:rsidRDefault="00314559" w:rsidP="00314559">
            <w:pPr>
              <w:numPr>
                <w:ilvl w:val="0"/>
                <w:numId w:val="99"/>
              </w:numPr>
              <w:jc w:val="both"/>
              <w:rPr>
                <w:rFonts w:ascii="Times New Roman" w:eastAsia="Calibri" w:hAnsi="Times New Roman" w:cs="Times New Roman"/>
                <w:iCs/>
                <w:sz w:val="18"/>
                <w:szCs w:val="18"/>
              </w:rPr>
            </w:pPr>
          </w:p>
          <w:p w14:paraId="550D10ED"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Për periudhat tatimore që fillojnë më ose pas 1 janarit 2028, çdo shtet anëtar përfshin, kur është marrë nga autoriteti kompetent i shtetit anëtar, TIN</w:t>
            </w:r>
            <w:r w:rsidRPr="003B7DC9">
              <w:rPr>
                <w:rFonts w:ascii="Times New Roman" w:eastAsia="Calibri" w:hAnsi="Times New Roman" w:cs="Times New Roman"/>
                <w:iCs/>
                <w:sz w:val="18"/>
                <w:szCs w:val="18"/>
              </w:rPr>
              <w:noBreakHyphen/>
              <w:t>in e individëve dhe entiteteve të lëshuar nga shteti anëtar i rezidencës në komunikimin e informacionit të përmendur në nenin 8a(6), shkronjat (a) dhe (k), si dhe të individëve dhe entiteteve të raportuara në komunikimin e informacionit të përmendur në nenin 8aa(3), shkronja (b), dhe në nenin 8ab(14), shkronja (h).</w:t>
            </w:r>
          </w:p>
          <w:p w14:paraId="417807AF" w14:textId="1796EE2A" w:rsidR="00314559" w:rsidRPr="003B7DC9" w:rsidRDefault="00314559" w:rsidP="00314559">
            <w:pPr>
              <w:jc w:val="both"/>
              <w:rPr>
                <w:rFonts w:ascii="Times New Roman" w:eastAsia="Calibri" w:hAnsi="Times New Roman" w:cs="Times New Roman"/>
                <w:iCs/>
                <w:sz w:val="18"/>
                <w:szCs w:val="18"/>
                <w:lang w:val="en-US"/>
              </w:rPr>
            </w:pPr>
          </w:p>
        </w:tc>
        <w:tc>
          <w:tcPr>
            <w:tcW w:w="1170" w:type="dxa"/>
            <w:shd w:val="clear" w:color="auto" w:fill="FFFFFF" w:themeFill="background1"/>
          </w:tcPr>
          <w:p w14:paraId="34CB9C51" w14:textId="0E60C603"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02389DCE" w14:textId="41BD11F3" w:rsidR="00314559" w:rsidRPr="003B7DC9" w:rsidRDefault="00314559" w:rsidP="00314559">
            <w:pP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15 dhe neni 25</w:t>
            </w:r>
          </w:p>
        </w:tc>
        <w:tc>
          <w:tcPr>
            <w:tcW w:w="4334" w:type="dxa"/>
            <w:shd w:val="clear" w:color="auto" w:fill="FFFFFF" w:themeFill="background1"/>
          </w:tcPr>
          <w:p w14:paraId="6509E90B" w14:textId="77777777" w:rsidR="00314559" w:rsidRPr="003B7DC9" w:rsidRDefault="00314559" w:rsidP="00314559">
            <w:pPr>
              <w:spacing w:before="100" w:beforeAutospacing="1" w:afterAutospacing="1"/>
              <w:ind w:left="720"/>
              <w:jc w:val="center"/>
              <w:outlineLvl w:val="2"/>
              <w:rPr>
                <w:rFonts w:ascii="Times New Roman" w:eastAsia="Times New Roman" w:hAnsi="Times New Roman" w:cs="Times New Roman"/>
                <w:b/>
                <w:bCs/>
                <w:sz w:val="18"/>
                <w:szCs w:val="18"/>
                <w:lang w:val="en-US"/>
              </w:rPr>
            </w:pPr>
            <w:r w:rsidRPr="003B7DC9">
              <w:rPr>
                <w:rFonts w:ascii="Times New Roman" w:eastAsia="Times New Roman" w:hAnsi="Times New Roman" w:cs="Times New Roman"/>
                <w:b/>
                <w:bCs/>
                <w:sz w:val="18"/>
                <w:szCs w:val="18"/>
                <w:lang w:val="en-US"/>
              </w:rPr>
              <w:t>Neni 15</w:t>
            </w:r>
          </w:p>
          <w:p w14:paraId="483E388B" w14:textId="77777777" w:rsidR="00314559" w:rsidRPr="003B7DC9" w:rsidRDefault="00314559" w:rsidP="00314559">
            <w:pPr>
              <w:spacing w:before="100" w:beforeAutospacing="1" w:afterAutospacing="1"/>
              <w:ind w:left="720"/>
              <w:jc w:val="center"/>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
                <w:bCs/>
                <w:sz w:val="18"/>
                <w:szCs w:val="18"/>
                <w:lang w:val="en-US"/>
              </w:rPr>
              <w:t>Numri i identifikimit tatimor (TIN) dhe cilësia e të dhënave për shkëmbimin e informacionit</w:t>
            </w:r>
          </w:p>
          <w:p w14:paraId="160BF567" w14:textId="77777777" w:rsidR="00314559" w:rsidRPr="003B7DC9" w:rsidRDefault="00314559" w:rsidP="00314559">
            <w:pPr>
              <w:numPr>
                <w:ilvl w:val="0"/>
                <w:numId w:val="136"/>
              </w:numPr>
              <w:spacing w:before="100" w:beforeAutospacing="1" w:afterAutospacing="1"/>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Kur ky ligj ose një ligj i posaçëm kërkon raportimin e TIN-it, personi raportues mbledh dhe paraqet TIN-in e lëshuar nga shteti anëtar i rezidencës tatimore, ndërsa Drejtoria e Përgjithshme e Tatimeve e përfshin atë në informacionin e komunikuar. </w:t>
            </w:r>
          </w:p>
          <w:p w14:paraId="63D24024" w14:textId="77777777" w:rsidR="00314559" w:rsidRPr="003B7DC9" w:rsidRDefault="00314559" w:rsidP="00314559">
            <w:pPr>
              <w:numPr>
                <w:ilvl w:val="0"/>
                <w:numId w:val="136"/>
              </w:numPr>
              <w:spacing w:before="100" w:beforeAutospacing="1" w:afterAutospacing="1"/>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Për periudhat tatimore që fillojnë </w:t>
            </w:r>
            <w:r w:rsidRPr="003B7DC9">
              <w:rPr>
                <w:rFonts w:ascii="Times New Roman" w:eastAsia="Times New Roman" w:hAnsi="Times New Roman" w:cs="Times New Roman"/>
                <w:sz w:val="18"/>
                <w:szCs w:val="18"/>
                <w:lang w:eastAsia="sq-AL"/>
              </w:rPr>
              <w:t>më 1 janar 2030 ose pas kësaj date</w:t>
            </w:r>
            <w:r w:rsidRPr="003B7DC9">
              <w:rPr>
                <w:rFonts w:ascii="Times New Roman" w:eastAsia="Times New Roman" w:hAnsi="Times New Roman" w:cs="Times New Roman"/>
                <w:bCs/>
                <w:sz w:val="18"/>
                <w:szCs w:val="18"/>
                <w:lang w:val="en-US"/>
              </w:rPr>
              <w:t xml:space="preserve">, personat raportues dhe Drejtoria e Përgjithshme e Tatimeve marrin masat e nevojshme për të siguruar, kur është e mundur, raportimin dhe komunikimin e TIN-it të lëshuar nga shteti anëtar i rezidencës për: </w:t>
            </w:r>
          </w:p>
          <w:p w14:paraId="13F3891C" w14:textId="77777777" w:rsidR="00314559" w:rsidRPr="003B7DC9" w:rsidRDefault="00314559" w:rsidP="00314559">
            <w:pPr>
              <w:ind w:left="720"/>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a) të ardhurat nga punësimi;</w:t>
            </w:r>
          </w:p>
          <w:p w14:paraId="00DFBD75" w14:textId="20155D8A" w:rsidR="00314559" w:rsidRPr="003B7DC9" w:rsidRDefault="00314559" w:rsidP="00314559">
            <w:pPr>
              <w:ind w:left="720"/>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lastRenderedPageBreak/>
              <w:t>b) Të ardhura nga pjesëmarrja në bordet drejtuese;</w:t>
            </w:r>
          </w:p>
          <w:p w14:paraId="2273F385" w14:textId="77777777" w:rsidR="00314559" w:rsidRPr="003B7DC9" w:rsidRDefault="00314559" w:rsidP="00314559">
            <w:pPr>
              <w:ind w:left="720"/>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c) pensionet,</w:t>
            </w:r>
          </w:p>
          <w:p w14:paraId="5551E9C4" w14:textId="77777777" w:rsidR="00314559" w:rsidRPr="003B7DC9" w:rsidRDefault="00314559" w:rsidP="00314559">
            <w:pPr>
              <w:spacing w:before="100" w:beforeAutospacing="1" w:afterAutospacing="1"/>
              <w:ind w:left="720"/>
              <w:jc w:val="both"/>
              <w:outlineLvl w:val="2"/>
              <w:rPr>
                <w:rFonts w:ascii="Times New Roman" w:eastAsia="Times New Roman" w:hAnsi="Times New Roman" w:cs="Times New Roman"/>
                <w:bCs/>
                <w:sz w:val="18"/>
                <w:szCs w:val="18"/>
                <w:lang w:val="en-US"/>
              </w:rPr>
            </w:pPr>
            <w:r w:rsidRPr="003B7DC9">
              <w:rPr>
                <w:rFonts w:ascii="Times New Roman" w:hAnsi="Times New Roman" w:cs="Times New Roman"/>
                <w:sz w:val="18"/>
                <w:szCs w:val="18"/>
              </w:rPr>
              <w:t>në masën që këto kategori do të ishin objekt komunikimi edhe nëse TIN-i nuk do të ishte i disponueshëm.</w:t>
            </w:r>
          </w:p>
          <w:p w14:paraId="4281EF3D" w14:textId="77777777" w:rsidR="00314559" w:rsidRPr="003B7DC9" w:rsidRDefault="00314559" w:rsidP="00314559">
            <w:pPr>
              <w:numPr>
                <w:ilvl w:val="0"/>
                <w:numId w:val="137"/>
              </w:numPr>
              <w:spacing w:before="100" w:beforeAutospacing="1" w:afterAutospacing="1"/>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Drejtoria e Përgjithshme e Tatimeve kryen kontrollet e cilësisë dhe validimin e TIN-it për informacionin e shkëmbyer sipas këtij ligji dhe ligjeve të posaçme. </w:t>
            </w:r>
          </w:p>
          <w:p w14:paraId="0DC3D007" w14:textId="77777777" w:rsidR="00314559" w:rsidRPr="003B7DC9" w:rsidRDefault="00314559" w:rsidP="00314559">
            <w:pPr>
              <w:numPr>
                <w:ilvl w:val="0"/>
                <w:numId w:val="137"/>
              </w:numPr>
              <w:spacing w:before="100" w:beforeAutospacing="1" w:afterAutospacing="1"/>
              <w:jc w:val="both"/>
              <w:outlineLvl w:val="2"/>
              <w:rPr>
                <w:rFonts w:ascii="Times New Roman" w:eastAsia="Times New Roman" w:hAnsi="Times New Roman" w:cs="Times New Roman"/>
                <w:bCs/>
                <w:sz w:val="18"/>
                <w:szCs w:val="18"/>
                <w:lang w:val="en-US"/>
              </w:rPr>
            </w:pPr>
            <w:r w:rsidRPr="003B7DC9">
              <w:rPr>
                <w:rFonts w:ascii="Times New Roman" w:eastAsia="Times New Roman" w:hAnsi="Times New Roman" w:cs="Times New Roman"/>
                <w:bCs/>
                <w:sz w:val="18"/>
                <w:szCs w:val="18"/>
                <w:lang w:val="en-US"/>
              </w:rPr>
              <w:t xml:space="preserve">Procedurat teknike, rregullat e validimit dhe administrimi i shërbimit elektronik përcaktohen me vendim të Këshillit të Ministrave. </w:t>
            </w:r>
          </w:p>
          <w:p w14:paraId="1D1CBED5"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p>
          <w:p w14:paraId="7348EDB7"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p>
          <w:p w14:paraId="16F64FB3" w14:textId="72D1BCE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r w:rsidRPr="003B7DC9">
              <w:rPr>
                <w:rFonts w:ascii="Times New Roman" w:eastAsia="Times New Roman" w:hAnsi="Times New Roman" w:cs="Times New Roman"/>
                <w:b/>
                <w:color w:val="000000" w:themeColor="text1"/>
                <w:sz w:val="18"/>
                <w:szCs w:val="18"/>
                <w:lang w:val="en-US"/>
              </w:rPr>
              <w:t>Neni 25</w:t>
            </w:r>
          </w:p>
          <w:p w14:paraId="025C5621" w14:textId="77777777" w:rsidR="00314559" w:rsidRPr="003B7DC9" w:rsidRDefault="00314559" w:rsidP="00314559">
            <w:pPr>
              <w:jc w:val="center"/>
              <w:rPr>
                <w:rFonts w:ascii="Times New Roman" w:eastAsia="Times New Roman" w:hAnsi="Times New Roman" w:cs="Times New Roman"/>
                <w:b/>
                <w:color w:val="000000" w:themeColor="text1"/>
                <w:sz w:val="18"/>
                <w:szCs w:val="18"/>
                <w:lang w:val="en-US"/>
              </w:rPr>
            </w:pPr>
            <w:r w:rsidRPr="003B7DC9">
              <w:rPr>
                <w:rFonts w:ascii="Times New Roman" w:eastAsia="Times New Roman" w:hAnsi="Times New Roman" w:cs="Times New Roman"/>
                <w:b/>
                <w:color w:val="000000" w:themeColor="text1"/>
                <w:sz w:val="18"/>
                <w:szCs w:val="18"/>
                <w:lang w:val="en-US"/>
              </w:rPr>
              <w:t>Detyrimet e veçanta të Drejtorisë së Përgjithshme të Tatimeve</w:t>
            </w:r>
          </w:p>
          <w:p w14:paraId="2B60EA22" w14:textId="77777777" w:rsidR="00314559" w:rsidRPr="003B7DC9" w:rsidRDefault="00314559" w:rsidP="00314559">
            <w:pPr>
              <w:numPr>
                <w:ilvl w:val="0"/>
                <w:numId w:val="138"/>
              </w:numPr>
              <w:spacing w:after="200" w:line="276" w:lineRule="auto"/>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Drejtoria e Përgjithshme e Tatimeve merr të gjitha masat e nevojshme për të:</w:t>
            </w:r>
            <w:r w:rsidRPr="003B7DC9">
              <w:rPr>
                <w:rFonts w:ascii="Times New Roman" w:eastAsia="Times New Roman" w:hAnsi="Times New Roman" w:cs="Times New Roman"/>
                <w:bCs/>
                <w:color w:val="000000" w:themeColor="text1"/>
                <w:sz w:val="18"/>
                <w:szCs w:val="18"/>
                <w:lang w:val="en-US"/>
              </w:rPr>
              <w:br/>
              <w:t>a) siguruar koordinimin efektiv të brendshëm ndërmjet strukturave të përmendura në nenin 4;</w:t>
            </w:r>
            <w:r w:rsidRPr="003B7DC9">
              <w:rPr>
                <w:rFonts w:ascii="Times New Roman" w:eastAsia="Times New Roman" w:hAnsi="Times New Roman" w:cs="Times New Roman"/>
                <w:bCs/>
                <w:color w:val="000000" w:themeColor="text1"/>
                <w:sz w:val="18"/>
                <w:szCs w:val="18"/>
                <w:lang w:val="en-US"/>
              </w:rPr>
              <w:br/>
              <w:t>b) vendosur dhe zhvilluar bashkëpunimin e drejtpërdrejtë me autoritetet kompetente të shteteve anëtare;</w:t>
            </w:r>
            <w:r w:rsidRPr="003B7DC9">
              <w:rPr>
                <w:rFonts w:ascii="Times New Roman" w:eastAsia="Times New Roman" w:hAnsi="Times New Roman" w:cs="Times New Roman"/>
                <w:bCs/>
                <w:color w:val="000000" w:themeColor="text1"/>
                <w:sz w:val="18"/>
                <w:szCs w:val="18"/>
                <w:lang w:val="en-US"/>
              </w:rPr>
              <w:br/>
              <w:t xml:space="preserve">c) siguruar funksionimin e rregullt të mekanizmave të bashkëpunimit administrativ të parashikuar në këtë ligj dhe ligjet e posaçme. </w:t>
            </w:r>
          </w:p>
          <w:p w14:paraId="4002F265" w14:textId="77777777" w:rsidR="00314559" w:rsidRPr="003B7DC9" w:rsidRDefault="00314559" w:rsidP="00314559">
            <w:pPr>
              <w:numPr>
                <w:ilvl w:val="0"/>
                <w:numId w:val="138"/>
              </w:numPr>
              <w:spacing w:after="200"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hAnsi="Times New Roman" w:cs="Times New Roman"/>
                <w:color w:val="000000"/>
                <w:sz w:val="18"/>
                <w:szCs w:val="18"/>
              </w:rPr>
              <w:t>Për qëllimet e zbatimit dhe kontrollit të këtij ligji dhe të ligjeve të posaçme që zbatojnë Direktivën 2011/16/BE</w:t>
            </w:r>
            <w:r w:rsidRPr="003B7DC9">
              <w:rPr>
                <w:rFonts w:ascii="Times New Roman" w:eastAsia="Times New Roman" w:hAnsi="Times New Roman" w:cs="Times New Roman"/>
                <w:bCs/>
                <w:color w:val="000000" w:themeColor="text1"/>
                <w:sz w:val="18"/>
                <w:szCs w:val="18"/>
                <w:lang w:val="en-US"/>
              </w:rPr>
              <w:t xml:space="preserve">, Drejtoria e </w:t>
            </w:r>
            <w:r w:rsidRPr="003B7DC9">
              <w:rPr>
                <w:rFonts w:ascii="Times New Roman" w:eastAsia="Times New Roman" w:hAnsi="Times New Roman" w:cs="Times New Roman"/>
                <w:bCs/>
                <w:color w:val="000000" w:themeColor="text1"/>
                <w:sz w:val="18"/>
                <w:szCs w:val="18"/>
                <w:lang w:val="en-US"/>
              </w:rPr>
              <w:lastRenderedPageBreak/>
              <w:t xml:space="preserve">Përgjithshme e Tatimeve </w:t>
            </w:r>
            <w:r w:rsidRPr="003B7DC9">
              <w:rPr>
                <w:rFonts w:ascii="Times New Roman" w:eastAsia="Times New Roman" w:hAnsi="Times New Roman" w:cs="Times New Roman"/>
                <w:sz w:val="18"/>
                <w:szCs w:val="18"/>
                <w:lang w:eastAsia="sq-AL"/>
              </w:rPr>
              <w:t xml:space="preserve">ka të drejtë aksesi, sipas legjislacionit në fuqi, </w:t>
            </w:r>
            <w:r w:rsidRPr="003B7DC9">
              <w:rPr>
                <w:rFonts w:ascii="Times New Roman" w:eastAsia="Times New Roman" w:hAnsi="Times New Roman" w:cs="Times New Roman"/>
                <w:bCs/>
                <w:color w:val="000000" w:themeColor="text1"/>
                <w:sz w:val="18"/>
                <w:szCs w:val="18"/>
                <w:lang w:val="en-US"/>
              </w:rPr>
              <w:t xml:space="preserve">në mekanizmat, procedurat, dokumentet dhe informacionin e përcaktuar në legjislacionin për parandalimin e pastrimit të parave dhe financimit të terrorizmit. </w:t>
            </w:r>
          </w:p>
          <w:p w14:paraId="4C19E794" w14:textId="77777777" w:rsidR="00314559" w:rsidRPr="003B7DC9" w:rsidRDefault="00314559" w:rsidP="00314559">
            <w:pPr>
              <w:numPr>
                <w:ilvl w:val="0"/>
                <w:numId w:val="138"/>
              </w:numPr>
              <w:spacing w:after="200" w:line="276" w:lineRule="auto"/>
              <w:jc w:val="both"/>
              <w:rPr>
                <w:rFonts w:ascii="Times New Roman" w:eastAsia="Times New Roman" w:hAnsi="Times New Roman" w:cs="Times New Roman"/>
                <w:bCs/>
                <w:color w:val="000000" w:themeColor="text1"/>
                <w:sz w:val="18"/>
                <w:szCs w:val="18"/>
                <w:lang w:val="en-US"/>
              </w:rPr>
            </w:pPr>
            <w:r w:rsidRPr="003B7DC9">
              <w:rPr>
                <w:rFonts w:ascii="Times New Roman" w:eastAsia="Times New Roman" w:hAnsi="Times New Roman" w:cs="Times New Roman"/>
                <w:bCs/>
                <w:color w:val="000000" w:themeColor="text1"/>
                <w:sz w:val="18"/>
                <w:szCs w:val="18"/>
                <w:lang w:val="en-US"/>
              </w:rPr>
              <w:t xml:space="preserve">Drejtoria e Përgjithshme e Tatimeve ruan regjistrimet e informacionit të marrë përmes shkëmbimit automatik sipas nenit 12 dhe ligjeve të posaçme jo më gjatë sesa është e nevojshme dhe, në çdo rast, jo më pak se pesë vjet nga data e marrjes. </w:t>
            </w:r>
          </w:p>
          <w:p w14:paraId="18D5FF45" w14:textId="77777777" w:rsidR="00314559" w:rsidRPr="003B7DC9" w:rsidRDefault="00314559" w:rsidP="00314559">
            <w:pPr>
              <w:pStyle w:val="ListParagraph"/>
              <w:numPr>
                <w:ilvl w:val="0"/>
                <w:numId w:val="138"/>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 xml:space="preserve">Drejtoria e Përgjithshme e Tatimeve </w:t>
            </w:r>
            <w:r w:rsidRPr="003B7DC9">
              <w:rPr>
                <w:rFonts w:ascii="Times New Roman" w:hAnsi="Times New Roman" w:cs="Times New Roman"/>
                <w:sz w:val="18"/>
                <w:szCs w:val="18"/>
              </w:rPr>
              <w:t xml:space="preserve">bën përpjekjet e nevojshme për t’u mundësuar </w:t>
            </w:r>
            <w:r w:rsidRPr="003B7DC9">
              <w:rPr>
                <w:rFonts w:ascii="Times New Roman" w:eastAsia="Times New Roman" w:hAnsi="Times New Roman" w:cs="Times New Roman"/>
                <w:sz w:val="18"/>
                <w:szCs w:val="18"/>
                <w:lang w:eastAsia="sq-AL"/>
              </w:rPr>
              <w:t xml:space="preserve">personave raportues </w:t>
            </w:r>
            <w:r w:rsidRPr="003B7DC9">
              <w:rPr>
                <w:rFonts w:ascii="Times New Roman" w:hAnsi="Times New Roman" w:cs="Times New Roman"/>
                <w:sz w:val="18"/>
                <w:szCs w:val="18"/>
              </w:rPr>
              <w:t xml:space="preserve">validimin elektronik të numrit të identifikimit tatimor (TIN) të çdo tatimpaguesi që i nënshtrohet shkëmbimit të informacionit, </w:t>
            </w:r>
            <w:r w:rsidRPr="003B7DC9">
              <w:rPr>
                <w:rFonts w:ascii="Times New Roman" w:eastAsia="Times New Roman" w:hAnsi="Times New Roman" w:cs="Times New Roman"/>
                <w:sz w:val="18"/>
                <w:szCs w:val="18"/>
                <w:lang w:eastAsia="sq-AL"/>
              </w:rPr>
              <w:t>vetëm për qëllimet e validimit të TIN-it dhe verifikimit të saktësisë së të dhënave që do të raportohen.</w:t>
            </w:r>
          </w:p>
          <w:p w14:paraId="64AEC01F" w14:textId="77777777" w:rsidR="00314559" w:rsidRPr="003B7DC9" w:rsidRDefault="00314559" w:rsidP="00314559">
            <w:pPr>
              <w:numPr>
                <w:ilvl w:val="0"/>
                <w:numId w:val="138"/>
              </w:numPr>
              <w:spacing w:before="100" w:beforeAutospacing="1" w:after="100" w:afterAutospacing="1"/>
              <w:jc w:val="both"/>
              <w:rPr>
                <w:rFonts w:ascii="Times New Roman" w:eastAsia="Times New Roman" w:hAnsi="Times New Roman" w:cs="Times New Roman"/>
                <w:sz w:val="18"/>
                <w:szCs w:val="18"/>
                <w:lang w:eastAsia="sq-AL"/>
              </w:rPr>
            </w:pPr>
            <w:r w:rsidRPr="003B7DC9">
              <w:rPr>
                <w:rFonts w:ascii="Times New Roman" w:eastAsia="Times New Roman" w:hAnsi="Times New Roman" w:cs="Times New Roman"/>
                <w:sz w:val="18"/>
                <w:szCs w:val="18"/>
                <w:lang w:eastAsia="sq-AL"/>
              </w:rPr>
              <w:t xml:space="preserve">Drejtoria e Përgjithshme e Tatimeve krijon dhe zbaton një mekanizëm efektiv për të siguruar përdorimin e informacionit të marrë nëpërmjet raportimit ose shkëmbimit sipas nenit 12 të këtij ligji dhe ligjeve të posaçme, përfshirë analizën e riskut, përzgjedhjen </w:t>
            </w:r>
            <w:r w:rsidRPr="003B7DC9">
              <w:rPr>
                <w:rFonts w:ascii="Times New Roman" w:hAnsi="Times New Roman" w:cs="Times New Roman"/>
                <w:sz w:val="18"/>
                <w:szCs w:val="18"/>
              </w:rPr>
              <w:t xml:space="preserve">e rasteve </w:t>
            </w:r>
            <w:r w:rsidRPr="003B7DC9">
              <w:rPr>
                <w:rFonts w:ascii="Times New Roman" w:eastAsia="Times New Roman" w:hAnsi="Times New Roman" w:cs="Times New Roman"/>
                <w:sz w:val="18"/>
                <w:szCs w:val="18"/>
                <w:lang w:eastAsia="sq-AL"/>
              </w:rPr>
              <w:t>për kontroll, ndjekjen e rasteve, dhënien e informacionit për rezultatet e përdorimit dhe monitorimin e rezultateve të përdorimit të informacionit.</w:t>
            </w:r>
          </w:p>
          <w:p w14:paraId="1F0D5F19" w14:textId="77777777" w:rsidR="00314559" w:rsidRPr="003B7DC9" w:rsidRDefault="00314559" w:rsidP="00314559">
            <w:pPr>
              <w:numPr>
                <w:ilvl w:val="0"/>
                <w:numId w:val="138"/>
              </w:numPr>
              <w:spacing w:before="100" w:beforeAutospacing="1" w:after="100" w:afterAutospacing="1"/>
              <w:jc w:val="both"/>
              <w:rPr>
                <w:rFonts w:ascii="Times New Roman" w:eastAsia="Times New Roman" w:hAnsi="Times New Roman" w:cs="Times New Roman"/>
                <w:sz w:val="18"/>
                <w:szCs w:val="18"/>
                <w:lang w:val="sq-AL"/>
              </w:rPr>
            </w:pPr>
            <w:r w:rsidRPr="003B7DC9">
              <w:rPr>
                <w:rFonts w:ascii="Times New Roman" w:eastAsia="Times New Roman" w:hAnsi="Times New Roman" w:cs="Times New Roman"/>
                <w:sz w:val="18"/>
                <w:szCs w:val="18"/>
                <w:lang w:val="sq-AL"/>
              </w:rPr>
              <w:t xml:space="preserve">Drejtoria e Përgjithshme e Tatimeve </w:t>
            </w:r>
            <w:r w:rsidRPr="003B7DC9">
              <w:rPr>
                <w:rFonts w:ascii="Times New Roman" w:eastAsia="Times New Roman" w:hAnsi="Times New Roman" w:cs="Times New Roman"/>
                <w:sz w:val="18"/>
                <w:szCs w:val="18"/>
                <w:lang w:eastAsia="sq-AL"/>
              </w:rPr>
              <w:t xml:space="preserve">heq dorë nga çdo kërkesë për rimbursimin e shpenzimeve të krijuara nga zbatimi i këtij ligji, përveç, sipas rastit, </w:t>
            </w:r>
            <w:r w:rsidRPr="003B7DC9">
              <w:rPr>
                <w:rFonts w:ascii="Times New Roman" w:hAnsi="Times New Roman" w:cs="Times New Roman"/>
                <w:color w:val="000000"/>
                <w:sz w:val="18"/>
                <w:szCs w:val="18"/>
              </w:rPr>
              <w:t>shpërblimeve të paguara ekspertëve.</w:t>
            </w:r>
          </w:p>
          <w:p w14:paraId="510A9B29" w14:textId="2C81AF6B" w:rsidR="00314559" w:rsidRPr="003B7DC9" w:rsidRDefault="00314559" w:rsidP="00314559">
            <w:pPr>
              <w:spacing w:after="200" w:line="276" w:lineRule="auto"/>
              <w:jc w:val="both"/>
              <w:rPr>
                <w:rFonts w:ascii="Times New Roman" w:eastAsia="Calibri" w:hAnsi="Times New Roman" w:cs="Times New Roman"/>
                <w:sz w:val="18"/>
                <w:szCs w:val="18"/>
                <w:lang w:val="en-US"/>
              </w:rPr>
            </w:pPr>
          </w:p>
        </w:tc>
        <w:tc>
          <w:tcPr>
            <w:tcW w:w="1066" w:type="dxa"/>
            <w:shd w:val="clear" w:color="auto" w:fill="FFFFFF" w:themeFill="background1"/>
          </w:tcPr>
          <w:p w14:paraId="1EEF5DFF" w14:textId="4FA86601"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lastRenderedPageBreak/>
              <w:t>F</w:t>
            </w:r>
          </w:p>
        </w:tc>
        <w:tc>
          <w:tcPr>
            <w:tcW w:w="3060" w:type="dxa"/>
            <w:shd w:val="clear" w:color="auto" w:fill="FFFFFF" w:themeFill="background1"/>
          </w:tcPr>
          <w:p w14:paraId="5FF5D1E8" w14:textId="77777777" w:rsidR="00314559" w:rsidRPr="003B7DC9" w:rsidRDefault="00314559" w:rsidP="00314559">
            <w:pPr>
              <w:rPr>
                <w:rFonts w:ascii="Times New Roman" w:eastAsia="Calibri" w:hAnsi="Times New Roman" w:cs="Times New Roman"/>
                <w:sz w:val="18"/>
                <w:szCs w:val="18"/>
                <w:lang w:val="en-US"/>
              </w:rPr>
            </w:pPr>
          </w:p>
        </w:tc>
      </w:tr>
      <w:tr w:rsidR="00314559" w:rsidRPr="003B7DC9" w14:paraId="2082AE2D" w14:textId="77777777" w:rsidTr="00B75638">
        <w:trPr>
          <w:trHeight w:val="1008"/>
        </w:trPr>
        <w:tc>
          <w:tcPr>
            <w:tcW w:w="630" w:type="dxa"/>
            <w:shd w:val="clear" w:color="auto" w:fill="FFFFFF" w:themeFill="background1"/>
          </w:tcPr>
          <w:p w14:paraId="6C886583" w14:textId="77777777" w:rsidR="00314559" w:rsidRPr="003B7DC9" w:rsidRDefault="00314559" w:rsidP="00314559">
            <w:pPr>
              <w:jc w:val="both"/>
              <w:rPr>
                <w:rFonts w:ascii="Times New Roman" w:eastAsia="Calibri" w:hAnsi="Times New Roman" w:cs="Times New Roman"/>
                <w:sz w:val="18"/>
                <w:szCs w:val="18"/>
              </w:rPr>
            </w:pPr>
          </w:p>
        </w:tc>
        <w:tc>
          <w:tcPr>
            <w:tcW w:w="5220" w:type="dxa"/>
            <w:shd w:val="clear" w:color="auto" w:fill="FFFFFF" w:themeFill="background1"/>
          </w:tcPr>
          <w:p w14:paraId="063F2A22" w14:textId="77777777" w:rsidR="00314559" w:rsidRPr="003B7DC9" w:rsidRDefault="00314559" w:rsidP="00314559">
            <w:pPr>
              <w:spacing w:line="276" w:lineRule="auto"/>
              <w:rPr>
                <w:rFonts w:ascii="Times New Roman" w:hAnsi="Times New Roman" w:cs="Times New Roman"/>
                <w:b/>
                <w:bCs/>
                <w:sz w:val="18"/>
                <w:szCs w:val="18"/>
                <w:lang w:val="en-US"/>
              </w:rPr>
            </w:pPr>
            <w:r w:rsidRPr="003B7DC9">
              <w:rPr>
                <w:rFonts w:ascii="Times New Roman" w:hAnsi="Times New Roman" w:cs="Times New Roman"/>
                <w:b/>
                <w:bCs/>
                <w:sz w:val="18"/>
                <w:szCs w:val="18"/>
                <w:lang w:val="en-US"/>
              </w:rPr>
              <w:t>Neni 27d</w:t>
            </w:r>
          </w:p>
          <w:p w14:paraId="40401CBD" w14:textId="77777777" w:rsidR="00314559" w:rsidRPr="003B7DC9" w:rsidRDefault="00314559" w:rsidP="00314559">
            <w:pPr>
              <w:spacing w:line="276" w:lineRule="auto"/>
              <w:rPr>
                <w:rFonts w:ascii="Times New Roman" w:hAnsi="Times New Roman" w:cs="Times New Roman"/>
                <w:sz w:val="18"/>
                <w:szCs w:val="18"/>
                <w:lang w:val="en-US"/>
              </w:rPr>
            </w:pPr>
            <w:r w:rsidRPr="003B7DC9">
              <w:rPr>
                <w:rFonts w:ascii="Times New Roman" w:hAnsi="Times New Roman" w:cs="Times New Roman"/>
                <w:b/>
                <w:bCs/>
                <w:sz w:val="18"/>
                <w:szCs w:val="18"/>
                <w:lang w:val="en-US"/>
              </w:rPr>
              <w:t>Viti i parë fiskal i raportimit dhe komunikimi i informacionit sipas nenit 8ae për herë të parë</w:t>
            </w:r>
          </w:p>
          <w:p w14:paraId="769B55F3" w14:textId="77777777" w:rsidR="00314559" w:rsidRPr="003B7DC9" w:rsidRDefault="00314559" w:rsidP="00314559">
            <w:pPr>
              <w:numPr>
                <w:ilvl w:val="0"/>
                <w:numId w:val="100"/>
              </w:numPr>
              <w:spacing w:line="276" w:lineRule="auto"/>
              <w:rPr>
                <w:rFonts w:ascii="Times New Roman" w:hAnsi="Times New Roman" w:cs="Times New Roman"/>
                <w:sz w:val="18"/>
                <w:szCs w:val="18"/>
                <w:lang w:val="en-US"/>
              </w:rPr>
            </w:pPr>
          </w:p>
          <w:p w14:paraId="403D3C92" w14:textId="77777777" w:rsidR="00314559" w:rsidRPr="003B7DC9" w:rsidRDefault="00314559" w:rsidP="00314559">
            <w:pPr>
              <w:spacing w:line="276" w:lineRule="auto"/>
              <w:rPr>
                <w:rFonts w:ascii="Times New Roman" w:hAnsi="Times New Roman" w:cs="Times New Roman"/>
                <w:sz w:val="18"/>
                <w:szCs w:val="18"/>
                <w:lang w:val="en-US"/>
              </w:rPr>
            </w:pPr>
            <w:r w:rsidRPr="003B7DC9">
              <w:rPr>
                <w:rFonts w:ascii="Times New Roman" w:hAnsi="Times New Roman" w:cs="Times New Roman"/>
                <w:sz w:val="18"/>
                <w:szCs w:val="18"/>
                <w:lang w:val="en-US"/>
              </w:rPr>
              <w:t>Viti i parë fiskal i raportimit për të cilin informacioni do të komunikohet sipas nenit 8ae është viti i parë fiskal që fillon nga 31 dhjetor 2023.</w:t>
            </w:r>
          </w:p>
          <w:p w14:paraId="08497918" w14:textId="77777777" w:rsidR="00314559" w:rsidRPr="003B7DC9" w:rsidRDefault="00314559" w:rsidP="00314559">
            <w:pPr>
              <w:numPr>
                <w:ilvl w:val="0"/>
                <w:numId w:val="101"/>
              </w:numPr>
              <w:spacing w:line="276" w:lineRule="auto"/>
              <w:rPr>
                <w:rFonts w:ascii="Times New Roman" w:hAnsi="Times New Roman" w:cs="Times New Roman"/>
                <w:sz w:val="18"/>
                <w:szCs w:val="18"/>
                <w:lang w:val="en-US"/>
              </w:rPr>
            </w:pPr>
          </w:p>
          <w:p w14:paraId="05B74F36" w14:textId="77777777" w:rsidR="00314559" w:rsidRPr="003B7DC9" w:rsidRDefault="00314559" w:rsidP="00314559">
            <w:pPr>
              <w:spacing w:line="276" w:lineRule="auto"/>
              <w:rPr>
                <w:rFonts w:ascii="Times New Roman" w:hAnsi="Times New Roman" w:cs="Times New Roman"/>
                <w:sz w:val="18"/>
                <w:szCs w:val="18"/>
                <w:lang w:val="en-US"/>
              </w:rPr>
            </w:pPr>
            <w:r w:rsidRPr="003B7DC9">
              <w:rPr>
                <w:rFonts w:ascii="Times New Roman" w:hAnsi="Times New Roman" w:cs="Times New Roman"/>
                <w:sz w:val="18"/>
                <w:szCs w:val="18"/>
                <w:lang w:val="en-US"/>
              </w:rPr>
              <w:t>Për shtetet anëtare që kanë zgjedhur të mos zbatojnë IIR dhe UTPR në përputhje me nenin 50(1) të Direktivës (BE) 2022/2523, viti i parë fiskal i raportimit për të cilin informacioni do të komunikohet sipas nenit 8ae është viti i parë fiskal që pason përfundimin e kësaj zgjedhjeje.</w:t>
            </w:r>
          </w:p>
          <w:p w14:paraId="646674A6" w14:textId="77777777" w:rsidR="00314559" w:rsidRPr="003B7DC9" w:rsidRDefault="00314559" w:rsidP="00314559">
            <w:pPr>
              <w:spacing w:line="276" w:lineRule="auto"/>
              <w:rPr>
                <w:rFonts w:ascii="Times New Roman" w:hAnsi="Times New Roman" w:cs="Times New Roman"/>
                <w:sz w:val="18"/>
                <w:szCs w:val="18"/>
                <w:lang w:val="en-US"/>
              </w:rPr>
            </w:pPr>
            <w:r w:rsidRPr="003B7DC9">
              <w:rPr>
                <w:rFonts w:ascii="Times New Roman" w:hAnsi="Times New Roman" w:cs="Times New Roman"/>
                <w:sz w:val="18"/>
                <w:szCs w:val="18"/>
                <w:lang w:val="en-US"/>
              </w:rPr>
              <w:t>Pavarësisht nga nënparagrafi i parë i kësaj pike, për shtetet anëtare që kanë zgjedhur të mos zbatojnë IIR dhe UTPR në përputhje me nenin 50(1) të Direktivës (BE) 2022/2523 dhe që kanë zgjedhur të zbatojnë një taksë të brendshme të kualifikuar shtesë në përputhje me nenin 11(1) të asaj direktive, viti i parë fiskal i raportimit për të cilin informacioni do të komunikohet sipas nenit 8ae është viti i parë fiskal gjatë të cilit zbatohet taksa e brendshme e kualifikuar shtesë.</w:t>
            </w:r>
          </w:p>
          <w:p w14:paraId="499600AF" w14:textId="77777777" w:rsidR="00314559" w:rsidRPr="003B7DC9" w:rsidRDefault="00314559" w:rsidP="00314559">
            <w:pPr>
              <w:numPr>
                <w:ilvl w:val="0"/>
                <w:numId w:val="102"/>
              </w:numPr>
              <w:spacing w:line="276" w:lineRule="auto"/>
              <w:rPr>
                <w:rFonts w:ascii="Times New Roman" w:hAnsi="Times New Roman" w:cs="Times New Roman"/>
                <w:sz w:val="18"/>
                <w:szCs w:val="18"/>
                <w:lang w:val="en-US"/>
              </w:rPr>
            </w:pPr>
          </w:p>
          <w:p w14:paraId="1AA5277F" w14:textId="77777777" w:rsidR="00314559" w:rsidRPr="003B7DC9" w:rsidRDefault="00314559" w:rsidP="00314559">
            <w:pPr>
              <w:spacing w:line="276" w:lineRule="auto"/>
              <w:rPr>
                <w:rFonts w:ascii="Times New Roman" w:hAnsi="Times New Roman" w:cs="Times New Roman"/>
                <w:sz w:val="18"/>
                <w:szCs w:val="18"/>
                <w:lang w:val="en-US"/>
              </w:rPr>
            </w:pPr>
            <w:r w:rsidRPr="003B7DC9">
              <w:rPr>
                <w:rFonts w:ascii="Times New Roman" w:hAnsi="Times New Roman" w:cs="Times New Roman"/>
                <w:sz w:val="18"/>
                <w:szCs w:val="18"/>
                <w:lang w:val="en-US"/>
              </w:rPr>
              <w:t>Autoriteti kompetent i shtetit anëtar komunikon informacionin sipas nenit 8ae në lidhje me vitin e parë fiskal të raportimit jo më vonë se 6 muaj pas afatit të paraqitjes.</w:t>
            </w:r>
          </w:p>
          <w:p w14:paraId="4CE8F885" w14:textId="77777777" w:rsidR="00314559" w:rsidRPr="003B7DC9" w:rsidRDefault="00314559" w:rsidP="00314559">
            <w:pPr>
              <w:numPr>
                <w:ilvl w:val="0"/>
                <w:numId w:val="103"/>
              </w:numPr>
              <w:spacing w:line="276" w:lineRule="auto"/>
              <w:rPr>
                <w:rFonts w:ascii="Times New Roman" w:hAnsi="Times New Roman" w:cs="Times New Roman"/>
                <w:sz w:val="18"/>
                <w:szCs w:val="18"/>
                <w:lang w:val="en-US"/>
              </w:rPr>
            </w:pPr>
          </w:p>
          <w:p w14:paraId="2092E7CD" w14:textId="77777777" w:rsidR="00314559" w:rsidRPr="003B7DC9" w:rsidRDefault="00314559" w:rsidP="00314559">
            <w:pPr>
              <w:spacing w:line="276" w:lineRule="auto"/>
              <w:rPr>
                <w:rFonts w:ascii="Times New Roman" w:hAnsi="Times New Roman" w:cs="Times New Roman"/>
                <w:sz w:val="18"/>
                <w:szCs w:val="18"/>
                <w:lang w:val="en-US"/>
              </w:rPr>
            </w:pPr>
            <w:r w:rsidRPr="003B7DC9">
              <w:rPr>
                <w:rFonts w:ascii="Times New Roman" w:hAnsi="Times New Roman" w:cs="Times New Roman"/>
                <w:sz w:val="18"/>
                <w:szCs w:val="18"/>
                <w:lang w:val="en-US"/>
              </w:rPr>
              <w:t>Në çdo rast, shtetet anëtare komunikojnë informacionin sipas nenit 8ae për herë të parë jo më herët se 1 dhjetor 2026.</w:t>
            </w:r>
          </w:p>
          <w:p w14:paraId="47AB4348" w14:textId="77777777" w:rsidR="00314559" w:rsidRPr="003B7DC9" w:rsidRDefault="00314559" w:rsidP="00314559">
            <w:pPr>
              <w:spacing w:line="276" w:lineRule="auto"/>
              <w:rPr>
                <w:rFonts w:ascii="Times New Roman" w:hAnsi="Times New Roman" w:cs="Times New Roman"/>
                <w:sz w:val="18"/>
                <w:szCs w:val="18"/>
                <w:lang w:val="en-GB"/>
              </w:rPr>
            </w:pPr>
          </w:p>
        </w:tc>
        <w:tc>
          <w:tcPr>
            <w:tcW w:w="1170" w:type="dxa"/>
            <w:shd w:val="clear" w:color="auto" w:fill="FFFFFF" w:themeFill="background1"/>
          </w:tcPr>
          <w:p w14:paraId="10410231" w14:textId="31992979"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28FDCDE5" w14:textId="2AAA7619" w:rsidR="00314559" w:rsidRPr="003B7DC9" w:rsidRDefault="00314559" w:rsidP="00314559">
            <w:pP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4334" w:type="dxa"/>
            <w:shd w:val="clear" w:color="auto" w:fill="FFFFFF" w:themeFill="background1"/>
          </w:tcPr>
          <w:p w14:paraId="2BD09798" w14:textId="373F2887" w:rsidR="00314559" w:rsidRPr="003B7DC9" w:rsidRDefault="00314559" w:rsidP="00314559">
            <w:pPr>
              <w:spacing w:before="100" w:beforeAutospacing="1" w:after="100" w:afterAutospacing="1"/>
              <w:jc w:val="center"/>
              <w:outlineLvl w:val="2"/>
              <w:rPr>
                <w:rFonts w:ascii="Times New Roman" w:eastAsia="Times New Roman" w:hAnsi="Times New Roman" w:cs="Times New Roman"/>
                <w:sz w:val="18"/>
                <w:szCs w:val="18"/>
              </w:rPr>
            </w:pPr>
            <w:r w:rsidRPr="003B7DC9">
              <w:rPr>
                <w:rFonts w:ascii="Times New Roman" w:eastAsia="Times New Roman" w:hAnsi="Times New Roman" w:cs="Times New Roman"/>
                <w:sz w:val="18"/>
                <w:szCs w:val="18"/>
              </w:rPr>
              <w:t>N/A</w:t>
            </w:r>
          </w:p>
        </w:tc>
        <w:tc>
          <w:tcPr>
            <w:tcW w:w="1066" w:type="dxa"/>
            <w:shd w:val="clear" w:color="auto" w:fill="FFFFFF" w:themeFill="background1"/>
          </w:tcPr>
          <w:p w14:paraId="7C546E0B" w14:textId="448825CA"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F</w:t>
            </w:r>
          </w:p>
        </w:tc>
        <w:tc>
          <w:tcPr>
            <w:tcW w:w="3060" w:type="dxa"/>
            <w:shd w:val="clear" w:color="auto" w:fill="FFFFFF" w:themeFill="background1"/>
          </w:tcPr>
          <w:p w14:paraId="6C2484AD" w14:textId="77777777" w:rsidR="00314559" w:rsidRPr="003B7DC9" w:rsidRDefault="00314559" w:rsidP="00314559">
            <w:pPr>
              <w:rPr>
                <w:rFonts w:ascii="Times New Roman" w:eastAsia="Calibri" w:hAnsi="Times New Roman" w:cs="Times New Roman"/>
                <w:sz w:val="18"/>
                <w:szCs w:val="18"/>
              </w:rPr>
            </w:pPr>
          </w:p>
          <w:p w14:paraId="08827032" w14:textId="4FC78BA7" w:rsidR="00314559" w:rsidRPr="003B7DC9" w:rsidRDefault="00314559" w:rsidP="00314559">
            <w:pP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27d i Direktivës 2011/16/BE përcakton rregulla tranzitore që lidhen me vitin e parë fiskal të raportimit dhe shkëmbimin e parë të informacionit sipas nenit 8ae. Duke qenë se neni 8ae nuk eshte objekt i ktij projektligjin aktual, kjo dispozitë nuk kërkon transpozim në legjislacionin kombëtar.</w:t>
            </w:r>
          </w:p>
          <w:p w14:paraId="4E0E954E" w14:textId="1DBC5E82" w:rsidR="00314559" w:rsidRPr="003B7DC9" w:rsidRDefault="00314559" w:rsidP="00314559">
            <w:pPr>
              <w:rPr>
                <w:rFonts w:ascii="Times New Roman" w:eastAsia="Calibri" w:hAnsi="Times New Roman" w:cs="Times New Roman"/>
                <w:sz w:val="18"/>
                <w:szCs w:val="18"/>
              </w:rPr>
            </w:pPr>
          </w:p>
        </w:tc>
      </w:tr>
      <w:bookmarkEnd w:id="5"/>
      <w:tr w:rsidR="00314559" w:rsidRPr="003B7DC9" w14:paraId="54D572E0" w14:textId="77777777" w:rsidTr="00B75638">
        <w:trPr>
          <w:trHeight w:val="2204"/>
        </w:trPr>
        <w:tc>
          <w:tcPr>
            <w:tcW w:w="630" w:type="dxa"/>
          </w:tcPr>
          <w:p w14:paraId="24CACEBA" w14:textId="77777777" w:rsidR="00314559" w:rsidRPr="003B7DC9" w:rsidRDefault="00314559" w:rsidP="00314559">
            <w:pPr>
              <w:jc w:val="both"/>
              <w:rPr>
                <w:rFonts w:ascii="Times New Roman" w:eastAsia="Calibri" w:hAnsi="Times New Roman" w:cs="Times New Roman"/>
                <w:sz w:val="18"/>
                <w:szCs w:val="18"/>
              </w:rPr>
            </w:pPr>
          </w:p>
        </w:tc>
        <w:tc>
          <w:tcPr>
            <w:tcW w:w="5220" w:type="dxa"/>
          </w:tcPr>
          <w:p w14:paraId="7EDDCC2C" w14:textId="77777777" w:rsidR="00314559" w:rsidRPr="003B7DC9" w:rsidRDefault="00314559" w:rsidP="00314559">
            <w:pPr>
              <w:jc w:val="both"/>
              <w:rPr>
                <w:rFonts w:ascii="Times New Roman" w:eastAsia="Calibri" w:hAnsi="Times New Roman" w:cs="Times New Roman"/>
                <w:iCs/>
                <w:sz w:val="18"/>
                <w:szCs w:val="18"/>
                <w:lang w:val="it-CH"/>
              </w:rPr>
            </w:pPr>
          </w:p>
          <w:p w14:paraId="7EAE95B5" w14:textId="77777777" w:rsidR="00314559" w:rsidRPr="003B7DC9" w:rsidRDefault="00314559" w:rsidP="00314559">
            <w:pPr>
              <w:jc w:val="both"/>
              <w:rPr>
                <w:rFonts w:ascii="Times New Roman" w:eastAsia="Calibri" w:hAnsi="Times New Roman" w:cs="Times New Roman"/>
                <w:b/>
                <w:bCs/>
                <w:iCs/>
                <w:sz w:val="18"/>
                <w:szCs w:val="18"/>
                <w:lang w:val="en-US"/>
              </w:rPr>
            </w:pPr>
            <w:r w:rsidRPr="003B7DC9">
              <w:rPr>
                <w:rFonts w:ascii="Times New Roman" w:eastAsia="Calibri" w:hAnsi="Times New Roman" w:cs="Times New Roman"/>
                <w:b/>
                <w:bCs/>
                <w:iCs/>
                <w:sz w:val="18"/>
                <w:szCs w:val="18"/>
                <w:lang w:val="en-US"/>
              </w:rPr>
              <w:t>Neni 28</w:t>
            </w:r>
          </w:p>
          <w:p w14:paraId="2386D77D" w14:textId="77777777" w:rsidR="00314559" w:rsidRPr="003B7DC9" w:rsidRDefault="00314559" w:rsidP="00314559">
            <w:pPr>
              <w:jc w:val="both"/>
              <w:rPr>
                <w:rFonts w:ascii="Times New Roman" w:eastAsia="Calibri" w:hAnsi="Times New Roman" w:cs="Times New Roman"/>
                <w:b/>
                <w:bCs/>
                <w:iCs/>
                <w:sz w:val="18"/>
                <w:szCs w:val="18"/>
                <w:lang w:val="en-US"/>
              </w:rPr>
            </w:pPr>
          </w:p>
          <w:p w14:paraId="0AB24CCC" w14:textId="42DC9682"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b/>
                <w:bCs/>
                <w:iCs/>
                <w:sz w:val="18"/>
                <w:szCs w:val="18"/>
                <w:lang w:val="en-US"/>
              </w:rPr>
              <w:t>Shfuqizimi i Direktivës 77/799/CEE</w:t>
            </w:r>
          </w:p>
          <w:p w14:paraId="7D6D39C4" w14:textId="77777777" w:rsidR="00314559" w:rsidRPr="003B7DC9" w:rsidRDefault="00314559" w:rsidP="00314559">
            <w:pPr>
              <w:jc w:val="both"/>
              <w:rPr>
                <w:rFonts w:ascii="Times New Roman" w:eastAsia="Calibri" w:hAnsi="Times New Roman" w:cs="Times New Roman"/>
                <w:iCs/>
                <w:sz w:val="18"/>
                <w:szCs w:val="18"/>
                <w:lang w:val="en-US"/>
              </w:rPr>
            </w:pPr>
          </w:p>
          <w:p w14:paraId="7538F450" w14:textId="07059D39"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Direktiva 77/799/CEE shfuqizohet me efekt nga 1 janari 2013.</w:t>
            </w:r>
          </w:p>
          <w:p w14:paraId="2501A8D6"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Referencat e bëra ndaj Direktivës së shfuqizuar interpretohen si referenca ndaj kësaj Direktive.</w:t>
            </w:r>
          </w:p>
          <w:p w14:paraId="136978BF" w14:textId="3BE68D83" w:rsidR="00314559" w:rsidRPr="003B7DC9" w:rsidRDefault="00314559" w:rsidP="00314559">
            <w:pPr>
              <w:jc w:val="both"/>
              <w:rPr>
                <w:rFonts w:ascii="Times New Roman" w:eastAsia="Calibri" w:hAnsi="Times New Roman" w:cs="Times New Roman"/>
                <w:iCs/>
                <w:sz w:val="18"/>
                <w:szCs w:val="18"/>
                <w:lang w:val="it-CH"/>
              </w:rPr>
            </w:pPr>
          </w:p>
        </w:tc>
        <w:tc>
          <w:tcPr>
            <w:tcW w:w="1170" w:type="dxa"/>
          </w:tcPr>
          <w:p w14:paraId="5049F7F0" w14:textId="5BD8CC44" w:rsidR="00314559" w:rsidRPr="003B7DC9" w:rsidRDefault="00314559" w:rsidP="00314559">
            <w:pPr>
              <w:jc w:val="center"/>
              <w:rPr>
                <w:rFonts w:ascii="Times New Roman" w:eastAsia="Calibri" w:hAnsi="Times New Roman" w:cs="Times New Roman"/>
                <w:sz w:val="18"/>
                <w:szCs w:val="18"/>
                <w:highlight w:val="cyan"/>
              </w:rPr>
            </w:pPr>
            <w:r w:rsidRPr="003B7DC9">
              <w:rPr>
                <w:rFonts w:ascii="Times New Roman" w:eastAsia="Calibri" w:hAnsi="Times New Roman" w:cs="Times New Roman"/>
                <w:sz w:val="18"/>
                <w:szCs w:val="18"/>
              </w:rPr>
              <w:t>1</w:t>
            </w:r>
          </w:p>
        </w:tc>
        <w:tc>
          <w:tcPr>
            <w:tcW w:w="720" w:type="dxa"/>
          </w:tcPr>
          <w:p w14:paraId="40B98B64" w14:textId="35443C05" w:rsidR="00314559" w:rsidRPr="003B7DC9" w:rsidRDefault="00314559" w:rsidP="00314559">
            <w:pPr>
              <w:jc w:val="center"/>
              <w:rPr>
                <w:rFonts w:ascii="Times New Roman" w:eastAsia="Calibri" w:hAnsi="Times New Roman" w:cs="Times New Roman"/>
                <w:sz w:val="18"/>
                <w:szCs w:val="18"/>
                <w:highlight w:val="cyan"/>
                <w:lang w:val="it-CH"/>
              </w:rPr>
            </w:pPr>
            <w:r w:rsidRPr="003B7DC9">
              <w:rPr>
                <w:rFonts w:ascii="Times New Roman" w:eastAsia="Calibri" w:hAnsi="Times New Roman" w:cs="Times New Roman"/>
                <w:sz w:val="18"/>
                <w:szCs w:val="18"/>
                <w:lang w:val="it-CH"/>
              </w:rPr>
              <w:t>N/A</w:t>
            </w:r>
          </w:p>
        </w:tc>
        <w:tc>
          <w:tcPr>
            <w:tcW w:w="4334" w:type="dxa"/>
          </w:tcPr>
          <w:p w14:paraId="29254B5A" w14:textId="2F2495B5" w:rsidR="00314559" w:rsidRPr="003B7DC9" w:rsidRDefault="00314559" w:rsidP="00314559">
            <w:pPr>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tcPr>
          <w:p w14:paraId="16C8953D" w14:textId="16CC12C1"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tcPr>
          <w:p w14:paraId="79853612" w14:textId="77777777" w:rsidR="00314559" w:rsidRPr="003B7DC9" w:rsidRDefault="00314559" w:rsidP="00314559">
            <w:pPr>
              <w:rPr>
                <w:rFonts w:ascii="Times New Roman" w:eastAsia="Calibri" w:hAnsi="Times New Roman" w:cs="Times New Roman"/>
                <w:sz w:val="18"/>
                <w:szCs w:val="18"/>
              </w:rPr>
            </w:pPr>
          </w:p>
          <w:p w14:paraId="3A2F4F31" w14:textId="77777777" w:rsidR="00314559" w:rsidRPr="003B7DC9" w:rsidRDefault="00314559" w:rsidP="00314559">
            <w:pP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Neni 28 i Direktivës 2011/16/BE shfuqizon Direktivën 77/799/CEE me efekt nga 1 janari 2013. Duke qenë se ky shfuqizim është vetë</w:t>
            </w:r>
            <w:r w:rsidRPr="003B7DC9">
              <w:rPr>
                <w:rFonts w:ascii="Times New Roman" w:eastAsia="Calibri" w:hAnsi="Times New Roman" w:cs="Times New Roman"/>
                <w:sz w:val="18"/>
                <w:szCs w:val="18"/>
                <w:lang w:val="en-US"/>
              </w:rPr>
              <w:noBreakHyphen/>
              <w:t>ekzekutues sipas së drejtës së BE</w:t>
            </w:r>
            <w:r w:rsidRPr="003B7DC9">
              <w:rPr>
                <w:rFonts w:ascii="Times New Roman" w:eastAsia="Calibri" w:hAnsi="Times New Roman" w:cs="Times New Roman"/>
                <w:sz w:val="18"/>
                <w:szCs w:val="18"/>
                <w:lang w:val="en-US"/>
              </w:rPr>
              <w:noBreakHyphen/>
              <w:t>së dhe nuk vendos detyrime mbi shtetet anëtare, ai nuk kërkon transpozim në legjislacionin kombëtar.</w:t>
            </w:r>
          </w:p>
          <w:p w14:paraId="2811FAF6" w14:textId="708AE777" w:rsidR="00314559" w:rsidRPr="003B7DC9" w:rsidRDefault="00314559" w:rsidP="00314559">
            <w:pPr>
              <w:rPr>
                <w:rFonts w:ascii="Times New Roman" w:eastAsia="Calibri" w:hAnsi="Times New Roman" w:cs="Times New Roman"/>
                <w:sz w:val="18"/>
                <w:szCs w:val="18"/>
              </w:rPr>
            </w:pPr>
          </w:p>
        </w:tc>
      </w:tr>
      <w:tr w:rsidR="00314559" w:rsidRPr="003B7DC9" w14:paraId="2E0CDEA6" w14:textId="77777777" w:rsidTr="00B75638">
        <w:trPr>
          <w:trHeight w:val="1008"/>
        </w:trPr>
        <w:tc>
          <w:tcPr>
            <w:tcW w:w="630" w:type="dxa"/>
            <w:shd w:val="clear" w:color="auto" w:fill="FFFFFF" w:themeFill="background1"/>
          </w:tcPr>
          <w:p w14:paraId="04ADE44C" w14:textId="77777777" w:rsidR="00314559" w:rsidRPr="003B7DC9" w:rsidRDefault="00314559" w:rsidP="00314559">
            <w:pPr>
              <w:jc w:val="both"/>
              <w:rPr>
                <w:rFonts w:ascii="Times New Roman" w:eastAsia="Calibri" w:hAnsi="Times New Roman" w:cs="Times New Roman"/>
                <w:sz w:val="18"/>
                <w:szCs w:val="18"/>
                <w:lang w:val="en-US"/>
              </w:rPr>
            </w:pPr>
            <w:bookmarkStart w:id="6" w:name="_Hlk227916334"/>
          </w:p>
        </w:tc>
        <w:tc>
          <w:tcPr>
            <w:tcW w:w="5220" w:type="dxa"/>
            <w:shd w:val="clear" w:color="auto" w:fill="FFFFFF" w:themeFill="background1"/>
          </w:tcPr>
          <w:p w14:paraId="44373DB5" w14:textId="77777777"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29</w:t>
            </w:r>
          </w:p>
          <w:p w14:paraId="164724B2"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Transpozimi</w:t>
            </w:r>
          </w:p>
          <w:p w14:paraId="42576F45" w14:textId="77777777" w:rsidR="00314559" w:rsidRPr="003B7DC9" w:rsidRDefault="00314559" w:rsidP="00314559">
            <w:pPr>
              <w:numPr>
                <w:ilvl w:val="0"/>
                <w:numId w:val="104"/>
              </w:numPr>
              <w:jc w:val="both"/>
              <w:rPr>
                <w:rFonts w:ascii="Times New Roman" w:eastAsia="Calibri" w:hAnsi="Times New Roman" w:cs="Times New Roman"/>
                <w:iCs/>
                <w:sz w:val="18"/>
                <w:szCs w:val="18"/>
              </w:rPr>
            </w:pPr>
          </w:p>
          <w:p w14:paraId="2F548328"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Shtetet anëtare miratojnë dhe vendosin në fuqi ligjet, rregulloret dhe dispozitat administrative të nevojshme për t’u përputhur me këtë direktivë me efekt nga 1 janari 2013.</w:t>
            </w:r>
          </w:p>
          <w:p w14:paraId="58386E3F"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Megjithatë, ato miratojnë dhe vendosin në fuqi ligjet, rregulloret dhe dispozitat administrative të nevojshme për t’u përputhur me nenin 8 të kësaj direktive me efekt nga 1 janari 2015.</w:t>
            </w:r>
          </w:p>
          <w:p w14:paraId="07EA4321"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Ato njoftojnë menjëherë Komisionin për këtë.</w:t>
            </w:r>
          </w:p>
          <w:p w14:paraId="411DED1B"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Kur shtetet anëtare miratojnë këto masa, ato përmbajnë një referencë ndaj kësaj direktive ose shoqërohen me një referencë të tillë me rastin e publikimit të tyre zyrtar. Metodat për bërjen e një reference të tillë përcaktohen nga shtetet anëtare.</w:t>
            </w:r>
          </w:p>
          <w:p w14:paraId="341DED6A" w14:textId="77777777" w:rsidR="00314559" w:rsidRPr="003B7DC9" w:rsidRDefault="00314559" w:rsidP="00314559">
            <w:pPr>
              <w:numPr>
                <w:ilvl w:val="0"/>
                <w:numId w:val="105"/>
              </w:numPr>
              <w:jc w:val="both"/>
              <w:rPr>
                <w:rFonts w:ascii="Times New Roman" w:eastAsia="Calibri" w:hAnsi="Times New Roman" w:cs="Times New Roman"/>
                <w:iCs/>
                <w:sz w:val="18"/>
                <w:szCs w:val="18"/>
              </w:rPr>
            </w:pPr>
          </w:p>
          <w:p w14:paraId="7B29D5B8"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Shtetet anëtare i komunikojnë Komisionit tekstin e dispozitave kryesore të së drejtës kombëtare që ato miratojnë në fushën e mbuluar nga kjo direktivë.</w:t>
            </w:r>
          </w:p>
          <w:p w14:paraId="6D872746" w14:textId="29BC03EC" w:rsidR="00314559" w:rsidRPr="003B7DC9" w:rsidRDefault="00314559" w:rsidP="00314559">
            <w:pPr>
              <w:jc w:val="both"/>
              <w:rPr>
                <w:rFonts w:ascii="Times New Roman" w:eastAsia="Calibri" w:hAnsi="Times New Roman" w:cs="Times New Roman"/>
                <w:iCs/>
                <w:sz w:val="18"/>
                <w:szCs w:val="18"/>
                <w:lang w:val="en-US"/>
              </w:rPr>
            </w:pPr>
          </w:p>
        </w:tc>
        <w:tc>
          <w:tcPr>
            <w:tcW w:w="1170" w:type="dxa"/>
            <w:shd w:val="clear" w:color="auto" w:fill="FFFFFF" w:themeFill="background1"/>
          </w:tcPr>
          <w:p w14:paraId="74FA91A0" w14:textId="36426EF4" w:rsidR="00314559" w:rsidRPr="003B7DC9" w:rsidRDefault="00314559" w:rsidP="004A5803">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4BB1A83A" w14:textId="475D4711" w:rsidR="00314559" w:rsidRPr="003B7DC9" w:rsidRDefault="00314559" w:rsidP="00314559">
            <w:pP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rPr>
              <w:t>Neni 30 dhe neni 31</w:t>
            </w:r>
          </w:p>
        </w:tc>
        <w:tc>
          <w:tcPr>
            <w:tcW w:w="4334" w:type="dxa"/>
            <w:shd w:val="clear" w:color="auto" w:fill="FFFFFF" w:themeFill="background1"/>
          </w:tcPr>
          <w:p w14:paraId="4646A44E" w14:textId="77777777" w:rsidR="00314559" w:rsidRPr="003B7DC9" w:rsidRDefault="00314559" w:rsidP="00314559">
            <w:pPr>
              <w:jc w:val="center"/>
              <w:rPr>
                <w:rFonts w:ascii="Times New Roman" w:hAnsi="Times New Roman" w:cs="Times New Roman"/>
                <w:b/>
                <w:bCs/>
                <w:sz w:val="18"/>
                <w:szCs w:val="18"/>
                <w:lang w:val="en-US"/>
              </w:rPr>
            </w:pPr>
            <w:r w:rsidRPr="003B7DC9">
              <w:rPr>
                <w:rFonts w:ascii="Times New Roman" w:hAnsi="Times New Roman" w:cs="Times New Roman"/>
                <w:b/>
                <w:bCs/>
                <w:sz w:val="18"/>
                <w:szCs w:val="18"/>
                <w:lang w:val="en-US"/>
              </w:rPr>
              <w:t>Neni 30</w:t>
            </w:r>
          </w:p>
          <w:p w14:paraId="1F1A120B" w14:textId="77777777" w:rsidR="00314559" w:rsidRPr="003B7DC9" w:rsidRDefault="00314559" w:rsidP="00314559">
            <w:pPr>
              <w:jc w:val="center"/>
              <w:rPr>
                <w:rFonts w:ascii="Times New Roman" w:hAnsi="Times New Roman" w:cs="Times New Roman"/>
                <w:bCs/>
                <w:sz w:val="18"/>
                <w:szCs w:val="18"/>
                <w:lang w:val="en-US"/>
              </w:rPr>
            </w:pPr>
            <w:r w:rsidRPr="003B7DC9">
              <w:rPr>
                <w:rFonts w:ascii="Times New Roman" w:hAnsi="Times New Roman" w:cs="Times New Roman"/>
                <w:b/>
                <w:bCs/>
                <w:sz w:val="18"/>
                <w:szCs w:val="18"/>
                <w:lang w:val="en-US"/>
              </w:rPr>
              <w:t>Aktet nënligjore</w:t>
            </w:r>
          </w:p>
          <w:p w14:paraId="4632E1F9" w14:textId="77777777" w:rsidR="00314559" w:rsidRPr="003B7DC9" w:rsidRDefault="00314559" w:rsidP="004A5803">
            <w:pPr>
              <w:spacing w:after="200"/>
              <w:jc w:val="both"/>
              <w:rPr>
                <w:rFonts w:ascii="Times New Roman" w:hAnsi="Times New Roman" w:cs="Times New Roman"/>
                <w:bCs/>
                <w:sz w:val="18"/>
                <w:szCs w:val="18"/>
                <w:lang w:val="en-US"/>
              </w:rPr>
            </w:pPr>
            <w:r w:rsidRPr="003B7DC9">
              <w:rPr>
                <w:rFonts w:ascii="Times New Roman" w:hAnsi="Times New Roman" w:cs="Times New Roman"/>
                <w:bCs/>
                <w:sz w:val="18"/>
                <w:szCs w:val="18"/>
                <w:lang w:val="en-US"/>
              </w:rPr>
              <w:t xml:space="preserve">Ngarkohet Këshilli i Ministrave </w:t>
            </w:r>
            <w:r w:rsidRPr="003B7DC9">
              <w:rPr>
                <w:rFonts w:ascii="Times New Roman" w:hAnsi="Times New Roman" w:cs="Times New Roman"/>
                <w:sz w:val="18"/>
                <w:szCs w:val="18"/>
                <w:lang w:val="en-US"/>
              </w:rPr>
              <w:t>të nxjerrë</w:t>
            </w:r>
            <w:r w:rsidRPr="003B7DC9">
              <w:rPr>
                <w:rFonts w:ascii="Times New Roman" w:hAnsi="Times New Roman" w:cs="Times New Roman"/>
                <w:bCs/>
                <w:sz w:val="18"/>
                <w:szCs w:val="18"/>
                <w:lang w:val="en-US"/>
              </w:rPr>
              <w:t xml:space="preserve"> vendimin për zbatimin e këtij ligji, brenda 6 muajve nga hyrja e tij në fuqi. </w:t>
            </w:r>
          </w:p>
          <w:p w14:paraId="2913ED38" w14:textId="77777777" w:rsidR="00314559" w:rsidRPr="003B7DC9" w:rsidRDefault="00314559" w:rsidP="00314559">
            <w:pPr>
              <w:jc w:val="both"/>
              <w:rPr>
                <w:rFonts w:ascii="Times New Roman" w:hAnsi="Times New Roman" w:cs="Times New Roman"/>
                <w:bCs/>
                <w:sz w:val="18"/>
                <w:szCs w:val="18"/>
                <w:lang w:val="en-US"/>
              </w:rPr>
            </w:pPr>
          </w:p>
          <w:p w14:paraId="7C803610" w14:textId="77777777" w:rsidR="00314559" w:rsidRPr="003B7DC9" w:rsidRDefault="00314559" w:rsidP="00314559">
            <w:pPr>
              <w:jc w:val="center"/>
              <w:rPr>
                <w:rFonts w:ascii="Times New Roman" w:hAnsi="Times New Roman" w:cs="Times New Roman"/>
                <w:b/>
                <w:bCs/>
                <w:sz w:val="18"/>
                <w:szCs w:val="18"/>
                <w:lang w:val="en-US"/>
              </w:rPr>
            </w:pPr>
            <w:r w:rsidRPr="003B7DC9">
              <w:rPr>
                <w:rFonts w:ascii="Times New Roman" w:hAnsi="Times New Roman" w:cs="Times New Roman"/>
                <w:b/>
                <w:bCs/>
                <w:sz w:val="18"/>
                <w:szCs w:val="18"/>
                <w:lang w:val="en-US"/>
              </w:rPr>
              <w:t>Neni 31</w:t>
            </w:r>
          </w:p>
          <w:p w14:paraId="5DA6F0E8" w14:textId="77777777" w:rsidR="00314559" w:rsidRPr="003B7DC9" w:rsidRDefault="00314559" w:rsidP="00314559">
            <w:pPr>
              <w:jc w:val="center"/>
              <w:rPr>
                <w:rFonts w:ascii="Times New Roman" w:hAnsi="Times New Roman" w:cs="Times New Roman"/>
                <w:bCs/>
                <w:sz w:val="18"/>
                <w:szCs w:val="18"/>
                <w:lang w:val="en-US"/>
              </w:rPr>
            </w:pPr>
            <w:r w:rsidRPr="003B7DC9">
              <w:rPr>
                <w:rFonts w:ascii="Times New Roman" w:hAnsi="Times New Roman" w:cs="Times New Roman"/>
                <w:b/>
                <w:bCs/>
                <w:sz w:val="18"/>
                <w:szCs w:val="18"/>
                <w:lang w:val="en-US"/>
              </w:rPr>
              <w:t>Hyrja në fuqi dhe zbatimi</w:t>
            </w:r>
          </w:p>
          <w:p w14:paraId="6874E01A" w14:textId="77777777" w:rsidR="00314559" w:rsidRPr="003B7DC9" w:rsidRDefault="00314559" w:rsidP="00314559">
            <w:pPr>
              <w:numPr>
                <w:ilvl w:val="0"/>
                <w:numId w:val="147"/>
              </w:numPr>
              <w:spacing w:after="200"/>
              <w:jc w:val="both"/>
              <w:rPr>
                <w:rFonts w:ascii="Times New Roman" w:hAnsi="Times New Roman" w:cs="Times New Roman"/>
                <w:bCs/>
                <w:sz w:val="18"/>
                <w:szCs w:val="18"/>
                <w:lang w:val="en-US"/>
              </w:rPr>
            </w:pPr>
            <w:r w:rsidRPr="003B7DC9">
              <w:rPr>
                <w:rFonts w:ascii="Times New Roman" w:hAnsi="Times New Roman" w:cs="Times New Roman"/>
                <w:bCs/>
                <w:sz w:val="18"/>
                <w:szCs w:val="18"/>
                <w:lang w:val="en-US"/>
              </w:rPr>
              <w:t xml:space="preserve">Ky ligj hyn në fuqi 15 ditë pas botimit në Fletoren Zyrtare. </w:t>
            </w:r>
          </w:p>
          <w:p w14:paraId="66C62DE5" w14:textId="2DA7571D" w:rsidR="00314559" w:rsidRPr="003B7DC9" w:rsidRDefault="00314559" w:rsidP="00314559">
            <w:pPr>
              <w:numPr>
                <w:ilvl w:val="0"/>
                <w:numId w:val="147"/>
              </w:numPr>
              <w:spacing w:after="200"/>
              <w:jc w:val="both"/>
              <w:rPr>
                <w:rFonts w:ascii="Times New Roman" w:hAnsi="Times New Roman" w:cs="Times New Roman"/>
                <w:bCs/>
                <w:sz w:val="18"/>
                <w:szCs w:val="18"/>
                <w:lang w:val="en-US"/>
              </w:rPr>
            </w:pPr>
            <w:r w:rsidRPr="003B7DC9">
              <w:rPr>
                <w:rFonts w:ascii="Times New Roman" w:hAnsi="Times New Roman" w:cs="Times New Roman"/>
                <w:bCs/>
                <w:sz w:val="18"/>
                <w:szCs w:val="18"/>
                <w:lang w:val="en-US"/>
              </w:rPr>
              <w:t xml:space="preserve">Efektet e këtij ligji fillojnë </w:t>
            </w:r>
            <w:r w:rsidRPr="003B7DC9">
              <w:rPr>
                <w:rFonts w:ascii="Times New Roman" w:hAnsi="Times New Roman" w:cs="Times New Roman"/>
                <w:sz w:val="18"/>
                <w:szCs w:val="18"/>
                <w:lang w:val="en-US"/>
              </w:rPr>
              <w:t xml:space="preserve">nga </w:t>
            </w:r>
            <w:r w:rsidRPr="003B7DC9">
              <w:rPr>
                <w:rFonts w:ascii="Times New Roman" w:hAnsi="Times New Roman" w:cs="Times New Roman"/>
                <w:bCs/>
                <w:sz w:val="18"/>
                <w:szCs w:val="18"/>
                <w:lang w:val="en-US"/>
              </w:rPr>
              <w:t>data e anëtarësimit të Shqipërisë në Bashkimin Evropian, në përputhje me Traktatin e Anëtarësimit.</w:t>
            </w:r>
          </w:p>
          <w:p w14:paraId="798F91B5" w14:textId="4B682F9C" w:rsidR="00314559" w:rsidRPr="003B7DC9" w:rsidRDefault="00314559" w:rsidP="00314559">
            <w:pPr>
              <w:widowControl w:val="0"/>
              <w:tabs>
                <w:tab w:val="left" w:pos="742"/>
                <w:tab w:val="left" w:pos="744"/>
              </w:tabs>
              <w:autoSpaceDE w:val="0"/>
              <w:autoSpaceDN w:val="0"/>
              <w:ind w:right="15"/>
              <w:jc w:val="center"/>
              <w:rPr>
                <w:rFonts w:ascii="Times New Roman" w:eastAsia="Calibri" w:hAnsi="Times New Roman" w:cs="Times New Roman"/>
                <w:sz w:val="18"/>
                <w:szCs w:val="18"/>
                <w:lang w:val="en-US"/>
              </w:rPr>
            </w:pPr>
          </w:p>
        </w:tc>
        <w:tc>
          <w:tcPr>
            <w:tcW w:w="1066" w:type="dxa"/>
            <w:shd w:val="clear" w:color="auto" w:fill="FFFFFF" w:themeFill="background1"/>
          </w:tcPr>
          <w:p w14:paraId="13D5C863" w14:textId="2E7DF136" w:rsidR="00314559" w:rsidRPr="003B7DC9" w:rsidRDefault="00314559" w:rsidP="00314559">
            <w:pPr>
              <w:jc w:val="center"/>
              <w:rPr>
                <w:rFonts w:ascii="Times New Roman" w:eastAsia="Calibri" w:hAnsi="Times New Roman" w:cs="Times New Roman"/>
                <w:sz w:val="18"/>
                <w:szCs w:val="18"/>
                <w:lang w:val="en-US"/>
              </w:rPr>
            </w:pPr>
          </w:p>
        </w:tc>
        <w:tc>
          <w:tcPr>
            <w:tcW w:w="3060" w:type="dxa"/>
            <w:shd w:val="clear" w:color="auto" w:fill="FFFFFF" w:themeFill="background1"/>
          </w:tcPr>
          <w:p w14:paraId="6D60ABD8" w14:textId="77777777" w:rsidR="00314559" w:rsidRPr="003B7DC9" w:rsidRDefault="00314559" w:rsidP="00314559">
            <w:pPr>
              <w:rPr>
                <w:rFonts w:ascii="Times New Roman" w:eastAsia="Calibri" w:hAnsi="Times New Roman" w:cs="Times New Roman"/>
                <w:sz w:val="18"/>
                <w:szCs w:val="18"/>
                <w:lang w:val="en-US"/>
              </w:rPr>
            </w:pPr>
          </w:p>
          <w:p w14:paraId="0B754CB8" w14:textId="71419E62" w:rsidR="00314559" w:rsidRPr="003B7DC9" w:rsidRDefault="00314559" w:rsidP="00314559">
            <w:pPr>
              <w:rPr>
                <w:rFonts w:ascii="Times New Roman" w:eastAsia="Calibri" w:hAnsi="Times New Roman" w:cs="Times New Roman"/>
                <w:sz w:val="18"/>
                <w:szCs w:val="18"/>
                <w:lang w:val="en-US"/>
              </w:rPr>
            </w:pPr>
          </w:p>
        </w:tc>
      </w:tr>
      <w:bookmarkEnd w:id="6"/>
      <w:tr w:rsidR="00314559" w:rsidRPr="003B7DC9" w14:paraId="2BBC9583" w14:textId="77777777" w:rsidTr="00B75638">
        <w:trPr>
          <w:trHeight w:val="2204"/>
        </w:trPr>
        <w:tc>
          <w:tcPr>
            <w:tcW w:w="630" w:type="dxa"/>
          </w:tcPr>
          <w:p w14:paraId="36644701" w14:textId="77777777" w:rsidR="00314559" w:rsidRPr="003B7DC9" w:rsidRDefault="00314559" w:rsidP="00314559">
            <w:pPr>
              <w:jc w:val="both"/>
              <w:rPr>
                <w:rFonts w:ascii="Times New Roman" w:eastAsia="Calibri" w:hAnsi="Times New Roman" w:cs="Times New Roman"/>
                <w:sz w:val="18"/>
                <w:szCs w:val="18"/>
              </w:rPr>
            </w:pPr>
          </w:p>
        </w:tc>
        <w:tc>
          <w:tcPr>
            <w:tcW w:w="5220" w:type="dxa"/>
          </w:tcPr>
          <w:p w14:paraId="009268CC" w14:textId="77777777" w:rsidR="00314559" w:rsidRPr="003B7DC9" w:rsidRDefault="00314559" w:rsidP="00314559">
            <w:pPr>
              <w:jc w:val="both"/>
              <w:rPr>
                <w:rFonts w:ascii="Times New Roman" w:eastAsia="Calibri" w:hAnsi="Times New Roman" w:cs="Times New Roman"/>
                <w:iCs/>
                <w:sz w:val="18"/>
                <w:szCs w:val="18"/>
                <w:lang w:val="it-CH"/>
              </w:rPr>
            </w:pPr>
          </w:p>
          <w:p w14:paraId="763BC02B" w14:textId="77777777" w:rsidR="00314559" w:rsidRPr="003B7DC9" w:rsidRDefault="00314559" w:rsidP="00314559">
            <w:pPr>
              <w:jc w:val="both"/>
              <w:rPr>
                <w:rFonts w:ascii="Times New Roman" w:eastAsia="Calibri" w:hAnsi="Times New Roman" w:cs="Times New Roman"/>
                <w:b/>
                <w:bCs/>
                <w:iCs/>
                <w:sz w:val="18"/>
                <w:szCs w:val="18"/>
                <w:lang w:val="en-US"/>
              </w:rPr>
            </w:pPr>
            <w:r w:rsidRPr="003B7DC9">
              <w:rPr>
                <w:rFonts w:ascii="Times New Roman" w:eastAsia="Calibri" w:hAnsi="Times New Roman" w:cs="Times New Roman"/>
                <w:b/>
                <w:bCs/>
                <w:iCs/>
                <w:sz w:val="18"/>
                <w:szCs w:val="18"/>
                <w:lang w:val="en-US"/>
              </w:rPr>
              <w:t>Neni 30</w:t>
            </w:r>
          </w:p>
          <w:p w14:paraId="4C990080" w14:textId="77777777" w:rsidR="00314559" w:rsidRPr="003B7DC9" w:rsidRDefault="00314559" w:rsidP="00314559">
            <w:pPr>
              <w:jc w:val="both"/>
              <w:rPr>
                <w:rFonts w:ascii="Times New Roman" w:eastAsia="Calibri" w:hAnsi="Times New Roman" w:cs="Times New Roman"/>
                <w:b/>
                <w:bCs/>
                <w:iCs/>
                <w:sz w:val="18"/>
                <w:szCs w:val="18"/>
                <w:lang w:val="en-US"/>
              </w:rPr>
            </w:pPr>
          </w:p>
          <w:p w14:paraId="6D4839C3" w14:textId="0277E501"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b/>
                <w:bCs/>
                <w:iCs/>
                <w:sz w:val="18"/>
                <w:szCs w:val="18"/>
                <w:lang w:val="en-US"/>
              </w:rPr>
              <w:t>Hyrja në fuqi</w:t>
            </w:r>
          </w:p>
          <w:p w14:paraId="06DCEFB2" w14:textId="77777777" w:rsidR="00314559" w:rsidRPr="003B7DC9" w:rsidRDefault="00314559" w:rsidP="00314559">
            <w:pPr>
              <w:jc w:val="both"/>
              <w:rPr>
                <w:rFonts w:ascii="Times New Roman" w:eastAsia="Calibri" w:hAnsi="Times New Roman" w:cs="Times New Roman"/>
                <w:iCs/>
                <w:sz w:val="18"/>
                <w:szCs w:val="18"/>
                <w:lang w:val="en-US"/>
              </w:rPr>
            </w:pPr>
            <w:r w:rsidRPr="003B7DC9">
              <w:rPr>
                <w:rFonts w:ascii="Times New Roman" w:eastAsia="Calibri" w:hAnsi="Times New Roman" w:cs="Times New Roman"/>
                <w:iCs/>
                <w:sz w:val="18"/>
                <w:szCs w:val="18"/>
                <w:lang w:val="en-US"/>
              </w:rPr>
              <w:t>Kjo direktivë hyn në fuqi në ditën e publikimit të saj në Gazetën Zyrtare të Bashkimit Evropian.</w:t>
            </w:r>
          </w:p>
          <w:p w14:paraId="4004C5F5" w14:textId="2E388CD8" w:rsidR="00314559" w:rsidRPr="003B7DC9" w:rsidRDefault="00314559" w:rsidP="00314559">
            <w:pPr>
              <w:jc w:val="both"/>
              <w:rPr>
                <w:rFonts w:ascii="Times New Roman" w:eastAsia="Calibri" w:hAnsi="Times New Roman" w:cs="Times New Roman"/>
                <w:iCs/>
                <w:sz w:val="18"/>
                <w:szCs w:val="18"/>
                <w:lang w:val="it-CH"/>
              </w:rPr>
            </w:pPr>
          </w:p>
        </w:tc>
        <w:tc>
          <w:tcPr>
            <w:tcW w:w="1170" w:type="dxa"/>
          </w:tcPr>
          <w:p w14:paraId="122B249E" w14:textId="3DEA5301" w:rsidR="00314559" w:rsidRPr="003B7DC9" w:rsidRDefault="00314559" w:rsidP="00314559">
            <w:pPr>
              <w:jc w:val="center"/>
              <w:rPr>
                <w:rFonts w:ascii="Times New Roman" w:eastAsia="Calibri" w:hAnsi="Times New Roman" w:cs="Times New Roman"/>
                <w:sz w:val="18"/>
                <w:szCs w:val="18"/>
                <w:highlight w:val="cyan"/>
              </w:rPr>
            </w:pPr>
            <w:r w:rsidRPr="003B7DC9">
              <w:rPr>
                <w:rFonts w:ascii="Times New Roman" w:eastAsia="Calibri" w:hAnsi="Times New Roman" w:cs="Times New Roman"/>
                <w:sz w:val="18"/>
                <w:szCs w:val="18"/>
              </w:rPr>
              <w:t>1</w:t>
            </w:r>
          </w:p>
        </w:tc>
        <w:tc>
          <w:tcPr>
            <w:tcW w:w="720" w:type="dxa"/>
          </w:tcPr>
          <w:p w14:paraId="1C28885C" w14:textId="6CE33CE5" w:rsidR="00314559" w:rsidRPr="003B7DC9" w:rsidRDefault="00314559" w:rsidP="00314559">
            <w:pPr>
              <w:jc w:val="center"/>
              <w:rPr>
                <w:rFonts w:ascii="Times New Roman" w:eastAsia="Calibri" w:hAnsi="Times New Roman" w:cs="Times New Roman"/>
                <w:sz w:val="18"/>
                <w:szCs w:val="18"/>
                <w:highlight w:val="cyan"/>
                <w:lang w:val="it-CH"/>
              </w:rPr>
            </w:pPr>
            <w:r w:rsidRPr="003B7DC9">
              <w:rPr>
                <w:rFonts w:ascii="Times New Roman" w:eastAsia="Calibri" w:hAnsi="Times New Roman" w:cs="Times New Roman"/>
                <w:sz w:val="18"/>
                <w:szCs w:val="18"/>
                <w:lang w:val="it-CH"/>
              </w:rPr>
              <w:t>N/A</w:t>
            </w:r>
          </w:p>
        </w:tc>
        <w:tc>
          <w:tcPr>
            <w:tcW w:w="4334" w:type="dxa"/>
          </w:tcPr>
          <w:p w14:paraId="5A03E56C" w14:textId="63792374" w:rsidR="00314559" w:rsidRPr="003B7DC9" w:rsidRDefault="00314559" w:rsidP="00314559">
            <w:pPr>
              <w:jc w:val="center"/>
              <w:rPr>
                <w:rFonts w:ascii="Times New Roman" w:hAnsi="Times New Roman" w:cs="Times New Roman"/>
                <w:sz w:val="18"/>
                <w:szCs w:val="18"/>
              </w:rPr>
            </w:pPr>
            <w:r w:rsidRPr="003B7DC9">
              <w:rPr>
                <w:rFonts w:ascii="Times New Roman" w:hAnsi="Times New Roman" w:cs="Times New Roman"/>
                <w:sz w:val="18"/>
                <w:szCs w:val="18"/>
              </w:rPr>
              <w:t>N/A</w:t>
            </w:r>
          </w:p>
        </w:tc>
        <w:tc>
          <w:tcPr>
            <w:tcW w:w="1066" w:type="dxa"/>
          </w:tcPr>
          <w:p w14:paraId="62853C52" w14:textId="6D2E1AF2" w:rsidR="00314559" w:rsidRPr="003B7DC9" w:rsidRDefault="00314559" w:rsidP="00314559">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N/A</w:t>
            </w:r>
          </w:p>
        </w:tc>
        <w:tc>
          <w:tcPr>
            <w:tcW w:w="3060" w:type="dxa"/>
          </w:tcPr>
          <w:p w14:paraId="41ECB9D7" w14:textId="77777777" w:rsidR="00314559" w:rsidRPr="003B7DC9" w:rsidRDefault="00314559" w:rsidP="00314559">
            <w:pPr>
              <w:rPr>
                <w:rFonts w:ascii="Times New Roman" w:eastAsia="Calibri" w:hAnsi="Times New Roman" w:cs="Times New Roman"/>
                <w:sz w:val="18"/>
                <w:szCs w:val="18"/>
              </w:rPr>
            </w:pPr>
          </w:p>
          <w:p w14:paraId="2C67F8B2" w14:textId="620992D9" w:rsidR="00314559" w:rsidRPr="003B7DC9" w:rsidRDefault="00314559" w:rsidP="00314559">
            <w:pPr>
              <w:rPr>
                <w:rFonts w:ascii="Times New Roman" w:eastAsia="Calibri" w:hAnsi="Times New Roman" w:cs="Times New Roman"/>
                <w:sz w:val="18"/>
                <w:szCs w:val="18"/>
              </w:rPr>
            </w:pPr>
          </w:p>
        </w:tc>
      </w:tr>
      <w:tr w:rsidR="00314559" w:rsidRPr="003B7DC9" w14:paraId="3EBFAD9B" w14:textId="77777777" w:rsidTr="00B75638">
        <w:trPr>
          <w:trHeight w:val="854"/>
        </w:trPr>
        <w:tc>
          <w:tcPr>
            <w:tcW w:w="630" w:type="dxa"/>
            <w:shd w:val="clear" w:color="auto" w:fill="FFFFFF" w:themeFill="background1"/>
          </w:tcPr>
          <w:p w14:paraId="7626D77D" w14:textId="77777777" w:rsidR="00314559" w:rsidRPr="003B7DC9" w:rsidRDefault="00314559" w:rsidP="00314559">
            <w:pPr>
              <w:jc w:val="both"/>
              <w:rPr>
                <w:rFonts w:ascii="Times New Roman" w:eastAsia="Calibri" w:hAnsi="Times New Roman" w:cs="Times New Roman"/>
                <w:sz w:val="18"/>
                <w:szCs w:val="18"/>
                <w:lang w:val="en-US"/>
              </w:rPr>
            </w:pPr>
            <w:bookmarkStart w:id="7" w:name="_Hlk227916690"/>
          </w:p>
        </w:tc>
        <w:tc>
          <w:tcPr>
            <w:tcW w:w="5220" w:type="dxa"/>
            <w:shd w:val="clear" w:color="auto" w:fill="FFFFFF" w:themeFill="background1"/>
          </w:tcPr>
          <w:p w14:paraId="76F7B649" w14:textId="77777777" w:rsidR="00314559" w:rsidRPr="003B7DC9" w:rsidRDefault="00314559" w:rsidP="00314559">
            <w:pPr>
              <w:jc w:val="both"/>
              <w:rPr>
                <w:rFonts w:ascii="Times New Roman" w:eastAsia="Calibri" w:hAnsi="Times New Roman" w:cs="Times New Roman"/>
                <w:b/>
                <w:bCs/>
                <w:iCs/>
                <w:sz w:val="18"/>
                <w:szCs w:val="18"/>
              </w:rPr>
            </w:pPr>
            <w:r w:rsidRPr="003B7DC9">
              <w:rPr>
                <w:rFonts w:ascii="Times New Roman" w:eastAsia="Calibri" w:hAnsi="Times New Roman" w:cs="Times New Roman"/>
                <w:b/>
                <w:bCs/>
                <w:iCs/>
                <w:sz w:val="18"/>
                <w:szCs w:val="18"/>
              </w:rPr>
              <w:t>Neni 31</w:t>
            </w:r>
          </w:p>
          <w:p w14:paraId="1818F746"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b/>
                <w:bCs/>
                <w:iCs/>
                <w:sz w:val="18"/>
                <w:szCs w:val="18"/>
              </w:rPr>
              <w:t>Adresuesit</w:t>
            </w:r>
          </w:p>
          <w:p w14:paraId="10D2E983" w14:textId="77777777" w:rsidR="00314559" w:rsidRPr="003B7DC9" w:rsidRDefault="00314559" w:rsidP="00314559">
            <w:pPr>
              <w:jc w:val="both"/>
              <w:rPr>
                <w:rFonts w:ascii="Times New Roman" w:eastAsia="Calibri" w:hAnsi="Times New Roman" w:cs="Times New Roman"/>
                <w:iCs/>
                <w:sz w:val="18"/>
                <w:szCs w:val="18"/>
              </w:rPr>
            </w:pPr>
            <w:r w:rsidRPr="003B7DC9">
              <w:rPr>
                <w:rFonts w:ascii="Times New Roman" w:eastAsia="Calibri" w:hAnsi="Times New Roman" w:cs="Times New Roman"/>
                <w:iCs/>
                <w:sz w:val="18"/>
                <w:szCs w:val="18"/>
              </w:rPr>
              <w:t>Kjo direktivë u drejtohet shteteve anëtare.</w:t>
            </w:r>
          </w:p>
          <w:p w14:paraId="4ABC4DB3" w14:textId="48F78A6B" w:rsidR="00314559" w:rsidRPr="003B7DC9" w:rsidRDefault="00314559" w:rsidP="00314559">
            <w:pPr>
              <w:jc w:val="both"/>
              <w:rPr>
                <w:rFonts w:ascii="Times New Roman" w:eastAsia="Calibri" w:hAnsi="Times New Roman" w:cs="Times New Roman"/>
                <w:iCs/>
                <w:sz w:val="18"/>
                <w:szCs w:val="18"/>
                <w:lang w:val="en-US"/>
              </w:rPr>
            </w:pPr>
          </w:p>
        </w:tc>
        <w:tc>
          <w:tcPr>
            <w:tcW w:w="1170" w:type="dxa"/>
            <w:shd w:val="clear" w:color="auto" w:fill="FFFFFF" w:themeFill="background1"/>
          </w:tcPr>
          <w:p w14:paraId="34FDB9B9" w14:textId="617F2806" w:rsidR="00314559" w:rsidRPr="003B7DC9" w:rsidRDefault="00314559" w:rsidP="004A5803">
            <w:pPr>
              <w:jc w:val="center"/>
              <w:rPr>
                <w:rFonts w:ascii="Times New Roman" w:eastAsia="Calibri" w:hAnsi="Times New Roman" w:cs="Times New Roman"/>
                <w:sz w:val="18"/>
                <w:szCs w:val="18"/>
              </w:rPr>
            </w:pPr>
            <w:r w:rsidRPr="003B7DC9">
              <w:rPr>
                <w:rFonts w:ascii="Times New Roman" w:eastAsia="Calibri" w:hAnsi="Times New Roman" w:cs="Times New Roman"/>
                <w:sz w:val="18"/>
                <w:szCs w:val="18"/>
              </w:rPr>
              <w:t>1</w:t>
            </w:r>
          </w:p>
        </w:tc>
        <w:tc>
          <w:tcPr>
            <w:tcW w:w="720" w:type="dxa"/>
            <w:shd w:val="clear" w:color="auto" w:fill="FFFFFF" w:themeFill="background1"/>
          </w:tcPr>
          <w:p w14:paraId="04CAC50E" w14:textId="73A3D815" w:rsidR="00314559" w:rsidRPr="003B7DC9" w:rsidRDefault="00314559" w:rsidP="00314559">
            <w:pP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N/A</w:t>
            </w:r>
          </w:p>
        </w:tc>
        <w:tc>
          <w:tcPr>
            <w:tcW w:w="4334" w:type="dxa"/>
            <w:shd w:val="clear" w:color="auto" w:fill="FFFFFF" w:themeFill="background1"/>
          </w:tcPr>
          <w:p w14:paraId="71F64B34" w14:textId="2025E1AF" w:rsidR="00314559" w:rsidRPr="003B7DC9" w:rsidRDefault="00314559" w:rsidP="00314559">
            <w:pPr>
              <w:widowControl w:val="0"/>
              <w:tabs>
                <w:tab w:val="left" w:pos="742"/>
                <w:tab w:val="left" w:pos="744"/>
              </w:tabs>
              <w:autoSpaceDE w:val="0"/>
              <w:autoSpaceDN w:val="0"/>
              <w:ind w:right="15"/>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NA</w:t>
            </w:r>
          </w:p>
        </w:tc>
        <w:tc>
          <w:tcPr>
            <w:tcW w:w="1066" w:type="dxa"/>
            <w:shd w:val="clear" w:color="auto" w:fill="FFFFFF" w:themeFill="background1"/>
          </w:tcPr>
          <w:p w14:paraId="10AFEEAC" w14:textId="1E00FFA1" w:rsidR="00314559" w:rsidRPr="003B7DC9" w:rsidRDefault="00314559" w:rsidP="00314559">
            <w:pPr>
              <w:jc w:val="center"/>
              <w:rPr>
                <w:rFonts w:ascii="Times New Roman" w:eastAsia="Calibri" w:hAnsi="Times New Roman" w:cs="Times New Roman"/>
                <w:sz w:val="18"/>
                <w:szCs w:val="18"/>
                <w:lang w:val="en-US"/>
              </w:rPr>
            </w:pPr>
            <w:r w:rsidRPr="003B7DC9">
              <w:rPr>
                <w:rFonts w:ascii="Times New Roman" w:eastAsia="Calibri" w:hAnsi="Times New Roman" w:cs="Times New Roman"/>
                <w:sz w:val="18"/>
                <w:szCs w:val="18"/>
                <w:lang w:val="en-US"/>
              </w:rPr>
              <w:t>N/A</w:t>
            </w:r>
          </w:p>
        </w:tc>
        <w:tc>
          <w:tcPr>
            <w:tcW w:w="3060" w:type="dxa"/>
            <w:shd w:val="clear" w:color="auto" w:fill="FFFFFF" w:themeFill="background1"/>
          </w:tcPr>
          <w:p w14:paraId="4863FBCC" w14:textId="77777777" w:rsidR="00314559" w:rsidRPr="003B7DC9" w:rsidRDefault="00314559" w:rsidP="00314559">
            <w:pPr>
              <w:rPr>
                <w:rFonts w:ascii="Times New Roman" w:eastAsia="Calibri" w:hAnsi="Times New Roman" w:cs="Times New Roman"/>
                <w:sz w:val="18"/>
                <w:szCs w:val="18"/>
                <w:lang w:val="en-US"/>
              </w:rPr>
            </w:pPr>
          </w:p>
        </w:tc>
      </w:tr>
      <w:bookmarkEnd w:id="7"/>
    </w:tbl>
    <w:p w14:paraId="4E2D4073" w14:textId="77777777" w:rsidR="009A20F7" w:rsidRPr="003B7DC9" w:rsidRDefault="009A20F7" w:rsidP="00E172D2">
      <w:pPr>
        <w:spacing w:line="240" w:lineRule="auto"/>
        <w:rPr>
          <w:rFonts w:ascii="Times New Roman" w:hAnsi="Times New Roman" w:cs="Times New Roman"/>
          <w:sz w:val="18"/>
          <w:szCs w:val="18"/>
        </w:rPr>
      </w:pPr>
    </w:p>
    <w:sectPr w:rsidR="009A20F7" w:rsidRPr="003B7DC9" w:rsidSect="003F6C69">
      <w:footerReference w:type="default" r:id="rId8"/>
      <w:pgSz w:w="16838" w:h="11906" w:orient="landscape"/>
      <w:pgMar w:top="1701"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F16E0" w14:textId="77777777" w:rsidR="00603668" w:rsidRDefault="00603668" w:rsidP="00922FEB">
      <w:pPr>
        <w:spacing w:after="0" w:line="240" w:lineRule="auto"/>
      </w:pPr>
      <w:r>
        <w:separator/>
      </w:r>
    </w:p>
  </w:endnote>
  <w:endnote w:type="continuationSeparator" w:id="0">
    <w:p w14:paraId="758F6775" w14:textId="77777777" w:rsidR="00603668" w:rsidRDefault="00603668"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083B6995" w:rsidR="0046493E" w:rsidRDefault="0046493E">
    <w:pPr>
      <w:pStyle w:val="Footer"/>
    </w:pPr>
    <w:r>
      <w:fldChar w:fldCharType="begin"/>
    </w:r>
    <w:r>
      <w:instrText>PAGE   \* MERGEFORMAT</w:instrText>
    </w:r>
    <w:r>
      <w:fldChar w:fldCharType="separate"/>
    </w:r>
    <w:r w:rsidRPr="00CF5458">
      <w:rPr>
        <w:noProof/>
        <w:lang w:val="sq-AL"/>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36C70" w14:textId="77777777" w:rsidR="00603668" w:rsidRDefault="00603668" w:rsidP="00922FEB">
      <w:pPr>
        <w:spacing w:after="0" w:line="240" w:lineRule="auto"/>
      </w:pPr>
      <w:r>
        <w:separator/>
      </w:r>
    </w:p>
  </w:footnote>
  <w:footnote w:type="continuationSeparator" w:id="0">
    <w:p w14:paraId="01F198E9" w14:textId="77777777" w:rsidR="00603668" w:rsidRDefault="00603668" w:rsidP="0092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0EA"/>
    <w:multiLevelType w:val="multilevel"/>
    <w:tmpl w:val="BA4EBC88"/>
    <w:lvl w:ilvl="0">
      <w:start w:val="1"/>
      <w:numFmt w:val="decimal"/>
      <w:lvlText w:val="%1."/>
      <w:lvlJc w:val="left"/>
      <w:pPr>
        <w:tabs>
          <w:tab w:val="num" w:pos="1260"/>
        </w:tabs>
        <w:ind w:left="1260" w:hanging="360"/>
      </w:pPr>
    </w:lvl>
    <w:lvl w:ilvl="1" w:tentative="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1" w15:restartNumberingAfterBreak="0">
    <w:nsid w:val="013D3498"/>
    <w:multiLevelType w:val="multilevel"/>
    <w:tmpl w:val="E50A43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5E6CA6"/>
    <w:multiLevelType w:val="multilevel"/>
    <w:tmpl w:val="E5CA0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6D2B98"/>
    <w:multiLevelType w:val="multilevel"/>
    <w:tmpl w:val="406E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042770"/>
    <w:multiLevelType w:val="multilevel"/>
    <w:tmpl w:val="3640A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6E6F75"/>
    <w:multiLevelType w:val="multilevel"/>
    <w:tmpl w:val="4DB81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7916DE"/>
    <w:multiLevelType w:val="multilevel"/>
    <w:tmpl w:val="E92E2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DC755A"/>
    <w:multiLevelType w:val="multilevel"/>
    <w:tmpl w:val="79B44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F257A0"/>
    <w:multiLevelType w:val="multilevel"/>
    <w:tmpl w:val="CA20A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3E37BB"/>
    <w:multiLevelType w:val="multilevel"/>
    <w:tmpl w:val="5E401E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B868B6"/>
    <w:multiLevelType w:val="multilevel"/>
    <w:tmpl w:val="BE1E20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467F3F"/>
    <w:multiLevelType w:val="multilevel"/>
    <w:tmpl w:val="CB0E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CF049E"/>
    <w:multiLevelType w:val="multilevel"/>
    <w:tmpl w:val="965A7A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FC1734"/>
    <w:multiLevelType w:val="multilevel"/>
    <w:tmpl w:val="CCB6EC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962E91"/>
    <w:multiLevelType w:val="multilevel"/>
    <w:tmpl w:val="6B925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BA15B77"/>
    <w:multiLevelType w:val="multilevel"/>
    <w:tmpl w:val="715C75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6C4762"/>
    <w:multiLevelType w:val="multilevel"/>
    <w:tmpl w:val="6986BA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E2005B3"/>
    <w:multiLevelType w:val="multilevel"/>
    <w:tmpl w:val="BB901D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3D6851"/>
    <w:multiLevelType w:val="hybridMultilevel"/>
    <w:tmpl w:val="75E2E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5B752F"/>
    <w:multiLevelType w:val="multilevel"/>
    <w:tmpl w:val="C08404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0A3242"/>
    <w:multiLevelType w:val="multilevel"/>
    <w:tmpl w:val="A7201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F277ADA"/>
    <w:multiLevelType w:val="multilevel"/>
    <w:tmpl w:val="B4BAB7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F5A159C"/>
    <w:multiLevelType w:val="multilevel"/>
    <w:tmpl w:val="4AB696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01E0B34"/>
    <w:multiLevelType w:val="multilevel"/>
    <w:tmpl w:val="EE7476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9E2B8A"/>
    <w:multiLevelType w:val="hybridMultilevel"/>
    <w:tmpl w:val="47480480"/>
    <w:lvl w:ilvl="0" w:tplc="0409000F">
      <w:start w:val="1"/>
      <w:numFmt w:val="decimal"/>
      <w:lvlText w:val="%1."/>
      <w:lvlJc w:val="left"/>
      <w:pPr>
        <w:ind w:left="720" w:hanging="360"/>
      </w:pPr>
    </w:lvl>
    <w:lvl w:ilvl="1" w:tplc="E1D8A12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31417C"/>
    <w:multiLevelType w:val="multilevel"/>
    <w:tmpl w:val="C69498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25E549A"/>
    <w:multiLevelType w:val="multilevel"/>
    <w:tmpl w:val="AF748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27D7932"/>
    <w:multiLevelType w:val="hybridMultilevel"/>
    <w:tmpl w:val="8D52F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3820A5E"/>
    <w:multiLevelType w:val="multilevel"/>
    <w:tmpl w:val="DAB60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49F567E"/>
    <w:multiLevelType w:val="multilevel"/>
    <w:tmpl w:val="B16C0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5102948"/>
    <w:multiLevelType w:val="multilevel"/>
    <w:tmpl w:val="AFC6B4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68F3279"/>
    <w:multiLevelType w:val="multilevel"/>
    <w:tmpl w:val="ED3A8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6AC6E0B"/>
    <w:multiLevelType w:val="multilevel"/>
    <w:tmpl w:val="F5BE3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7F01243"/>
    <w:multiLevelType w:val="multilevel"/>
    <w:tmpl w:val="AAB0C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88B31F6"/>
    <w:multiLevelType w:val="multilevel"/>
    <w:tmpl w:val="CCC8D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A072E37"/>
    <w:multiLevelType w:val="multilevel"/>
    <w:tmpl w:val="46940F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A2D55B7"/>
    <w:multiLevelType w:val="multilevel"/>
    <w:tmpl w:val="C1069CBC"/>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B037E29"/>
    <w:multiLevelType w:val="multilevel"/>
    <w:tmpl w:val="A0A20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925887"/>
    <w:multiLevelType w:val="multilevel"/>
    <w:tmpl w:val="E3FCC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B0619A"/>
    <w:multiLevelType w:val="multilevel"/>
    <w:tmpl w:val="45AE8A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F884993"/>
    <w:multiLevelType w:val="multilevel"/>
    <w:tmpl w:val="88ACCC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FBD57BE"/>
    <w:multiLevelType w:val="multilevel"/>
    <w:tmpl w:val="BE3C8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FF944CD"/>
    <w:multiLevelType w:val="multilevel"/>
    <w:tmpl w:val="4DBA60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0BA32C8"/>
    <w:multiLevelType w:val="multilevel"/>
    <w:tmpl w:val="C660F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1F2705C"/>
    <w:multiLevelType w:val="multilevel"/>
    <w:tmpl w:val="806AD9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3A36E1B"/>
    <w:multiLevelType w:val="multilevel"/>
    <w:tmpl w:val="98D0F4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5764BB1"/>
    <w:multiLevelType w:val="multilevel"/>
    <w:tmpl w:val="FB92A53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5D64B84"/>
    <w:multiLevelType w:val="multilevel"/>
    <w:tmpl w:val="BAFE1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5FB54A8"/>
    <w:multiLevelType w:val="multilevel"/>
    <w:tmpl w:val="F32CA6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78A1572"/>
    <w:multiLevelType w:val="multilevel"/>
    <w:tmpl w:val="DEB8B5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7E64EC1"/>
    <w:multiLevelType w:val="multilevel"/>
    <w:tmpl w:val="406E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A0D7D3E"/>
    <w:multiLevelType w:val="hybridMultilevel"/>
    <w:tmpl w:val="2FBCC92A"/>
    <w:lvl w:ilvl="0" w:tplc="3B64F2A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A3C0BF1"/>
    <w:multiLevelType w:val="hybridMultilevel"/>
    <w:tmpl w:val="CF4C1B1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B076688"/>
    <w:multiLevelType w:val="hybridMultilevel"/>
    <w:tmpl w:val="8162FAD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703001"/>
    <w:multiLevelType w:val="multilevel"/>
    <w:tmpl w:val="99E8C26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C0D1C9A"/>
    <w:multiLevelType w:val="multilevel"/>
    <w:tmpl w:val="D46E3C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DD45F35"/>
    <w:multiLevelType w:val="multilevel"/>
    <w:tmpl w:val="74348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E472907"/>
    <w:multiLevelType w:val="multilevel"/>
    <w:tmpl w:val="4B240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EFD6110"/>
    <w:multiLevelType w:val="multilevel"/>
    <w:tmpl w:val="D272D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0445B25"/>
    <w:multiLevelType w:val="multilevel"/>
    <w:tmpl w:val="C46270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2CA1BF7"/>
    <w:multiLevelType w:val="multilevel"/>
    <w:tmpl w:val="22D237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52F1454"/>
    <w:multiLevelType w:val="multilevel"/>
    <w:tmpl w:val="10B66F10"/>
    <w:lvl w:ilvl="0">
      <w:start w:val="1"/>
      <w:numFmt w:val="decimal"/>
      <w:lvlText w:val="%1."/>
      <w:lvlJc w:val="left"/>
      <w:pPr>
        <w:tabs>
          <w:tab w:val="num" w:pos="720"/>
        </w:tabs>
        <w:ind w:left="720" w:hanging="360"/>
      </w:pPr>
      <w:rPr>
        <w:b w:val="0"/>
        <w:bCs/>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5EF3E9A"/>
    <w:multiLevelType w:val="multilevel"/>
    <w:tmpl w:val="D53292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78C3FB1"/>
    <w:multiLevelType w:val="multilevel"/>
    <w:tmpl w:val="5C5E0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9FB20B3"/>
    <w:multiLevelType w:val="hybridMultilevel"/>
    <w:tmpl w:val="335EEFEE"/>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B9753F0"/>
    <w:multiLevelType w:val="multilevel"/>
    <w:tmpl w:val="D53E6A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BED21BC"/>
    <w:multiLevelType w:val="hybridMultilevel"/>
    <w:tmpl w:val="4BFEE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C6826B3"/>
    <w:multiLevelType w:val="multilevel"/>
    <w:tmpl w:val="BA18C1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CC92739"/>
    <w:multiLevelType w:val="multilevel"/>
    <w:tmpl w:val="EA508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D7C710D"/>
    <w:multiLevelType w:val="multilevel"/>
    <w:tmpl w:val="8DF0AE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DC86403"/>
    <w:multiLevelType w:val="multilevel"/>
    <w:tmpl w:val="17C07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EA74F63"/>
    <w:multiLevelType w:val="multilevel"/>
    <w:tmpl w:val="8A627B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02E628C"/>
    <w:multiLevelType w:val="multilevel"/>
    <w:tmpl w:val="A6A21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0745DFB"/>
    <w:multiLevelType w:val="multilevel"/>
    <w:tmpl w:val="43B014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25278F3"/>
    <w:multiLevelType w:val="multilevel"/>
    <w:tmpl w:val="CDBC61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26F4E8B"/>
    <w:multiLevelType w:val="multilevel"/>
    <w:tmpl w:val="F450667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31964C3"/>
    <w:multiLevelType w:val="multilevel"/>
    <w:tmpl w:val="C9042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3CE6578"/>
    <w:multiLevelType w:val="multilevel"/>
    <w:tmpl w:val="E840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44A1601"/>
    <w:multiLevelType w:val="multilevel"/>
    <w:tmpl w:val="B358A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4C73CFC"/>
    <w:multiLevelType w:val="multilevel"/>
    <w:tmpl w:val="89D68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55759AF"/>
    <w:multiLevelType w:val="multilevel"/>
    <w:tmpl w:val="893E9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6D33DD2"/>
    <w:multiLevelType w:val="multilevel"/>
    <w:tmpl w:val="B0727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7B125AA"/>
    <w:multiLevelType w:val="multilevel"/>
    <w:tmpl w:val="516AD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8C2724B"/>
    <w:multiLevelType w:val="multilevel"/>
    <w:tmpl w:val="1512BA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BE96D60"/>
    <w:multiLevelType w:val="multilevel"/>
    <w:tmpl w:val="9648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CA93092"/>
    <w:multiLevelType w:val="multilevel"/>
    <w:tmpl w:val="2C3C7D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D3F419D"/>
    <w:multiLevelType w:val="multilevel"/>
    <w:tmpl w:val="EEA27E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D4B77A8"/>
    <w:multiLevelType w:val="multilevel"/>
    <w:tmpl w:val="6DB08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E1E1258"/>
    <w:multiLevelType w:val="multilevel"/>
    <w:tmpl w:val="D94AA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ECB1085"/>
    <w:multiLevelType w:val="multilevel"/>
    <w:tmpl w:val="C2C0B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EE86726"/>
    <w:multiLevelType w:val="hybridMultilevel"/>
    <w:tmpl w:val="20C44C6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FC74CFF"/>
    <w:multiLevelType w:val="multilevel"/>
    <w:tmpl w:val="4CB6585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FDA280D"/>
    <w:multiLevelType w:val="multilevel"/>
    <w:tmpl w:val="4E7E9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05F04C8"/>
    <w:multiLevelType w:val="hybridMultilevel"/>
    <w:tmpl w:val="FE42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0C13FE3"/>
    <w:multiLevelType w:val="multilevel"/>
    <w:tmpl w:val="69E25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21366C7"/>
    <w:multiLevelType w:val="hybridMultilevel"/>
    <w:tmpl w:val="2FBCC92A"/>
    <w:lvl w:ilvl="0" w:tplc="3B64F2A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387339A"/>
    <w:multiLevelType w:val="multilevel"/>
    <w:tmpl w:val="B51CA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3E41FDC"/>
    <w:multiLevelType w:val="multilevel"/>
    <w:tmpl w:val="06F8C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64267F7"/>
    <w:multiLevelType w:val="multilevel"/>
    <w:tmpl w:val="7CB6E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8284FAB"/>
    <w:multiLevelType w:val="multilevel"/>
    <w:tmpl w:val="471A2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8755349"/>
    <w:multiLevelType w:val="hybridMultilevel"/>
    <w:tmpl w:val="FE42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90C5BCF"/>
    <w:multiLevelType w:val="multilevel"/>
    <w:tmpl w:val="D9AA0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A6512B5"/>
    <w:multiLevelType w:val="multilevel"/>
    <w:tmpl w:val="CBB6A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B837252"/>
    <w:multiLevelType w:val="multilevel"/>
    <w:tmpl w:val="19482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CB0132B"/>
    <w:multiLevelType w:val="multilevel"/>
    <w:tmpl w:val="0D5AA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D1006A6"/>
    <w:multiLevelType w:val="multilevel"/>
    <w:tmpl w:val="7F00C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E496513"/>
    <w:multiLevelType w:val="multilevel"/>
    <w:tmpl w:val="C1FA2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F0504A9"/>
    <w:multiLevelType w:val="multilevel"/>
    <w:tmpl w:val="406E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F3676A6"/>
    <w:multiLevelType w:val="multilevel"/>
    <w:tmpl w:val="36A481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00B465C"/>
    <w:multiLevelType w:val="multilevel"/>
    <w:tmpl w:val="F5E4F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0D9410B"/>
    <w:multiLevelType w:val="multilevel"/>
    <w:tmpl w:val="089C8D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2563E30"/>
    <w:multiLevelType w:val="multilevel"/>
    <w:tmpl w:val="F5A67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31B3C73"/>
    <w:multiLevelType w:val="multilevel"/>
    <w:tmpl w:val="960246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3E814BC"/>
    <w:multiLevelType w:val="multilevel"/>
    <w:tmpl w:val="381CED3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4027FBB"/>
    <w:multiLevelType w:val="multilevel"/>
    <w:tmpl w:val="190AE2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42D6BE0"/>
    <w:multiLevelType w:val="multilevel"/>
    <w:tmpl w:val="76B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6F75FCE"/>
    <w:multiLevelType w:val="multilevel"/>
    <w:tmpl w:val="623C15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71F60E2"/>
    <w:multiLevelType w:val="multilevel"/>
    <w:tmpl w:val="017401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74B775B"/>
    <w:multiLevelType w:val="multilevel"/>
    <w:tmpl w:val="44B89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7D51811"/>
    <w:multiLevelType w:val="multilevel"/>
    <w:tmpl w:val="FDD460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9FC2D13"/>
    <w:multiLevelType w:val="multilevel"/>
    <w:tmpl w:val="F9BEB1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A5879B7"/>
    <w:multiLevelType w:val="multilevel"/>
    <w:tmpl w:val="55400A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ADC3F88"/>
    <w:multiLevelType w:val="multilevel"/>
    <w:tmpl w:val="F4CCDA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B0E4E43"/>
    <w:multiLevelType w:val="multilevel"/>
    <w:tmpl w:val="293081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B8759CE"/>
    <w:multiLevelType w:val="hybridMultilevel"/>
    <w:tmpl w:val="1B6EB6E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C07294D"/>
    <w:multiLevelType w:val="multilevel"/>
    <w:tmpl w:val="32DCB0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C234B7B"/>
    <w:multiLevelType w:val="multilevel"/>
    <w:tmpl w:val="D7D82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CF2448A"/>
    <w:multiLevelType w:val="multilevel"/>
    <w:tmpl w:val="330005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E3005EB"/>
    <w:multiLevelType w:val="multilevel"/>
    <w:tmpl w:val="88663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F4D26DD"/>
    <w:multiLevelType w:val="multilevel"/>
    <w:tmpl w:val="330CA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FBA03FF"/>
    <w:multiLevelType w:val="multilevel"/>
    <w:tmpl w:val="DF4E61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FCB1B8D"/>
    <w:multiLevelType w:val="hybridMultilevel"/>
    <w:tmpl w:val="271EF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0C7587C"/>
    <w:multiLevelType w:val="multilevel"/>
    <w:tmpl w:val="C94297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0E438B1"/>
    <w:multiLevelType w:val="multilevel"/>
    <w:tmpl w:val="4148D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1227F27"/>
    <w:multiLevelType w:val="multilevel"/>
    <w:tmpl w:val="C52CCB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18C64B8"/>
    <w:multiLevelType w:val="multilevel"/>
    <w:tmpl w:val="58AACD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1B74189"/>
    <w:multiLevelType w:val="multilevel"/>
    <w:tmpl w:val="ED5C61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1C96C26"/>
    <w:multiLevelType w:val="multilevel"/>
    <w:tmpl w:val="72F80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5132883"/>
    <w:multiLevelType w:val="multilevel"/>
    <w:tmpl w:val="A3BE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52012F8"/>
    <w:multiLevelType w:val="multilevel"/>
    <w:tmpl w:val="F4B8B6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71C389E"/>
    <w:multiLevelType w:val="multilevel"/>
    <w:tmpl w:val="A614EB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9B266E3"/>
    <w:multiLevelType w:val="multilevel"/>
    <w:tmpl w:val="CB340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B1D4F13"/>
    <w:multiLevelType w:val="multilevel"/>
    <w:tmpl w:val="7EEEE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CB3330E"/>
    <w:multiLevelType w:val="multilevel"/>
    <w:tmpl w:val="D6F06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E6C434D"/>
    <w:multiLevelType w:val="multilevel"/>
    <w:tmpl w:val="6614A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F012603"/>
    <w:multiLevelType w:val="multilevel"/>
    <w:tmpl w:val="F5A08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F9F55D1"/>
    <w:multiLevelType w:val="multilevel"/>
    <w:tmpl w:val="079C6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1616943">
    <w:abstractNumId w:val="18"/>
  </w:num>
  <w:num w:numId="2" w16cid:durableId="1183327634">
    <w:abstractNumId w:val="131"/>
  </w:num>
  <w:num w:numId="3" w16cid:durableId="455948701">
    <w:abstractNumId w:val="145"/>
  </w:num>
  <w:num w:numId="4" w16cid:durableId="2145541693">
    <w:abstractNumId w:val="6"/>
  </w:num>
  <w:num w:numId="5" w16cid:durableId="843129264">
    <w:abstractNumId w:val="80"/>
  </w:num>
  <w:num w:numId="6" w16cid:durableId="955909749">
    <w:abstractNumId w:val="29"/>
  </w:num>
  <w:num w:numId="7" w16cid:durableId="102310013">
    <w:abstractNumId w:val="35"/>
  </w:num>
  <w:num w:numId="8" w16cid:durableId="1320426556">
    <w:abstractNumId w:val="68"/>
  </w:num>
  <w:num w:numId="9" w16cid:durableId="608392520">
    <w:abstractNumId w:val="140"/>
  </w:num>
  <w:num w:numId="10" w16cid:durableId="577717469">
    <w:abstractNumId w:val="15"/>
  </w:num>
  <w:num w:numId="11" w16cid:durableId="527374219">
    <w:abstractNumId w:val="76"/>
  </w:num>
  <w:num w:numId="12" w16cid:durableId="939872325">
    <w:abstractNumId w:val="69"/>
  </w:num>
  <w:num w:numId="13" w16cid:durableId="1692147015">
    <w:abstractNumId w:val="13"/>
  </w:num>
  <w:num w:numId="14" w16cid:durableId="641424399">
    <w:abstractNumId w:val="74"/>
  </w:num>
  <w:num w:numId="15" w16cid:durableId="1315451866">
    <w:abstractNumId w:val="1"/>
  </w:num>
  <w:num w:numId="16" w16cid:durableId="1849640526">
    <w:abstractNumId w:val="125"/>
  </w:num>
  <w:num w:numId="17" w16cid:durableId="345251063">
    <w:abstractNumId w:val="89"/>
  </w:num>
  <w:num w:numId="18" w16cid:durableId="1234975294">
    <w:abstractNumId w:val="136"/>
  </w:num>
  <w:num w:numId="19" w16cid:durableId="585572380">
    <w:abstractNumId w:val="86"/>
  </w:num>
  <w:num w:numId="20" w16cid:durableId="544484545">
    <w:abstractNumId w:val="17"/>
  </w:num>
  <w:num w:numId="21" w16cid:durableId="1739785975">
    <w:abstractNumId w:val="117"/>
  </w:num>
  <w:num w:numId="22" w16cid:durableId="1489707966">
    <w:abstractNumId w:val="67"/>
  </w:num>
  <w:num w:numId="23" w16cid:durableId="1956980145">
    <w:abstractNumId w:val="87"/>
  </w:num>
  <w:num w:numId="24" w16cid:durableId="1472793514">
    <w:abstractNumId w:val="49"/>
  </w:num>
  <w:num w:numId="25" w16cid:durableId="1802992690">
    <w:abstractNumId w:val="141"/>
  </w:num>
  <w:num w:numId="26" w16cid:durableId="40831118">
    <w:abstractNumId w:val="28"/>
  </w:num>
  <w:num w:numId="27" w16cid:durableId="1697383226">
    <w:abstractNumId w:val="130"/>
  </w:num>
  <w:num w:numId="28" w16cid:durableId="1093164031">
    <w:abstractNumId w:val="10"/>
  </w:num>
  <w:num w:numId="29" w16cid:durableId="1381631230">
    <w:abstractNumId w:val="108"/>
  </w:num>
  <w:num w:numId="30" w16cid:durableId="166018743">
    <w:abstractNumId w:val="62"/>
  </w:num>
  <w:num w:numId="31" w16cid:durableId="346449602">
    <w:abstractNumId w:val="75"/>
  </w:num>
  <w:num w:numId="32" w16cid:durableId="1113087094">
    <w:abstractNumId w:val="46"/>
  </w:num>
  <w:num w:numId="33" w16cid:durableId="1997176135">
    <w:abstractNumId w:val="91"/>
  </w:num>
  <w:num w:numId="34" w16cid:durableId="2015261336">
    <w:abstractNumId w:val="54"/>
  </w:num>
  <w:num w:numId="35" w16cid:durableId="909584236">
    <w:abstractNumId w:val="38"/>
  </w:num>
  <w:num w:numId="36" w16cid:durableId="44061119">
    <w:abstractNumId w:val="40"/>
  </w:num>
  <w:num w:numId="37" w16cid:durableId="1594583520">
    <w:abstractNumId w:val="19"/>
  </w:num>
  <w:num w:numId="38" w16cid:durableId="1233663749">
    <w:abstractNumId w:val="98"/>
  </w:num>
  <w:num w:numId="39" w16cid:durableId="2030637856">
    <w:abstractNumId w:val="48"/>
  </w:num>
  <w:num w:numId="40" w16cid:durableId="1644121445">
    <w:abstractNumId w:val="114"/>
  </w:num>
  <w:num w:numId="41" w16cid:durableId="1877235380">
    <w:abstractNumId w:val="113"/>
  </w:num>
  <w:num w:numId="42" w16cid:durableId="1912160310">
    <w:abstractNumId w:val="94"/>
  </w:num>
  <w:num w:numId="43" w16cid:durableId="376785832">
    <w:abstractNumId w:val="16"/>
  </w:num>
  <w:num w:numId="44" w16cid:durableId="480780361">
    <w:abstractNumId w:val="70"/>
  </w:num>
  <w:num w:numId="45" w16cid:durableId="800850236">
    <w:abstractNumId w:val="96"/>
  </w:num>
  <w:num w:numId="46" w16cid:durableId="2130932126">
    <w:abstractNumId w:val="104"/>
  </w:num>
  <w:num w:numId="47" w16cid:durableId="1557543871">
    <w:abstractNumId w:val="8"/>
  </w:num>
  <w:num w:numId="48" w16cid:durableId="283970594">
    <w:abstractNumId w:val="33"/>
  </w:num>
  <w:num w:numId="49" w16cid:durableId="1801074185">
    <w:abstractNumId w:val="120"/>
  </w:num>
  <w:num w:numId="50" w16cid:durableId="845679831">
    <w:abstractNumId w:val="71"/>
  </w:num>
  <w:num w:numId="51" w16cid:durableId="1765687796">
    <w:abstractNumId w:val="20"/>
  </w:num>
  <w:num w:numId="52" w16cid:durableId="1872722526">
    <w:abstractNumId w:val="134"/>
  </w:num>
  <w:num w:numId="53" w16cid:durableId="36852790">
    <w:abstractNumId w:val="12"/>
  </w:num>
  <w:num w:numId="54" w16cid:durableId="686060133">
    <w:abstractNumId w:val="26"/>
  </w:num>
  <w:num w:numId="55" w16cid:durableId="1450853044">
    <w:abstractNumId w:val="123"/>
  </w:num>
  <w:num w:numId="56" w16cid:durableId="1618871153">
    <w:abstractNumId w:val="127"/>
  </w:num>
  <w:num w:numId="57" w16cid:durableId="15663700">
    <w:abstractNumId w:val="23"/>
  </w:num>
  <w:num w:numId="58" w16cid:durableId="1792094043">
    <w:abstractNumId w:val="78"/>
  </w:num>
  <w:num w:numId="59" w16cid:durableId="205678940">
    <w:abstractNumId w:val="56"/>
  </w:num>
  <w:num w:numId="60" w16cid:durableId="2123844067">
    <w:abstractNumId w:val="118"/>
  </w:num>
  <w:num w:numId="61" w16cid:durableId="1812477087">
    <w:abstractNumId w:val="138"/>
  </w:num>
  <w:num w:numId="62" w16cid:durableId="491260835">
    <w:abstractNumId w:val="112"/>
  </w:num>
  <w:num w:numId="63" w16cid:durableId="1068915512">
    <w:abstractNumId w:val="21"/>
  </w:num>
  <w:num w:numId="64" w16cid:durableId="1139347165">
    <w:abstractNumId w:val="132"/>
  </w:num>
  <w:num w:numId="65" w16cid:durableId="571041370">
    <w:abstractNumId w:val="25"/>
  </w:num>
  <w:num w:numId="66" w16cid:durableId="1245646871">
    <w:abstractNumId w:val="115"/>
  </w:num>
  <w:num w:numId="67" w16cid:durableId="2105375008">
    <w:abstractNumId w:val="0"/>
  </w:num>
  <w:num w:numId="68" w16cid:durableId="1346712016">
    <w:abstractNumId w:val="36"/>
  </w:num>
  <w:num w:numId="69" w16cid:durableId="1013191441">
    <w:abstractNumId w:val="139"/>
  </w:num>
  <w:num w:numId="70" w16cid:durableId="751395538">
    <w:abstractNumId w:val="45"/>
  </w:num>
  <w:num w:numId="71" w16cid:durableId="597062147">
    <w:abstractNumId w:val="111"/>
  </w:num>
  <w:num w:numId="72" w16cid:durableId="634413381">
    <w:abstractNumId w:val="116"/>
  </w:num>
  <w:num w:numId="73" w16cid:durableId="270089855">
    <w:abstractNumId w:val="42"/>
  </w:num>
  <w:num w:numId="74" w16cid:durableId="1312636265">
    <w:abstractNumId w:val="110"/>
  </w:num>
  <w:num w:numId="75" w16cid:durableId="951743836">
    <w:abstractNumId w:val="39"/>
  </w:num>
  <w:num w:numId="76" w16cid:durableId="1073350971">
    <w:abstractNumId w:val="44"/>
  </w:num>
  <w:num w:numId="77" w16cid:durableId="1451899094">
    <w:abstractNumId w:val="58"/>
  </w:num>
  <w:num w:numId="78" w16cid:durableId="1349526081">
    <w:abstractNumId w:val="128"/>
  </w:num>
  <w:num w:numId="79" w16cid:durableId="893977201">
    <w:abstractNumId w:val="109"/>
  </w:num>
  <w:num w:numId="80" w16cid:durableId="313338896">
    <w:abstractNumId w:val="81"/>
  </w:num>
  <w:num w:numId="81" w16cid:durableId="1988824763">
    <w:abstractNumId w:val="84"/>
  </w:num>
  <w:num w:numId="82" w16cid:durableId="743188735">
    <w:abstractNumId w:val="22"/>
  </w:num>
  <w:num w:numId="83" w16cid:durableId="708720200">
    <w:abstractNumId w:val="85"/>
  </w:num>
  <w:num w:numId="84" w16cid:durableId="1045106819">
    <w:abstractNumId w:val="83"/>
  </w:num>
  <w:num w:numId="85" w16cid:durableId="1997493096">
    <w:abstractNumId w:val="105"/>
  </w:num>
  <w:num w:numId="86" w16cid:durableId="1112474242">
    <w:abstractNumId w:val="121"/>
  </w:num>
  <w:num w:numId="87" w16cid:durableId="1190139997">
    <w:abstractNumId w:val="92"/>
  </w:num>
  <w:num w:numId="88" w16cid:durableId="1490902702">
    <w:abstractNumId w:val="34"/>
  </w:num>
  <w:num w:numId="89" w16cid:durableId="1838108603">
    <w:abstractNumId w:val="9"/>
  </w:num>
  <w:num w:numId="90" w16cid:durableId="259916326">
    <w:abstractNumId w:val="14"/>
  </w:num>
  <w:num w:numId="91" w16cid:durableId="1529829741">
    <w:abstractNumId w:val="59"/>
  </w:num>
  <w:num w:numId="92" w16cid:durableId="540630301">
    <w:abstractNumId w:val="55"/>
  </w:num>
  <w:num w:numId="93" w16cid:durableId="733742446">
    <w:abstractNumId w:val="135"/>
  </w:num>
  <w:num w:numId="94" w16cid:durableId="1090272647">
    <w:abstractNumId w:val="60"/>
  </w:num>
  <w:num w:numId="95" w16cid:durableId="851066738">
    <w:abstractNumId w:val="63"/>
  </w:num>
  <w:num w:numId="96" w16cid:durableId="1168443026">
    <w:abstractNumId w:val="73"/>
  </w:num>
  <w:num w:numId="97" w16cid:durableId="1782533360">
    <w:abstractNumId w:val="103"/>
  </w:num>
  <w:num w:numId="98" w16cid:durableId="1677686928">
    <w:abstractNumId w:val="57"/>
  </w:num>
  <w:num w:numId="99" w16cid:durableId="1095589596">
    <w:abstractNumId w:val="65"/>
  </w:num>
  <w:num w:numId="100" w16cid:durableId="1155413954">
    <w:abstractNumId w:val="144"/>
  </w:num>
  <w:num w:numId="101" w16cid:durableId="34738449">
    <w:abstractNumId w:val="137"/>
  </w:num>
  <w:num w:numId="102" w16cid:durableId="703942847">
    <w:abstractNumId w:val="122"/>
  </w:num>
  <w:num w:numId="103" w16cid:durableId="524637445">
    <w:abstractNumId w:val="30"/>
  </w:num>
  <w:num w:numId="104" w16cid:durableId="1271627112">
    <w:abstractNumId w:val="4"/>
  </w:num>
  <w:num w:numId="105" w16cid:durableId="1456409636">
    <w:abstractNumId w:val="129"/>
  </w:num>
  <w:num w:numId="106" w16cid:durableId="1347052310">
    <w:abstractNumId w:val="97"/>
  </w:num>
  <w:num w:numId="107" w16cid:durableId="1334870002">
    <w:abstractNumId w:val="106"/>
  </w:num>
  <w:num w:numId="108" w16cid:durableId="1507476093">
    <w:abstractNumId w:val="2"/>
  </w:num>
  <w:num w:numId="109" w16cid:durableId="339627839">
    <w:abstractNumId w:val="53"/>
  </w:num>
  <w:num w:numId="110" w16cid:durableId="1015573721">
    <w:abstractNumId w:val="90"/>
  </w:num>
  <w:num w:numId="111" w16cid:durableId="902448827">
    <w:abstractNumId w:val="64"/>
  </w:num>
  <w:num w:numId="112" w16cid:durableId="1630353263">
    <w:abstractNumId w:val="126"/>
  </w:num>
  <w:num w:numId="113" w16cid:durableId="1780177749">
    <w:abstractNumId w:val="142"/>
  </w:num>
  <w:num w:numId="114" w16cid:durableId="74594386">
    <w:abstractNumId w:val="124"/>
  </w:num>
  <w:num w:numId="115" w16cid:durableId="602615608">
    <w:abstractNumId w:val="52"/>
  </w:num>
  <w:num w:numId="116" w16cid:durableId="289435543">
    <w:abstractNumId w:val="5"/>
  </w:num>
  <w:num w:numId="117" w16cid:durableId="40521179">
    <w:abstractNumId w:val="101"/>
  </w:num>
  <w:num w:numId="118" w16cid:durableId="1334256622">
    <w:abstractNumId w:val="102"/>
  </w:num>
  <w:num w:numId="119" w16cid:durableId="2033335225">
    <w:abstractNumId w:val="82"/>
  </w:num>
  <w:num w:numId="120" w16cid:durableId="1711412411">
    <w:abstractNumId w:val="88"/>
  </w:num>
  <w:num w:numId="121" w16cid:durableId="567888902">
    <w:abstractNumId w:val="11"/>
  </w:num>
  <w:num w:numId="122" w16cid:durableId="1822304835">
    <w:abstractNumId w:val="143"/>
  </w:num>
  <w:num w:numId="123" w16cid:durableId="382022777">
    <w:abstractNumId w:val="146"/>
  </w:num>
  <w:num w:numId="124" w16cid:durableId="169031159">
    <w:abstractNumId w:val="37"/>
  </w:num>
  <w:num w:numId="125" w16cid:durableId="567611235">
    <w:abstractNumId w:val="93"/>
  </w:num>
  <w:num w:numId="126" w16cid:durableId="1952005507">
    <w:abstractNumId w:val="100"/>
  </w:num>
  <w:num w:numId="127" w16cid:durableId="1603950923">
    <w:abstractNumId w:val="41"/>
  </w:num>
  <w:num w:numId="128" w16cid:durableId="927232162">
    <w:abstractNumId w:val="77"/>
  </w:num>
  <w:num w:numId="129" w16cid:durableId="320475725">
    <w:abstractNumId w:val="72"/>
  </w:num>
  <w:num w:numId="130" w16cid:durableId="1550144415">
    <w:abstractNumId w:val="133"/>
  </w:num>
  <w:num w:numId="131" w16cid:durableId="202059103">
    <w:abstractNumId w:val="47"/>
  </w:num>
  <w:num w:numId="132" w16cid:durableId="1815566999">
    <w:abstractNumId w:val="3"/>
  </w:num>
  <w:num w:numId="133" w16cid:durableId="1762024465">
    <w:abstractNumId w:val="66"/>
  </w:num>
  <w:num w:numId="134" w16cid:durableId="1978149110">
    <w:abstractNumId w:val="27"/>
  </w:num>
  <w:num w:numId="135" w16cid:durableId="1178077506">
    <w:abstractNumId w:val="61"/>
  </w:num>
  <w:num w:numId="136" w16cid:durableId="367534366">
    <w:abstractNumId w:val="31"/>
  </w:num>
  <w:num w:numId="137" w16cid:durableId="709113784">
    <w:abstractNumId w:val="119"/>
  </w:num>
  <w:num w:numId="138" w16cid:durableId="720714115">
    <w:abstractNumId w:val="107"/>
  </w:num>
  <w:num w:numId="139" w16cid:durableId="255136606">
    <w:abstractNumId w:val="50"/>
  </w:num>
  <w:num w:numId="140" w16cid:durableId="1169833896">
    <w:abstractNumId w:val="99"/>
  </w:num>
  <w:num w:numId="141" w16cid:durableId="1624264199">
    <w:abstractNumId w:val="79"/>
  </w:num>
  <w:num w:numId="142" w16cid:durableId="931006844">
    <w:abstractNumId w:val="24"/>
  </w:num>
  <w:num w:numId="143" w16cid:durableId="481316416">
    <w:abstractNumId w:val="7"/>
  </w:num>
  <w:num w:numId="144" w16cid:durableId="1583220264">
    <w:abstractNumId w:val="51"/>
  </w:num>
  <w:num w:numId="145" w16cid:durableId="776605544">
    <w:abstractNumId w:val="95"/>
  </w:num>
  <w:num w:numId="146" w16cid:durableId="396634289">
    <w:abstractNumId w:val="32"/>
  </w:num>
  <w:num w:numId="147" w16cid:durableId="1483767492">
    <w:abstractNumId w:val="43"/>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FB"/>
    <w:rsid w:val="000044AE"/>
    <w:rsid w:val="00011E6F"/>
    <w:rsid w:val="000144FB"/>
    <w:rsid w:val="00015086"/>
    <w:rsid w:val="00016C4D"/>
    <w:rsid w:val="00017CC1"/>
    <w:rsid w:val="00020AE3"/>
    <w:rsid w:val="000339C8"/>
    <w:rsid w:val="00034129"/>
    <w:rsid w:val="0003655F"/>
    <w:rsid w:val="00036F88"/>
    <w:rsid w:val="00043F91"/>
    <w:rsid w:val="00052607"/>
    <w:rsid w:val="00052664"/>
    <w:rsid w:val="00053923"/>
    <w:rsid w:val="00054102"/>
    <w:rsid w:val="00055ABA"/>
    <w:rsid w:val="00062524"/>
    <w:rsid w:val="000635E9"/>
    <w:rsid w:val="00065454"/>
    <w:rsid w:val="00065705"/>
    <w:rsid w:val="00065E5C"/>
    <w:rsid w:val="000707F6"/>
    <w:rsid w:val="00075318"/>
    <w:rsid w:val="00076B31"/>
    <w:rsid w:val="00080E02"/>
    <w:rsid w:val="00081BC1"/>
    <w:rsid w:val="00082EBC"/>
    <w:rsid w:val="0008369E"/>
    <w:rsid w:val="00084BE1"/>
    <w:rsid w:val="000916B6"/>
    <w:rsid w:val="000918D2"/>
    <w:rsid w:val="00092CAE"/>
    <w:rsid w:val="00093110"/>
    <w:rsid w:val="00095ECC"/>
    <w:rsid w:val="00097156"/>
    <w:rsid w:val="00097794"/>
    <w:rsid w:val="000A1ABE"/>
    <w:rsid w:val="000A26EF"/>
    <w:rsid w:val="000A38FB"/>
    <w:rsid w:val="000A7EA3"/>
    <w:rsid w:val="000B014A"/>
    <w:rsid w:val="000B05B4"/>
    <w:rsid w:val="000B1124"/>
    <w:rsid w:val="000B162F"/>
    <w:rsid w:val="000B19FC"/>
    <w:rsid w:val="000B4CF9"/>
    <w:rsid w:val="000B5E85"/>
    <w:rsid w:val="000C09CF"/>
    <w:rsid w:val="000C227B"/>
    <w:rsid w:val="000C43FD"/>
    <w:rsid w:val="000C4C00"/>
    <w:rsid w:val="000D0E76"/>
    <w:rsid w:val="000D2737"/>
    <w:rsid w:val="000D4CD0"/>
    <w:rsid w:val="000D6E38"/>
    <w:rsid w:val="000D77FB"/>
    <w:rsid w:val="000D7CA4"/>
    <w:rsid w:val="000D7DCD"/>
    <w:rsid w:val="000E0147"/>
    <w:rsid w:val="000E1010"/>
    <w:rsid w:val="000E2BC3"/>
    <w:rsid w:val="000E4DE0"/>
    <w:rsid w:val="000E5AC4"/>
    <w:rsid w:val="000E62CD"/>
    <w:rsid w:val="000E668E"/>
    <w:rsid w:val="000F59C5"/>
    <w:rsid w:val="001024E6"/>
    <w:rsid w:val="00106912"/>
    <w:rsid w:val="0010735E"/>
    <w:rsid w:val="00107772"/>
    <w:rsid w:val="00107FE6"/>
    <w:rsid w:val="001123ED"/>
    <w:rsid w:val="00112613"/>
    <w:rsid w:val="001207DE"/>
    <w:rsid w:val="00121010"/>
    <w:rsid w:val="0012332F"/>
    <w:rsid w:val="00125212"/>
    <w:rsid w:val="00125EE3"/>
    <w:rsid w:val="001330B7"/>
    <w:rsid w:val="00133607"/>
    <w:rsid w:val="00133F30"/>
    <w:rsid w:val="0013584C"/>
    <w:rsid w:val="00142609"/>
    <w:rsid w:val="00142D73"/>
    <w:rsid w:val="00147362"/>
    <w:rsid w:val="00147A54"/>
    <w:rsid w:val="001520C0"/>
    <w:rsid w:val="00152FCB"/>
    <w:rsid w:val="0015399E"/>
    <w:rsid w:val="00153CCC"/>
    <w:rsid w:val="0015433C"/>
    <w:rsid w:val="00154981"/>
    <w:rsid w:val="001552C4"/>
    <w:rsid w:val="0015599D"/>
    <w:rsid w:val="0015606E"/>
    <w:rsid w:val="00160121"/>
    <w:rsid w:val="001619E7"/>
    <w:rsid w:val="00164173"/>
    <w:rsid w:val="00165D22"/>
    <w:rsid w:val="00170398"/>
    <w:rsid w:val="00170566"/>
    <w:rsid w:val="00170836"/>
    <w:rsid w:val="00171931"/>
    <w:rsid w:val="00171AE3"/>
    <w:rsid w:val="00175278"/>
    <w:rsid w:val="001775D3"/>
    <w:rsid w:val="00177C86"/>
    <w:rsid w:val="00182FA4"/>
    <w:rsid w:val="00185FF3"/>
    <w:rsid w:val="00190654"/>
    <w:rsid w:val="001941CE"/>
    <w:rsid w:val="0019465F"/>
    <w:rsid w:val="001A054E"/>
    <w:rsid w:val="001A1CC0"/>
    <w:rsid w:val="001A223E"/>
    <w:rsid w:val="001A240D"/>
    <w:rsid w:val="001A5229"/>
    <w:rsid w:val="001B46A8"/>
    <w:rsid w:val="001B4AFB"/>
    <w:rsid w:val="001B4F3F"/>
    <w:rsid w:val="001B4F60"/>
    <w:rsid w:val="001B6E3D"/>
    <w:rsid w:val="001C2405"/>
    <w:rsid w:val="001D180F"/>
    <w:rsid w:val="001D413A"/>
    <w:rsid w:val="001D652C"/>
    <w:rsid w:val="001D75F8"/>
    <w:rsid w:val="001E074F"/>
    <w:rsid w:val="001E2141"/>
    <w:rsid w:val="001E3E9F"/>
    <w:rsid w:val="001E566F"/>
    <w:rsid w:val="001E71E0"/>
    <w:rsid w:val="001F0349"/>
    <w:rsid w:val="001F06A8"/>
    <w:rsid w:val="001F2CB3"/>
    <w:rsid w:val="001F3413"/>
    <w:rsid w:val="001F3E2D"/>
    <w:rsid w:val="001F6E50"/>
    <w:rsid w:val="001F7BBC"/>
    <w:rsid w:val="00200996"/>
    <w:rsid w:val="00200AA9"/>
    <w:rsid w:val="002061DA"/>
    <w:rsid w:val="00206694"/>
    <w:rsid w:val="00207E2E"/>
    <w:rsid w:val="00212234"/>
    <w:rsid w:val="00212873"/>
    <w:rsid w:val="002143D6"/>
    <w:rsid w:val="00216CB5"/>
    <w:rsid w:val="00217A52"/>
    <w:rsid w:val="00217FFD"/>
    <w:rsid w:val="00221BC3"/>
    <w:rsid w:val="00221F6B"/>
    <w:rsid w:val="002234E1"/>
    <w:rsid w:val="00223799"/>
    <w:rsid w:val="00226B07"/>
    <w:rsid w:val="0023237F"/>
    <w:rsid w:val="002351EE"/>
    <w:rsid w:val="00237085"/>
    <w:rsid w:val="00241058"/>
    <w:rsid w:val="00241DAE"/>
    <w:rsid w:val="00242D3A"/>
    <w:rsid w:val="00243A1A"/>
    <w:rsid w:val="0024698D"/>
    <w:rsid w:val="0024728F"/>
    <w:rsid w:val="00247573"/>
    <w:rsid w:val="00250974"/>
    <w:rsid w:val="00250B34"/>
    <w:rsid w:val="00256055"/>
    <w:rsid w:val="00260632"/>
    <w:rsid w:val="00261EE3"/>
    <w:rsid w:val="00261F33"/>
    <w:rsid w:val="00262E99"/>
    <w:rsid w:val="00264F58"/>
    <w:rsid w:val="002652D5"/>
    <w:rsid w:val="00265C53"/>
    <w:rsid w:val="002675D8"/>
    <w:rsid w:val="0027062C"/>
    <w:rsid w:val="00271F5B"/>
    <w:rsid w:val="00273323"/>
    <w:rsid w:val="00274460"/>
    <w:rsid w:val="00280C17"/>
    <w:rsid w:val="002826E4"/>
    <w:rsid w:val="00282FA2"/>
    <w:rsid w:val="00287B86"/>
    <w:rsid w:val="00294338"/>
    <w:rsid w:val="00296B75"/>
    <w:rsid w:val="002973DE"/>
    <w:rsid w:val="002A2491"/>
    <w:rsid w:val="002A2DF8"/>
    <w:rsid w:val="002A4894"/>
    <w:rsid w:val="002A59EF"/>
    <w:rsid w:val="002B02E4"/>
    <w:rsid w:val="002B0A2C"/>
    <w:rsid w:val="002B3D21"/>
    <w:rsid w:val="002B44A1"/>
    <w:rsid w:val="002B731D"/>
    <w:rsid w:val="002B7C09"/>
    <w:rsid w:val="002C1FF8"/>
    <w:rsid w:val="002C6E4F"/>
    <w:rsid w:val="002C733F"/>
    <w:rsid w:val="002D0742"/>
    <w:rsid w:val="002D2209"/>
    <w:rsid w:val="002D2221"/>
    <w:rsid w:val="002D529D"/>
    <w:rsid w:val="002D574D"/>
    <w:rsid w:val="002E0F10"/>
    <w:rsid w:val="002E3E56"/>
    <w:rsid w:val="002E6526"/>
    <w:rsid w:val="002F0F11"/>
    <w:rsid w:val="002F27BA"/>
    <w:rsid w:val="002F28BE"/>
    <w:rsid w:val="002F6871"/>
    <w:rsid w:val="002F76DE"/>
    <w:rsid w:val="00301958"/>
    <w:rsid w:val="003032BB"/>
    <w:rsid w:val="0030526E"/>
    <w:rsid w:val="00310B3D"/>
    <w:rsid w:val="0031114B"/>
    <w:rsid w:val="003116B5"/>
    <w:rsid w:val="00314559"/>
    <w:rsid w:val="00315345"/>
    <w:rsid w:val="0031566F"/>
    <w:rsid w:val="00317005"/>
    <w:rsid w:val="00322C4F"/>
    <w:rsid w:val="00332366"/>
    <w:rsid w:val="00334D1B"/>
    <w:rsid w:val="00335C48"/>
    <w:rsid w:val="00344587"/>
    <w:rsid w:val="00345085"/>
    <w:rsid w:val="0035145A"/>
    <w:rsid w:val="003518E4"/>
    <w:rsid w:val="003541B4"/>
    <w:rsid w:val="00357D61"/>
    <w:rsid w:val="00362096"/>
    <w:rsid w:val="00364559"/>
    <w:rsid w:val="00367E6D"/>
    <w:rsid w:val="0037327C"/>
    <w:rsid w:val="00374572"/>
    <w:rsid w:val="00381019"/>
    <w:rsid w:val="003862B4"/>
    <w:rsid w:val="00387452"/>
    <w:rsid w:val="0039079B"/>
    <w:rsid w:val="00391383"/>
    <w:rsid w:val="00395E2E"/>
    <w:rsid w:val="003A75B8"/>
    <w:rsid w:val="003B191B"/>
    <w:rsid w:val="003B420B"/>
    <w:rsid w:val="003B770B"/>
    <w:rsid w:val="003B7C4A"/>
    <w:rsid w:val="003B7DC9"/>
    <w:rsid w:val="003C045B"/>
    <w:rsid w:val="003C1E87"/>
    <w:rsid w:val="003C2EAB"/>
    <w:rsid w:val="003C4AC6"/>
    <w:rsid w:val="003C63BE"/>
    <w:rsid w:val="003C79E1"/>
    <w:rsid w:val="003D4694"/>
    <w:rsid w:val="003E2711"/>
    <w:rsid w:val="003E3A1D"/>
    <w:rsid w:val="003E4539"/>
    <w:rsid w:val="003F12A2"/>
    <w:rsid w:val="003F6C69"/>
    <w:rsid w:val="004003B3"/>
    <w:rsid w:val="00400C6E"/>
    <w:rsid w:val="004020E6"/>
    <w:rsid w:val="0040246D"/>
    <w:rsid w:val="004024D0"/>
    <w:rsid w:val="00405A74"/>
    <w:rsid w:val="0041091E"/>
    <w:rsid w:val="00410A88"/>
    <w:rsid w:val="00415BDC"/>
    <w:rsid w:val="004164B2"/>
    <w:rsid w:val="00416E2E"/>
    <w:rsid w:val="004224EA"/>
    <w:rsid w:val="004228AF"/>
    <w:rsid w:val="00424D4A"/>
    <w:rsid w:val="004250AE"/>
    <w:rsid w:val="0042577F"/>
    <w:rsid w:val="00425C52"/>
    <w:rsid w:val="00427624"/>
    <w:rsid w:val="00427E4C"/>
    <w:rsid w:val="00427EE2"/>
    <w:rsid w:val="00430E6B"/>
    <w:rsid w:val="0043228D"/>
    <w:rsid w:val="00433DB0"/>
    <w:rsid w:val="00441564"/>
    <w:rsid w:val="00441CBE"/>
    <w:rsid w:val="004457A1"/>
    <w:rsid w:val="00445C5B"/>
    <w:rsid w:val="00445E3F"/>
    <w:rsid w:val="0044663F"/>
    <w:rsid w:val="0044707C"/>
    <w:rsid w:val="00450C23"/>
    <w:rsid w:val="00451218"/>
    <w:rsid w:val="00451313"/>
    <w:rsid w:val="00455FE5"/>
    <w:rsid w:val="004570E7"/>
    <w:rsid w:val="00463860"/>
    <w:rsid w:val="00463D26"/>
    <w:rsid w:val="0046493E"/>
    <w:rsid w:val="00464D83"/>
    <w:rsid w:val="004704AC"/>
    <w:rsid w:val="0047211B"/>
    <w:rsid w:val="00472C5C"/>
    <w:rsid w:val="004738EE"/>
    <w:rsid w:val="004745E6"/>
    <w:rsid w:val="00476A5C"/>
    <w:rsid w:val="004812F5"/>
    <w:rsid w:val="004816E5"/>
    <w:rsid w:val="004833A3"/>
    <w:rsid w:val="00497724"/>
    <w:rsid w:val="004A1713"/>
    <w:rsid w:val="004A36CD"/>
    <w:rsid w:val="004A4B29"/>
    <w:rsid w:val="004A5133"/>
    <w:rsid w:val="004A5803"/>
    <w:rsid w:val="004B3BFB"/>
    <w:rsid w:val="004B7E97"/>
    <w:rsid w:val="004B7F04"/>
    <w:rsid w:val="004C2EE7"/>
    <w:rsid w:val="004C4C57"/>
    <w:rsid w:val="004D0576"/>
    <w:rsid w:val="004D36D7"/>
    <w:rsid w:val="004D3792"/>
    <w:rsid w:val="004D4767"/>
    <w:rsid w:val="004D4A5A"/>
    <w:rsid w:val="004D620C"/>
    <w:rsid w:val="004E0D2B"/>
    <w:rsid w:val="004E2956"/>
    <w:rsid w:val="004E30E5"/>
    <w:rsid w:val="004E4138"/>
    <w:rsid w:val="004F0084"/>
    <w:rsid w:val="004F0109"/>
    <w:rsid w:val="004F2266"/>
    <w:rsid w:val="004F27D1"/>
    <w:rsid w:val="004F5B78"/>
    <w:rsid w:val="004F619A"/>
    <w:rsid w:val="004F7895"/>
    <w:rsid w:val="005002A2"/>
    <w:rsid w:val="005007CA"/>
    <w:rsid w:val="0050266C"/>
    <w:rsid w:val="00502F25"/>
    <w:rsid w:val="00505017"/>
    <w:rsid w:val="0050578D"/>
    <w:rsid w:val="00510FD6"/>
    <w:rsid w:val="00511366"/>
    <w:rsid w:val="00517FBD"/>
    <w:rsid w:val="005222ED"/>
    <w:rsid w:val="00522968"/>
    <w:rsid w:val="00523BD5"/>
    <w:rsid w:val="00526317"/>
    <w:rsid w:val="005275D5"/>
    <w:rsid w:val="00532F36"/>
    <w:rsid w:val="00536BD1"/>
    <w:rsid w:val="00542046"/>
    <w:rsid w:val="00542B90"/>
    <w:rsid w:val="00542DB6"/>
    <w:rsid w:val="00543478"/>
    <w:rsid w:val="00544726"/>
    <w:rsid w:val="00545293"/>
    <w:rsid w:val="00547AA7"/>
    <w:rsid w:val="00552036"/>
    <w:rsid w:val="00555B0E"/>
    <w:rsid w:val="0056052D"/>
    <w:rsid w:val="00561970"/>
    <w:rsid w:val="00562EF5"/>
    <w:rsid w:val="0056390B"/>
    <w:rsid w:val="00564252"/>
    <w:rsid w:val="005721F0"/>
    <w:rsid w:val="005739CF"/>
    <w:rsid w:val="005740C8"/>
    <w:rsid w:val="00576037"/>
    <w:rsid w:val="0058092D"/>
    <w:rsid w:val="00581189"/>
    <w:rsid w:val="005823B2"/>
    <w:rsid w:val="005835E3"/>
    <w:rsid w:val="0059048E"/>
    <w:rsid w:val="0059538D"/>
    <w:rsid w:val="005A07D1"/>
    <w:rsid w:val="005A2E82"/>
    <w:rsid w:val="005A3A0B"/>
    <w:rsid w:val="005A4F66"/>
    <w:rsid w:val="005B68B1"/>
    <w:rsid w:val="005C2C12"/>
    <w:rsid w:val="005C5778"/>
    <w:rsid w:val="005D03AE"/>
    <w:rsid w:val="005D1762"/>
    <w:rsid w:val="005D2CA7"/>
    <w:rsid w:val="005D6115"/>
    <w:rsid w:val="005D7747"/>
    <w:rsid w:val="005E10BC"/>
    <w:rsid w:val="005E5DCC"/>
    <w:rsid w:val="005E65A8"/>
    <w:rsid w:val="005E6AA8"/>
    <w:rsid w:val="005F1B9C"/>
    <w:rsid w:val="005F434C"/>
    <w:rsid w:val="005F57EB"/>
    <w:rsid w:val="005F5E41"/>
    <w:rsid w:val="005F7CC3"/>
    <w:rsid w:val="00603668"/>
    <w:rsid w:val="0061684B"/>
    <w:rsid w:val="00617362"/>
    <w:rsid w:val="00623590"/>
    <w:rsid w:val="00626FB8"/>
    <w:rsid w:val="00627580"/>
    <w:rsid w:val="0063030D"/>
    <w:rsid w:val="006310DD"/>
    <w:rsid w:val="00632923"/>
    <w:rsid w:val="00633036"/>
    <w:rsid w:val="00635147"/>
    <w:rsid w:val="00635B34"/>
    <w:rsid w:val="0064231D"/>
    <w:rsid w:val="006444CD"/>
    <w:rsid w:val="00646A18"/>
    <w:rsid w:val="00651851"/>
    <w:rsid w:val="00651B0C"/>
    <w:rsid w:val="0065227D"/>
    <w:rsid w:val="00654FB9"/>
    <w:rsid w:val="006566CD"/>
    <w:rsid w:val="00657867"/>
    <w:rsid w:val="0066027E"/>
    <w:rsid w:val="006618BF"/>
    <w:rsid w:val="00663223"/>
    <w:rsid w:val="0066667D"/>
    <w:rsid w:val="00666B47"/>
    <w:rsid w:val="0067247A"/>
    <w:rsid w:val="006726C3"/>
    <w:rsid w:val="00672C4E"/>
    <w:rsid w:val="00676111"/>
    <w:rsid w:val="0067730A"/>
    <w:rsid w:val="006774B8"/>
    <w:rsid w:val="006775BF"/>
    <w:rsid w:val="00695317"/>
    <w:rsid w:val="006953D8"/>
    <w:rsid w:val="006A09C7"/>
    <w:rsid w:val="006A2D4D"/>
    <w:rsid w:val="006A4373"/>
    <w:rsid w:val="006A4679"/>
    <w:rsid w:val="006B0D0A"/>
    <w:rsid w:val="006B323C"/>
    <w:rsid w:val="006B7ABD"/>
    <w:rsid w:val="006C1477"/>
    <w:rsid w:val="006C1526"/>
    <w:rsid w:val="006C1BCA"/>
    <w:rsid w:val="006C4222"/>
    <w:rsid w:val="006C7B60"/>
    <w:rsid w:val="006D02E9"/>
    <w:rsid w:val="006D6109"/>
    <w:rsid w:val="006D648E"/>
    <w:rsid w:val="006E7F7A"/>
    <w:rsid w:val="006E7FA1"/>
    <w:rsid w:val="006F2527"/>
    <w:rsid w:val="006F2F12"/>
    <w:rsid w:val="006F321E"/>
    <w:rsid w:val="006F56F7"/>
    <w:rsid w:val="007006CF"/>
    <w:rsid w:val="00700F75"/>
    <w:rsid w:val="0070368C"/>
    <w:rsid w:val="00703F01"/>
    <w:rsid w:val="007045CF"/>
    <w:rsid w:val="00705280"/>
    <w:rsid w:val="00706107"/>
    <w:rsid w:val="0071079D"/>
    <w:rsid w:val="00710999"/>
    <w:rsid w:val="00714B51"/>
    <w:rsid w:val="007155A5"/>
    <w:rsid w:val="00717DF3"/>
    <w:rsid w:val="00720B64"/>
    <w:rsid w:val="0072295D"/>
    <w:rsid w:val="00723BB2"/>
    <w:rsid w:val="00724305"/>
    <w:rsid w:val="007243E5"/>
    <w:rsid w:val="007251FA"/>
    <w:rsid w:val="007277B4"/>
    <w:rsid w:val="00732339"/>
    <w:rsid w:val="007333C1"/>
    <w:rsid w:val="00745147"/>
    <w:rsid w:val="007457C2"/>
    <w:rsid w:val="007462E6"/>
    <w:rsid w:val="00746656"/>
    <w:rsid w:val="00746F5E"/>
    <w:rsid w:val="007556BD"/>
    <w:rsid w:val="0075570E"/>
    <w:rsid w:val="00756443"/>
    <w:rsid w:val="00757BFC"/>
    <w:rsid w:val="00760A37"/>
    <w:rsid w:val="00765711"/>
    <w:rsid w:val="0076650E"/>
    <w:rsid w:val="00766567"/>
    <w:rsid w:val="007668CC"/>
    <w:rsid w:val="00772798"/>
    <w:rsid w:val="007731D9"/>
    <w:rsid w:val="007743FD"/>
    <w:rsid w:val="00775A2D"/>
    <w:rsid w:val="0077636B"/>
    <w:rsid w:val="00781DBF"/>
    <w:rsid w:val="00793ABB"/>
    <w:rsid w:val="00794E58"/>
    <w:rsid w:val="007A1CE1"/>
    <w:rsid w:val="007A24BB"/>
    <w:rsid w:val="007A64BB"/>
    <w:rsid w:val="007A6F08"/>
    <w:rsid w:val="007B00C7"/>
    <w:rsid w:val="007C025E"/>
    <w:rsid w:val="007C217F"/>
    <w:rsid w:val="007C23D6"/>
    <w:rsid w:val="007C3F0C"/>
    <w:rsid w:val="007C5223"/>
    <w:rsid w:val="007D10DC"/>
    <w:rsid w:val="007D5C7E"/>
    <w:rsid w:val="007D6215"/>
    <w:rsid w:val="007D6910"/>
    <w:rsid w:val="007D6CB1"/>
    <w:rsid w:val="007E346B"/>
    <w:rsid w:val="007E431F"/>
    <w:rsid w:val="007E488D"/>
    <w:rsid w:val="007E57EA"/>
    <w:rsid w:val="007E5993"/>
    <w:rsid w:val="007E67C1"/>
    <w:rsid w:val="007F0768"/>
    <w:rsid w:val="007F323E"/>
    <w:rsid w:val="007F3DF5"/>
    <w:rsid w:val="007F5D33"/>
    <w:rsid w:val="008018C3"/>
    <w:rsid w:val="008036D5"/>
    <w:rsid w:val="0080541B"/>
    <w:rsid w:val="00814552"/>
    <w:rsid w:val="008146F7"/>
    <w:rsid w:val="008326EA"/>
    <w:rsid w:val="00835CD6"/>
    <w:rsid w:val="008363D3"/>
    <w:rsid w:val="00840BC8"/>
    <w:rsid w:val="0084519E"/>
    <w:rsid w:val="0085013E"/>
    <w:rsid w:val="008527B7"/>
    <w:rsid w:val="00854007"/>
    <w:rsid w:val="0085501A"/>
    <w:rsid w:val="00855A6D"/>
    <w:rsid w:val="00857138"/>
    <w:rsid w:val="00861003"/>
    <w:rsid w:val="00861490"/>
    <w:rsid w:val="00865303"/>
    <w:rsid w:val="00865C4F"/>
    <w:rsid w:val="008719F9"/>
    <w:rsid w:val="008723DD"/>
    <w:rsid w:val="008725FE"/>
    <w:rsid w:val="00873B84"/>
    <w:rsid w:val="008745BF"/>
    <w:rsid w:val="00874BD7"/>
    <w:rsid w:val="00880C14"/>
    <w:rsid w:val="008829C8"/>
    <w:rsid w:val="00883E0C"/>
    <w:rsid w:val="00884C6F"/>
    <w:rsid w:val="00886049"/>
    <w:rsid w:val="00886459"/>
    <w:rsid w:val="0088678D"/>
    <w:rsid w:val="008876A4"/>
    <w:rsid w:val="00890BDB"/>
    <w:rsid w:val="0089224E"/>
    <w:rsid w:val="00893783"/>
    <w:rsid w:val="008A1523"/>
    <w:rsid w:val="008A3696"/>
    <w:rsid w:val="008A5926"/>
    <w:rsid w:val="008B055C"/>
    <w:rsid w:val="008B39B5"/>
    <w:rsid w:val="008B5730"/>
    <w:rsid w:val="008B6176"/>
    <w:rsid w:val="008B6E7F"/>
    <w:rsid w:val="008C06D1"/>
    <w:rsid w:val="008C6992"/>
    <w:rsid w:val="008C6D6E"/>
    <w:rsid w:val="008C7CE9"/>
    <w:rsid w:val="008D5CE4"/>
    <w:rsid w:val="008D5DD4"/>
    <w:rsid w:val="008D6C79"/>
    <w:rsid w:val="008D75B8"/>
    <w:rsid w:val="008E267F"/>
    <w:rsid w:val="008E3759"/>
    <w:rsid w:val="008E382D"/>
    <w:rsid w:val="008E5E6C"/>
    <w:rsid w:val="008F75B6"/>
    <w:rsid w:val="008F7A0F"/>
    <w:rsid w:val="00900733"/>
    <w:rsid w:val="00900CDD"/>
    <w:rsid w:val="00901F05"/>
    <w:rsid w:val="0090345E"/>
    <w:rsid w:val="00903483"/>
    <w:rsid w:val="009116FC"/>
    <w:rsid w:val="00911EF0"/>
    <w:rsid w:val="00911FD4"/>
    <w:rsid w:val="009120C6"/>
    <w:rsid w:val="00914927"/>
    <w:rsid w:val="00916618"/>
    <w:rsid w:val="00922601"/>
    <w:rsid w:val="00922FEB"/>
    <w:rsid w:val="00923279"/>
    <w:rsid w:val="009232A7"/>
    <w:rsid w:val="00930279"/>
    <w:rsid w:val="0093106A"/>
    <w:rsid w:val="0093268C"/>
    <w:rsid w:val="00937073"/>
    <w:rsid w:val="0093777F"/>
    <w:rsid w:val="0094134A"/>
    <w:rsid w:val="00943DF9"/>
    <w:rsid w:val="00946891"/>
    <w:rsid w:val="00950BE7"/>
    <w:rsid w:val="0095143E"/>
    <w:rsid w:val="00954EFF"/>
    <w:rsid w:val="00956D2D"/>
    <w:rsid w:val="00961CE2"/>
    <w:rsid w:val="00964ADB"/>
    <w:rsid w:val="009669F8"/>
    <w:rsid w:val="00973DF3"/>
    <w:rsid w:val="009740A1"/>
    <w:rsid w:val="0097653C"/>
    <w:rsid w:val="009770D2"/>
    <w:rsid w:val="009822C9"/>
    <w:rsid w:val="009837C8"/>
    <w:rsid w:val="00984729"/>
    <w:rsid w:val="00990A3C"/>
    <w:rsid w:val="009930BD"/>
    <w:rsid w:val="0099499F"/>
    <w:rsid w:val="00996667"/>
    <w:rsid w:val="009A05BF"/>
    <w:rsid w:val="009A0775"/>
    <w:rsid w:val="009A11F9"/>
    <w:rsid w:val="009A20F7"/>
    <w:rsid w:val="009A26CD"/>
    <w:rsid w:val="009A5ABD"/>
    <w:rsid w:val="009A6249"/>
    <w:rsid w:val="009B2315"/>
    <w:rsid w:val="009B581A"/>
    <w:rsid w:val="009B6607"/>
    <w:rsid w:val="009B7657"/>
    <w:rsid w:val="009C4544"/>
    <w:rsid w:val="009C4AB8"/>
    <w:rsid w:val="009C6155"/>
    <w:rsid w:val="009C71E4"/>
    <w:rsid w:val="009D0B38"/>
    <w:rsid w:val="009D14DE"/>
    <w:rsid w:val="009D26C0"/>
    <w:rsid w:val="009D4FBF"/>
    <w:rsid w:val="009D64A3"/>
    <w:rsid w:val="009E06AE"/>
    <w:rsid w:val="009E08DD"/>
    <w:rsid w:val="009E29DA"/>
    <w:rsid w:val="009E3154"/>
    <w:rsid w:val="009E4A2F"/>
    <w:rsid w:val="009E6BD3"/>
    <w:rsid w:val="009F0018"/>
    <w:rsid w:val="009F018B"/>
    <w:rsid w:val="009F0E45"/>
    <w:rsid w:val="009F4771"/>
    <w:rsid w:val="00A106AB"/>
    <w:rsid w:val="00A10ABB"/>
    <w:rsid w:val="00A11922"/>
    <w:rsid w:val="00A11B44"/>
    <w:rsid w:val="00A12F75"/>
    <w:rsid w:val="00A1579D"/>
    <w:rsid w:val="00A22CD6"/>
    <w:rsid w:val="00A231BF"/>
    <w:rsid w:val="00A23CE3"/>
    <w:rsid w:val="00A25D4A"/>
    <w:rsid w:val="00A25E4C"/>
    <w:rsid w:val="00A26FC2"/>
    <w:rsid w:val="00A3252F"/>
    <w:rsid w:val="00A342FE"/>
    <w:rsid w:val="00A34557"/>
    <w:rsid w:val="00A345DE"/>
    <w:rsid w:val="00A40F57"/>
    <w:rsid w:val="00A418CE"/>
    <w:rsid w:val="00A41BDC"/>
    <w:rsid w:val="00A43694"/>
    <w:rsid w:val="00A43EA9"/>
    <w:rsid w:val="00A44262"/>
    <w:rsid w:val="00A51D8E"/>
    <w:rsid w:val="00A568F7"/>
    <w:rsid w:val="00A57D3C"/>
    <w:rsid w:val="00A61AEB"/>
    <w:rsid w:val="00A625F8"/>
    <w:rsid w:val="00A64D34"/>
    <w:rsid w:val="00A7637A"/>
    <w:rsid w:val="00A7784E"/>
    <w:rsid w:val="00A8172F"/>
    <w:rsid w:val="00A835CB"/>
    <w:rsid w:val="00A8449D"/>
    <w:rsid w:val="00A87726"/>
    <w:rsid w:val="00A90415"/>
    <w:rsid w:val="00A933E0"/>
    <w:rsid w:val="00A93747"/>
    <w:rsid w:val="00A943BF"/>
    <w:rsid w:val="00A96020"/>
    <w:rsid w:val="00A96A0F"/>
    <w:rsid w:val="00A96B7A"/>
    <w:rsid w:val="00A96FAA"/>
    <w:rsid w:val="00A97BBA"/>
    <w:rsid w:val="00AA00B3"/>
    <w:rsid w:val="00AA1B31"/>
    <w:rsid w:val="00AA2A3A"/>
    <w:rsid w:val="00AA68CF"/>
    <w:rsid w:val="00AB0BE6"/>
    <w:rsid w:val="00AB296B"/>
    <w:rsid w:val="00AB4788"/>
    <w:rsid w:val="00AC30F2"/>
    <w:rsid w:val="00AC3A97"/>
    <w:rsid w:val="00AC3DAE"/>
    <w:rsid w:val="00AC4CF3"/>
    <w:rsid w:val="00AC594D"/>
    <w:rsid w:val="00AC59BE"/>
    <w:rsid w:val="00AD0ED0"/>
    <w:rsid w:val="00AD0F34"/>
    <w:rsid w:val="00AD3931"/>
    <w:rsid w:val="00AD5C20"/>
    <w:rsid w:val="00AD6055"/>
    <w:rsid w:val="00AD60E2"/>
    <w:rsid w:val="00AD61E7"/>
    <w:rsid w:val="00AD7342"/>
    <w:rsid w:val="00AD7C53"/>
    <w:rsid w:val="00AE1430"/>
    <w:rsid w:val="00AE3AF0"/>
    <w:rsid w:val="00AE3E8F"/>
    <w:rsid w:val="00AE5216"/>
    <w:rsid w:val="00AF0520"/>
    <w:rsid w:val="00AF1AA4"/>
    <w:rsid w:val="00AF1DCF"/>
    <w:rsid w:val="00AF2396"/>
    <w:rsid w:val="00AF2598"/>
    <w:rsid w:val="00AF3271"/>
    <w:rsid w:val="00AF6E05"/>
    <w:rsid w:val="00AF7139"/>
    <w:rsid w:val="00B02FF5"/>
    <w:rsid w:val="00B034A8"/>
    <w:rsid w:val="00B03A2F"/>
    <w:rsid w:val="00B058FC"/>
    <w:rsid w:val="00B114DB"/>
    <w:rsid w:val="00B15547"/>
    <w:rsid w:val="00B1652A"/>
    <w:rsid w:val="00B167C6"/>
    <w:rsid w:val="00B16F37"/>
    <w:rsid w:val="00B17414"/>
    <w:rsid w:val="00B21860"/>
    <w:rsid w:val="00B25191"/>
    <w:rsid w:val="00B255FB"/>
    <w:rsid w:val="00B259CE"/>
    <w:rsid w:val="00B306D3"/>
    <w:rsid w:val="00B353DE"/>
    <w:rsid w:val="00B377BF"/>
    <w:rsid w:val="00B37AA1"/>
    <w:rsid w:val="00B41BE2"/>
    <w:rsid w:val="00B503DF"/>
    <w:rsid w:val="00B5225D"/>
    <w:rsid w:val="00B5311C"/>
    <w:rsid w:val="00B5370F"/>
    <w:rsid w:val="00B57084"/>
    <w:rsid w:val="00B63161"/>
    <w:rsid w:val="00B6607B"/>
    <w:rsid w:val="00B6709E"/>
    <w:rsid w:val="00B70DBE"/>
    <w:rsid w:val="00B72C75"/>
    <w:rsid w:val="00B75638"/>
    <w:rsid w:val="00B76DBB"/>
    <w:rsid w:val="00B901BD"/>
    <w:rsid w:val="00B909DA"/>
    <w:rsid w:val="00B93229"/>
    <w:rsid w:val="00B95890"/>
    <w:rsid w:val="00B96DD0"/>
    <w:rsid w:val="00BA5747"/>
    <w:rsid w:val="00BA7CDB"/>
    <w:rsid w:val="00BB2ED5"/>
    <w:rsid w:val="00BC3517"/>
    <w:rsid w:val="00BC5DCD"/>
    <w:rsid w:val="00BD1B8F"/>
    <w:rsid w:val="00BD3625"/>
    <w:rsid w:val="00BD6989"/>
    <w:rsid w:val="00BD7236"/>
    <w:rsid w:val="00BE2ADC"/>
    <w:rsid w:val="00BE4136"/>
    <w:rsid w:val="00BE44C9"/>
    <w:rsid w:val="00BE7055"/>
    <w:rsid w:val="00BF173E"/>
    <w:rsid w:val="00BF18F7"/>
    <w:rsid w:val="00BF4336"/>
    <w:rsid w:val="00BF5500"/>
    <w:rsid w:val="00BF6ECA"/>
    <w:rsid w:val="00BF76F8"/>
    <w:rsid w:val="00C0015B"/>
    <w:rsid w:val="00C03F6D"/>
    <w:rsid w:val="00C04EE6"/>
    <w:rsid w:val="00C04FDF"/>
    <w:rsid w:val="00C0516B"/>
    <w:rsid w:val="00C11ACA"/>
    <w:rsid w:val="00C155F2"/>
    <w:rsid w:val="00C23FE6"/>
    <w:rsid w:val="00C32352"/>
    <w:rsid w:val="00C327BA"/>
    <w:rsid w:val="00C32D61"/>
    <w:rsid w:val="00C32E42"/>
    <w:rsid w:val="00C34A80"/>
    <w:rsid w:val="00C355B7"/>
    <w:rsid w:val="00C378C4"/>
    <w:rsid w:val="00C45CE8"/>
    <w:rsid w:val="00C46499"/>
    <w:rsid w:val="00C52639"/>
    <w:rsid w:val="00C52BF2"/>
    <w:rsid w:val="00C53529"/>
    <w:rsid w:val="00C54DF6"/>
    <w:rsid w:val="00C553A2"/>
    <w:rsid w:val="00C60A86"/>
    <w:rsid w:val="00C63F93"/>
    <w:rsid w:val="00C64C7A"/>
    <w:rsid w:val="00C66519"/>
    <w:rsid w:val="00C714C9"/>
    <w:rsid w:val="00C7304C"/>
    <w:rsid w:val="00C76BDA"/>
    <w:rsid w:val="00C815F0"/>
    <w:rsid w:val="00C82DD3"/>
    <w:rsid w:val="00C851DD"/>
    <w:rsid w:val="00C85409"/>
    <w:rsid w:val="00C86A4A"/>
    <w:rsid w:val="00C90DF3"/>
    <w:rsid w:val="00C913FB"/>
    <w:rsid w:val="00C93E05"/>
    <w:rsid w:val="00C9465F"/>
    <w:rsid w:val="00C947F4"/>
    <w:rsid w:val="00C95EE2"/>
    <w:rsid w:val="00CA00ED"/>
    <w:rsid w:val="00CA04A6"/>
    <w:rsid w:val="00CA069C"/>
    <w:rsid w:val="00CA0803"/>
    <w:rsid w:val="00CA1C4C"/>
    <w:rsid w:val="00CA474D"/>
    <w:rsid w:val="00CA4A90"/>
    <w:rsid w:val="00CA76DC"/>
    <w:rsid w:val="00CB0400"/>
    <w:rsid w:val="00CB4834"/>
    <w:rsid w:val="00CB5BD5"/>
    <w:rsid w:val="00CB6827"/>
    <w:rsid w:val="00CB7E55"/>
    <w:rsid w:val="00CC0BDE"/>
    <w:rsid w:val="00CC146E"/>
    <w:rsid w:val="00CC583E"/>
    <w:rsid w:val="00CD074A"/>
    <w:rsid w:val="00CD0902"/>
    <w:rsid w:val="00CD0FC0"/>
    <w:rsid w:val="00CD102E"/>
    <w:rsid w:val="00CD260C"/>
    <w:rsid w:val="00CD3FEC"/>
    <w:rsid w:val="00CD42B9"/>
    <w:rsid w:val="00CD47E5"/>
    <w:rsid w:val="00CD6E0B"/>
    <w:rsid w:val="00CE0116"/>
    <w:rsid w:val="00CE37E5"/>
    <w:rsid w:val="00CE58C1"/>
    <w:rsid w:val="00CE6B7A"/>
    <w:rsid w:val="00CE707E"/>
    <w:rsid w:val="00CF319C"/>
    <w:rsid w:val="00CF5458"/>
    <w:rsid w:val="00D0068C"/>
    <w:rsid w:val="00D00AE0"/>
    <w:rsid w:val="00D026D5"/>
    <w:rsid w:val="00D0274A"/>
    <w:rsid w:val="00D03171"/>
    <w:rsid w:val="00D10117"/>
    <w:rsid w:val="00D1104B"/>
    <w:rsid w:val="00D15D65"/>
    <w:rsid w:val="00D17890"/>
    <w:rsid w:val="00D23DA5"/>
    <w:rsid w:val="00D24852"/>
    <w:rsid w:val="00D27C06"/>
    <w:rsid w:val="00D35B3D"/>
    <w:rsid w:val="00D41BE4"/>
    <w:rsid w:val="00D429B0"/>
    <w:rsid w:val="00D43562"/>
    <w:rsid w:val="00D43E43"/>
    <w:rsid w:val="00D44638"/>
    <w:rsid w:val="00D47DA4"/>
    <w:rsid w:val="00D47FB4"/>
    <w:rsid w:val="00D500C4"/>
    <w:rsid w:val="00D50C6D"/>
    <w:rsid w:val="00D5103B"/>
    <w:rsid w:val="00D5354C"/>
    <w:rsid w:val="00D55C90"/>
    <w:rsid w:val="00D55F5A"/>
    <w:rsid w:val="00D567C3"/>
    <w:rsid w:val="00D57F2B"/>
    <w:rsid w:val="00D61709"/>
    <w:rsid w:val="00D622C1"/>
    <w:rsid w:val="00D6240F"/>
    <w:rsid w:val="00D62947"/>
    <w:rsid w:val="00D63898"/>
    <w:rsid w:val="00D64B2B"/>
    <w:rsid w:val="00D6605E"/>
    <w:rsid w:val="00D7138C"/>
    <w:rsid w:val="00D76C5B"/>
    <w:rsid w:val="00D779F7"/>
    <w:rsid w:val="00D82EC3"/>
    <w:rsid w:val="00D838DF"/>
    <w:rsid w:val="00D83F54"/>
    <w:rsid w:val="00D85267"/>
    <w:rsid w:val="00D85D4E"/>
    <w:rsid w:val="00D87421"/>
    <w:rsid w:val="00D94863"/>
    <w:rsid w:val="00DA047A"/>
    <w:rsid w:val="00DA2762"/>
    <w:rsid w:val="00DA36BF"/>
    <w:rsid w:val="00DA4D1A"/>
    <w:rsid w:val="00DA6234"/>
    <w:rsid w:val="00DA72AF"/>
    <w:rsid w:val="00DB0BB8"/>
    <w:rsid w:val="00DB377A"/>
    <w:rsid w:val="00DB7D40"/>
    <w:rsid w:val="00DC032B"/>
    <w:rsid w:val="00DC1794"/>
    <w:rsid w:val="00DC1EF3"/>
    <w:rsid w:val="00DC355C"/>
    <w:rsid w:val="00DC43ED"/>
    <w:rsid w:val="00DC7A89"/>
    <w:rsid w:val="00DD0E9B"/>
    <w:rsid w:val="00DD1600"/>
    <w:rsid w:val="00DD36A7"/>
    <w:rsid w:val="00DD3DDA"/>
    <w:rsid w:val="00DD48A5"/>
    <w:rsid w:val="00DD54E0"/>
    <w:rsid w:val="00DE0020"/>
    <w:rsid w:val="00DE11EC"/>
    <w:rsid w:val="00DE4307"/>
    <w:rsid w:val="00DE4DCE"/>
    <w:rsid w:val="00DE6956"/>
    <w:rsid w:val="00DF1BAB"/>
    <w:rsid w:val="00DF3533"/>
    <w:rsid w:val="00DF42C2"/>
    <w:rsid w:val="00DF520A"/>
    <w:rsid w:val="00DF55CE"/>
    <w:rsid w:val="00E0108A"/>
    <w:rsid w:val="00E0142F"/>
    <w:rsid w:val="00E0229B"/>
    <w:rsid w:val="00E0351F"/>
    <w:rsid w:val="00E036DD"/>
    <w:rsid w:val="00E04699"/>
    <w:rsid w:val="00E06E2A"/>
    <w:rsid w:val="00E12826"/>
    <w:rsid w:val="00E16BA5"/>
    <w:rsid w:val="00E17299"/>
    <w:rsid w:val="00E172D2"/>
    <w:rsid w:val="00E17D54"/>
    <w:rsid w:val="00E17EDB"/>
    <w:rsid w:val="00E24383"/>
    <w:rsid w:val="00E260AB"/>
    <w:rsid w:val="00E27A46"/>
    <w:rsid w:val="00E27D40"/>
    <w:rsid w:val="00E3106E"/>
    <w:rsid w:val="00E316B8"/>
    <w:rsid w:val="00E37B3A"/>
    <w:rsid w:val="00E4179D"/>
    <w:rsid w:val="00E43433"/>
    <w:rsid w:val="00E43EC9"/>
    <w:rsid w:val="00E44329"/>
    <w:rsid w:val="00E459B7"/>
    <w:rsid w:val="00E50246"/>
    <w:rsid w:val="00E519B9"/>
    <w:rsid w:val="00E540A1"/>
    <w:rsid w:val="00E55097"/>
    <w:rsid w:val="00E55E51"/>
    <w:rsid w:val="00E571EA"/>
    <w:rsid w:val="00E6089F"/>
    <w:rsid w:val="00E609B5"/>
    <w:rsid w:val="00E60B27"/>
    <w:rsid w:val="00E61497"/>
    <w:rsid w:val="00E65D4D"/>
    <w:rsid w:val="00E669C9"/>
    <w:rsid w:val="00E706E1"/>
    <w:rsid w:val="00E75614"/>
    <w:rsid w:val="00E80D7B"/>
    <w:rsid w:val="00E80EDB"/>
    <w:rsid w:val="00E81C6F"/>
    <w:rsid w:val="00E83899"/>
    <w:rsid w:val="00E8462D"/>
    <w:rsid w:val="00E87546"/>
    <w:rsid w:val="00E9084B"/>
    <w:rsid w:val="00E939F9"/>
    <w:rsid w:val="00E95C28"/>
    <w:rsid w:val="00E960C8"/>
    <w:rsid w:val="00E9621D"/>
    <w:rsid w:val="00E96541"/>
    <w:rsid w:val="00E96B23"/>
    <w:rsid w:val="00EA106E"/>
    <w:rsid w:val="00EA5226"/>
    <w:rsid w:val="00EB212D"/>
    <w:rsid w:val="00EB561B"/>
    <w:rsid w:val="00EB7E72"/>
    <w:rsid w:val="00EC3FD8"/>
    <w:rsid w:val="00EC4D26"/>
    <w:rsid w:val="00EC5EDE"/>
    <w:rsid w:val="00EC6441"/>
    <w:rsid w:val="00ED0068"/>
    <w:rsid w:val="00ED4F81"/>
    <w:rsid w:val="00EE0155"/>
    <w:rsid w:val="00EE1291"/>
    <w:rsid w:val="00EE46E6"/>
    <w:rsid w:val="00EE66CC"/>
    <w:rsid w:val="00EF002A"/>
    <w:rsid w:val="00EF06E8"/>
    <w:rsid w:val="00EF06F3"/>
    <w:rsid w:val="00EF287B"/>
    <w:rsid w:val="00EF4510"/>
    <w:rsid w:val="00EF5C3B"/>
    <w:rsid w:val="00F024B2"/>
    <w:rsid w:val="00F04225"/>
    <w:rsid w:val="00F04D6F"/>
    <w:rsid w:val="00F07AD9"/>
    <w:rsid w:val="00F103E1"/>
    <w:rsid w:val="00F11DDC"/>
    <w:rsid w:val="00F1325B"/>
    <w:rsid w:val="00F1494A"/>
    <w:rsid w:val="00F204AA"/>
    <w:rsid w:val="00F20FBB"/>
    <w:rsid w:val="00F24589"/>
    <w:rsid w:val="00F248C7"/>
    <w:rsid w:val="00F25125"/>
    <w:rsid w:val="00F3183C"/>
    <w:rsid w:val="00F320F0"/>
    <w:rsid w:val="00F35D53"/>
    <w:rsid w:val="00F3626C"/>
    <w:rsid w:val="00F4007B"/>
    <w:rsid w:val="00F414BC"/>
    <w:rsid w:val="00F45D2D"/>
    <w:rsid w:val="00F52149"/>
    <w:rsid w:val="00F52F64"/>
    <w:rsid w:val="00F5667C"/>
    <w:rsid w:val="00F6395D"/>
    <w:rsid w:val="00F65066"/>
    <w:rsid w:val="00F714DD"/>
    <w:rsid w:val="00F72A00"/>
    <w:rsid w:val="00F74957"/>
    <w:rsid w:val="00F7528E"/>
    <w:rsid w:val="00F763F5"/>
    <w:rsid w:val="00F76BAD"/>
    <w:rsid w:val="00F8528F"/>
    <w:rsid w:val="00F85F25"/>
    <w:rsid w:val="00F86A4E"/>
    <w:rsid w:val="00F87417"/>
    <w:rsid w:val="00F91685"/>
    <w:rsid w:val="00F9184B"/>
    <w:rsid w:val="00F927D8"/>
    <w:rsid w:val="00F9523D"/>
    <w:rsid w:val="00FA0E89"/>
    <w:rsid w:val="00FA34C6"/>
    <w:rsid w:val="00FA49B1"/>
    <w:rsid w:val="00FA7216"/>
    <w:rsid w:val="00FB1F82"/>
    <w:rsid w:val="00FB42CE"/>
    <w:rsid w:val="00FB71AF"/>
    <w:rsid w:val="00FB7673"/>
    <w:rsid w:val="00FC0B94"/>
    <w:rsid w:val="00FC2BF7"/>
    <w:rsid w:val="00FC5AE0"/>
    <w:rsid w:val="00FC5D1C"/>
    <w:rsid w:val="00FC6541"/>
    <w:rsid w:val="00FC68D3"/>
    <w:rsid w:val="00FD6797"/>
    <w:rsid w:val="00FD6B7D"/>
    <w:rsid w:val="00FD7583"/>
    <w:rsid w:val="00FE09EE"/>
    <w:rsid w:val="00FE4A52"/>
    <w:rsid w:val="00FE6EDB"/>
    <w:rsid w:val="00FE74CD"/>
    <w:rsid w:val="00FE7A0A"/>
    <w:rsid w:val="00FF2543"/>
    <w:rsid w:val="00FF5BB6"/>
    <w:rsid w:val="00FF5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chartTrackingRefBased/>
  <w15:docId w15:val="{B52E403B-F9E8-4713-A1EB-095CC8C7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lang w:val="ro-RO"/>
      <w14:ligatures w14:val="none"/>
    </w:rPr>
  </w:style>
  <w:style w:type="character" w:customStyle="1" w:styleId="FootnoteTextChar">
    <w:name w:val="Footnote Text Char"/>
    <w:basedOn w:val="DefaultParagraphFont"/>
    <w:link w:val="FootnoteText"/>
    <w:uiPriority w:val="99"/>
    <w:semiHidden/>
    <w:rsid w:val="00922FEB"/>
    <w:rPr>
      <w:kern w:val="0"/>
      <w:sz w:val="20"/>
      <w:szCs w:val="20"/>
      <w:lang w:val="ro-RO"/>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34"/>
    <w:qFormat/>
    <w:rsid w:val="00922FEB"/>
    <w:pPr>
      <w:spacing w:after="200" w:line="276" w:lineRule="auto"/>
      <w:ind w:left="720"/>
      <w:contextualSpacing/>
    </w:pPr>
    <w:rPr>
      <w:kern w:val="0"/>
      <w:lang w:val="ro-RO"/>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lang w:val="ro-RO"/>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unhideWhenUsed/>
    <w:rsid w:val="00922FEB"/>
    <w:pPr>
      <w:spacing w:after="200" w:line="240" w:lineRule="auto"/>
    </w:pPr>
    <w:rPr>
      <w:kern w:val="0"/>
      <w:sz w:val="20"/>
      <w:szCs w:val="20"/>
      <w:lang w:val="ro-RO"/>
      <w14:ligatures w14:val="none"/>
    </w:rPr>
  </w:style>
  <w:style w:type="character" w:customStyle="1" w:styleId="CommentTextChar">
    <w:name w:val="Comment Text Char"/>
    <w:basedOn w:val="DefaultParagraphFont"/>
    <w:link w:val="CommentText"/>
    <w:uiPriority w:val="99"/>
    <w:rsid w:val="00922FEB"/>
    <w:rPr>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lang w:val="ro-RO"/>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lang w:val="ro-RO"/>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lang w:val="ro-RO"/>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customStyle="1" w:styleId="UnresolvedMention1">
    <w:name w:val="Unresolved Mention1"/>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lang w:val="sq-AL"/>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lang w:val="sq-AL"/>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customStyle="1" w:styleId="oj-normal">
    <w:name w:val="oj-normal"/>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j-ti-grseq-1">
    <w:name w:val="oj-ti-grseq-1"/>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expanded">
    <w:name w:val="oj-expanded"/>
    <w:basedOn w:val="DefaultParagraphFont"/>
    <w:rsid w:val="0077636B"/>
  </w:style>
  <w:style w:type="paragraph" w:customStyle="1" w:styleId="oj-ti-art">
    <w:name w:val="oj-ti-art"/>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super">
    <w:name w:val="oj-super"/>
    <w:basedOn w:val="DefaultParagraphFont"/>
    <w:rsid w:val="0077636B"/>
  </w:style>
  <w:style w:type="paragraph" w:styleId="NoSpacing">
    <w:name w:val="No Spacing"/>
    <w:uiPriority w:val="1"/>
    <w:qFormat/>
    <w:rsid w:val="0071079D"/>
    <w:pPr>
      <w:spacing w:after="0" w:line="240" w:lineRule="auto"/>
    </w:pPr>
    <w:rPr>
      <w:rFonts w:eastAsiaTheme="minorEastAsia"/>
      <w:kern w:val="0"/>
      <w14:ligatures w14:val="none"/>
    </w:rPr>
  </w:style>
  <w:style w:type="character" w:customStyle="1" w:styleId="legamendingtext">
    <w:name w:val="legamendingtext"/>
    <w:basedOn w:val="DefaultParagraphFont"/>
    <w:rsid w:val="0042577F"/>
  </w:style>
  <w:style w:type="paragraph" w:customStyle="1" w:styleId="legclearfix">
    <w:name w:val="legclearfix"/>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grhs">
    <w:name w:val="legrhs"/>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dq2pgselectionanchorcontainer">
    <w:name w:val="pdq2pg_selectionanchorcontainer"/>
    <w:basedOn w:val="Normal"/>
    <w:rsid w:val="0075644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CD10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410">
      <w:bodyDiv w:val="1"/>
      <w:marLeft w:val="0"/>
      <w:marRight w:val="0"/>
      <w:marTop w:val="0"/>
      <w:marBottom w:val="0"/>
      <w:divBdr>
        <w:top w:val="none" w:sz="0" w:space="0" w:color="auto"/>
        <w:left w:val="none" w:sz="0" w:space="0" w:color="auto"/>
        <w:bottom w:val="none" w:sz="0" w:space="0" w:color="auto"/>
        <w:right w:val="none" w:sz="0" w:space="0" w:color="auto"/>
      </w:divBdr>
      <w:divsChild>
        <w:div w:id="1046755799">
          <w:marLeft w:val="0"/>
          <w:marRight w:val="0"/>
          <w:marTop w:val="0"/>
          <w:marBottom w:val="0"/>
          <w:divBdr>
            <w:top w:val="none" w:sz="0" w:space="0" w:color="auto"/>
            <w:left w:val="none" w:sz="0" w:space="0" w:color="auto"/>
            <w:bottom w:val="none" w:sz="0" w:space="0" w:color="auto"/>
            <w:right w:val="none" w:sz="0" w:space="0" w:color="auto"/>
          </w:divBdr>
        </w:div>
      </w:divsChild>
    </w:div>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6853641">
      <w:bodyDiv w:val="1"/>
      <w:marLeft w:val="0"/>
      <w:marRight w:val="0"/>
      <w:marTop w:val="0"/>
      <w:marBottom w:val="0"/>
      <w:divBdr>
        <w:top w:val="none" w:sz="0" w:space="0" w:color="auto"/>
        <w:left w:val="none" w:sz="0" w:space="0" w:color="auto"/>
        <w:bottom w:val="none" w:sz="0" w:space="0" w:color="auto"/>
        <w:right w:val="none" w:sz="0" w:space="0" w:color="auto"/>
      </w:divBdr>
      <w:divsChild>
        <w:div w:id="80807730">
          <w:marLeft w:val="0"/>
          <w:marRight w:val="0"/>
          <w:marTop w:val="0"/>
          <w:marBottom w:val="0"/>
          <w:divBdr>
            <w:top w:val="none" w:sz="0" w:space="0" w:color="auto"/>
            <w:left w:val="none" w:sz="0" w:space="0" w:color="auto"/>
            <w:bottom w:val="none" w:sz="0" w:space="0" w:color="auto"/>
            <w:right w:val="none" w:sz="0" w:space="0" w:color="auto"/>
          </w:divBdr>
        </w:div>
        <w:div w:id="388841559">
          <w:marLeft w:val="0"/>
          <w:marRight w:val="0"/>
          <w:marTop w:val="0"/>
          <w:marBottom w:val="0"/>
          <w:divBdr>
            <w:top w:val="none" w:sz="0" w:space="0" w:color="auto"/>
            <w:left w:val="none" w:sz="0" w:space="0" w:color="auto"/>
            <w:bottom w:val="none" w:sz="0" w:space="0" w:color="auto"/>
            <w:right w:val="none" w:sz="0" w:space="0" w:color="auto"/>
          </w:divBdr>
        </w:div>
        <w:div w:id="1896507503">
          <w:marLeft w:val="0"/>
          <w:marRight w:val="0"/>
          <w:marTop w:val="0"/>
          <w:marBottom w:val="0"/>
          <w:divBdr>
            <w:top w:val="none" w:sz="0" w:space="0" w:color="auto"/>
            <w:left w:val="none" w:sz="0" w:space="0" w:color="auto"/>
            <w:bottom w:val="none" w:sz="0" w:space="0" w:color="auto"/>
            <w:right w:val="none" w:sz="0" w:space="0" w:color="auto"/>
          </w:divBdr>
        </w:div>
        <w:div w:id="1199705502">
          <w:marLeft w:val="0"/>
          <w:marRight w:val="0"/>
          <w:marTop w:val="0"/>
          <w:marBottom w:val="0"/>
          <w:divBdr>
            <w:top w:val="none" w:sz="0" w:space="0" w:color="auto"/>
            <w:left w:val="none" w:sz="0" w:space="0" w:color="auto"/>
            <w:bottom w:val="none" w:sz="0" w:space="0" w:color="auto"/>
            <w:right w:val="none" w:sz="0" w:space="0" w:color="auto"/>
          </w:divBdr>
        </w:div>
      </w:divsChild>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17644482">
      <w:bodyDiv w:val="1"/>
      <w:marLeft w:val="0"/>
      <w:marRight w:val="0"/>
      <w:marTop w:val="0"/>
      <w:marBottom w:val="0"/>
      <w:divBdr>
        <w:top w:val="none" w:sz="0" w:space="0" w:color="auto"/>
        <w:left w:val="none" w:sz="0" w:space="0" w:color="auto"/>
        <w:bottom w:val="none" w:sz="0" w:space="0" w:color="auto"/>
        <w:right w:val="none" w:sz="0" w:space="0" w:color="auto"/>
      </w:divBdr>
      <w:divsChild>
        <w:div w:id="2034649543">
          <w:marLeft w:val="0"/>
          <w:marRight w:val="0"/>
          <w:marTop w:val="0"/>
          <w:marBottom w:val="0"/>
          <w:divBdr>
            <w:top w:val="none" w:sz="0" w:space="0" w:color="auto"/>
            <w:left w:val="none" w:sz="0" w:space="0" w:color="auto"/>
            <w:bottom w:val="none" w:sz="0" w:space="0" w:color="auto"/>
            <w:right w:val="none" w:sz="0" w:space="0" w:color="auto"/>
          </w:divBdr>
        </w:div>
      </w:divsChild>
    </w:div>
    <w:div w:id="129784585">
      <w:bodyDiv w:val="1"/>
      <w:marLeft w:val="0"/>
      <w:marRight w:val="0"/>
      <w:marTop w:val="0"/>
      <w:marBottom w:val="0"/>
      <w:divBdr>
        <w:top w:val="none" w:sz="0" w:space="0" w:color="auto"/>
        <w:left w:val="none" w:sz="0" w:space="0" w:color="auto"/>
        <w:bottom w:val="none" w:sz="0" w:space="0" w:color="auto"/>
        <w:right w:val="none" w:sz="0" w:space="0" w:color="auto"/>
      </w:divBdr>
      <w:divsChild>
        <w:div w:id="143472898">
          <w:marLeft w:val="0"/>
          <w:marRight w:val="0"/>
          <w:marTop w:val="0"/>
          <w:marBottom w:val="0"/>
          <w:divBdr>
            <w:top w:val="none" w:sz="0" w:space="0" w:color="auto"/>
            <w:left w:val="none" w:sz="0" w:space="0" w:color="auto"/>
            <w:bottom w:val="none" w:sz="0" w:space="0" w:color="auto"/>
            <w:right w:val="none" w:sz="0" w:space="0" w:color="auto"/>
          </w:divBdr>
        </w:div>
      </w:divsChild>
    </w:div>
    <w:div w:id="131793620">
      <w:bodyDiv w:val="1"/>
      <w:marLeft w:val="0"/>
      <w:marRight w:val="0"/>
      <w:marTop w:val="0"/>
      <w:marBottom w:val="0"/>
      <w:divBdr>
        <w:top w:val="none" w:sz="0" w:space="0" w:color="auto"/>
        <w:left w:val="none" w:sz="0" w:space="0" w:color="auto"/>
        <w:bottom w:val="none" w:sz="0" w:space="0" w:color="auto"/>
        <w:right w:val="none" w:sz="0" w:space="0" w:color="auto"/>
      </w:divBdr>
      <w:divsChild>
        <w:div w:id="791948264">
          <w:marLeft w:val="0"/>
          <w:marRight w:val="0"/>
          <w:marTop w:val="0"/>
          <w:marBottom w:val="0"/>
          <w:divBdr>
            <w:top w:val="none" w:sz="0" w:space="0" w:color="auto"/>
            <w:left w:val="none" w:sz="0" w:space="0" w:color="auto"/>
            <w:bottom w:val="none" w:sz="0" w:space="0" w:color="auto"/>
            <w:right w:val="none" w:sz="0" w:space="0" w:color="auto"/>
          </w:divBdr>
        </w:div>
        <w:div w:id="617756352">
          <w:marLeft w:val="0"/>
          <w:marRight w:val="0"/>
          <w:marTop w:val="0"/>
          <w:marBottom w:val="0"/>
          <w:divBdr>
            <w:top w:val="none" w:sz="0" w:space="0" w:color="auto"/>
            <w:left w:val="none" w:sz="0" w:space="0" w:color="auto"/>
            <w:bottom w:val="none" w:sz="0" w:space="0" w:color="auto"/>
            <w:right w:val="none" w:sz="0" w:space="0" w:color="auto"/>
          </w:divBdr>
          <w:divsChild>
            <w:div w:id="1785804087">
              <w:marLeft w:val="0"/>
              <w:marRight w:val="0"/>
              <w:marTop w:val="0"/>
              <w:marBottom w:val="0"/>
              <w:divBdr>
                <w:top w:val="none" w:sz="0" w:space="0" w:color="auto"/>
                <w:left w:val="none" w:sz="0" w:space="0" w:color="auto"/>
                <w:bottom w:val="none" w:sz="0" w:space="0" w:color="auto"/>
                <w:right w:val="none" w:sz="0" w:space="0" w:color="auto"/>
              </w:divBdr>
            </w:div>
          </w:divsChild>
        </w:div>
        <w:div w:id="1674723004">
          <w:marLeft w:val="0"/>
          <w:marRight w:val="0"/>
          <w:marTop w:val="0"/>
          <w:marBottom w:val="0"/>
          <w:divBdr>
            <w:top w:val="none" w:sz="0" w:space="0" w:color="auto"/>
            <w:left w:val="none" w:sz="0" w:space="0" w:color="auto"/>
            <w:bottom w:val="none" w:sz="0" w:space="0" w:color="auto"/>
            <w:right w:val="none" w:sz="0" w:space="0" w:color="auto"/>
          </w:divBdr>
          <w:divsChild>
            <w:div w:id="121771459">
              <w:marLeft w:val="0"/>
              <w:marRight w:val="0"/>
              <w:marTop w:val="0"/>
              <w:marBottom w:val="0"/>
              <w:divBdr>
                <w:top w:val="none" w:sz="0" w:space="0" w:color="auto"/>
                <w:left w:val="none" w:sz="0" w:space="0" w:color="auto"/>
                <w:bottom w:val="none" w:sz="0" w:space="0" w:color="auto"/>
                <w:right w:val="none" w:sz="0" w:space="0" w:color="auto"/>
              </w:divBdr>
            </w:div>
          </w:divsChild>
        </w:div>
        <w:div w:id="1033076638">
          <w:marLeft w:val="0"/>
          <w:marRight w:val="0"/>
          <w:marTop w:val="0"/>
          <w:marBottom w:val="0"/>
          <w:divBdr>
            <w:top w:val="none" w:sz="0" w:space="0" w:color="auto"/>
            <w:left w:val="none" w:sz="0" w:space="0" w:color="auto"/>
            <w:bottom w:val="none" w:sz="0" w:space="0" w:color="auto"/>
            <w:right w:val="none" w:sz="0" w:space="0" w:color="auto"/>
          </w:divBdr>
          <w:divsChild>
            <w:div w:id="1204438726">
              <w:marLeft w:val="0"/>
              <w:marRight w:val="0"/>
              <w:marTop w:val="0"/>
              <w:marBottom w:val="0"/>
              <w:divBdr>
                <w:top w:val="none" w:sz="0" w:space="0" w:color="auto"/>
                <w:left w:val="none" w:sz="0" w:space="0" w:color="auto"/>
                <w:bottom w:val="none" w:sz="0" w:space="0" w:color="auto"/>
                <w:right w:val="none" w:sz="0" w:space="0" w:color="auto"/>
              </w:divBdr>
            </w:div>
          </w:divsChild>
        </w:div>
        <w:div w:id="1793674169">
          <w:marLeft w:val="0"/>
          <w:marRight w:val="0"/>
          <w:marTop w:val="0"/>
          <w:marBottom w:val="0"/>
          <w:divBdr>
            <w:top w:val="none" w:sz="0" w:space="0" w:color="auto"/>
            <w:left w:val="none" w:sz="0" w:space="0" w:color="auto"/>
            <w:bottom w:val="none" w:sz="0" w:space="0" w:color="auto"/>
            <w:right w:val="none" w:sz="0" w:space="0" w:color="auto"/>
          </w:divBdr>
          <w:divsChild>
            <w:div w:id="2603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55582578">
      <w:bodyDiv w:val="1"/>
      <w:marLeft w:val="0"/>
      <w:marRight w:val="0"/>
      <w:marTop w:val="0"/>
      <w:marBottom w:val="0"/>
      <w:divBdr>
        <w:top w:val="none" w:sz="0" w:space="0" w:color="auto"/>
        <w:left w:val="none" w:sz="0" w:space="0" w:color="auto"/>
        <w:bottom w:val="none" w:sz="0" w:space="0" w:color="auto"/>
        <w:right w:val="none" w:sz="0" w:space="0" w:color="auto"/>
      </w:divBdr>
      <w:divsChild>
        <w:div w:id="1541238415">
          <w:marLeft w:val="0"/>
          <w:marRight w:val="0"/>
          <w:marTop w:val="0"/>
          <w:marBottom w:val="0"/>
          <w:divBdr>
            <w:top w:val="none" w:sz="0" w:space="0" w:color="auto"/>
            <w:left w:val="none" w:sz="0" w:space="0" w:color="auto"/>
            <w:bottom w:val="none" w:sz="0" w:space="0" w:color="auto"/>
            <w:right w:val="none" w:sz="0" w:space="0" w:color="auto"/>
          </w:divBdr>
        </w:div>
      </w:divsChild>
    </w:div>
    <w:div w:id="176697041">
      <w:bodyDiv w:val="1"/>
      <w:marLeft w:val="0"/>
      <w:marRight w:val="0"/>
      <w:marTop w:val="0"/>
      <w:marBottom w:val="0"/>
      <w:divBdr>
        <w:top w:val="none" w:sz="0" w:space="0" w:color="auto"/>
        <w:left w:val="none" w:sz="0" w:space="0" w:color="auto"/>
        <w:bottom w:val="none" w:sz="0" w:space="0" w:color="auto"/>
        <w:right w:val="none" w:sz="0" w:space="0" w:color="auto"/>
      </w:divBdr>
      <w:divsChild>
        <w:div w:id="1355613171">
          <w:marLeft w:val="0"/>
          <w:marRight w:val="0"/>
          <w:marTop w:val="0"/>
          <w:marBottom w:val="0"/>
          <w:divBdr>
            <w:top w:val="none" w:sz="0" w:space="0" w:color="auto"/>
            <w:left w:val="none" w:sz="0" w:space="0" w:color="auto"/>
            <w:bottom w:val="none" w:sz="0" w:space="0" w:color="auto"/>
            <w:right w:val="none" w:sz="0" w:space="0" w:color="auto"/>
          </w:divBdr>
        </w:div>
      </w:divsChild>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09462764">
      <w:bodyDiv w:val="1"/>
      <w:marLeft w:val="0"/>
      <w:marRight w:val="0"/>
      <w:marTop w:val="0"/>
      <w:marBottom w:val="0"/>
      <w:divBdr>
        <w:top w:val="none" w:sz="0" w:space="0" w:color="auto"/>
        <w:left w:val="none" w:sz="0" w:space="0" w:color="auto"/>
        <w:bottom w:val="none" w:sz="0" w:space="0" w:color="auto"/>
        <w:right w:val="none" w:sz="0" w:space="0" w:color="auto"/>
      </w:divBdr>
      <w:divsChild>
        <w:div w:id="1418214745">
          <w:marLeft w:val="0"/>
          <w:marRight w:val="0"/>
          <w:marTop w:val="0"/>
          <w:marBottom w:val="0"/>
          <w:divBdr>
            <w:top w:val="none" w:sz="0" w:space="0" w:color="auto"/>
            <w:left w:val="none" w:sz="0" w:space="0" w:color="auto"/>
            <w:bottom w:val="none" w:sz="0" w:space="0" w:color="auto"/>
            <w:right w:val="none" w:sz="0" w:space="0" w:color="auto"/>
          </w:divBdr>
        </w:div>
      </w:divsChild>
    </w:div>
    <w:div w:id="219903732">
      <w:bodyDiv w:val="1"/>
      <w:marLeft w:val="0"/>
      <w:marRight w:val="0"/>
      <w:marTop w:val="0"/>
      <w:marBottom w:val="0"/>
      <w:divBdr>
        <w:top w:val="none" w:sz="0" w:space="0" w:color="auto"/>
        <w:left w:val="none" w:sz="0" w:space="0" w:color="auto"/>
        <w:bottom w:val="none" w:sz="0" w:space="0" w:color="auto"/>
        <w:right w:val="none" w:sz="0" w:space="0" w:color="auto"/>
      </w:divBdr>
      <w:divsChild>
        <w:div w:id="1485970761">
          <w:marLeft w:val="0"/>
          <w:marRight w:val="0"/>
          <w:marTop w:val="0"/>
          <w:marBottom w:val="0"/>
          <w:divBdr>
            <w:top w:val="none" w:sz="0" w:space="0" w:color="auto"/>
            <w:left w:val="none" w:sz="0" w:space="0" w:color="auto"/>
            <w:bottom w:val="none" w:sz="0" w:space="0" w:color="auto"/>
            <w:right w:val="none" w:sz="0" w:space="0" w:color="auto"/>
          </w:divBdr>
          <w:divsChild>
            <w:div w:id="170074731">
              <w:marLeft w:val="0"/>
              <w:marRight w:val="0"/>
              <w:marTop w:val="0"/>
              <w:marBottom w:val="0"/>
              <w:divBdr>
                <w:top w:val="none" w:sz="0" w:space="0" w:color="auto"/>
                <w:left w:val="none" w:sz="0" w:space="0" w:color="auto"/>
                <w:bottom w:val="none" w:sz="0" w:space="0" w:color="auto"/>
                <w:right w:val="none" w:sz="0" w:space="0" w:color="auto"/>
              </w:divBdr>
            </w:div>
            <w:div w:id="1703939860">
              <w:marLeft w:val="0"/>
              <w:marRight w:val="0"/>
              <w:marTop w:val="0"/>
              <w:marBottom w:val="0"/>
              <w:divBdr>
                <w:top w:val="none" w:sz="0" w:space="0" w:color="auto"/>
                <w:left w:val="none" w:sz="0" w:space="0" w:color="auto"/>
                <w:bottom w:val="none" w:sz="0" w:space="0" w:color="auto"/>
                <w:right w:val="none" w:sz="0" w:space="0" w:color="auto"/>
              </w:divBdr>
              <w:divsChild>
                <w:div w:id="93794347">
                  <w:marLeft w:val="0"/>
                  <w:marRight w:val="0"/>
                  <w:marTop w:val="0"/>
                  <w:marBottom w:val="0"/>
                  <w:divBdr>
                    <w:top w:val="none" w:sz="0" w:space="0" w:color="auto"/>
                    <w:left w:val="none" w:sz="0" w:space="0" w:color="auto"/>
                    <w:bottom w:val="none" w:sz="0" w:space="0" w:color="auto"/>
                    <w:right w:val="none" w:sz="0" w:space="0" w:color="auto"/>
                  </w:divBdr>
                </w:div>
              </w:divsChild>
            </w:div>
            <w:div w:id="497577153">
              <w:marLeft w:val="0"/>
              <w:marRight w:val="0"/>
              <w:marTop w:val="0"/>
              <w:marBottom w:val="0"/>
              <w:divBdr>
                <w:top w:val="none" w:sz="0" w:space="0" w:color="auto"/>
                <w:left w:val="none" w:sz="0" w:space="0" w:color="auto"/>
                <w:bottom w:val="none" w:sz="0" w:space="0" w:color="auto"/>
                <w:right w:val="none" w:sz="0" w:space="0" w:color="auto"/>
              </w:divBdr>
              <w:divsChild>
                <w:div w:id="6214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660836">
      <w:bodyDiv w:val="1"/>
      <w:marLeft w:val="0"/>
      <w:marRight w:val="0"/>
      <w:marTop w:val="0"/>
      <w:marBottom w:val="0"/>
      <w:divBdr>
        <w:top w:val="none" w:sz="0" w:space="0" w:color="auto"/>
        <w:left w:val="none" w:sz="0" w:space="0" w:color="auto"/>
        <w:bottom w:val="none" w:sz="0" w:space="0" w:color="auto"/>
        <w:right w:val="none" w:sz="0" w:space="0" w:color="auto"/>
      </w:divBdr>
      <w:divsChild>
        <w:div w:id="1896548026">
          <w:marLeft w:val="0"/>
          <w:marRight w:val="0"/>
          <w:marTop w:val="0"/>
          <w:marBottom w:val="0"/>
          <w:divBdr>
            <w:top w:val="none" w:sz="0" w:space="0" w:color="auto"/>
            <w:left w:val="none" w:sz="0" w:space="0" w:color="auto"/>
            <w:bottom w:val="none" w:sz="0" w:space="0" w:color="auto"/>
            <w:right w:val="none" w:sz="0" w:space="0" w:color="auto"/>
          </w:divBdr>
        </w:div>
      </w:divsChild>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273829770">
      <w:bodyDiv w:val="1"/>
      <w:marLeft w:val="0"/>
      <w:marRight w:val="0"/>
      <w:marTop w:val="0"/>
      <w:marBottom w:val="0"/>
      <w:divBdr>
        <w:top w:val="none" w:sz="0" w:space="0" w:color="auto"/>
        <w:left w:val="none" w:sz="0" w:space="0" w:color="auto"/>
        <w:bottom w:val="none" w:sz="0" w:space="0" w:color="auto"/>
        <w:right w:val="none" w:sz="0" w:space="0" w:color="auto"/>
      </w:divBdr>
      <w:divsChild>
        <w:div w:id="774716330">
          <w:marLeft w:val="0"/>
          <w:marRight w:val="0"/>
          <w:marTop w:val="0"/>
          <w:marBottom w:val="0"/>
          <w:divBdr>
            <w:top w:val="none" w:sz="0" w:space="0" w:color="auto"/>
            <w:left w:val="none" w:sz="0" w:space="0" w:color="auto"/>
            <w:bottom w:val="none" w:sz="0" w:space="0" w:color="auto"/>
            <w:right w:val="none" w:sz="0" w:space="0" w:color="auto"/>
          </w:divBdr>
        </w:div>
      </w:divsChild>
    </w:div>
    <w:div w:id="283586799">
      <w:bodyDiv w:val="1"/>
      <w:marLeft w:val="0"/>
      <w:marRight w:val="0"/>
      <w:marTop w:val="0"/>
      <w:marBottom w:val="0"/>
      <w:divBdr>
        <w:top w:val="none" w:sz="0" w:space="0" w:color="auto"/>
        <w:left w:val="none" w:sz="0" w:space="0" w:color="auto"/>
        <w:bottom w:val="none" w:sz="0" w:space="0" w:color="auto"/>
        <w:right w:val="none" w:sz="0" w:space="0" w:color="auto"/>
      </w:divBdr>
      <w:divsChild>
        <w:div w:id="2026053845">
          <w:marLeft w:val="0"/>
          <w:marRight w:val="0"/>
          <w:marTop w:val="0"/>
          <w:marBottom w:val="0"/>
          <w:divBdr>
            <w:top w:val="none" w:sz="0" w:space="0" w:color="auto"/>
            <w:left w:val="none" w:sz="0" w:space="0" w:color="auto"/>
            <w:bottom w:val="none" w:sz="0" w:space="0" w:color="auto"/>
            <w:right w:val="none" w:sz="0" w:space="0" w:color="auto"/>
          </w:divBdr>
        </w:div>
      </w:divsChild>
    </w:div>
    <w:div w:id="329646590">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5601155">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52802884">
      <w:bodyDiv w:val="1"/>
      <w:marLeft w:val="0"/>
      <w:marRight w:val="0"/>
      <w:marTop w:val="0"/>
      <w:marBottom w:val="0"/>
      <w:divBdr>
        <w:top w:val="none" w:sz="0" w:space="0" w:color="auto"/>
        <w:left w:val="none" w:sz="0" w:space="0" w:color="auto"/>
        <w:bottom w:val="none" w:sz="0" w:space="0" w:color="auto"/>
        <w:right w:val="none" w:sz="0" w:space="0" w:color="auto"/>
      </w:divBdr>
      <w:divsChild>
        <w:div w:id="372772922">
          <w:marLeft w:val="0"/>
          <w:marRight w:val="0"/>
          <w:marTop w:val="0"/>
          <w:marBottom w:val="0"/>
          <w:divBdr>
            <w:top w:val="none" w:sz="0" w:space="0" w:color="auto"/>
            <w:left w:val="none" w:sz="0" w:space="0" w:color="auto"/>
            <w:bottom w:val="none" w:sz="0" w:space="0" w:color="auto"/>
            <w:right w:val="none" w:sz="0" w:space="0" w:color="auto"/>
          </w:divBdr>
        </w:div>
      </w:divsChild>
    </w:div>
    <w:div w:id="357656865">
      <w:bodyDiv w:val="1"/>
      <w:marLeft w:val="0"/>
      <w:marRight w:val="0"/>
      <w:marTop w:val="0"/>
      <w:marBottom w:val="0"/>
      <w:divBdr>
        <w:top w:val="none" w:sz="0" w:space="0" w:color="auto"/>
        <w:left w:val="none" w:sz="0" w:space="0" w:color="auto"/>
        <w:bottom w:val="none" w:sz="0" w:space="0" w:color="auto"/>
        <w:right w:val="none" w:sz="0" w:space="0" w:color="auto"/>
      </w:divBdr>
      <w:divsChild>
        <w:div w:id="778531331">
          <w:marLeft w:val="0"/>
          <w:marRight w:val="0"/>
          <w:marTop w:val="0"/>
          <w:marBottom w:val="0"/>
          <w:divBdr>
            <w:top w:val="none" w:sz="0" w:space="0" w:color="auto"/>
            <w:left w:val="none" w:sz="0" w:space="0" w:color="auto"/>
            <w:bottom w:val="none" w:sz="0" w:space="0" w:color="auto"/>
            <w:right w:val="none" w:sz="0" w:space="0" w:color="auto"/>
          </w:divBdr>
        </w:div>
      </w:divsChild>
    </w:div>
    <w:div w:id="378406191">
      <w:bodyDiv w:val="1"/>
      <w:marLeft w:val="0"/>
      <w:marRight w:val="0"/>
      <w:marTop w:val="0"/>
      <w:marBottom w:val="0"/>
      <w:divBdr>
        <w:top w:val="none" w:sz="0" w:space="0" w:color="auto"/>
        <w:left w:val="none" w:sz="0" w:space="0" w:color="auto"/>
        <w:bottom w:val="none" w:sz="0" w:space="0" w:color="auto"/>
        <w:right w:val="none" w:sz="0" w:space="0" w:color="auto"/>
      </w:divBdr>
      <w:divsChild>
        <w:div w:id="255679588">
          <w:marLeft w:val="0"/>
          <w:marRight w:val="0"/>
          <w:marTop w:val="0"/>
          <w:marBottom w:val="0"/>
          <w:divBdr>
            <w:top w:val="none" w:sz="0" w:space="0" w:color="auto"/>
            <w:left w:val="none" w:sz="0" w:space="0" w:color="auto"/>
            <w:bottom w:val="none" w:sz="0" w:space="0" w:color="auto"/>
            <w:right w:val="none" w:sz="0" w:space="0" w:color="auto"/>
          </w:divBdr>
        </w:div>
      </w:divsChild>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389815015">
      <w:bodyDiv w:val="1"/>
      <w:marLeft w:val="0"/>
      <w:marRight w:val="0"/>
      <w:marTop w:val="0"/>
      <w:marBottom w:val="0"/>
      <w:divBdr>
        <w:top w:val="none" w:sz="0" w:space="0" w:color="auto"/>
        <w:left w:val="none" w:sz="0" w:space="0" w:color="auto"/>
        <w:bottom w:val="none" w:sz="0" w:space="0" w:color="auto"/>
        <w:right w:val="none" w:sz="0" w:space="0" w:color="auto"/>
      </w:divBdr>
    </w:div>
    <w:div w:id="400908366">
      <w:bodyDiv w:val="1"/>
      <w:marLeft w:val="0"/>
      <w:marRight w:val="0"/>
      <w:marTop w:val="0"/>
      <w:marBottom w:val="0"/>
      <w:divBdr>
        <w:top w:val="none" w:sz="0" w:space="0" w:color="auto"/>
        <w:left w:val="none" w:sz="0" w:space="0" w:color="auto"/>
        <w:bottom w:val="none" w:sz="0" w:space="0" w:color="auto"/>
        <w:right w:val="none" w:sz="0" w:space="0" w:color="auto"/>
      </w:divBdr>
      <w:divsChild>
        <w:div w:id="922027152">
          <w:marLeft w:val="0"/>
          <w:marRight w:val="0"/>
          <w:marTop w:val="0"/>
          <w:marBottom w:val="0"/>
          <w:divBdr>
            <w:top w:val="none" w:sz="0" w:space="0" w:color="auto"/>
            <w:left w:val="none" w:sz="0" w:space="0" w:color="auto"/>
            <w:bottom w:val="none" w:sz="0" w:space="0" w:color="auto"/>
            <w:right w:val="none" w:sz="0" w:space="0" w:color="auto"/>
          </w:divBdr>
        </w:div>
      </w:divsChild>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453714">
      <w:bodyDiv w:val="1"/>
      <w:marLeft w:val="0"/>
      <w:marRight w:val="0"/>
      <w:marTop w:val="0"/>
      <w:marBottom w:val="0"/>
      <w:divBdr>
        <w:top w:val="none" w:sz="0" w:space="0" w:color="auto"/>
        <w:left w:val="none" w:sz="0" w:space="0" w:color="auto"/>
        <w:bottom w:val="none" w:sz="0" w:space="0" w:color="auto"/>
        <w:right w:val="none" w:sz="0" w:space="0" w:color="auto"/>
      </w:divBdr>
      <w:divsChild>
        <w:div w:id="255674626">
          <w:marLeft w:val="0"/>
          <w:marRight w:val="0"/>
          <w:marTop w:val="0"/>
          <w:marBottom w:val="0"/>
          <w:divBdr>
            <w:top w:val="none" w:sz="0" w:space="0" w:color="auto"/>
            <w:left w:val="none" w:sz="0" w:space="0" w:color="auto"/>
            <w:bottom w:val="none" w:sz="0" w:space="0" w:color="auto"/>
            <w:right w:val="none" w:sz="0" w:space="0" w:color="auto"/>
          </w:divBdr>
        </w:div>
        <w:div w:id="908464086">
          <w:marLeft w:val="0"/>
          <w:marRight w:val="0"/>
          <w:marTop w:val="0"/>
          <w:marBottom w:val="0"/>
          <w:divBdr>
            <w:top w:val="none" w:sz="0" w:space="0" w:color="auto"/>
            <w:left w:val="none" w:sz="0" w:space="0" w:color="auto"/>
            <w:bottom w:val="none" w:sz="0" w:space="0" w:color="auto"/>
            <w:right w:val="none" w:sz="0" w:space="0" w:color="auto"/>
          </w:divBdr>
        </w:div>
      </w:divsChild>
    </w:div>
    <w:div w:id="447050906">
      <w:bodyDiv w:val="1"/>
      <w:marLeft w:val="0"/>
      <w:marRight w:val="0"/>
      <w:marTop w:val="0"/>
      <w:marBottom w:val="0"/>
      <w:divBdr>
        <w:top w:val="none" w:sz="0" w:space="0" w:color="auto"/>
        <w:left w:val="none" w:sz="0" w:space="0" w:color="auto"/>
        <w:bottom w:val="none" w:sz="0" w:space="0" w:color="auto"/>
        <w:right w:val="none" w:sz="0" w:space="0" w:color="auto"/>
      </w:divBdr>
      <w:divsChild>
        <w:div w:id="13003924">
          <w:marLeft w:val="0"/>
          <w:marRight w:val="0"/>
          <w:marTop w:val="0"/>
          <w:marBottom w:val="0"/>
          <w:divBdr>
            <w:top w:val="none" w:sz="0" w:space="0" w:color="auto"/>
            <w:left w:val="none" w:sz="0" w:space="0" w:color="auto"/>
            <w:bottom w:val="none" w:sz="0" w:space="0" w:color="auto"/>
            <w:right w:val="none" w:sz="0" w:space="0" w:color="auto"/>
          </w:divBdr>
        </w:div>
        <w:div w:id="416171366">
          <w:marLeft w:val="0"/>
          <w:marRight w:val="0"/>
          <w:marTop w:val="0"/>
          <w:marBottom w:val="0"/>
          <w:divBdr>
            <w:top w:val="none" w:sz="0" w:space="0" w:color="auto"/>
            <w:left w:val="none" w:sz="0" w:space="0" w:color="auto"/>
            <w:bottom w:val="none" w:sz="0" w:space="0" w:color="auto"/>
            <w:right w:val="none" w:sz="0" w:space="0" w:color="auto"/>
          </w:divBdr>
        </w:div>
        <w:div w:id="1956326091">
          <w:marLeft w:val="0"/>
          <w:marRight w:val="0"/>
          <w:marTop w:val="0"/>
          <w:marBottom w:val="0"/>
          <w:divBdr>
            <w:top w:val="none" w:sz="0" w:space="0" w:color="auto"/>
            <w:left w:val="none" w:sz="0" w:space="0" w:color="auto"/>
            <w:bottom w:val="none" w:sz="0" w:space="0" w:color="auto"/>
            <w:right w:val="none" w:sz="0" w:space="0" w:color="auto"/>
          </w:divBdr>
        </w:div>
        <w:div w:id="1482966685">
          <w:marLeft w:val="0"/>
          <w:marRight w:val="0"/>
          <w:marTop w:val="0"/>
          <w:marBottom w:val="0"/>
          <w:divBdr>
            <w:top w:val="none" w:sz="0" w:space="0" w:color="auto"/>
            <w:left w:val="none" w:sz="0" w:space="0" w:color="auto"/>
            <w:bottom w:val="none" w:sz="0" w:space="0" w:color="auto"/>
            <w:right w:val="none" w:sz="0" w:space="0" w:color="auto"/>
          </w:divBdr>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51172677">
      <w:bodyDiv w:val="1"/>
      <w:marLeft w:val="0"/>
      <w:marRight w:val="0"/>
      <w:marTop w:val="0"/>
      <w:marBottom w:val="0"/>
      <w:divBdr>
        <w:top w:val="none" w:sz="0" w:space="0" w:color="auto"/>
        <w:left w:val="none" w:sz="0" w:space="0" w:color="auto"/>
        <w:bottom w:val="none" w:sz="0" w:space="0" w:color="auto"/>
        <w:right w:val="none" w:sz="0" w:space="0" w:color="auto"/>
      </w:divBdr>
      <w:divsChild>
        <w:div w:id="1952735036">
          <w:marLeft w:val="0"/>
          <w:marRight w:val="0"/>
          <w:marTop w:val="0"/>
          <w:marBottom w:val="0"/>
          <w:divBdr>
            <w:top w:val="none" w:sz="0" w:space="0" w:color="auto"/>
            <w:left w:val="none" w:sz="0" w:space="0" w:color="auto"/>
            <w:bottom w:val="none" w:sz="0" w:space="0" w:color="auto"/>
            <w:right w:val="none" w:sz="0" w:space="0" w:color="auto"/>
          </w:divBdr>
        </w:div>
      </w:divsChild>
    </w:div>
    <w:div w:id="473765202">
      <w:bodyDiv w:val="1"/>
      <w:marLeft w:val="0"/>
      <w:marRight w:val="0"/>
      <w:marTop w:val="0"/>
      <w:marBottom w:val="0"/>
      <w:divBdr>
        <w:top w:val="none" w:sz="0" w:space="0" w:color="auto"/>
        <w:left w:val="none" w:sz="0" w:space="0" w:color="auto"/>
        <w:bottom w:val="none" w:sz="0" w:space="0" w:color="auto"/>
        <w:right w:val="none" w:sz="0" w:space="0" w:color="auto"/>
      </w:divBdr>
      <w:divsChild>
        <w:div w:id="107161707">
          <w:marLeft w:val="0"/>
          <w:marRight w:val="0"/>
          <w:marTop w:val="0"/>
          <w:marBottom w:val="0"/>
          <w:divBdr>
            <w:top w:val="none" w:sz="0" w:space="0" w:color="auto"/>
            <w:left w:val="none" w:sz="0" w:space="0" w:color="auto"/>
            <w:bottom w:val="none" w:sz="0" w:space="0" w:color="auto"/>
            <w:right w:val="none" w:sz="0" w:space="0" w:color="auto"/>
          </w:divBdr>
        </w:div>
      </w:divsChild>
    </w:div>
    <w:div w:id="496192425">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8547958">
      <w:bodyDiv w:val="1"/>
      <w:marLeft w:val="0"/>
      <w:marRight w:val="0"/>
      <w:marTop w:val="0"/>
      <w:marBottom w:val="0"/>
      <w:divBdr>
        <w:top w:val="none" w:sz="0" w:space="0" w:color="auto"/>
        <w:left w:val="none" w:sz="0" w:space="0" w:color="auto"/>
        <w:bottom w:val="none" w:sz="0" w:space="0" w:color="auto"/>
        <w:right w:val="none" w:sz="0" w:space="0" w:color="auto"/>
      </w:divBdr>
      <w:divsChild>
        <w:div w:id="440565309">
          <w:marLeft w:val="0"/>
          <w:marRight w:val="0"/>
          <w:marTop w:val="0"/>
          <w:marBottom w:val="0"/>
          <w:divBdr>
            <w:top w:val="none" w:sz="0" w:space="0" w:color="auto"/>
            <w:left w:val="none" w:sz="0" w:space="0" w:color="auto"/>
            <w:bottom w:val="none" w:sz="0" w:space="0" w:color="auto"/>
            <w:right w:val="none" w:sz="0" w:space="0" w:color="auto"/>
          </w:divBdr>
        </w:div>
        <w:div w:id="1471702461">
          <w:marLeft w:val="0"/>
          <w:marRight w:val="0"/>
          <w:marTop w:val="0"/>
          <w:marBottom w:val="0"/>
          <w:divBdr>
            <w:top w:val="none" w:sz="0" w:space="0" w:color="auto"/>
            <w:left w:val="none" w:sz="0" w:space="0" w:color="auto"/>
            <w:bottom w:val="none" w:sz="0" w:space="0" w:color="auto"/>
            <w:right w:val="none" w:sz="0" w:space="0" w:color="auto"/>
          </w:divBdr>
        </w:div>
      </w:divsChild>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04246550">
      <w:bodyDiv w:val="1"/>
      <w:marLeft w:val="0"/>
      <w:marRight w:val="0"/>
      <w:marTop w:val="0"/>
      <w:marBottom w:val="0"/>
      <w:divBdr>
        <w:top w:val="none" w:sz="0" w:space="0" w:color="auto"/>
        <w:left w:val="none" w:sz="0" w:space="0" w:color="auto"/>
        <w:bottom w:val="none" w:sz="0" w:space="0" w:color="auto"/>
        <w:right w:val="none" w:sz="0" w:space="0" w:color="auto"/>
      </w:divBdr>
      <w:divsChild>
        <w:div w:id="1886213120">
          <w:marLeft w:val="0"/>
          <w:marRight w:val="0"/>
          <w:marTop w:val="0"/>
          <w:marBottom w:val="0"/>
          <w:divBdr>
            <w:top w:val="none" w:sz="0" w:space="0" w:color="auto"/>
            <w:left w:val="none" w:sz="0" w:space="0" w:color="auto"/>
            <w:bottom w:val="none" w:sz="0" w:space="0" w:color="auto"/>
            <w:right w:val="none" w:sz="0" w:space="0" w:color="auto"/>
          </w:divBdr>
        </w:div>
      </w:divsChild>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29949294">
      <w:bodyDiv w:val="1"/>
      <w:marLeft w:val="0"/>
      <w:marRight w:val="0"/>
      <w:marTop w:val="0"/>
      <w:marBottom w:val="0"/>
      <w:divBdr>
        <w:top w:val="none" w:sz="0" w:space="0" w:color="auto"/>
        <w:left w:val="none" w:sz="0" w:space="0" w:color="auto"/>
        <w:bottom w:val="none" w:sz="0" w:space="0" w:color="auto"/>
        <w:right w:val="none" w:sz="0" w:space="0" w:color="auto"/>
      </w:divBdr>
      <w:divsChild>
        <w:div w:id="2063946191">
          <w:marLeft w:val="0"/>
          <w:marRight w:val="0"/>
          <w:marTop w:val="0"/>
          <w:marBottom w:val="0"/>
          <w:divBdr>
            <w:top w:val="none" w:sz="0" w:space="0" w:color="auto"/>
            <w:left w:val="none" w:sz="0" w:space="0" w:color="auto"/>
            <w:bottom w:val="none" w:sz="0" w:space="0" w:color="auto"/>
            <w:right w:val="none" w:sz="0" w:space="0" w:color="auto"/>
          </w:divBdr>
        </w:div>
      </w:divsChild>
    </w:div>
    <w:div w:id="531651474">
      <w:bodyDiv w:val="1"/>
      <w:marLeft w:val="0"/>
      <w:marRight w:val="0"/>
      <w:marTop w:val="0"/>
      <w:marBottom w:val="0"/>
      <w:divBdr>
        <w:top w:val="none" w:sz="0" w:space="0" w:color="auto"/>
        <w:left w:val="none" w:sz="0" w:space="0" w:color="auto"/>
        <w:bottom w:val="none" w:sz="0" w:space="0" w:color="auto"/>
        <w:right w:val="none" w:sz="0" w:space="0" w:color="auto"/>
      </w:divBdr>
      <w:divsChild>
        <w:div w:id="1652754386">
          <w:marLeft w:val="0"/>
          <w:marRight w:val="0"/>
          <w:marTop w:val="0"/>
          <w:marBottom w:val="0"/>
          <w:divBdr>
            <w:top w:val="none" w:sz="0" w:space="0" w:color="auto"/>
            <w:left w:val="none" w:sz="0" w:space="0" w:color="auto"/>
            <w:bottom w:val="none" w:sz="0" w:space="0" w:color="auto"/>
            <w:right w:val="none" w:sz="0" w:space="0" w:color="auto"/>
          </w:divBdr>
          <w:divsChild>
            <w:div w:id="1519269358">
              <w:marLeft w:val="0"/>
              <w:marRight w:val="0"/>
              <w:marTop w:val="0"/>
              <w:marBottom w:val="0"/>
              <w:divBdr>
                <w:top w:val="none" w:sz="0" w:space="0" w:color="auto"/>
                <w:left w:val="none" w:sz="0" w:space="0" w:color="auto"/>
                <w:bottom w:val="none" w:sz="0" w:space="0" w:color="auto"/>
                <w:right w:val="none" w:sz="0" w:space="0" w:color="auto"/>
              </w:divBdr>
              <w:divsChild>
                <w:div w:id="1453212802">
                  <w:marLeft w:val="0"/>
                  <w:marRight w:val="0"/>
                  <w:marTop w:val="0"/>
                  <w:marBottom w:val="0"/>
                  <w:divBdr>
                    <w:top w:val="none" w:sz="0" w:space="0" w:color="auto"/>
                    <w:left w:val="none" w:sz="0" w:space="0" w:color="auto"/>
                    <w:bottom w:val="none" w:sz="0" w:space="0" w:color="auto"/>
                    <w:right w:val="none" w:sz="0" w:space="0" w:color="auto"/>
                  </w:divBdr>
                  <w:divsChild>
                    <w:div w:id="1762068076">
                      <w:marLeft w:val="0"/>
                      <w:marRight w:val="0"/>
                      <w:marTop w:val="0"/>
                      <w:marBottom w:val="0"/>
                      <w:divBdr>
                        <w:top w:val="none" w:sz="0" w:space="0" w:color="auto"/>
                        <w:left w:val="none" w:sz="0" w:space="0" w:color="auto"/>
                        <w:bottom w:val="none" w:sz="0" w:space="0" w:color="auto"/>
                        <w:right w:val="none" w:sz="0" w:space="0" w:color="auto"/>
                      </w:divBdr>
                      <w:divsChild>
                        <w:div w:id="868227427">
                          <w:marLeft w:val="0"/>
                          <w:marRight w:val="0"/>
                          <w:marTop w:val="0"/>
                          <w:marBottom w:val="0"/>
                          <w:divBdr>
                            <w:top w:val="none" w:sz="0" w:space="0" w:color="auto"/>
                            <w:left w:val="none" w:sz="0" w:space="0" w:color="auto"/>
                            <w:bottom w:val="none" w:sz="0" w:space="0" w:color="auto"/>
                            <w:right w:val="none" w:sz="0" w:space="0" w:color="auto"/>
                          </w:divBdr>
                          <w:divsChild>
                            <w:div w:id="545218071">
                              <w:marLeft w:val="0"/>
                              <w:marRight w:val="0"/>
                              <w:marTop w:val="0"/>
                              <w:marBottom w:val="0"/>
                              <w:divBdr>
                                <w:top w:val="none" w:sz="0" w:space="0" w:color="auto"/>
                                <w:left w:val="none" w:sz="0" w:space="0" w:color="auto"/>
                                <w:bottom w:val="none" w:sz="0" w:space="0" w:color="auto"/>
                                <w:right w:val="none" w:sz="0" w:space="0" w:color="auto"/>
                              </w:divBdr>
                              <w:divsChild>
                                <w:div w:id="405299845">
                                  <w:marLeft w:val="0"/>
                                  <w:marRight w:val="0"/>
                                  <w:marTop w:val="0"/>
                                  <w:marBottom w:val="0"/>
                                  <w:divBdr>
                                    <w:top w:val="none" w:sz="0" w:space="0" w:color="auto"/>
                                    <w:left w:val="none" w:sz="0" w:space="0" w:color="auto"/>
                                    <w:bottom w:val="none" w:sz="0" w:space="0" w:color="auto"/>
                                    <w:right w:val="none" w:sz="0" w:space="0" w:color="auto"/>
                                  </w:divBdr>
                                  <w:divsChild>
                                    <w:div w:id="660734903">
                                      <w:marLeft w:val="0"/>
                                      <w:marRight w:val="0"/>
                                      <w:marTop w:val="0"/>
                                      <w:marBottom w:val="0"/>
                                      <w:divBdr>
                                        <w:top w:val="none" w:sz="0" w:space="0" w:color="auto"/>
                                        <w:left w:val="none" w:sz="0" w:space="0" w:color="auto"/>
                                        <w:bottom w:val="none" w:sz="0" w:space="0" w:color="auto"/>
                                        <w:right w:val="none" w:sz="0" w:space="0" w:color="auto"/>
                                      </w:divBdr>
                                      <w:divsChild>
                                        <w:div w:id="1386485426">
                                          <w:marLeft w:val="0"/>
                                          <w:marRight w:val="0"/>
                                          <w:marTop w:val="0"/>
                                          <w:marBottom w:val="0"/>
                                          <w:divBdr>
                                            <w:top w:val="none" w:sz="0" w:space="0" w:color="auto"/>
                                            <w:left w:val="none" w:sz="0" w:space="0" w:color="auto"/>
                                            <w:bottom w:val="none" w:sz="0" w:space="0" w:color="auto"/>
                                            <w:right w:val="none" w:sz="0" w:space="0" w:color="auto"/>
                                          </w:divBdr>
                                          <w:divsChild>
                                            <w:div w:id="371156281">
                                              <w:marLeft w:val="0"/>
                                              <w:marRight w:val="0"/>
                                              <w:marTop w:val="0"/>
                                              <w:marBottom w:val="0"/>
                                              <w:divBdr>
                                                <w:top w:val="none" w:sz="0" w:space="0" w:color="auto"/>
                                                <w:left w:val="none" w:sz="0" w:space="0" w:color="auto"/>
                                                <w:bottom w:val="none" w:sz="0" w:space="0" w:color="auto"/>
                                                <w:right w:val="none" w:sz="0" w:space="0" w:color="auto"/>
                                              </w:divBdr>
                                              <w:divsChild>
                                                <w:div w:id="1615019176">
                                                  <w:marLeft w:val="0"/>
                                                  <w:marRight w:val="0"/>
                                                  <w:marTop w:val="0"/>
                                                  <w:marBottom w:val="0"/>
                                                  <w:divBdr>
                                                    <w:top w:val="none" w:sz="0" w:space="0" w:color="auto"/>
                                                    <w:left w:val="none" w:sz="0" w:space="0" w:color="auto"/>
                                                    <w:bottom w:val="none" w:sz="0" w:space="0" w:color="auto"/>
                                                    <w:right w:val="none" w:sz="0" w:space="0" w:color="auto"/>
                                                  </w:divBdr>
                                                  <w:divsChild>
                                                    <w:div w:id="10899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3775677">
              <w:marLeft w:val="0"/>
              <w:marRight w:val="0"/>
              <w:marTop w:val="0"/>
              <w:marBottom w:val="0"/>
              <w:divBdr>
                <w:top w:val="none" w:sz="0" w:space="0" w:color="auto"/>
                <w:left w:val="none" w:sz="0" w:space="0" w:color="auto"/>
                <w:bottom w:val="none" w:sz="0" w:space="0" w:color="auto"/>
                <w:right w:val="none" w:sz="0" w:space="0" w:color="auto"/>
              </w:divBdr>
              <w:divsChild>
                <w:div w:id="542518190">
                  <w:marLeft w:val="0"/>
                  <w:marRight w:val="0"/>
                  <w:marTop w:val="0"/>
                  <w:marBottom w:val="0"/>
                  <w:divBdr>
                    <w:top w:val="none" w:sz="0" w:space="0" w:color="auto"/>
                    <w:left w:val="none" w:sz="0" w:space="0" w:color="auto"/>
                    <w:bottom w:val="none" w:sz="0" w:space="0" w:color="auto"/>
                    <w:right w:val="none" w:sz="0" w:space="0" w:color="auto"/>
                  </w:divBdr>
                  <w:divsChild>
                    <w:div w:id="266622092">
                      <w:marLeft w:val="0"/>
                      <w:marRight w:val="0"/>
                      <w:marTop w:val="0"/>
                      <w:marBottom w:val="0"/>
                      <w:divBdr>
                        <w:top w:val="none" w:sz="0" w:space="0" w:color="auto"/>
                        <w:left w:val="none" w:sz="0" w:space="0" w:color="auto"/>
                        <w:bottom w:val="none" w:sz="0" w:space="0" w:color="auto"/>
                        <w:right w:val="none" w:sz="0" w:space="0" w:color="auto"/>
                      </w:divBdr>
                      <w:divsChild>
                        <w:div w:id="847400952">
                          <w:marLeft w:val="0"/>
                          <w:marRight w:val="0"/>
                          <w:marTop w:val="0"/>
                          <w:marBottom w:val="0"/>
                          <w:divBdr>
                            <w:top w:val="none" w:sz="0" w:space="0" w:color="auto"/>
                            <w:left w:val="none" w:sz="0" w:space="0" w:color="auto"/>
                            <w:bottom w:val="none" w:sz="0" w:space="0" w:color="auto"/>
                            <w:right w:val="none" w:sz="0" w:space="0" w:color="auto"/>
                          </w:divBdr>
                          <w:divsChild>
                            <w:div w:id="438723275">
                              <w:marLeft w:val="0"/>
                              <w:marRight w:val="0"/>
                              <w:marTop w:val="0"/>
                              <w:marBottom w:val="0"/>
                              <w:divBdr>
                                <w:top w:val="none" w:sz="0" w:space="0" w:color="auto"/>
                                <w:left w:val="none" w:sz="0" w:space="0" w:color="auto"/>
                                <w:bottom w:val="none" w:sz="0" w:space="0" w:color="auto"/>
                                <w:right w:val="none" w:sz="0" w:space="0" w:color="auto"/>
                              </w:divBdr>
                              <w:divsChild>
                                <w:div w:id="4006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823812">
      <w:bodyDiv w:val="1"/>
      <w:marLeft w:val="0"/>
      <w:marRight w:val="0"/>
      <w:marTop w:val="0"/>
      <w:marBottom w:val="0"/>
      <w:divBdr>
        <w:top w:val="none" w:sz="0" w:space="0" w:color="auto"/>
        <w:left w:val="none" w:sz="0" w:space="0" w:color="auto"/>
        <w:bottom w:val="none" w:sz="0" w:space="0" w:color="auto"/>
        <w:right w:val="none" w:sz="0" w:space="0" w:color="auto"/>
      </w:divBdr>
      <w:divsChild>
        <w:div w:id="14380307">
          <w:marLeft w:val="0"/>
          <w:marRight w:val="0"/>
          <w:marTop w:val="0"/>
          <w:marBottom w:val="0"/>
          <w:divBdr>
            <w:top w:val="none" w:sz="0" w:space="0" w:color="auto"/>
            <w:left w:val="none" w:sz="0" w:space="0" w:color="auto"/>
            <w:bottom w:val="none" w:sz="0" w:space="0" w:color="auto"/>
            <w:right w:val="none" w:sz="0" w:space="0" w:color="auto"/>
          </w:divBdr>
        </w:div>
      </w:divsChild>
    </w:div>
    <w:div w:id="559563042">
      <w:bodyDiv w:val="1"/>
      <w:marLeft w:val="0"/>
      <w:marRight w:val="0"/>
      <w:marTop w:val="0"/>
      <w:marBottom w:val="0"/>
      <w:divBdr>
        <w:top w:val="none" w:sz="0" w:space="0" w:color="auto"/>
        <w:left w:val="none" w:sz="0" w:space="0" w:color="auto"/>
        <w:bottom w:val="none" w:sz="0" w:space="0" w:color="auto"/>
        <w:right w:val="none" w:sz="0" w:space="0" w:color="auto"/>
      </w:divBdr>
      <w:divsChild>
        <w:div w:id="991834794">
          <w:marLeft w:val="0"/>
          <w:marRight w:val="0"/>
          <w:marTop w:val="0"/>
          <w:marBottom w:val="0"/>
          <w:divBdr>
            <w:top w:val="none" w:sz="0" w:space="0" w:color="auto"/>
            <w:left w:val="none" w:sz="0" w:space="0" w:color="auto"/>
            <w:bottom w:val="none" w:sz="0" w:space="0" w:color="auto"/>
            <w:right w:val="none" w:sz="0" w:space="0" w:color="auto"/>
          </w:divBdr>
        </w:div>
        <w:div w:id="1239972545">
          <w:marLeft w:val="0"/>
          <w:marRight w:val="0"/>
          <w:marTop w:val="0"/>
          <w:marBottom w:val="0"/>
          <w:divBdr>
            <w:top w:val="none" w:sz="0" w:space="0" w:color="auto"/>
            <w:left w:val="none" w:sz="0" w:space="0" w:color="auto"/>
            <w:bottom w:val="none" w:sz="0" w:space="0" w:color="auto"/>
            <w:right w:val="none" w:sz="0" w:space="0" w:color="auto"/>
          </w:divBdr>
        </w:div>
        <w:div w:id="1850680347">
          <w:marLeft w:val="0"/>
          <w:marRight w:val="0"/>
          <w:marTop w:val="0"/>
          <w:marBottom w:val="0"/>
          <w:divBdr>
            <w:top w:val="none" w:sz="0" w:space="0" w:color="auto"/>
            <w:left w:val="none" w:sz="0" w:space="0" w:color="auto"/>
            <w:bottom w:val="none" w:sz="0" w:space="0" w:color="auto"/>
            <w:right w:val="none" w:sz="0" w:space="0" w:color="auto"/>
          </w:divBdr>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586816136">
      <w:bodyDiv w:val="1"/>
      <w:marLeft w:val="0"/>
      <w:marRight w:val="0"/>
      <w:marTop w:val="0"/>
      <w:marBottom w:val="0"/>
      <w:divBdr>
        <w:top w:val="none" w:sz="0" w:space="0" w:color="auto"/>
        <w:left w:val="none" w:sz="0" w:space="0" w:color="auto"/>
        <w:bottom w:val="none" w:sz="0" w:space="0" w:color="auto"/>
        <w:right w:val="none" w:sz="0" w:space="0" w:color="auto"/>
      </w:divBdr>
      <w:divsChild>
        <w:div w:id="982150456">
          <w:marLeft w:val="0"/>
          <w:marRight w:val="0"/>
          <w:marTop w:val="0"/>
          <w:marBottom w:val="0"/>
          <w:divBdr>
            <w:top w:val="none" w:sz="0" w:space="0" w:color="auto"/>
            <w:left w:val="none" w:sz="0" w:space="0" w:color="auto"/>
            <w:bottom w:val="none" w:sz="0" w:space="0" w:color="auto"/>
            <w:right w:val="none" w:sz="0" w:space="0" w:color="auto"/>
          </w:divBdr>
        </w:div>
      </w:divsChild>
    </w:div>
    <w:div w:id="593442215">
      <w:bodyDiv w:val="1"/>
      <w:marLeft w:val="0"/>
      <w:marRight w:val="0"/>
      <w:marTop w:val="0"/>
      <w:marBottom w:val="0"/>
      <w:divBdr>
        <w:top w:val="none" w:sz="0" w:space="0" w:color="auto"/>
        <w:left w:val="none" w:sz="0" w:space="0" w:color="auto"/>
        <w:bottom w:val="none" w:sz="0" w:space="0" w:color="auto"/>
        <w:right w:val="none" w:sz="0" w:space="0" w:color="auto"/>
      </w:divBdr>
      <w:divsChild>
        <w:div w:id="1186093500">
          <w:marLeft w:val="0"/>
          <w:marRight w:val="0"/>
          <w:marTop w:val="0"/>
          <w:marBottom w:val="0"/>
          <w:divBdr>
            <w:top w:val="none" w:sz="0" w:space="0" w:color="auto"/>
            <w:left w:val="none" w:sz="0" w:space="0" w:color="auto"/>
            <w:bottom w:val="none" w:sz="0" w:space="0" w:color="auto"/>
            <w:right w:val="none" w:sz="0" w:space="0" w:color="auto"/>
          </w:divBdr>
        </w:div>
      </w:divsChild>
    </w:div>
    <w:div w:id="599021886">
      <w:bodyDiv w:val="1"/>
      <w:marLeft w:val="0"/>
      <w:marRight w:val="0"/>
      <w:marTop w:val="0"/>
      <w:marBottom w:val="0"/>
      <w:divBdr>
        <w:top w:val="none" w:sz="0" w:space="0" w:color="auto"/>
        <w:left w:val="none" w:sz="0" w:space="0" w:color="auto"/>
        <w:bottom w:val="none" w:sz="0" w:space="0" w:color="auto"/>
        <w:right w:val="none" w:sz="0" w:space="0" w:color="auto"/>
      </w:divBdr>
      <w:divsChild>
        <w:div w:id="830290451">
          <w:marLeft w:val="0"/>
          <w:marRight w:val="0"/>
          <w:marTop w:val="0"/>
          <w:marBottom w:val="0"/>
          <w:divBdr>
            <w:top w:val="none" w:sz="0" w:space="0" w:color="auto"/>
            <w:left w:val="none" w:sz="0" w:space="0" w:color="auto"/>
            <w:bottom w:val="none" w:sz="0" w:space="0" w:color="auto"/>
            <w:right w:val="none" w:sz="0" w:space="0" w:color="auto"/>
          </w:divBdr>
        </w:div>
        <w:div w:id="959653074">
          <w:marLeft w:val="0"/>
          <w:marRight w:val="0"/>
          <w:marTop w:val="0"/>
          <w:marBottom w:val="0"/>
          <w:divBdr>
            <w:top w:val="none" w:sz="0" w:space="0" w:color="auto"/>
            <w:left w:val="none" w:sz="0" w:space="0" w:color="auto"/>
            <w:bottom w:val="none" w:sz="0" w:space="0" w:color="auto"/>
            <w:right w:val="none" w:sz="0" w:space="0" w:color="auto"/>
          </w:divBdr>
          <w:divsChild>
            <w:div w:id="246430098">
              <w:marLeft w:val="0"/>
              <w:marRight w:val="0"/>
              <w:marTop w:val="0"/>
              <w:marBottom w:val="0"/>
              <w:divBdr>
                <w:top w:val="none" w:sz="0" w:space="0" w:color="auto"/>
                <w:left w:val="none" w:sz="0" w:space="0" w:color="auto"/>
                <w:bottom w:val="none" w:sz="0" w:space="0" w:color="auto"/>
                <w:right w:val="none" w:sz="0" w:space="0" w:color="auto"/>
              </w:divBdr>
            </w:div>
          </w:divsChild>
        </w:div>
        <w:div w:id="861631950">
          <w:marLeft w:val="0"/>
          <w:marRight w:val="0"/>
          <w:marTop w:val="0"/>
          <w:marBottom w:val="0"/>
          <w:divBdr>
            <w:top w:val="none" w:sz="0" w:space="0" w:color="auto"/>
            <w:left w:val="none" w:sz="0" w:space="0" w:color="auto"/>
            <w:bottom w:val="none" w:sz="0" w:space="0" w:color="auto"/>
            <w:right w:val="none" w:sz="0" w:space="0" w:color="auto"/>
          </w:divBdr>
          <w:divsChild>
            <w:div w:id="515928143">
              <w:marLeft w:val="0"/>
              <w:marRight w:val="0"/>
              <w:marTop w:val="0"/>
              <w:marBottom w:val="0"/>
              <w:divBdr>
                <w:top w:val="none" w:sz="0" w:space="0" w:color="auto"/>
                <w:left w:val="none" w:sz="0" w:space="0" w:color="auto"/>
                <w:bottom w:val="none" w:sz="0" w:space="0" w:color="auto"/>
                <w:right w:val="none" w:sz="0" w:space="0" w:color="auto"/>
              </w:divBdr>
            </w:div>
          </w:divsChild>
        </w:div>
        <w:div w:id="960306564">
          <w:marLeft w:val="0"/>
          <w:marRight w:val="0"/>
          <w:marTop w:val="0"/>
          <w:marBottom w:val="0"/>
          <w:divBdr>
            <w:top w:val="none" w:sz="0" w:space="0" w:color="auto"/>
            <w:left w:val="none" w:sz="0" w:space="0" w:color="auto"/>
            <w:bottom w:val="none" w:sz="0" w:space="0" w:color="auto"/>
            <w:right w:val="none" w:sz="0" w:space="0" w:color="auto"/>
          </w:divBdr>
          <w:divsChild>
            <w:div w:id="146821551">
              <w:marLeft w:val="0"/>
              <w:marRight w:val="0"/>
              <w:marTop w:val="0"/>
              <w:marBottom w:val="0"/>
              <w:divBdr>
                <w:top w:val="none" w:sz="0" w:space="0" w:color="auto"/>
                <w:left w:val="none" w:sz="0" w:space="0" w:color="auto"/>
                <w:bottom w:val="none" w:sz="0" w:space="0" w:color="auto"/>
                <w:right w:val="none" w:sz="0" w:space="0" w:color="auto"/>
              </w:divBdr>
            </w:div>
          </w:divsChild>
        </w:div>
        <w:div w:id="1732193994">
          <w:marLeft w:val="0"/>
          <w:marRight w:val="0"/>
          <w:marTop w:val="0"/>
          <w:marBottom w:val="0"/>
          <w:divBdr>
            <w:top w:val="none" w:sz="0" w:space="0" w:color="auto"/>
            <w:left w:val="none" w:sz="0" w:space="0" w:color="auto"/>
            <w:bottom w:val="none" w:sz="0" w:space="0" w:color="auto"/>
            <w:right w:val="none" w:sz="0" w:space="0" w:color="auto"/>
          </w:divBdr>
          <w:divsChild>
            <w:div w:id="187079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80315">
      <w:bodyDiv w:val="1"/>
      <w:marLeft w:val="0"/>
      <w:marRight w:val="0"/>
      <w:marTop w:val="0"/>
      <w:marBottom w:val="0"/>
      <w:divBdr>
        <w:top w:val="none" w:sz="0" w:space="0" w:color="auto"/>
        <w:left w:val="none" w:sz="0" w:space="0" w:color="auto"/>
        <w:bottom w:val="none" w:sz="0" w:space="0" w:color="auto"/>
        <w:right w:val="none" w:sz="0" w:space="0" w:color="auto"/>
      </w:divBdr>
      <w:divsChild>
        <w:div w:id="631980875">
          <w:marLeft w:val="0"/>
          <w:marRight w:val="0"/>
          <w:marTop w:val="0"/>
          <w:marBottom w:val="0"/>
          <w:divBdr>
            <w:top w:val="none" w:sz="0" w:space="0" w:color="auto"/>
            <w:left w:val="none" w:sz="0" w:space="0" w:color="auto"/>
            <w:bottom w:val="none" w:sz="0" w:space="0" w:color="auto"/>
            <w:right w:val="none" w:sz="0" w:space="0" w:color="auto"/>
          </w:divBdr>
        </w:div>
      </w:divsChild>
    </w:div>
    <w:div w:id="606473803">
      <w:bodyDiv w:val="1"/>
      <w:marLeft w:val="0"/>
      <w:marRight w:val="0"/>
      <w:marTop w:val="0"/>
      <w:marBottom w:val="0"/>
      <w:divBdr>
        <w:top w:val="none" w:sz="0" w:space="0" w:color="auto"/>
        <w:left w:val="none" w:sz="0" w:space="0" w:color="auto"/>
        <w:bottom w:val="none" w:sz="0" w:space="0" w:color="auto"/>
        <w:right w:val="none" w:sz="0" w:space="0" w:color="auto"/>
      </w:divBdr>
      <w:divsChild>
        <w:div w:id="874543670">
          <w:marLeft w:val="0"/>
          <w:marRight w:val="0"/>
          <w:marTop w:val="0"/>
          <w:marBottom w:val="0"/>
          <w:divBdr>
            <w:top w:val="none" w:sz="0" w:space="0" w:color="auto"/>
            <w:left w:val="none" w:sz="0" w:space="0" w:color="auto"/>
            <w:bottom w:val="none" w:sz="0" w:space="0" w:color="auto"/>
            <w:right w:val="none" w:sz="0" w:space="0" w:color="auto"/>
          </w:divBdr>
        </w:div>
      </w:divsChild>
    </w:div>
    <w:div w:id="625702766">
      <w:bodyDiv w:val="1"/>
      <w:marLeft w:val="0"/>
      <w:marRight w:val="0"/>
      <w:marTop w:val="0"/>
      <w:marBottom w:val="0"/>
      <w:divBdr>
        <w:top w:val="none" w:sz="0" w:space="0" w:color="auto"/>
        <w:left w:val="none" w:sz="0" w:space="0" w:color="auto"/>
        <w:bottom w:val="none" w:sz="0" w:space="0" w:color="auto"/>
        <w:right w:val="none" w:sz="0" w:space="0" w:color="auto"/>
      </w:divBdr>
      <w:divsChild>
        <w:div w:id="1246450849">
          <w:marLeft w:val="0"/>
          <w:marRight w:val="0"/>
          <w:marTop w:val="0"/>
          <w:marBottom w:val="0"/>
          <w:divBdr>
            <w:top w:val="none" w:sz="0" w:space="0" w:color="auto"/>
            <w:left w:val="none" w:sz="0" w:space="0" w:color="auto"/>
            <w:bottom w:val="none" w:sz="0" w:space="0" w:color="auto"/>
            <w:right w:val="none" w:sz="0" w:space="0" w:color="auto"/>
          </w:divBdr>
        </w:div>
        <w:div w:id="2052923431">
          <w:marLeft w:val="0"/>
          <w:marRight w:val="0"/>
          <w:marTop w:val="0"/>
          <w:marBottom w:val="0"/>
          <w:divBdr>
            <w:top w:val="none" w:sz="0" w:space="0" w:color="auto"/>
            <w:left w:val="none" w:sz="0" w:space="0" w:color="auto"/>
            <w:bottom w:val="none" w:sz="0" w:space="0" w:color="auto"/>
            <w:right w:val="none" w:sz="0" w:space="0" w:color="auto"/>
          </w:divBdr>
          <w:divsChild>
            <w:div w:id="900871098">
              <w:marLeft w:val="0"/>
              <w:marRight w:val="0"/>
              <w:marTop w:val="0"/>
              <w:marBottom w:val="0"/>
              <w:divBdr>
                <w:top w:val="none" w:sz="0" w:space="0" w:color="auto"/>
                <w:left w:val="none" w:sz="0" w:space="0" w:color="auto"/>
                <w:bottom w:val="none" w:sz="0" w:space="0" w:color="auto"/>
                <w:right w:val="none" w:sz="0" w:space="0" w:color="auto"/>
              </w:divBdr>
            </w:div>
          </w:divsChild>
        </w:div>
        <w:div w:id="426580668">
          <w:marLeft w:val="0"/>
          <w:marRight w:val="0"/>
          <w:marTop w:val="0"/>
          <w:marBottom w:val="0"/>
          <w:divBdr>
            <w:top w:val="none" w:sz="0" w:space="0" w:color="auto"/>
            <w:left w:val="none" w:sz="0" w:space="0" w:color="auto"/>
            <w:bottom w:val="none" w:sz="0" w:space="0" w:color="auto"/>
            <w:right w:val="none" w:sz="0" w:space="0" w:color="auto"/>
          </w:divBdr>
          <w:divsChild>
            <w:div w:id="231426697">
              <w:marLeft w:val="0"/>
              <w:marRight w:val="0"/>
              <w:marTop w:val="0"/>
              <w:marBottom w:val="0"/>
              <w:divBdr>
                <w:top w:val="none" w:sz="0" w:space="0" w:color="auto"/>
                <w:left w:val="none" w:sz="0" w:space="0" w:color="auto"/>
                <w:bottom w:val="none" w:sz="0" w:space="0" w:color="auto"/>
                <w:right w:val="none" w:sz="0" w:space="0" w:color="auto"/>
              </w:divBdr>
            </w:div>
          </w:divsChild>
        </w:div>
        <w:div w:id="1204437563">
          <w:marLeft w:val="0"/>
          <w:marRight w:val="0"/>
          <w:marTop w:val="0"/>
          <w:marBottom w:val="0"/>
          <w:divBdr>
            <w:top w:val="none" w:sz="0" w:space="0" w:color="auto"/>
            <w:left w:val="none" w:sz="0" w:space="0" w:color="auto"/>
            <w:bottom w:val="none" w:sz="0" w:space="0" w:color="auto"/>
            <w:right w:val="none" w:sz="0" w:space="0" w:color="auto"/>
          </w:divBdr>
          <w:divsChild>
            <w:div w:id="826281927">
              <w:marLeft w:val="0"/>
              <w:marRight w:val="0"/>
              <w:marTop w:val="0"/>
              <w:marBottom w:val="0"/>
              <w:divBdr>
                <w:top w:val="none" w:sz="0" w:space="0" w:color="auto"/>
                <w:left w:val="none" w:sz="0" w:space="0" w:color="auto"/>
                <w:bottom w:val="none" w:sz="0" w:space="0" w:color="auto"/>
                <w:right w:val="none" w:sz="0" w:space="0" w:color="auto"/>
              </w:divBdr>
            </w:div>
          </w:divsChild>
        </w:div>
        <w:div w:id="868492291">
          <w:marLeft w:val="0"/>
          <w:marRight w:val="0"/>
          <w:marTop w:val="0"/>
          <w:marBottom w:val="0"/>
          <w:divBdr>
            <w:top w:val="none" w:sz="0" w:space="0" w:color="auto"/>
            <w:left w:val="none" w:sz="0" w:space="0" w:color="auto"/>
            <w:bottom w:val="none" w:sz="0" w:space="0" w:color="auto"/>
            <w:right w:val="none" w:sz="0" w:space="0" w:color="auto"/>
          </w:divBdr>
          <w:divsChild>
            <w:div w:id="2105571358">
              <w:marLeft w:val="0"/>
              <w:marRight w:val="0"/>
              <w:marTop w:val="0"/>
              <w:marBottom w:val="0"/>
              <w:divBdr>
                <w:top w:val="none" w:sz="0" w:space="0" w:color="auto"/>
                <w:left w:val="none" w:sz="0" w:space="0" w:color="auto"/>
                <w:bottom w:val="none" w:sz="0" w:space="0" w:color="auto"/>
                <w:right w:val="none" w:sz="0" w:space="0" w:color="auto"/>
              </w:divBdr>
            </w:div>
          </w:divsChild>
        </w:div>
        <w:div w:id="2050450467">
          <w:marLeft w:val="0"/>
          <w:marRight w:val="0"/>
          <w:marTop w:val="0"/>
          <w:marBottom w:val="0"/>
          <w:divBdr>
            <w:top w:val="none" w:sz="0" w:space="0" w:color="auto"/>
            <w:left w:val="none" w:sz="0" w:space="0" w:color="auto"/>
            <w:bottom w:val="none" w:sz="0" w:space="0" w:color="auto"/>
            <w:right w:val="none" w:sz="0" w:space="0" w:color="auto"/>
          </w:divBdr>
          <w:divsChild>
            <w:div w:id="548033141">
              <w:marLeft w:val="0"/>
              <w:marRight w:val="0"/>
              <w:marTop w:val="0"/>
              <w:marBottom w:val="0"/>
              <w:divBdr>
                <w:top w:val="none" w:sz="0" w:space="0" w:color="auto"/>
                <w:left w:val="none" w:sz="0" w:space="0" w:color="auto"/>
                <w:bottom w:val="none" w:sz="0" w:space="0" w:color="auto"/>
                <w:right w:val="none" w:sz="0" w:space="0" w:color="auto"/>
              </w:divBdr>
            </w:div>
          </w:divsChild>
        </w:div>
        <w:div w:id="1048147644">
          <w:marLeft w:val="0"/>
          <w:marRight w:val="0"/>
          <w:marTop w:val="0"/>
          <w:marBottom w:val="0"/>
          <w:divBdr>
            <w:top w:val="none" w:sz="0" w:space="0" w:color="auto"/>
            <w:left w:val="none" w:sz="0" w:space="0" w:color="auto"/>
            <w:bottom w:val="none" w:sz="0" w:space="0" w:color="auto"/>
            <w:right w:val="none" w:sz="0" w:space="0" w:color="auto"/>
          </w:divBdr>
          <w:divsChild>
            <w:div w:id="1068843881">
              <w:marLeft w:val="0"/>
              <w:marRight w:val="0"/>
              <w:marTop w:val="0"/>
              <w:marBottom w:val="0"/>
              <w:divBdr>
                <w:top w:val="none" w:sz="0" w:space="0" w:color="auto"/>
                <w:left w:val="none" w:sz="0" w:space="0" w:color="auto"/>
                <w:bottom w:val="none" w:sz="0" w:space="0" w:color="auto"/>
                <w:right w:val="none" w:sz="0" w:space="0" w:color="auto"/>
              </w:divBdr>
            </w:div>
          </w:divsChild>
        </w:div>
        <w:div w:id="1034503562">
          <w:marLeft w:val="0"/>
          <w:marRight w:val="0"/>
          <w:marTop w:val="0"/>
          <w:marBottom w:val="0"/>
          <w:divBdr>
            <w:top w:val="none" w:sz="0" w:space="0" w:color="auto"/>
            <w:left w:val="none" w:sz="0" w:space="0" w:color="auto"/>
            <w:bottom w:val="none" w:sz="0" w:space="0" w:color="auto"/>
            <w:right w:val="none" w:sz="0" w:space="0" w:color="auto"/>
          </w:divBdr>
          <w:divsChild>
            <w:div w:id="1149860721">
              <w:marLeft w:val="0"/>
              <w:marRight w:val="0"/>
              <w:marTop w:val="0"/>
              <w:marBottom w:val="0"/>
              <w:divBdr>
                <w:top w:val="none" w:sz="0" w:space="0" w:color="auto"/>
                <w:left w:val="none" w:sz="0" w:space="0" w:color="auto"/>
                <w:bottom w:val="none" w:sz="0" w:space="0" w:color="auto"/>
                <w:right w:val="none" w:sz="0" w:space="0" w:color="auto"/>
              </w:divBdr>
            </w:div>
          </w:divsChild>
        </w:div>
        <w:div w:id="1292057485">
          <w:marLeft w:val="0"/>
          <w:marRight w:val="0"/>
          <w:marTop w:val="0"/>
          <w:marBottom w:val="0"/>
          <w:divBdr>
            <w:top w:val="none" w:sz="0" w:space="0" w:color="auto"/>
            <w:left w:val="none" w:sz="0" w:space="0" w:color="auto"/>
            <w:bottom w:val="none" w:sz="0" w:space="0" w:color="auto"/>
            <w:right w:val="none" w:sz="0" w:space="0" w:color="auto"/>
          </w:divBdr>
          <w:divsChild>
            <w:div w:id="14667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61586">
      <w:bodyDiv w:val="1"/>
      <w:marLeft w:val="0"/>
      <w:marRight w:val="0"/>
      <w:marTop w:val="0"/>
      <w:marBottom w:val="0"/>
      <w:divBdr>
        <w:top w:val="none" w:sz="0" w:space="0" w:color="auto"/>
        <w:left w:val="none" w:sz="0" w:space="0" w:color="auto"/>
        <w:bottom w:val="none" w:sz="0" w:space="0" w:color="auto"/>
        <w:right w:val="none" w:sz="0" w:space="0" w:color="auto"/>
      </w:divBdr>
      <w:divsChild>
        <w:div w:id="351028326">
          <w:marLeft w:val="0"/>
          <w:marRight w:val="0"/>
          <w:marTop w:val="0"/>
          <w:marBottom w:val="0"/>
          <w:divBdr>
            <w:top w:val="none" w:sz="0" w:space="0" w:color="auto"/>
            <w:left w:val="none" w:sz="0" w:space="0" w:color="auto"/>
            <w:bottom w:val="none" w:sz="0" w:space="0" w:color="auto"/>
            <w:right w:val="none" w:sz="0" w:space="0" w:color="auto"/>
          </w:divBdr>
        </w:div>
      </w:divsChild>
    </w:div>
    <w:div w:id="674722699">
      <w:bodyDiv w:val="1"/>
      <w:marLeft w:val="0"/>
      <w:marRight w:val="0"/>
      <w:marTop w:val="0"/>
      <w:marBottom w:val="0"/>
      <w:divBdr>
        <w:top w:val="none" w:sz="0" w:space="0" w:color="auto"/>
        <w:left w:val="none" w:sz="0" w:space="0" w:color="auto"/>
        <w:bottom w:val="none" w:sz="0" w:space="0" w:color="auto"/>
        <w:right w:val="none" w:sz="0" w:space="0" w:color="auto"/>
      </w:divBdr>
      <w:divsChild>
        <w:div w:id="1142503339">
          <w:marLeft w:val="0"/>
          <w:marRight w:val="0"/>
          <w:marTop w:val="0"/>
          <w:marBottom w:val="0"/>
          <w:divBdr>
            <w:top w:val="none" w:sz="0" w:space="0" w:color="auto"/>
            <w:left w:val="none" w:sz="0" w:space="0" w:color="auto"/>
            <w:bottom w:val="none" w:sz="0" w:space="0" w:color="auto"/>
            <w:right w:val="none" w:sz="0" w:space="0" w:color="auto"/>
          </w:divBdr>
        </w:div>
      </w:divsChild>
    </w:div>
    <w:div w:id="700320453">
      <w:bodyDiv w:val="1"/>
      <w:marLeft w:val="0"/>
      <w:marRight w:val="0"/>
      <w:marTop w:val="0"/>
      <w:marBottom w:val="0"/>
      <w:divBdr>
        <w:top w:val="none" w:sz="0" w:space="0" w:color="auto"/>
        <w:left w:val="none" w:sz="0" w:space="0" w:color="auto"/>
        <w:bottom w:val="none" w:sz="0" w:space="0" w:color="auto"/>
        <w:right w:val="none" w:sz="0" w:space="0" w:color="auto"/>
      </w:divBdr>
      <w:divsChild>
        <w:div w:id="903951238">
          <w:marLeft w:val="0"/>
          <w:marRight w:val="0"/>
          <w:marTop w:val="0"/>
          <w:marBottom w:val="0"/>
          <w:divBdr>
            <w:top w:val="none" w:sz="0" w:space="0" w:color="auto"/>
            <w:left w:val="none" w:sz="0" w:space="0" w:color="auto"/>
            <w:bottom w:val="none" w:sz="0" w:space="0" w:color="auto"/>
            <w:right w:val="none" w:sz="0" w:space="0" w:color="auto"/>
          </w:divBdr>
        </w:div>
      </w:divsChild>
    </w:div>
    <w:div w:id="704797322">
      <w:bodyDiv w:val="1"/>
      <w:marLeft w:val="0"/>
      <w:marRight w:val="0"/>
      <w:marTop w:val="0"/>
      <w:marBottom w:val="0"/>
      <w:divBdr>
        <w:top w:val="none" w:sz="0" w:space="0" w:color="auto"/>
        <w:left w:val="none" w:sz="0" w:space="0" w:color="auto"/>
        <w:bottom w:val="none" w:sz="0" w:space="0" w:color="auto"/>
        <w:right w:val="none" w:sz="0" w:space="0" w:color="auto"/>
      </w:divBdr>
      <w:divsChild>
        <w:div w:id="1102842682">
          <w:marLeft w:val="0"/>
          <w:marRight w:val="0"/>
          <w:marTop w:val="0"/>
          <w:marBottom w:val="0"/>
          <w:divBdr>
            <w:top w:val="none" w:sz="0" w:space="0" w:color="auto"/>
            <w:left w:val="none" w:sz="0" w:space="0" w:color="auto"/>
            <w:bottom w:val="none" w:sz="0" w:space="0" w:color="auto"/>
            <w:right w:val="none" w:sz="0" w:space="0" w:color="auto"/>
          </w:divBdr>
        </w:div>
      </w:divsChild>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16274156">
      <w:bodyDiv w:val="1"/>
      <w:marLeft w:val="0"/>
      <w:marRight w:val="0"/>
      <w:marTop w:val="0"/>
      <w:marBottom w:val="0"/>
      <w:divBdr>
        <w:top w:val="none" w:sz="0" w:space="0" w:color="auto"/>
        <w:left w:val="none" w:sz="0" w:space="0" w:color="auto"/>
        <w:bottom w:val="none" w:sz="0" w:space="0" w:color="auto"/>
        <w:right w:val="none" w:sz="0" w:space="0" w:color="auto"/>
      </w:divBdr>
      <w:divsChild>
        <w:div w:id="593128840">
          <w:marLeft w:val="0"/>
          <w:marRight w:val="0"/>
          <w:marTop w:val="0"/>
          <w:marBottom w:val="0"/>
          <w:divBdr>
            <w:top w:val="none" w:sz="0" w:space="0" w:color="auto"/>
            <w:left w:val="none" w:sz="0" w:space="0" w:color="auto"/>
            <w:bottom w:val="none" w:sz="0" w:space="0" w:color="auto"/>
            <w:right w:val="none" w:sz="0" w:space="0" w:color="auto"/>
          </w:divBdr>
        </w:div>
      </w:divsChild>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774012255">
      <w:bodyDiv w:val="1"/>
      <w:marLeft w:val="0"/>
      <w:marRight w:val="0"/>
      <w:marTop w:val="0"/>
      <w:marBottom w:val="0"/>
      <w:divBdr>
        <w:top w:val="none" w:sz="0" w:space="0" w:color="auto"/>
        <w:left w:val="none" w:sz="0" w:space="0" w:color="auto"/>
        <w:bottom w:val="none" w:sz="0" w:space="0" w:color="auto"/>
        <w:right w:val="none" w:sz="0" w:space="0" w:color="auto"/>
      </w:divBdr>
      <w:divsChild>
        <w:div w:id="93136503">
          <w:marLeft w:val="0"/>
          <w:marRight w:val="0"/>
          <w:marTop w:val="0"/>
          <w:marBottom w:val="0"/>
          <w:divBdr>
            <w:top w:val="none" w:sz="0" w:space="0" w:color="auto"/>
            <w:left w:val="none" w:sz="0" w:space="0" w:color="auto"/>
            <w:bottom w:val="none" w:sz="0" w:space="0" w:color="auto"/>
            <w:right w:val="none" w:sz="0" w:space="0" w:color="auto"/>
          </w:divBdr>
        </w:div>
      </w:divsChild>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09783390">
      <w:bodyDiv w:val="1"/>
      <w:marLeft w:val="0"/>
      <w:marRight w:val="0"/>
      <w:marTop w:val="0"/>
      <w:marBottom w:val="0"/>
      <w:divBdr>
        <w:top w:val="none" w:sz="0" w:space="0" w:color="auto"/>
        <w:left w:val="none" w:sz="0" w:space="0" w:color="auto"/>
        <w:bottom w:val="none" w:sz="0" w:space="0" w:color="auto"/>
        <w:right w:val="none" w:sz="0" w:space="0" w:color="auto"/>
      </w:divBdr>
      <w:divsChild>
        <w:div w:id="1081758677">
          <w:marLeft w:val="0"/>
          <w:marRight w:val="0"/>
          <w:marTop w:val="0"/>
          <w:marBottom w:val="0"/>
          <w:divBdr>
            <w:top w:val="none" w:sz="0" w:space="0" w:color="auto"/>
            <w:left w:val="none" w:sz="0" w:space="0" w:color="auto"/>
            <w:bottom w:val="none" w:sz="0" w:space="0" w:color="auto"/>
            <w:right w:val="none" w:sz="0" w:space="0" w:color="auto"/>
          </w:divBdr>
        </w:div>
      </w:divsChild>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34108528">
      <w:bodyDiv w:val="1"/>
      <w:marLeft w:val="0"/>
      <w:marRight w:val="0"/>
      <w:marTop w:val="0"/>
      <w:marBottom w:val="0"/>
      <w:divBdr>
        <w:top w:val="none" w:sz="0" w:space="0" w:color="auto"/>
        <w:left w:val="none" w:sz="0" w:space="0" w:color="auto"/>
        <w:bottom w:val="none" w:sz="0" w:space="0" w:color="auto"/>
        <w:right w:val="none" w:sz="0" w:space="0" w:color="auto"/>
      </w:divBdr>
      <w:divsChild>
        <w:div w:id="1272933528">
          <w:marLeft w:val="0"/>
          <w:marRight w:val="0"/>
          <w:marTop w:val="0"/>
          <w:marBottom w:val="0"/>
          <w:divBdr>
            <w:top w:val="none" w:sz="0" w:space="0" w:color="auto"/>
            <w:left w:val="none" w:sz="0" w:space="0" w:color="auto"/>
            <w:bottom w:val="none" w:sz="0" w:space="0" w:color="auto"/>
            <w:right w:val="none" w:sz="0" w:space="0" w:color="auto"/>
          </w:divBdr>
        </w:div>
      </w:divsChild>
    </w:div>
    <w:div w:id="859271523">
      <w:bodyDiv w:val="1"/>
      <w:marLeft w:val="0"/>
      <w:marRight w:val="0"/>
      <w:marTop w:val="0"/>
      <w:marBottom w:val="0"/>
      <w:divBdr>
        <w:top w:val="none" w:sz="0" w:space="0" w:color="auto"/>
        <w:left w:val="none" w:sz="0" w:space="0" w:color="auto"/>
        <w:bottom w:val="none" w:sz="0" w:space="0" w:color="auto"/>
        <w:right w:val="none" w:sz="0" w:space="0" w:color="auto"/>
      </w:divBdr>
      <w:divsChild>
        <w:div w:id="1376199767">
          <w:marLeft w:val="0"/>
          <w:marRight w:val="0"/>
          <w:marTop w:val="0"/>
          <w:marBottom w:val="0"/>
          <w:divBdr>
            <w:top w:val="none" w:sz="0" w:space="0" w:color="auto"/>
            <w:left w:val="none" w:sz="0" w:space="0" w:color="auto"/>
            <w:bottom w:val="none" w:sz="0" w:space="0" w:color="auto"/>
            <w:right w:val="none" w:sz="0" w:space="0" w:color="auto"/>
          </w:divBdr>
        </w:div>
      </w:divsChild>
    </w:div>
    <w:div w:id="870145881">
      <w:bodyDiv w:val="1"/>
      <w:marLeft w:val="0"/>
      <w:marRight w:val="0"/>
      <w:marTop w:val="0"/>
      <w:marBottom w:val="0"/>
      <w:divBdr>
        <w:top w:val="none" w:sz="0" w:space="0" w:color="auto"/>
        <w:left w:val="none" w:sz="0" w:space="0" w:color="auto"/>
        <w:bottom w:val="none" w:sz="0" w:space="0" w:color="auto"/>
        <w:right w:val="none" w:sz="0" w:space="0" w:color="auto"/>
      </w:divBdr>
      <w:divsChild>
        <w:div w:id="2110159308">
          <w:marLeft w:val="0"/>
          <w:marRight w:val="0"/>
          <w:marTop w:val="0"/>
          <w:marBottom w:val="0"/>
          <w:divBdr>
            <w:top w:val="none" w:sz="0" w:space="0" w:color="auto"/>
            <w:left w:val="none" w:sz="0" w:space="0" w:color="auto"/>
            <w:bottom w:val="none" w:sz="0" w:space="0" w:color="auto"/>
            <w:right w:val="none" w:sz="0" w:space="0" w:color="auto"/>
          </w:divBdr>
        </w:div>
      </w:divsChild>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01257174">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26377468">
      <w:bodyDiv w:val="1"/>
      <w:marLeft w:val="0"/>
      <w:marRight w:val="0"/>
      <w:marTop w:val="0"/>
      <w:marBottom w:val="0"/>
      <w:divBdr>
        <w:top w:val="none" w:sz="0" w:space="0" w:color="auto"/>
        <w:left w:val="none" w:sz="0" w:space="0" w:color="auto"/>
        <w:bottom w:val="none" w:sz="0" w:space="0" w:color="auto"/>
        <w:right w:val="none" w:sz="0" w:space="0" w:color="auto"/>
      </w:divBdr>
      <w:divsChild>
        <w:div w:id="1236086200">
          <w:marLeft w:val="0"/>
          <w:marRight w:val="0"/>
          <w:marTop w:val="0"/>
          <w:marBottom w:val="0"/>
          <w:divBdr>
            <w:top w:val="none" w:sz="0" w:space="0" w:color="auto"/>
            <w:left w:val="none" w:sz="0" w:space="0" w:color="auto"/>
            <w:bottom w:val="none" w:sz="0" w:space="0" w:color="auto"/>
            <w:right w:val="none" w:sz="0" w:space="0" w:color="auto"/>
          </w:divBdr>
        </w:div>
        <w:div w:id="738554981">
          <w:marLeft w:val="0"/>
          <w:marRight w:val="0"/>
          <w:marTop w:val="0"/>
          <w:marBottom w:val="0"/>
          <w:divBdr>
            <w:top w:val="none" w:sz="0" w:space="0" w:color="auto"/>
            <w:left w:val="none" w:sz="0" w:space="0" w:color="auto"/>
            <w:bottom w:val="none" w:sz="0" w:space="0" w:color="auto"/>
            <w:right w:val="none" w:sz="0" w:space="0" w:color="auto"/>
          </w:divBdr>
          <w:divsChild>
            <w:div w:id="37781461">
              <w:marLeft w:val="0"/>
              <w:marRight w:val="0"/>
              <w:marTop w:val="0"/>
              <w:marBottom w:val="0"/>
              <w:divBdr>
                <w:top w:val="none" w:sz="0" w:space="0" w:color="auto"/>
                <w:left w:val="none" w:sz="0" w:space="0" w:color="auto"/>
                <w:bottom w:val="none" w:sz="0" w:space="0" w:color="auto"/>
                <w:right w:val="none" w:sz="0" w:space="0" w:color="auto"/>
              </w:divBdr>
            </w:div>
          </w:divsChild>
        </w:div>
        <w:div w:id="1407411896">
          <w:marLeft w:val="0"/>
          <w:marRight w:val="0"/>
          <w:marTop w:val="0"/>
          <w:marBottom w:val="0"/>
          <w:divBdr>
            <w:top w:val="none" w:sz="0" w:space="0" w:color="auto"/>
            <w:left w:val="none" w:sz="0" w:space="0" w:color="auto"/>
            <w:bottom w:val="none" w:sz="0" w:space="0" w:color="auto"/>
            <w:right w:val="none" w:sz="0" w:space="0" w:color="auto"/>
          </w:divBdr>
          <w:divsChild>
            <w:div w:id="158487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88031">
      <w:bodyDiv w:val="1"/>
      <w:marLeft w:val="0"/>
      <w:marRight w:val="0"/>
      <w:marTop w:val="0"/>
      <w:marBottom w:val="0"/>
      <w:divBdr>
        <w:top w:val="none" w:sz="0" w:space="0" w:color="auto"/>
        <w:left w:val="none" w:sz="0" w:space="0" w:color="auto"/>
        <w:bottom w:val="none" w:sz="0" w:space="0" w:color="auto"/>
        <w:right w:val="none" w:sz="0" w:space="0" w:color="auto"/>
      </w:divBdr>
      <w:divsChild>
        <w:div w:id="1980110717">
          <w:marLeft w:val="0"/>
          <w:marRight w:val="0"/>
          <w:marTop w:val="0"/>
          <w:marBottom w:val="0"/>
          <w:divBdr>
            <w:top w:val="none" w:sz="0" w:space="0" w:color="auto"/>
            <w:left w:val="none" w:sz="0" w:space="0" w:color="auto"/>
            <w:bottom w:val="none" w:sz="0" w:space="0" w:color="auto"/>
            <w:right w:val="none" w:sz="0" w:space="0" w:color="auto"/>
          </w:divBdr>
        </w:div>
      </w:divsChild>
    </w:div>
    <w:div w:id="938561458">
      <w:bodyDiv w:val="1"/>
      <w:marLeft w:val="0"/>
      <w:marRight w:val="0"/>
      <w:marTop w:val="0"/>
      <w:marBottom w:val="0"/>
      <w:divBdr>
        <w:top w:val="none" w:sz="0" w:space="0" w:color="auto"/>
        <w:left w:val="none" w:sz="0" w:space="0" w:color="auto"/>
        <w:bottom w:val="none" w:sz="0" w:space="0" w:color="auto"/>
        <w:right w:val="none" w:sz="0" w:space="0" w:color="auto"/>
      </w:divBdr>
      <w:divsChild>
        <w:div w:id="1852793257">
          <w:marLeft w:val="0"/>
          <w:marRight w:val="0"/>
          <w:marTop w:val="0"/>
          <w:marBottom w:val="0"/>
          <w:divBdr>
            <w:top w:val="none" w:sz="0" w:space="0" w:color="auto"/>
            <w:left w:val="none" w:sz="0" w:space="0" w:color="auto"/>
            <w:bottom w:val="none" w:sz="0" w:space="0" w:color="auto"/>
            <w:right w:val="none" w:sz="0" w:space="0" w:color="auto"/>
          </w:divBdr>
        </w:div>
      </w:divsChild>
    </w:div>
    <w:div w:id="947002887">
      <w:bodyDiv w:val="1"/>
      <w:marLeft w:val="0"/>
      <w:marRight w:val="0"/>
      <w:marTop w:val="0"/>
      <w:marBottom w:val="0"/>
      <w:divBdr>
        <w:top w:val="none" w:sz="0" w:space="0" w:color="auto"/>
        <w:left w:val="none" w:sz="0" w:space="0" w:color="auto"/>
        <w:bottom w:val="none" w:sz="0" w:space="0" w:color="auto"/>
        <w:right w:val="none" w:sz="0" w:space="0" w:color="auto"/>
      </w:divBdr>
      <w:divsChild>
        <w:div w:id="951400390">
          <w:marLeft w:val="0"/>
          <w:marRight w:val="0"/>
          <w:marTop w:val="0"/>
          <w:marBottom w:val="0"/>
          <w:divBdr>
            <w:top w:val="none" w:sz="0" w:space="0" w:color="auto"/>
            <w:left w:val="none" w:sz="0" w:space="0" w:color="auto"/>
            <w:bottom w:val="none" w:sz="0" w:space="0" w:color="auto"/>
            <w:right w:val="none" w:sz="0" w:space="0" w:color="auto"/>
          </w:divBdr>
        </w:div>
      </w:divsChild>
    </w:div>
    <w:div w:id="982851848">
      <w:bodyDiv w:val="1"/>
      <w:marLeft w:val="0"/>
      <w:marRight w:val="0"/>
      <w:marTop w:val="0"/>
      <w:marBottom w:val="0"/>
      <w:divBdr>
        <w:top w:val="none" w:sz="0" w:space="0" w:color="auto"/>
        <w:left w:val="none" w:sz="0" w:space="0" w:color="auto"/>
        <w:bottom w:val="none" w:sz="0" w:space="0" w:color="auto"/>
        <w:right w:val="none" w:sz="0" w:space="0" w:color="auto"/>
      </w:divBdr>
      <w:divsChild>
        <w:div w:id="338697343">
          <w:marLeft w:val="0"/>
          <w:marRight w:val="0"/>
          <w:marTop w:val="0"/>
          <w:marBottom w:val="0"/>
          <w:divBdr>
            <w:top w:val="none" w:sz="0" w:space="0" w:color="auto"/>
            <w:left w:val="none" w:sz="0" w:space="0" w:color="auto"/>
            <w:bottom w:val="none" w:sz="0" w:space="0" w:color="auto"/>
            <w:right w:val="none" w:sz="0" w:space="0" w:color="auto"/>
          </w:divBdr>
        </w:div>
      </w:divsChild>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38623378">
      <w:bodyDiv w:val="1"/>
      <w:marLeft w:val="0"/>
      <w:marRight w:val="0"/>
      <w:marTop w:val="0"/>
      <w:marBottom w:val="0"/>
      <w:divBdr>
        <w:top w:val="none" w:sz="0" w:space="0" w:color="auto"/>
        <w:left w:val="none" w:sz="0" w:space="0" w:color="auto"/>
        <w:bottom w:val="none" w:sz="0" w:space="0" w:color="auto"/>
        <w:right w:val="none" w:sz="0" w:space="0" w:color="auto"/>
      </w:divBdr>
      <w:divsChild>
        <w:div w:id="1043364060">
          <w:marLeft w:val="0"/>
          <w:marRight w:val="0"/>
          <w:marTop w:val="0"/>
          <w:marBottom w:val="0"/>
          <w:divBdr>
            <w:top w:val="none" w:sz="0" w:space="0" w:color="auto"/>
            <w:left w:val="none" w:sz="0" w:space="0" w:color="auto"/>
            <w:bottom w:val="none" w:sz="0" w:space="0" w:color="auto"/>
            <w:right w:val="none" w:sz="0" w:space="0" w:color="auto"/>
          </w:divBdr>
        </w:div>
      </w:divsChild>
    </w:div>
    <w:div w:id="1041128037">
      <w:bodyDiv w:val="1"/>
      <w:marLeft w:val="0"/>
      <w:marRight w:val="0"/>
      <w:marTop w:val="0"/>
      <w:marBottom w:val="0"/>
      <w:divBdr>
        <w:top w:val="none" w:sz="0" w:space="0" w:color="auto"/>
        <w:left w:val="none" w:sz="0" w:space="0" w:color="auto"/>
        <w:bottom w:val="none" w:sz="0" w:space="0" w:color="auto"/>
        <w:right w:val="none" w:sz="0" w:space="0" w:color="auto"/>
      </w:divBdr>
      <w:divsChild>
        <w:div w:id="896820059">
          <w:marLeft w:val="0"/>
          <w:marRight w:val="0"/>
          <w:marTop w:val="0"/>
          <w:marBottom w:val="0"/>
          <w:divBdr>
            <w:top w:val="none" w:sz="0" w:space="0" w:color="auto"/>
            <w:left w:val="none" w:sz="0" w:space="0" w:color="auto"/>
            <w:bottom w:val="none" w:sz="0" w:space="0" w:color="auto"/>
            <w:right w:val="none" w:sz="0" w:space="0" w:color="auto"/>
          </w:divBdr>
        </w:div>
      </w:divsChild>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07852164">
      <w:bodyDiv w:val="1"/>
      <w:marLeft w:val="0"/>
      <w:marRight w:val="0"/>
      <w:marTop w:val="0"/>
      <w:marBottom w:val="0"/>
      <w:divBdr>
        <w:top w:val="none" w:sz="0" w:space="0" w:color="auto"/>
        <w:left w:val="none" w:sz="0" w:space="0" w:color="auto"/>
        <w:bottom w:val="none" w:sz="0" w:space="0" w:color="auto"/>
        <w:right w:val="none" w:sz="0" w:space="0" w:color="auto"/>
      </w:divBdr>
      <w:divsChild>
        <w:div w:id="1612665176">
          <w:marLeft w:val="0"/>
          <w:marRight w:val="0"/>
          <w:marTop w:val="0"/>
          <w:marBottom w:val="0"/>
          <w:divBdr>
            <w:top w:val="none" w:sz="0" w:space="0" w:color="auto"/>
            <w:left w:val="none" w:sz="0" w:space="0" w:color="auto"/>
            <w:bottom w:val="none" w:sz="0" w:space="0" w:color="auto"/>
            <w:right w:val="none" w:sz="0" w:space="0" w:color="auto"/>
          </w:divBdr>
        </w:div>
      </w:divsChild>
    </w:div>
    <w:div w:id="1117023986">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43428929">
      <w:bodyDiv w:val="1"/>
      <w:marLeft w:val="0"/>
      <w:marRight w:val="0"/>
      <w:marTop w:val="0"/>
      <w:marBottom w:val="0"/>
      <w:divBdr>
        <w:top w:val="none" w:sz="0" w:space="0" w:color="auto"/>
        <w:left w:val="none" w:sz="0" w:space="0" w:color="auto"/>
        <w:bottom w:val="none" w:sz="0" w:space="0" w:color="auto"/>
        <w:right w:val="none" w:sz="0" w:space="0" w:color="auto"/>
      </w:divBdr>
      <w:divsChild>
        <w:div w:id="1379939966">
          <w:marLeft w:val="0"/>
          <w:marRight w:val="0"/>
          <w:marTop w:val="0"/>
          <w:marBottom w:val="0"/>
          <w:divBdr>
            <w:top w:val="none" w:sz="0" w:space="0" w:color="auto"/>
            <w:left w:val="none" w:sz="0" w:space="0" w:color="auto"/>
            <w:bottom w:val="none" w:sz="0" w:space="0" w:color="auto"/>
            <w:right w:val="none" w:sz="0" w:space="0" w:color="auto"/>
          </w:divBdr>
        </w:div>
        <w:div w:id="1393117421">
          <w:marLeft w:val="0"/>
          <w:marRight w:val="0"/>
          <w:marTop w:val="0"/>
          <w:marBottom w:val="0"/>
          <w:divBdr>
            <w:top w:val="none" w:sz="0" w:space="0" w:color="auto"/>
            <w:left w:val="none" w:sz="0" w:space="0" w:color="auto"/>
            <w:bottom w:val="none" w:sz="0" w:space="0" w:color="auto"/>
            <w:right w:val="none" w:sz="0" w:space="0" w:color="auto"/>
          </w:divBdr>
        </w:div>
      </w:divsChild>
    </w:div>
    <w:div w:id="1149638641">
      <w:bodyDiv w:val="1"/>
      <w:marLeft w:val="0"/>
      <w:marRight w:val="0"/>
      <w:marTop w:val="0"/>
      <w:marBottom w:val="0"/>
      <w:divBdr>
        <w:top w:val="none" w:sz="0" w:space="0" w:color="auto"/>
        <w:left w:val="none" w:sz="0" w:space="0" w:color="auto"/>
        <w:bottom w:val="none" w:sz="0" w:space="0" w:color="auto"/>
        <w:right w:val="none" w:sz="0" w:space="0" w:color="auto"/>
      </w:divBdr>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2669333">
      <w:bodyDiv w:val="1"/>
      <w:marLeft w:val="0"/>
      <w:marRight w:val="0"/>
      <w:marTop w:val="0"/>
      <w:marBottom w:val="0"/>
      <w:divBdr>
        <w:top w:val="none" w:sz="0" w:space="0" w:color="auto"/>
        <w:left w:val="none" w:sz="0" w:space="0" w:color="auto"/>
        <w:bottom w:val="none" w:sz="0" w:space="0" w:color="auto"/>
        <w:right w:val="none" w:sz="0" w:space="0" w:color="auto"/>
      </w:divBdr>
      <w:divsChild>
        <w:div w:id="888415470">
          <w:marLeft w:val="0"/>
          <w:marRight w:val="0"/>
          <w:marTop w:val="0"/>
          <w:marBottom w:val="0"/>
          <w:divBdr>
            <w:top w:val="none" w:sz="0" w:space="0" w:color="auto"/>
            <w:left w:val="none" w:sz="0" w:space="0" w:color="auto"/>
            <w:bottom w:val="none" w:sz="0" w:space="0" w:color="auto"/>
            <w:right w:val="none" w:sz="0" w:space="0" w:color="auto"/>
          </w:divBdr>
        </w:div>
      </w:divsChild>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19780267">
      <w:bodyDiv w:val="1"/>
      <w:marLeft w:val="0"/>
      <w:marRight w:val="0"/>
      <w:marTop w:val="0"/>
      <w:marBottom w:val="0"/>
      <w:divBdr>
        <w:top w:val="none" w:sz="0" w:space="0" w:color="auto"/>
        <w:left w:val="none" w:sz="0" w:space="0" w:color="auto"/>
        <w:bottom w:val="none" w:sz="0" w:space="0" w:color="auto"/>
        <w:right w:val="none" w:sz="0" w:space="0" w:color="auto"/>
      </w:divBdr>
      <w:divsChild>
        <w:div w:id="256982442">
          <w:marLeft w:val="0"/>
          <w:marRight w:val="0"/>
          <w:marTop w:val="0"/>
          <w:marBottom w:val="0"/>
          <w:divBdr>
            <w:top w:val="none" w:sz="0" w:space="0" w:color="auto"/>
            <w:left w:val="none" w:sz="0" w:space="0" w:color="auto"/>
            <w:bottom w:val="none" w:sz="0" w:space="0" w:color="auto"/>
            <w:right w:val="none" w:sz="0" w:space="0" w:color="auto"/>
          </w:divBdr>
        </w:div>
      </w:divsChild>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67230333">
      <w:bodyDiv w:val="1"/>
      <w:marLeft w:val="0"/>
      <w:marRight w:val="0"/>
      <w:marTop w:val="0"/>
      <w:marBottom w:val="0"/>
      <w:divBdr>
        <w:top w:val="none" w:sz="0" w:space="0" w:color="auto"/>
        <w:left w:val="none" w:sz="0" w:space="0" w:color="auto"/>
        <w:bottom w:val="none" w:sz="0" w:space="0" w:color="auto"/>
        <w:right w:val="none" w:sz="0" w:space="0" w:color="auto"/>
      </w:divBdr>
      <w:divsChild>
        <w:div w:id="541671087">
          <w:marLeft w:val="0"/>
          <w:marRight w:val="0"/>
          <w:marTop w:val="0"/>
          <w:marBottom w:val="0"/>
          <w:divBdr>
            <w:top w:val="none" w:sz="0" w:space="0" w:color="auto"/>
            <w:left w:val="none" w:sz="0" w:space="0" w:color="auto"/>
            <w:bottom w:val="none" w:sz="0" w:space="0" w:color="auto"/>
            <w:right w:val="none" w:sz="0" w:space="0" w:color="auto"/>
          </w:divBdr>
        </w:div>
      </w:divsChild>
    </w:div>
    <w:div w:id="1285382239">
      <w:bodyDiv w:val="1"/>
      <w:marLeft w:val="0"/>
      <w:marRight w:val="0"/>
      <w:marTop w:val="0"/>
      <w:marBottom w:val="0"/>
      <w:divBdr>
        <w:top w:val="none" w:sz="0" w:space="0" w:color="auto"/>
        <w:left w:val="none" w:sz="0" w:space="0" w:color="auto"/>
        <w:bottom w:val="none" w:sz="0" w:space="0" w:color="auto"/>
        <w:right w:val="none" w:sz="0" w:space="0" w:color="auto"/>
      </w:divBdr>
      <w:divsChild>
        <w:div w:id="525678531">
          <w:marLeft w:val="0"/>
          <w:marRight w:val="0"/>
          <w:marTop w:val="0"/>
          <w:marBottom w:val="0"/>
          <w:divBdr>
            <w:top w:val="none" w:sz="0" w:space="0" w:color="auto"/>
            <w:left w:val="none" w:sz="0" w:space="0" w:color="auto"/>
            <w:bottom w:val="none" w:sz="0" w:space="0" w:color="auto"/>
            <w:right w:val="none" w:sz="0" w:space="0" w:color="auto"/>
          </w:divBdr>
          <w:divsChild>
            <w:div w:id="1234436765">
              <w:marLeft w:val="0"/>
              <w:marRight w:val="0"/>
              <w:marTop w:val="0"/>
              <w:marBottom w:val="0"/>
              <w:divBdr>
                <w:top w:val="none" w:sz="0" w:space="0" w:color="auto"/>
                <w:left w:val="none" w:sz="0" w:space="0" w:color="auto"/>
                <w:bottom w:val="none" w:sz="0" w:space="0" w:color="auto"/>
                <w:right w:val="none" w:sz="0" w:space="0" w:color="auto"/>
              </w:divBdr>
            </w:div>
            <w:div w:id="2041129134">
              <w:marLeft w:val="0"/>
              <w:marRight w:val="0"/>
              <w:marTop w:val="0"/>
              <w:marBottom w:val="0"/>
              <w:divBdr>
                <w:top w:val="none" w:sz="0" w:space="0" w:color="auto"/>
                <w:left w:val="none" w:sz="0" w:space="0" w:color="auto"/>
                <w:bottom w:val="none" w:sz="0" w:space="0" w:color="auto"/>
                <w:right w:val="none" w:sz="0" w:space="0" w:color="auto"/>
              </w:divBdr>
              <w:divsChild>
                <w:div w:id="930820873">
                  <w:marLeft w:val="0"/>
                  <w:marRight w:val="0"/>
                  <w:marTop w:val="0"/>
                  <w:marBottom w:val="0"/>
                  <w:divBdr>
                    <w:top w:val="none" w:sz="0" w:space="0" w:color="auto"/>
                    <w:left w:val="none" w:sz="0" w:space="0" w:color="auto"/>
                    <w:bottom w:val="none" w:sz="0" w:space="0" w:color="auto"/>
                    <w:right w:val="none" w:sz="0" w:space="0" w:color="auto"/>
                  </w:divBdr>
                </w:div>
              </w:divsChild>
            </w:div>
            <w:div w:id="2135906468">
              <w:marLeft w:val="0"/>
              <w:marRight w:val="0"/>
              <w:marTop w:val="0"/>
              <w:marBottom w:val="0"/>
              <w:divBdr>
                <w:top w:val="none" w:sz="0" w:space="0" w:color="auto"/>
                <w:left w:val="none" w:sz="0" w:space="0" w:color="auto"/>
                <w:bottom w:val="none" w:sz="0" w:space="0" w:color="auto"/>
                <w:right w:val="none" w:sz="0" w:space="0" w:color="auto"/>
              </w:divBdr>
              <w:divsChild>
                <w:div w:id="618148647">
                  <w:marLeft w:val="0"/>
                  <w:marRight w:val="0"/>
                  <w:marTop w:val="0"/>
                  <w:marBottom w:val="0"/>
                  <w:divBdr>
                    <w:top w:val="none" w:sz="0" w:space="0" w:color="auto"/>
                    <w:left w:val="none" w:sz="0" w:space="0" w:color="auto"/>
                    <w:bottom w:val="none" w:sz="0" w:space="0" w:color="auto"/>
                    <w:right w:val="none" w:sz="0" w:space="0" w:color="auto"/>
                  </w:divBdr>
                </w:div>
              </w:divsChild>
            </w:div>
            <w:div w:id="296225271">
              <w:marLeft w:val="0"/>
              <w:marRight w:val="0"/>
              <w:marTop w:val="0"/>
              <w:marBottom w:val="0"/>
              <w:divBdr>
                <w:top w:val="none" w:sz="0" w:space="0" w:color="auto"/>
                <w:left w:val="none" w:sz="0" w:space="0" w:color="auto"/>
                <w:bottom w:val="none" w:sz="0" w:space="0" w:color="auto"/>
                <w:right w:val="none" w:sz="0" w:space="0" w:color="auto"/>
              </w:divBdr>
              <w:divsChild>
                <w:div w:id="864633130">
                  <w:marLeft w:val="0"/>
                  <w:marRight w:val="0"/>
                  <w:marTop w:val="0"/>
                  <w:marBottom w:val="0"/>
                  <w:divBdr>
                    <w:top w:val="none" w:sz="0" w:space="0" w:color="auto"/>
                    <w:left w:val="none" w:sz="0" w:space="0" w:color="auto"/>
                    <w:bottom w:val="none" w:sz="0" w:space="0" w:color="auto"/>
                    <w:right w:val="none" w:sz="0" w:space="0" w:color="auto"/>
                  </w:divBdr>
                </w:div>
              </w:divsChild>
            </w:div>
            <w:div w:id="299849295">
              <w:marLeft w:val="0"/>
              <w:marRight w:val="0"/>
              <w:marTop w:val="0"/>
              <w:marBottom w:val="0"/>
              <w:divBdr>
                <w:top w:val="none" w:sz="0" w:space="0" w:color="auto"/>
                <w:left w:val="none" w:sz="0" w:space="0" w:color="auto"/>
                <w:bottom w:val="none" w:sz="0" w:space="0" w:color="auto"/>
                <w:right w:val="none" w:sz="0" w:space="0" w:color="auto"/>
              </w:divBdr>
              <w:divsChild>
                <w:div w:id="2101293090">
                  <w:marLeft w:val="0"/>
                  <w:marRight w:val="0"/>
                  <w:marTop w:val="0"/>
                  <w:marBottom w:val="0"/>
                  <w:divBdr>
                    <w:top w:val="none" w:sz="0" w:space="0" w:color="auto"/>
                    <w:left w:val="none" w:sz="0" w:space="0" w:color="auto"/>
                    <w:bottom w:val="none" w:sz="0" w:space="0" w:color="auto"/>
                    <w:right w:val="none" w:sz="0" w:space="0" w:color="auto"/>
                  </w:divBdr>
                  <w:divsChild>
                    <w:div w:id="1897664898">
                      <w:marLeft w:val="0"/>
                      <w:marRight w:val="0"/>
                      <w:marTop w:val="0"/>
                      <w:marBottom w:val="0"/>
                      <w:divBdr>
                        <w:top w:val="none" w:sz="0" w:space="0" w:color="auto"/>
                        <w:left w:val="none" w:sz="0" w:space="0" w:color="auto"/>
                        <w:bottom w:val="none" w:sz="0" w:space="0" w:color="auto"/>
                        <w:right w:val="none" w:sz="0" w:space="0" w:color="auto"/>
                      </w:divBdr>
                      <w:divsChild>
                        <w:div w:id="1250894511">
                          <w:marLeft w:val="0"/>
                          <w:marRight w:val="0"/>
                          <w:marTop w:val="120"/>
                          <w:marBottom w:val="0"/>
                          <w:divBdr>
                            <w:top w:val="none" w:sz="0" w:space="0" w:color="auto"/>
                            <w:left w:val="none" w:sz="0" w:space="0" w:color="auto"/>
                            <w:bottom w:val="none" w:sz="0" w:space="0" w:color="auto"/>
                            <w:right w:val="none" w:sz="0" w:space="0" w:color="auto"/>
                          </w:divBdr>
                        </w:div>
                        <w:div w:id="691758974">
                          <w:marLeft w:val="0"/>
                          <w:marRight w:val="0"/>
                          <w:marTop w:val="0"/>
                          <w:marBottom w:val="0"/>
                          <w:divBdr>
                            <w:top w:val="none" w:sz="0" w:space="0" w:color="auto"/>
                            <w:left w:val="none" w:sz="0" w:space="0" w:color="auto"/>
                            <w:bottom w:val="none" w:sz="0" w:space="0" w:color="auto"/>
                            <w:right w:val="none" w:sz="0" w:space="0" w:color="auto"/>
                          </w:divBdr>
                        </w:div>
                      </w:divsChild>
                    </w:div>
                    <w:div w:id="1610578152">
                      <w:marLeft w:val="0"/>
                      <w:marRight w:val="0"/>
                      <w:marTop w:val="0"/>
                      <w:marBottom w:val="0"/>
                      <w:divBdr>
                        <w:top w:val="none" w:sz="0" w:space="0" w:color="auto"/>
                        <w:left w:val="none" w:sz="0" w:space="0" w:color="auto"/>
                        <w:bottom w:val="none" w:sz="0" w:space="0" w:color="auto"/>
                        <w:right w:val="none" w:sz="0" w:space="0" w:color="auto"/>
                      </w:divBdr>
                      <w:divsChild>
                        <w:div w:id="1086652627">
                          <w:marLeft w:val="0"/>
                          <w:marRight w:val="0"/>
                          <w:marTop w:val="120"/>
                          <w:marBottom w:val="0"/>
                          <w:divBdr>
                            <w:top w:val="none" w:sz="0" w:space="0" w:color="auto"/>
                            <w:left w:val="none" w:sz="0" w:space="0" w:color="auto"/>
                            <w:bottom w:val="none" w:sz="0" w:space="0" w:color="auto"/>
                            <w:right w:val="none" w:sz="0" w:space="0" w:color="auto"/>
                          </w:divBdr>
                        </w:div>
                        <w:div w:id="48728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294059">
              <w:marLeft w:val="0"/>
              <w:marRight w:val="0"/>
              <w:marTop w:val="0"/>
              <w:marBottom w:val="0"/>
              <w:divBdr>
                <w:top w:val="none" w:sz="0" w:space="0" w:color="auto"/>
                <w:left w:val="none" w:sz="0" w:space="0" w:color="auto"/>
                <w:bottom w:val="none" w:sz="0" w:space="0" w:color="auto"/>
                <w:right w:val="none" w:sz="0" w:space="0" w:color="auto"/>
              </w:divBdr>
              <w:divsChild>
                <w:div w:id="829448428">
                  <w:marLeft w:val="0"/>
                  <w:marRight w:val="0"/>
                  <w:marTop w:val="0"/>
                  <w:marBottom w:val="0"/>
                  <w:divBdr>
                    <w:top w:val="none" w:sz="0" w:space="0" w:color="auto"/>
                    <w:left w:val="none" w:sz="0" w:space="0" w:color="auto"/>
                    <w:bottom w:val="none" w:sz="0" w:space="0" w:color="auto"/>
                    <w:right w:val="none" w:sz="0" w:space="0" w:color="auto"/>
                  </w:divBdr>
                </w:div>
              </w:divsChild>
            </w:div>
            <w:div w:id="1044409995">
              <w:marLeft w:val="0"/>
              <w:marRight w:val="0"/>
              <w:marTop w:val="0"/>
              <w:marBottom w:val="0"/>
              <w:divBdr>
                <w:top w:val="none" w:sz="0" w:space="0" w:color="auto"/>
                <w:left w:val="none" w:sz="0" w:space="0" w:color="auto"/>
                <w:bottom w:val="none" w:sz="0" w:space="0" w:color="auto"/>
                <w:right w:val="none" w:sz="0" w:space="0" w:color="auto"/>
              </w:divBdr>
              <w:divsChild>
                <w:div w:id="1605455849">
                  <w:marLeft w:val="0"/>
                  <w:marRight w:val="0"/>
                  <w:marTop w:val="0"/>
                  <w:marBottom w:val="0"/>
                  <w:divBdr>
                    <w:top w:val="none" w:sz="0" w:space="0" w:color="auto"/>
                    <w:left w:val="none" w:sz="0" w:space="0" w:color="auto"/>
                    <w:bottom w:val="none" w:sz="0" w:space="0" w:color="auto"/>
                    <w:right w:val="none" w:sz="0" w:space="0" w:color="auto"/>
                  </w:divBdr>
                </w:div>
              </w:divsChild>
            </w:div>
            <w:div w:id="593783719">
              <w:marLeft w:val="0"/>
              <w:marRight w:val="0"/>
              <w:marTop w:val="0"/>
              <w:marBottom w:val="0"/>
              <w:divBdr>
                <w:top w:val="none" w:sz="0" w:space="0" w:color="auto"/>
                <w:left w:val="none" w:sz="0" w:space="0" w:color="auto"/>
                <w:bottom w:val="none" w:sz="0" w:space="0" w:color="auto"/>
                <w:right w:val="none" w:sz="0" w:space="0" w:color="auto"/>
              </w:divBdr>
              <w:divsChild>
                <w:div w:id="20620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296445088">
      <w:bodyDiv w:val="1"/>
      <w:marLeft w:val="0"/>
      <w:marRight w:val="0"/>
      <w:marTop w:val="0"/>
      <w:marBottom w:val="0"/>
      <w:divBdr>
        <w:top w:val="none" w:sz="0" w:space="0" w:color="auto"/>
        <w:left w:val="none" w:sz="0" w:space="0" w:color="auto"/>
        <w:bottom w:val="none" w:sz="0" w:space="0" w:color="auto"/>
        <w:right w:val="none" w:sz="0" w:space="0" w:color="auto"/>
      </w:divBdr>
      <w:divsChild>
        <w:div w:id="822160329">
          <w:marLeft w:val="0"/>
          <w:marRight w:val="0"/>
          <w:marTop w:val="0"/>
          <w:marBottom w:val="0"/>
          <w:divBdr>
            <w:top w:val="none" w:sz="0" w:space="0" w:color="auto"/>
            <w:left w:val="none" w:sz="0" w:space="0" w:color="auto"/>
            <w:bottom w:val="none" w:sz="0" w:space="0" w:color="auto"/>
            <w:right w:val="none" w:sz="0" w:space="0" w:color="auto"/>
          </w:divBdr>
        </w:div>
      </w:divsChild>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29017688">
      <w:bodyDiv w:val="1"/>
      <w:marLeft w:val="0"/>
      <w:marRight w:val="0"/>
      <w:marTop w:val="0"/>
      <w:marBottom w:val="0"/>
      <w:divBdr>
        <w:top w:val="none" w:sz="0" w:space="0" w:color="auto"/>
        <w:left w:val="none" w:sz="0" w:space="0" w:color="auto"/>
        <w:bottom w:val="none" w:sz="0" w:space="0" w:color="auto"/>
        <w:right w:val="none" w:sz="0" w:space="0" w:color="auto"/>
      </w:divBdr>
      <w:divsChild>
        <w:div w:id="1106728845">
          <w:marLeft w:val="0"/>
          <w:marRight w:val="0"/>
          <w:marTop w:val="0"/>
          <w:marBottom w:val="0"/>
          <w:divBdr>
            <w:top w:val="none" w:sz="0" w:space="0" w:color="auto"/>
            <w:left w:val="none" w:sz="0" w:space="0" w:color="auto"/>
            <w:bottom w:val="none" w:sz="0" w:space="0" w:color="auto"/>
            <w:right w:val="none" w:sz="0" w:space="0" w:color="auto"/>
          </w:divBdr>
        </w:div>
        <w:div w:id="2039818381">
          <w:marLeft w:val="0"/>
          <w:marRight w:val="0"/>
          <w:marTop w:val="0"/>
          <w:marBottom w:val="0"/>
          <w:divBdr>
            <w:top w:val="none" w:sz="0" w:space="0" w:color="auto"/>
            <w:left w:val="none" w:sz="0" w:space="0" w:color="auto"/>
            <w:bottom w:val="none" w:sz="0" w:space="0" w:color="auto"/>
            <w:right w:val="none" w:sz="0" w:space="0" w:color="auto"/>
          </w:divBdr>
        </w:div>
      </w:divsChild>
    </w:div>
    <w:div w:id="1338268373">
      <w:bodyDiv w:val="1"/>
      <w:marLeft w:val="0"/>
      <w:marRight w:val="0"/>
      <w:marTop w:val="0"/>
      <w:marBottom w:val="0"/>
      <w:divBdr>
        <w:top w:val="none" w:sz="0" w:space="0" w:color="auto"/>
        <w:left w:val="none" w:sz="0" w:space="0" w:color="auto"/>
        <w:bottom w:val="none" w:sz="0" w:space="0" w:color="auto"/>
        <w:right w:val="none" w:sz="0" w:space="0" w:color="auto"/>
      </w:divBdr>
      <w:divsChild>
        <w:div w:id="1549609128">
          <w:marLeft w:val="0"/>
          <w:marRight w:val="0"/>
          <w:marTop w:val="0"/>
          <w:marBottom w:val="0"/>
          <w:divBdr>
            <w:top w:val="none" w:sz="0" w:space="0" w:color="auto"/>
            <w:left w:val="none" w:sz="0" w:space="0" w:color="auto"/>
            <w:bottom w:val="none" w:sz="0" w:space="0" w:color="auto"/>
            <w:right w:val="none" w:sz="0" w:space="0" w:color="auto"/>
          </w:divBdr>
        </w:div>
        <w:div w:id="585961431">
          <w:marLeft w:val="0"/>
          <w:marRight w:val="0"/>
          <w:marTop w:val="0"/>
          <w:marBottom w:val="0"/>
          <w:divBdr>
            <w:top w:val="none" w:sz="0" w:space="0" w:color="auto"/>
            <w:left w:val="none" w:sz="0" w:space="0" w:color="auto"/>
            <w:bottom w:val="none" w:sz="0" w:space="0" w:color="auto"/>
            <w:right w:val="none" w:sz="0" w:space="0" w:color="auto"/>
          </w:divBdr>
          <w:divsChild>
            <w:div w:id="974990390">
              <w:marLeft w:val="0"/>
              <w:marRight w:val="0"/>
              <w:marTop w:val="120"/>
              <w:marBottom w:val="0"/>
              <w:divBdr>
                <w:top w:val="none" w:sz="0" w:space="0" w:color="auto"/>
                <w:left w:val="none" w:sz="0" w:space="0" w:color="auto"/>
                <w:bottom w:val="none" w:sz="0" w:space="0" w:color="auto"/>
                <w:right w:val="none" w:sz="0" w:space="0" w:color="auto"/>
              </w:divBdr>
            </w:div>
            <w:div w:id="942345398">
              <w:marLeft w:val="0"/>
              <w:marRight w:val="0"/>
              <w:marTop w:val="0"/>
              <w:marBottom w:val="0"/>
              <w:divBdr>
                <w:top w:val="none" w:sz="0" w:space="0" w:color="auto"/>
                <w:left w:val="none" w:sz="0" w:space="0" w:color="auto"/>
                <w:bottom w:val="none" w:sz="0" w:space="0" w:color="auto"/>
                <w:right w:val="none" w:sz="0" w:space="0" w:color="auto"/>
              </w:divBdr>
            </w:div>
          </w:divsChild>
        </w:div>
        <w:div w:id="789397277">
          <w:marLeft w:val="0"/>
          <w:marRight w:val="0"/>
          <w:marTop w:val="0"/>
          <w:marBottom w:val="0"/>
          <w:divBdr>
            <w:top w:val="none" w:sz="0" w:space="0" w:color="auto"/>
            <w:left w:val="none" w:sz="0" w:space="0" w:color="auto"/>
            <w:bottom w:val="none" w:sz="0" w:space="0" w:color="auto"/>
            <w:right w:val="none" w:sz="0" w:space="0" w:color="auto"/>
          </w:divBdr>
          <w:divsChild>
            <w:div w:id="986203412">
              <w:marLeft w:val="0"/>
              <w:marRight w:val="0"/>
              <w:marTop w:val="120"/>
              <w:marBottom w:val="0"/>
              <w:divBdr>
                <w:top w:val="none" w:sz="0" w:space="0" w:color="auto"/>
                <w:left w:val="none" w:sz="0" w:space="0" w:color="auto"/>
                <w:bottom w:val="none" w:sz="0" w:space="0" w:color="auto"/>
                <w:right w:val="none" w:sz="0" w:space="0" w:color="auto"/>
              </w:divBdr>
            </w:div>
            <w:div w:id="678315598">
              <w:marLeft w:val="0"/>
              <w:marRight w:val="0"/>
              <w:marTop w:val="0"/>
              <w:marBottom w:val="0"/>
              <w:divBdr>
                <w:top w:val="none" w:sz="0" w:space="0" w:color="auto"/>
                <w:left w:val="none" w:sz="0" w:space="0" w:color="auto"/>
                <w:bottom w:val="none" w:sz="0" w:space="0" w:color="auto"/>
                <w:right w:val="none" w:sz="0" w:space="0" w:color="auto"/>
              </w:divBdr>
            </w:div>
          </w:divsChild>
        </w:div>
        <w:div w:id="1266689061">
          <w:marLeft w:val="0"/>
          <w:marRight w:val="0"/>
          <w:marTop w:val="0"/>
          <w:marBottom w:val="0"/>
          <w:divBdr>
            <w:top w:val="none" w:sz="0" w:space="0" w:color="auto"/>
            <w:left w:val="none" w:sz="0" w:space="0" w:color="auto"/>
            <w:bottom w:val="none" w:sz="0" w:space="0" w:color="auto"/>
            <w:right w:val="none" w:sz="0" w:space="0" w:color="auto"/>
          </w:divBdr>
          <w:divsChild>
            <w:div w:id="1682007036">
              <w:marLeft w:val="0"/>
              <w:marRight w:val="0"/>
              <w:marTop w:val="120"/>
              <w:marBottom w:val="0"/>
              <w:divBdr>
                <w:top w:val="none" w:sz="0" w:space="0" w:color="auto"/>
                <w:left w:val="none" w:sz="0" w:space="0" w:color="auto"/>
                <w:bottom w:val="none" w:sz="0" w:space="0" w:color="auto"/>
                <w:right w:val="none" w:sz="0" w:space="0" w:color="auto"/>
              </w:divBdr>
            </w:div>
            <w:div w:id="1913083438">
              <w:marLeft w:val="0"/>
              <w:marRight w:val="0"/>
              <w:marTop w:val="0"/>
              <w:marBottom w:val="0"/>
              <w:divBdr>
                <w:top w:val="none" w:sz="0" w:space="0" w:color="auto"/>
                <w:left w:val="none" w:sz="0" w:space="0" w:color="auto"/>
                <w:bottom w:val="none" w:sz="0" w:space="0" w:color="auto"/>
                <w:right w:val="none" w:sz="0" w:space="0" w:color="auto"/>
              </w:divBdr>
            </w:div>
          </w:divsChild>
        </w:div>
        <w:div w:id="475269043">
          <w:marLeft w:val="0"/>
          <w:marRight w:val="0"/>
          <w:marTop w:val="0"/>
          <w:marBottom w:val="0"/>
          <w:divBdr>
            <w:top w:val="none" w:sz="0" w:space="0" w:color="auto"/>
            <w:left w:val="none" w:sz="0" w:space="0" w:color="auto"/>
            <w:bottom w:val="none" w:sz="0" w:space="0" w:color="auto"/>
            <w:right w:val="none" w:sz="0" w:space="0" w:color="auto"/>
          </w:divBdr>
          <w:divsChild>
            <w:div w:id="528252296">
              <w:marLeft w:val="0"/>
              <w:marRight w:val="0"/>
              <w:marTop w:val="120"/>
              <w:marBottom w:val="0"/>
              <w:divBdr>
                <w:top w:val="none" w:sz="0" w:space="0" w:color="auto"/>
                <w:left w:val="none" w:sz="0" w:space="0" w:color="auto"/>
                <w:bottom w:val="none" w:sz="0" w:space="0" w:color="auto"/>
                <w:right w:val="none" w:sz="0" w:space="0" w:color="auto"/>
              </w:divBdr>
            </w:div>
            <w:div w:id="2136488044">
              <w:marLeft w:val="0"/>
              <w:marRight w:val="0"/>
              <w:marTop w:val="0"/>
              <w:marBottom w:val="0"/>
              <w:divBdr>
                <w:top w:val="none" w:sz="0" w:space="0" w:color="auto"/>
                <w:left w:val="none" w:sz="0" w:space="0" w:color="auto"/>
                <w:bottom w:val="none" w:sz="0" w:space="0" w:color="auto"/>
                <w:right w:val="none" w:sz="0" w:space="0" w:color="auto"/>
              </w:divBdr>
            </w:div>
          </w:divsChild>
        </w:div>
        <w:div w:id="290132229">
          <w:marLeft w:val="0"/>
          <w:marRight w:val="0"/>
          <w:marTop w:val="0"/>
          <w:marBottom w:val="0"/>
          <w:divBdr>
            <w:top w:val="none" w:sz="0" w:space="0" w:color="auto"/>
            <w:left w:val="none" w:sz="0" w:space="0" w:color="auto"/>
            <w:bottom w:val="none" w:sz="0" w:space="0" w:color="auto"/>
            <w:right w:val="none" w:sz="0" w:space="0" w:color="auto"/>
          </w:divBdr>
          <w:divsChild>
            <w:div w:id="1780444047">
              <w:marLeft w:val="0"/>
              <w:marRight w:val="0"/>
              <w:marTop w:val="120"/>
              <w:marBottom w:val="0"/>
              <w:divBdr>
                <w:top w:val="none" w:sz="0" w:space="0" w:color="auto"/>
                <w:left w:val="none" w:sz="0" w:space="0" w:color="auto"/>
                <w:bottom w:val="none" w:sz="0" w:space="0" w:color="auto"/>
                <w:right w:val="none" w:sz="0" w:space="0" w:color="auto"/>
              </w:divBdr>
            </w:div>
            <w:div w:id="1804738522">
              <w:marLeft w:val="0"/>
              <w:marRight w:val="0"/>
              <w:marTop w:val="0"/>
              <w:marBottom w:val="0"/>
              <w:divBdr>
                <w:top w:val="none" w:sz="0" w:space="0" w:color="auto"/>
                <w:left w:val="none" w:sz="0" w:space="0" w:color="auto"/>
                <w:bottom w:val="none" w:sz="0" w:space="0" w:color="auto"/>
                <w:right w:val="none" w:sz="0" w:space="0" w:color="auto"/>
              </w:divBdr>
            </w:div>
          </w:divsChild>
        </w:div>
        <w:div w:id="1619491028">
          <w:marLeft w:val="0"/>
          <w:marRight w:val="0"/>
          <w:marTop w:val="0"/>
          <w:marBottom w:val="0"/>
          <w:divBdr>
            <w:top w:val="none" w:sz="0" w:space="0" w:color="auto"/>
            <w:left w:val="none" w:sz="0" w:space="0" w:color="auto"/>
            <w:bottom w:val="none" w:sz="0" w:space="0" w:color="auto"/>
            <w:right w:val="none" w:sz="0" w:space="0" w:color="auto"/>
          </w:divBdr>
          <w:divsChild>
            <w:div w:id="2141142478">
              <w:marLeft w:val="0"/>
              <w:marRight w:val="0"/>
              <w:marTop w:val="120"/>
              <w:marBottom w:val="0"/>
              <w:divBdr>
                <w:top w:val="none" w:sz="0" w:space="0" w:color="auto"/>
                <w:left w:val="none" w:sz="0" w:space="0" w:color="auto"/>
                <w:bottom w:val="none" w:sz="0" w:space="0" w:color="auto"/>
                <w:right w:val="none" w:sz="0" w:space="0" w:color="auto"/>
              </w:divBdr>
            </w:div>
            <w:div w:id="720249607">
              <w:marLeft w:val="0"/>
              <w:marRight w:val="0"/>
              <w:marTop w:val="0"/>
              <w:marBottom w:val="0"/>
              <w:divBdr>
                <w:top w:val="none" w:sz="0" w:space="0" w:color="auto"/>
                <w:left w:val="none" w:sz="0" w:space="0" w:color="auto"/>
                <w:bottom w:val="none" w:sz="0" w:space="0" w:color="auto"/>
                <w:right w:val="none" w:sz="0" w:space="0" w:color="auto"/>
              </w:divBdr>
            </w:div>
          </w:divsChild>
        </w:div>
        <w:div w:id="935406609">
          <w:marLeft w:val="0"/>
          <w:marRight w:val="0"/>
          <w:marTop w:val="0"/>
          <w:marBottom w:val="0"/>
          <w:divBdr>
            <w:top w:val="none" w:sz="0" w:space="0" w:color="auto"/>
            <w:left w:val="none" w:sz="0" w:space="0" w:color="auto"/>
            <w:bottom w:val="none" w:sz="0" w:space="0" w:color="auto"/>
            <w:right w:val="none" w:sz="0" w:space="0" w:color="auto"/>
          </w:divBdr>
          <w:divsChild>
            <w:div w:id="183983340">
              <w:marLeft w:val="0"/>
              <w:marRight w:val="0"/>
              <w:marTop w:val="120"/>
              <w:marBottom w:val="0"/>
              <w:divBdr>
                <w:top w:val="none" w:sz="0" w:space="0" w:color="auto"/>
                <w:left w:val="none" w:sz="0" w:space="0" w:color="auto"/>
                <w:bottom w:val="none" w:sz="0" w:space="0" w:color="auto"/>
                <w:right w:val="none" w:sz="0" w:space="0" w:color="auto"/>
              </w:divBdr>
            </w:div>
            <w:div w:id="1679113699">
              <w:marLeft w:val="0"/>
              <w:marRight w:val="0"/>
              <w:marTop w:val="0"/>
              <w:marBottom w:val="0"/>
              <w:divBdr>
                <w:top w:val="none" w:sz="0" w:space="0" w:color="auto"/>
                <w:left w:val="none" w:sz="0" w:space="0" w:color="auto"/>
                <w:bottom w:val="none" w:sz="0" w:space="0" w:color="auto"/>
                <w:right w:val="none" w:sz="0" w:space="0" w:color="auto"/>
              </w:divBdr>
            </w:div>
          </w:divsChild>
        </w:div>
        <w:div w:id="1638409538">
          <w:marLeft w:val="0"/>
          <w:marRight w:val="0"/>
          <w:marTop w:val="0"/>
          <w:marBottom w:val="0"/>
          <w:divBdr>
            <w:top w:val="none" w:sz="0" w:space="0" w:color="auto"/>
            <w:left w:val="none" w:sz="0" w:space="0" w:color="auto"/>
            <w:bottom w:val="none" w:sz="0" w:space="0" w:color="auto"/>
            <w:right w:val="none" w:sz="0" w:space="0" w:color="auto"/>
          </w:divBdr>
          <w:divsChild>
            <w:div w:id="493498783">
              <w:marLeft w:val="0"/>
              <w:marRight w:val="0"/>
              <w:marTop w:val="120"/>
              <w:marBottom w:val="0"/>
              <w:divBdr>
                <w:top w:val="none" w:sz="0" w:space="0" w:color="auto"/>
                <w:left w:val="none" w:sz="0" w:space="0" w:color="auto"/>
                <w:bottom w:val="none" w:sz="0" w:space="0" w:color="auto"/>
                <w:right w:val="none" w:sz="0" w:space="0" w:color="auto"/>
              </w:divBdr>
            </w:div>
            <w:div w:id="734160862">
              <w:marLeft w:val="0"/>
              <w:marRight w:val="0"/>
              <w:marTop w:val="0"/>
              <w:marBottom w:val="0"/>
              <w:divBdr>
                <w:top w:val="none" w:sz="0" w:space="0" w:color="auto"/>
                <w:left w:val="none" w:sz="0" w:space="0" w:color="auto"/>
                <w:bottom w:val="none" w:sz="0" w:space="0" w:color="auto"/>
                <w:right w:val="none" w:sz="0" w:space="0" w:color="auto"/>
              </w:divBdr>
            </w:div>
          </w:divsChild>
        </w:div>
        <w:div w:id="1766657726">
          <w:marLeft w:val="0"/>
          <w:marRight w:val="0"/>
          <w:marTop w:val="0"/>
          <w:marBottom w:val="0"/>
          <w:divBdr>
            <w:top w:val="none" w:sz="0" w:space="0" w:color="auto"/>
            <w:left w:val="none" w:sz="0" w:space="0" w:color="auto"/>
            <w:bottom w:val="none" w:sz="0" w:space="0" w:color="auto"/>
            <w:right w:val="none" w:sz="0" w:space="0" w:color="auto"/>
          </w:divBdr>
          <w:divsChild>
            <w:div w:id="1632174646">
              <w:marLeft w:val="0"/>
              <w:marRight w:val="0"/>
              <w:marTop w:val="120"/>
              <w:marBottom w:val="0"/>
              <w:divBdr>
                <w:top w:val="none" w:sz="0" w:space="0" w:color="auto"/>
                <w:left w:val="none" w:sz="0" w:space="0" w:color="auto"/>
                <w:bottom w:val="none" w:sz="0" w:space="0" w:color="auto"/>
                <w:right w:val="none" w:sz="0" w:space="0" w:color="auto"/>
              </w:divBdr>
            </w:div>
            <w:div w:id="1002588491">
              <w:marLeft w:val="0"/>
              <w:marRight w:val="0"/>
              <w:marTop w:val="0"/>
              <w:marBottom w:val="0"/>
              <w:divBdr>
                <w:top w:val="none" w:sz="0" w:space="0" w:color="auto"/>
                <w:left w:val="none" w:sz="0" w:space="0" w:color="auto"/>
                <w:bottom w:val="none" w:sz="0" w:space="0" w:color="auto"/>
                <w:right w:val="none" w:sz="0" w:space="0" w:color="auto"/>
              </w:divBdr>
              <w:divsChild>
                <w:div w:id="524096021">
                  <w:marLeft w:val="0"/>
                  <w:marRight w:val="0"/>
                  <w:marTop w:val="0"/>
                  <w:marBottom w:val="0"/>
                  <w:divBdr>
                    <w:top w:val="none" w:sz="0" w:space="0" w:color="auto"/>
                    <w:left w:val="none" w:sz="0" w:space="0" w:color="auto"/>
                    <w:bottom w:val="none" w:sz="0" w:space="0" w:color="auto"/>
                    <w:right w:val="none" w:sz="0" w:space="0" w:color="auto"/>
                  </w:divBdr>
                  <w:divsChild>
                    <w:div w:id="1694958967">
                      <w:marLeft w:val="0"/>
                      <w:marRight w:val="0"/>
                      <w:marTop w:val="120"/>
                      <w:marBottom w:val="0"/>
                      <w:divBdr>
                        <w:top w:val="none" w:sz="0" w:space="0" w:color="auto"/>
                        <w:left w:val="none" w:sz="0" w:space="0" w:color="auto"/>
                        <w:bottom w:val="none" w:sz="0" w:space="0" w:color="auto"/>
                        <w:right w:val="none" w:sz="0" w:space="0" w:color="auto"/>
                      </w:divBdr>
                    </w:div>
                    <w:div w:id="622813128">
                      <w:marLeft w:val="0"/>
                      <w:marRight w:val="0"/>
                      <w:marTop w:val="0"/>
                      <w:marBottom w:val="0"/>
                      <w:divBdr>
                        <w:top w:val="none" w:sz="0" w:space="0" w:color="auto"/>
                        <w:left w:val="none" w:sz="0" w:space="0" w:color="auto"/>
                        <w:bottom w:val="none" w:sz="0" w:space="0" w:color="auto"/>
                        <w:right w:val="none" w:sz="0" w:space="0" w:color="auto"/>
                      </w:divBdr>
                    </w:div>
                  </w:divsChild>
                </w:div>
                <w:div w:id="720787236">
                  <w:marLeft w:val="0"/>
                  <w:marRight w:val="0"/>
                  <w:marTop w:val="0"/>
                  <w:marBottom w:val="0"/>
                  <w:divBdr>
                    <w:top w:val="none" w:sz="0" w:space="0" w:color="auto"/>
                    <w:left w:val="none" w:sz="0" w:space="0" w:color="auto"/>
                    <w:bottom w:val="none" w:sz="0" w:space="0" w:color="auto"/>
                    <w:right w:val="none" w:sz="0" w:space="0" w:color="auto"/>
                  </w:divBdr>
                  <w:divsChild>
                    <w:div w:id="1301153625">
                      <w:marLeft w:val="0"/>
                      <w:marRight w:val="0"/>
                      <w:marTop w:val="120"/>
                      <w:marBottom w:val="0"/>
                      <w:divBdr>
                        <w:top w:val="none" w:sz="0" w:space="0" w:color="auto"/>
                        <w:left w:val="none" w:sz="0" w:space="0" w:color="auto"/>
                        <w:bottom w:val="none" w:sz="0" w:space="0" w:color="auto"/>
                        <w:right w:val="none" w:sz="0" w:space="0" w:color="auto"/>
                      </w:divBdr>
                    </w:div>
                    <w:div w:id="1966884556">
                      <w:marLeft w:val="0"/>
                      <w:marRight w:val="0"/>
                      <w:marTop w:val="0"/>
                      <w:marBottom w:val="0"/>
                      <w:divBdr>
                        <w:top w:val="none" w:sz="0" w:space="0" w:color="auto"/>
                        <w:left w:val="none" w:sz="0" w:space="0" w:color="auto"/>
                        <w:bottom w:val="none" w:sz="0" w:space="0" w:color="auto"/>
                        <w:right w:val="none" w:sz="0" w:space="0" w:color="auto"/>
                      </w:divBdr>
                    </w:div>
                  </w:divsChild>
                </w:div>
                <w:div w:id="696858105">
                  <w:marLeft w:val="0"/>
                  <w:marRight w:val="0"/>
                  <w:marTop w:val="0"/>
                  <w:marBottom w:val="0"/>
                  <w:divBdr>
                    <w:top w:val="none" w:sz="0" w:space="0" w:color="auto"/>
                    <w:left w:val="none" w:sz="0" w:space="0" w:color="auto"/>
                    <w:bottom w:val="none" w:sz="0" w:space="0" w:color="auto"/>
                    <w:right w:val="none" w:sz="0" w:space="0" w:color="auto"/>
                  </w:divBdr>
                  <w:divsChild>
                    <w:div w:id="885990510">
                      <w:marLeft w:val="0"/>
                      <w:marRight w:val="0"/>
                      <w:marTop w:val="120"/>
                      <w:marBottom w:val="0"/>
                      <w:divBdr>
                        <w:top w:val="none" w:sz="0" w:space="0" w:color="auto"/>
                        <w:left w:val="none" w:sz="0" w:space="0" w:color="auto"/>
                        <w:bottom w:val="none" w:sz="0" w:space="0" w:color="auto"/>
                        <w:right w:val="none" w:sz="0" w:space="0" w:color="auto"/>
                      </w:divBdr>
                    </w:div>
                    <w:div w:id="86436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60544">
          <w:marLeft w:val="0"/>
          <w:marRight w:val="0"/>
          <w:marTop w:val="0"/>
          <w:marBottom w:val="0"/>
          <w:divBdr>
            <w:top w:val="none" w:sz="0" w:space="0" w:color="auto"/>
            <w:left w:val="none" w:sz="0" w:space="0" w:color="auto"/>
            <w:bottom w:val="none" w:sz="0" w:space="0" w:color="auto"/>
            <w:right w:val="none" w:sz="0" w:space="0" w:color="auto"/>
          </w:divBdr>
          <w:divsChild>
            <w:div w:id="247423978">
              <w:marLeft w:val="0"/>
              <w:marRight w:val="0"/>
              <w:marTop w:val="120"/>
              <w:marBottom w:val="0"/>
              <w:divBdr>
                <w:top w:val="none" w:sz="0" w:space="0" w:color="auto"/>
                <w:left w:val="none" w:sz="0" w:space="0" w:color="auto"/>
                <w:bottom w:val="none" w:sz="0" w:space="0" w:color="auto"/>
                <w:right w:val="none" w:sz="0" w:space="0" w:color="auto"/>
              </w:divBdr>
            </w:div>
            <w:div w:id="781143717">
              <w:marLeft w:val="0"/>
              <w:marRight w:val="0"/>
              <w:marTop w:val="0"/>
              <w:marBottom w:val="0"/>
              <w:divBdr>
                <w:top w:val="none" w:sz="0" w:space="0" w:color="auto"/>
                <w:left w:val="none" w:sz="0" w:space="0" w:color="auto"/>
                <w:bottom w:val="none" w:sz="0" w:space="0" w:color="auto"/>
                <w:right w:val="none" w:sz="0" w:space="0" w:color="auto"/>
              </w:divBdr>
            </w:div>
          </w:divsChild>
        </w:div>
        <w:div w:id="1903132243">
          <w:marLeft w:val="0"/>
          <w:marRight w:val="0"/>
          <w:marTop w:val="0"/>
          <w:marBottom w:val="0"/>
          <w:divBdr>
            <w:top w:val="none" w:sz="0" w:space="0" w:color="auto"/>
            <w:left w:val="none" w:sz="0" w:space="0" w:color="auto"/>
            <w:bottom w:val="none" w:sz="0" w:space="0" w:color="auto"/>
            <w:right w:val="none" w:sz="0" w:space="0" w:color="auto"/>
          </w:divBdr>
          <w:divsChild>
            <w:div w:id="643046972">
              <w:marLeft w:val="0"/>
              <w:marRight w:val="0"/>
              <w:marTop w:val="120"/>
              <w:marBottom w:val="0"/>
              <w:divBdr>
                <w:top w:val="none" w:sz="0" w:space="0" w:color="auto"/>
                <w:left w:val="none" w:sz="0" w:space="0" w:color="auto"/>
                <w:bottom w:val="none" w:sz="0" w:space="0" w:color="auto"/>
                <w:right w:val="none" w:sz="0" w:space="0" w:color="auto"/>
              </w:divBdr>
            </w:div>
            <w:div w:id="823132483">
              <w:marLeft w:val="0"/>
              <w:marRight w:val="0"/>
              <w:marTop w:val="0"/>
              <w:marBottom w:val="0"/>
              <w:divBdr>
                <w:top w:val="none" w:sz="0" w:space="0" w:color="auto"/>
                <w:left w:val="none" w:sz="0" w:space="0" w:color="auto"/>
                <w:bottom w:val="none" w:sz="0" w:space="0" w:color="auto"/>
                <w:right w:val="none" w:sz="0" w:space="0" w:color="auto"/>
              </w:divBdr>
              <w:divsChild>
                <w:div w:id="1334603376">
                  <w:marLeft w:val="0"/>
                  <w:marRight w:val="0"/>
                  <w:marTop w:val="0"/>
                  <w:marBottom w:val="0"/>
                  <w:divBdr>
                    <w:top w:val="none" w:sz="0" w:space="0" w:color="auto"/>
                    <w:left w:val="none" w:sz="0" w:space="0" w:color="auto"/>
                    <w:bottom w:val="none" w:sz="0" w:space="0" w:color="auto"/>
                    <w:right w:val="none" w:sz="0" w:space="0" w:color="auto"/>
                  </w:divBdr>
                  <w:divsChild>
                    <w:div w:id="1680158770">
                      <w:marLeft w:val="0"/>
                      <w:marRight w:val="0"/>
                      <w:marTop w:val="120"/>
                      <w:marBottom w:val="0"/>
                      <w:divBdr>
                        <w:top w:val="none" w:sz="0" w:space="0" w:color="auto"/>
                        <w:left w:val="none" w:sz="0" w:space="0" w:color="auto"/>
                        <w:bottom w:val="none" w:sz="0" w:space="0" w:color="auto"/>
                        <w:right w:val="none" w:sz="0" w:space="0" w:color="auto"/>
                      </w:divBdr>
                    </w:div>
                    <w:div w:id="2045057181">
                      <w:marLeft w:val="0"/>
                      <w:marRight w:val="0"/>
                      <w:marTop w:val="0"/>
                      <w:marBottom w:val="0"/>
                      <w:divBdr>
                        <w:top w:val="none" w:sz="0" w:space="0" w:color="auto"/>
                        <w:left w:val="none" w:sz="0" w:space="0" w:color="auto"/>
                        <w:bottom w:val="none" w:sz="0" w:space="0" w:color="auto"/>
                        <w:right w:val="none" w:sz="0" w:space="0" w:color="auto"/>
                      </w:divBdr>
                    </w:div>
                  </w:divsChild>
                </w:div>
                <w:div w:id="1284967733">
                  <w:marLeft w:val="0"/>
                  <w:marRight w:val="0"/>
                  <w:marTop w:val="0"/>
                  <w:marBottom w:val="0"/>
                  <w:divBdr>
                    <w:top w:val="none" w:sz="0" w:space="0" w:color="auto"/>
                    <w:left w:val="none" w:sz="0" w:space="0" w:color="auto"/>
                    <w:bottom w:val="none" w:sz="0" w:space="0" w:color="auto"/>
                    <w:right w:val="none" w:sz="0" w:space="0" w:color="auto"/>
                  </w:divBdr>
                  <w:divsChild>
                    <w:div w:id="1930117156">
                      <w:marLeft w:val="0"/>
                      <w:marRight w:val="0"/>
                      <w:marTop w:val="120"/>
                      <w:marBottom w:val="0"/>
                      <w:divBdr>
                        <w:top w:val="none" w:sz="0" w:space="0" w:color="auto"/>
                        <w:left w:val="none" w:sz="0" w:space="0" w:color="auto"/>
                        <w:bottom w:val="none" w:sz="0" w:space="0" w:color="auto"/>
                        <w:right w:val="none" w:sz="0" w:space="0" w:color="auto"/>
                      </w:divBdr>
                    </w:div>
                    <w:div w:id="974064860">
                      <w:marLeft w:val="0"/>
                      <w:marRight w:val="0"/>
                      <w:marTop w:val="0"/>
                      <w:marBottom w:val="0"/>
                      <w:divBdr>
                        <w:top w:val="none" w:sz="0" w:space="0" w:color="auto"/>
                        <w:left w:val="none" w:sz="0" w:space="0" w:color="auto"/>
                        <w:bottom w:val="none" w:sz="0" w:space="0" w:color="auto"/>
                        <w:right w:val="none" w:sz="0" w:space="0" w:color="auto"/>
                      </w:divBdr>
                    </w:div>
                  </w:divsChild>
                </w:div>
                <w:div w:id="1680506030">
                  <w:marLeft w:val="0"/>
                  <w:marRight w:val="0"/>
                  <w:marTop w:val="0"/>
                  <w:marBottom w:val="0"/>
                  <w:divBdr>
                    <w:top w:val="none" w:sz="0" w:space="0" w:color="auto"/>
                    <w:left w:val="none" w:sz="0" w:space="0" w:color="auto"/>
                    <w:bottom w:val="none" w:sz="0" w:space="0" w:color="auto"/>
                    <w:right w:val="none" w:sz="0" w:space="0" w:color="auto"/>
                  </w:divBdr>
                  <w:divsChild>
                    <w:div w:id="1114860071">
                      <w:marLeft w:val="0"/>
                      <w:marRight w:val="0"/>
                      <w:marTop w:val="120"/>
                      <w:marBottom w:val="0"/>
                      <w:divBdr>
                        <w:top w:val="none" w:sz="0" w:space="0" w:color="auto"/>
                        <w:left w:val="none" w:sz="0" w:space="0" w:color="auto"/>
                        <w:bottom w:val="none" w:sz="0" w:space="0" w:color="auto"/>
                        <w:right w:val="none" w:sz="0" w:space="0" w:color="auto"/>
                      </w:divBdr>
                    </w:div>
                    <w:div w:id="93324584">
                      <w:marLeft w:val="0"/>
                      <w:marRight w:val="0"/>
                      <w:marTop w:val="0"/>
                      <w:marBottom w:val="0"/>
                      <w:divBdr>
                        <w:top w:val="none" w:sz="0" w:space="0" w:color="auto"/>
                        <w:left w:val="none" w:sz="0" w:space="0" w:color="auto"/>
                        <w:bottom w:val="none" w:sz="0" w:space="0" w:color="auto"/>
                        <w:right w:val="none" w:sz="0" w:space="0" w:color="auto"/>
                      </w:divBdr>
                    </w:div>
                  </w:divsChild>
                </w:div>
                <w:div w:id="1948199280">
                  <w:marLeft w:val="0"/>
                  <w:marRight w:val="0"/>
                  <w:marTop w:val="0"/>
                  <w:marBottom w:val="0"/>
                  <w:divBdr>
                    <w:top w:val="none" w:sz="0" w:space="0" w:color="auto"/>
                    <w:left w:val="none" w:sz="0" w:space="0" w:color="auto"/>
                    <w:bottom w:val="none" w:sz="0" w:space="0" w:color="auto"/>
                    <w:right w:val="none" w:sz="0" w:space="0" w:color="auto"/>
                  </w:divBdr>
                  <w:divsChild>
                    <w:div w:id="1097796461">
                      <w:marLeft w:val="0"/>
                      <w:marRight w:val="0"/>
                      <w:marTop w:val="120"/>
                      <w:marBottom w:val="0"/>
                      <w:divBdr>
                        <w:top w:val="none" w:sz="0" w:space="0" w:color="auto"/>
                        <w:left w:val="none" w:sz="0" w:space="0" w:color="auto"/>
                        <w:bottom w:val="none" w:sz="0" w:space="0" w:color="auto"/>
                        <w:right w:val="none" w:sz="0" w:space="0" w:color="auto"/>
                      </w:divBdr>
                    </w:div>
                    <w:div w:id="18595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269381">
          <w:marLeft w:val="0"/>
          <w:marRight w:val="0"/>
          <w:marTop w:val="0"/>
          <w:marBottom w:val="0"/>
          <w:divBdr>
            <w:top w:val="none" w:sz="0" w:space="0" w:color="auto"/>
            <w:left w:val="none" w:sz="0" w:space="0" w:color="auto"/>
            <w:bottom w:val="none" w:sz="0" w:space="0" w:color="auto"/>
            <w:right w:val="none" w:sz="0" w:space="0" w:color="auto"/>
          </w:divBdr>
          <w:divsChild>
            <w:div w:id="1729955406">
              <w:marLeft w:val="0"/>
              <w:marRight w:val="0"/>
              <w:marTop w:val="120"/>
              <w:marBottom w:val="0"/>
              <w:divBdr>
                <w:top w:val="none" w:sz="0" w:space="0" w:color="auto"/>
                <w:left w:val="none" w:sz="0" w:space="0" w:color="auto"/>
                <w:bottom w:val="none" w:sz="0" w:space="0" w:color="auto"/>
                <w:right w:val="none" w:sz="0" w:space="0" w:color="auto"/>
              </w:divBdr>
            </w:div>
            <w:div w:id="2016150647">
              <w:marLeft w:val="0"/>
              <w:marRight w:val="0"/>
              <w:marTop w:val="0"/>
              <w:marBottom w:val="0"/>
              <w:divBdr>
                <w:top w:val="none" w:sz="0" w:space="0" w:color="auto"/>
                <w:left w:val="none" w:sz="0" w:space="0" w:color="auto"/>
                <w:bottom w:val="none" w:sz="0" w:space="0" w:color="auto"/>
                <w:right w:val="none" w:sz="0" w:space="0" w:color="auto"/>
              </w:divBdr>
            </w:div>
          </w:divsChild>
        </w:div>
        <w:div w:id="759912267">
          <w:marLeft w:val="0"/>
          <w:marRight w:val="0"/>
          <w:marTop w:val="0"/>
          <w:marBottom w:val="0"/>
          <w:divBdr>
            <w:top w:val="none" w:sz="0" w:space="0" w:color="auto"/>
            <w:left w:val="none" w:sz="0" w:space="0" w:color="auto"/>
            <w:bottom w:val="none" w:sz="0" w:space="0" w:color="auto"/>
            <w:right w:val="none" w:sz="0" w:space="0" w:color="auto"/>
          </w:divBdr>
          <w:divsChild>
            <w:div w:id="1041247516">
              <w:marLeft w:val="0"/>
              <w:marRight w:val="0"/>
              <w:marTop w:val="120"/>
              <w:marBottom w:val="0"/>
              <w:divBdr>
                <w:top w:val="none" w:sz="0" w:space="0" w:color="auto"/>
                <w:left w:val="none" w:sz="0" w:space="0" w:color="auto"/>
                <w:bottom w:val="none" w:sz="0" w:space="0" w:color="auto"/>
                <w:right w:val="none" w:sz="0" w:space="0" w:color="auto"/>
              </w:divBdr>
            </w:div>
            <w:div w:id="225577809">
              <w:marLeft w:val="0"/>
              <w:marRight w:val="0"/>
              <w:marTop w:val="0"/>
              <w:marBottom w:val="0"/>
              <w:divBdr>
                <w:top w:val="none" w:sz="0" w:space="0" w:color="auto"/>
                <w:left w:val="none" w:sz="0" w:space="0" w:color="auto"/>
                <w:bottom w:val="none" w:sz="0" w:space="0" w:color="auto"/>
                <w:right w:val="none" w:sz="0" w:space="0" w:color="auto"/>
              </w:divBdr>
            </w:div>
          </w:divsChild>
        </w:div>
        <w:div w:id="1317567719">
          <w:marLeft w:val="0"/>
          <w:marRight w:val="0"/>
          <w:marTop w:val="0"/>
          <w:marBottom w:val="0"/>
          <w:divBdr>
            <w:top w:val="none" w:sz="0" w:space="0" w:color="auto"/>
            <w:left w:val="none" w:sz="0" w:space="0" w:color="auto"/>
            <w:bottom w:val="none" w:sz="0" w:space="0" w:color="auto"/>
            <w:right w:val="none" w:sz="0" w:space="0" w:color="auto"/>
          </w:divBdr>
          <w:divsChild>
            <w:div w:id="1903372654">
              <w:marLeft w:val="0"/>
              <w:marRight w:val="0"/>
              <w:marTop w:val="120"/>
              <w:marBottom w:val="0"/>
              <w:divBdr>
                <w:top w:val="none" w:sz="0" w:space="0" w:color="auto"/>
                <w:left w:val="none" w:sz="0" w:space="0" w:color="auto"/>
                <w:bottom w:val="none" w:sz="0" w:space="0" w:color="auto"/>
                <w:right w:val="none" w:sz="0" w:space="0" w:color="auto"/>
              </w:divBdr>
            </w:div>
            <w:div w:id="2008290514">
              <w:marLeft w:val="0"/>
              <w:marRight w:val="0"/>
              <w:marTop w:val="0"/>
              <w:marBottom w:val="0"/>
              <w:divBdr>
                <w:top w:val="none" w:sz="0" w:space="0" w:color="auto"/>
                <w:left w:val="none" w:sz="0" w:space="0" w:color="auto"/>
                <w:bottom w:val="none" w:sz="0" w:space="0" w:color="auto"/>
                <w:right w:val="none" w:sz="0" w:space="0" w:color="auto"/>
              </w:divBdr>
              <w:divsChild>
                <w:div w:id="1762797477">
                  <w:marLeft w:val="0"/>
                  <w:marRight w:val="0"/>
                  <w:marTop w:val="0"/>
                  <w:marBottom w:val="0"/>
                  <w:divBdr>
                    <w:top w:val="none" w:sz="0" w:space="0" w:color="auto"/>
                    <w:left w:val="none" w:sz="0" w:space="0" w:color="auto"/>
                    <w:bottom w:val="none" w:sz="0" w:space="0" w:color="auto"/>
                    <w:right w:val="none" w:sz="0" w:space="0" w:color="auto"/>
                  </w:divBdr>
                  <w:divsChild>
                    <w:div w:id="2001500560">
                      <w:marLeft w:val="0"/>
                      <w:marRight w:val="0"/>
                      <w:marTop w:val="120"/>
                      <w:marBottom w:val="0"/>
                      <w:divBdr>
                        <w:top w:val="none" w:sz="0" w:space="0" w:color="auto"/>
                        <w:left w:val="none" w:sz="0" w:space="0" w:color="auto"/>
                        <w:bottom w:val="none" w:sz="0" w:space="0" w:color="auto"/>
                        <w:right w:val="none" w:sz="0" w:space="0" w:color="auto"/>
                      </w:divBdr>
                    </w:div>
                    <w:div w:id="940919375">
                      <w:marLeft w:val="0"/>
                      <w:marRight w:val="0"/>
                      <w:marTop w:val="0"/>
                      <w:marBottom w:val="0"/>
                      <w:divBdr>
                        <w:top w:val="none" w:sz="0" w:space="0" w:color="auto"/>
                        <w:left w:val="none" w:sz="0" w:space="0" w:color="auto"/>
                        <w:bottom w:val="none" w:sz="0" w:space="0" w:color="auto"/>
                        <w:right w:val="none" w:sz="0" w:space="0" w:color="auto"/>
                      </w:divBdr>
                    </w:div>
                  </w:divsChild>
                </w:div>
                <w:div w:id="381446414">
                  <w:marLeft w:val="0"/>
                  <w:marRight w:val="0"/>
                  <w:marTop w:val="0"/>
                  <w:marBottom w:val="0"/>
                  <w:divBdr>
                    <w:top w:val="none" w:sz="0" w:space="0" w:color="auto"/>
                    <w:left w:val="none" w:sz="0" w:space="0" w:color="auto"/>
                    <w:bottom w:val="none" w:sz="0" w:space="0" w:color="auto"/>
                    <w:right w:val="none" w:sz="0" w:space="0" w:color="auto"/>
                  </w:divBdr>
                  <w:divsChild>
                    <w:div w:id="2062633166">
                      <w:marLeft w:val="0"/>
                      <w:marRight w:val="0"/>
                      <w:marTop w:val="120"/>
                      <w:marBottom w:val="0"/>
                      <w:divBdr>
                        <w:top w:val="none" w:sz="0" w:space="0" w:color="auto"/>
                        <w:left w:val="none" w:sz="0" w:space="0" w:color="auto"/>
                        <w:bottom w:val="none" w:sz="0" w:space="0" w:color="auto"/>
                        <w:right w:val="none" w:sz="0" w:space="0" w:color="auto"/>
                      </w:divBdr>
                    </w:div>
                    <w:div w:id="826675819">
                      <w:marLeft w:val="0"/>
                      <w:marRight w:val="0"/>
                      <w:marTop w:val="0"/>
                      <w:marBottom w:val="0"/>
                      <w:divBdr>
                        <w:top w:val="none" w:sz="0" w:space="0" w:color="auto"/>
                        <w:left w:val="none" w:sz="0" w:space="0" w:color="auto"/>
                        <w:bottom w:val="none" w:sz="0" w:space="0" w:color="auto"/>
                        <w:right w:val="none" w:sz="0" w:space="0" w:color="auto"/>
                      </w:divBdr>
                    </w:div>
                  </w:divsChild>
                </w:div>
                <w:div w:id="1378163205">
                  <w:marLeft w:val="0"/>
                  <w:marRight w:val="0"/>
                  <w:marTop w:val="0"/>
                  <w:marBottom w:val="0"/>
                  <w:divBdr>
                    <w:top w:val="none" w:sz="0" w:space="0" w:color="auto"/>
                    <w:left w:val="none" w:sz="0" w:space="0" w:color="auto"/>
                    <w:bottom w:val="none" w:sz="0" w:space="0" w:color="auto"/>
                    <w:right w:val="none" w:sz="0" w:space="0" w:color="auto"/>
                  </w:divBdr>
                  <w:divsChild>
                    <w:div w:id="1987397720">
                      <w:marLeft w:val="0"/>
                      <w:marRight w:val="0"/>
                      <w:marTop w:val="120"/>
                      <w:marBottom w:val="0"/>
                      <w:divBdr>
                        <w:top w:val="none" w:sz="0" w:space="0" w:color="auto"/>
                        <w:left w:val="none" w:sz="0" w:space="0" w:color="auto"/>
                        <w:bottom w:val="none" w:sz="0" w:space="0" w:color="auto"/>
                        <w:right w:val="none" w:sz="0" w:space="0" w:color="auto"/>
                      </w:divBdr>
                    </w:div>
                    <w:div w:id="1998609860">
                      <w:marLeft w:val="0"/>
                      <w:marRight w:val="0"/>
                      <w:marTop w:val="0"/>
                      <w:marBottom w:val="0"/>
                      <w:divBdr>
                        <w:top w:val="none" w:sz="0" w:space="0" w:color="auto"/>
                        <w:left w:val="none" w:sz="0" w:space="0" w:color="auto"/>
                        <w:bottom w:val="none" w:sz="0" w:space="0" w:color="auto"/>
                        <w:right w:val="none" w:sz="0" w:space="0" w:color="auto"/>
                      </w:divBdr>
                    </w:div>
                  </w:divsChild>
                </w:div>
                <w:div w:id="1365254889">
                  <w:marLeft w:val="0"/>
                  <w:marRight w:val="0"/>
                  <w:marTop w:val="0"/>
                  <w:marBottom w:val="0"/>
                  <w:divBdr>
                    <w:top w:val="none" w:sz="0" w:space="0" w:color="auto"/>
                    <w:left w:val="none" w:sz="0" w:space="0" w:color="auto"/>
                    <w:bottom w:val="none" w:sz="0" w:space="0" w:color="auto"/>
                    <w:right w:val="none" w:sz="0" w:space="0" w:color="auto"/>
                  </w:divBdr>
                  <w:divsChild>
                    <w:div w:id="807237073">
                      <w:marLeft w:val="0"/>
                      <w:marRight w:val="0"/>
                      <w:marTop w:val="120"/>
                      <w:marBottom w:val="0"/>
                      <w:divBdr>
                        <w:top w:val="none" w:sz="0" w:space="0" w:color="auto"/>
                        <w:left w:val="none" w:sz="0" w:space="0" w:color="auto"/>
                        <w:bottom w:val="none" w:sz="0" w:space="0" w:color="auto"/>
                        <w:right w:val="none" w:sz="0" w:space="0" w:color="auto"/>
                      </w:divBdr>
                    </w:div>
                    <w:div w:id="79956668">
                      <w:marLeft w:val="0"/>
                      <w:marRight w:val="0"/>
                      <w:marTop w:val="0"/>
                      <w:marBottom w:val="0"/>
                      <w:divBdr>
                        <w:top w:val="none" w:sz="0" w:space="0" w:color="auto"/>
                        <w:left w:val="none" w:sz="0" w:space="0" w:color="auto"/>
                        <w:bottom w:val="none" w:sz="0" w:space="0" w:color="auto"/>
                        <w:right w:val="none" w:sz="0" w:space="0" w:color="auto"/>
                      </w:divBdr>
                    </w:div>
                  </w:divsChild>
                </w:div>
                <w:div w:id="63454709">
                  <w:marLeft w:val="0"/>
                  <w:marRight w:val="0"/>
                  <w:marTop w:val="0"/>
                  <w:marBottom w:val="0"/>
                  <w:divBdr>
                    <w:top w:val="none" w:sz="0" w:space="0" w:color="auto"/>
                    <w:left w:val="none" w:sz="0" w:space="0" w:color="auto"/>
                    <w:bottom w:val="none" w:sz="0" w:space="0" w:color="auto"/>
                    <w:right w:val="none" w:sz="0" w:space="0" w:color="auto"/>
                  </w:divBdr>
                  <w:divsChild>
                    <w:div w:id="1703509853">
                      <w:marLeft w:val="0"/>
                      <w:marRight w:val="0"/>
                      <w:marTop w:val="120"/>
                      <w:marBottom w:val="0"/>
                      <w:divBdr>
                        <w:top w:val="none" w:sz="0" w:space="0" w:color="auto"/>
                        <w:left w:val="none" w:sz="0" w:space="0" w:color="auto"/>
                        <w:bottom w:val="none" w:sz="0" w:space="0" w:color="auto"/>
                        <w:right w:val="none" w:sz="0" w:space="0" w:color="auto"/>
                      </w:divBdr>
                    </w:div>
                    <w:div w:id="119742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967829">
          <w:marLeft w:val="0"/>
          <w:marRight w:val="0"/>
          <w:marTop w:val="0"/>
          <w:marBottom w:val="0"/>
          <w:divBdr>
            <w:top w:val="none" w:sz="0" w:space="0" w:color="auto"/>
            <w:left w:val="none" w:sz="0" w:space="0" w:color="auto"/>
            <w:bottom w:val="none" w:sz="0" w:space="0" w:color="auto"/>
            <w:right w:val="none" w:sz="0" w:space="0" w:color="auto"/>
          </w:divBdr>
          <w:divsChild>
            <w:div w:id="1686440347">
              <w:marLeft w:val="0"/>
              <w:marRight w:val="0"/>
              <w:marTop w:val="120"/>
              <w:marBottom w:val="0"/>
              <w:divBdr>
                <w:top w:val="none" w:sz="0" w:space="0" w:color="auto"/>
                <w:left w:val="none" w:sz="0" w:space="0" w:color="auto"/>
                <w:bottom w:val="none" w:sz="0" w:space="0" w:color="auto"/>
                <w:right w:val="none" w:sz="0" w:space="0" w:color="auto"/>
              </w:divBdr>
            </w:div>
            <w:div w:id="217202559">
              <w:marLeft w:val="0"/>
              <w:marRight w:val="0"/>
              <w:marTop w:val="0"/>
              <w:marBottom w:val="0"/>
              <w:divBdr>
                <w:top w:val="none" w:sz="0" w:space="0" w:color="auto"/>
                <w:left w:val="none" w:sz="0" w:space="0" w:color="auto"/>
                <w:bottom w:val="none" w:sz="0" w:space="0" w:color="auto"/>
                <w:right w:val="none" w:sz="0" w:space="0" w:color="auto"/>
              </w:divBdr>
              <w:divsChild>
                <w:div w:id="826946320">
                  <w:marLeft w:val="0"/>
                  <w:marRight w:val="0"/>
                  <w:marTop w:val="0"/>
                  <w:marBottom w:val="0"/>
                  <w:divBdr>
                    <w:top w:val="none" w:sz="0" w:space="0" w:color="auto"/>
                    <w:left w:val="none" w:sz="0" w:space="0" w:color="auto"/>
                    <w:bottom w:val="none" w:sz="0" w:space="0" w:color="auto"/>
                    <w:right w:val="none" w:sz="0" w:space="0" w:color="auto"/>
                  </w:divBdr>
                  <w:divsChild>
                    <w:div w:id="126052060">
                      <w:marLeft w:val="0"/>
                      <w:marRight w:val="0"/>
                      <w:marTop w:val="120"/>
                      <w:marBottom w:val="0"/>
                      <w:divBdr>
                        <w:top w:val="none" w:sz="0" w:space="0" w:color="auto"/>
                        <w:left w:val="none" w:sz="0" w:space="0" w:color="auto"/>
                        <w:bottom w:val="none" w:sz="0" w:space="0" w:color="auto"/>
                        <w:right w:val="none" w:sz="0" w:space="0" w:color="auto"/>
                      </w:divBdr>
                    </w:div>
                    <w:div w:id="560093318">
                      <w:marLeft w:val="0"/>
                      <w:marRight w:val="0"/>
                      <w:marTop w:val="0"/>
                      <w:marBottom w:val="0"/>
                      <w:divBdr>
                        <w:top w:val="none" w:sz="0" w:space="0" w:color="auto"/>
                        <w:left w:val="none" w:sz="0" w:space="0" w:color="auto"/>
                        <w:bottom w:val="none" w:sz="0" w:space="0" w:color="auto"/>
                        <w:right w:val="none" w:sz="0" w:space="0" w:color="auto"/>
                      </w:divBdr>
                    </w:div>
                  </w:divsChild>
                </w:div>
                <w:div w:id="241306281">
                  <w:marLeft w:val="0"/>
                  <w:marRight w:val="0"/>
                  <w:marTop w:val="0"/>
                  <w:marBottom w:val="0"/>
                  <w:divBdr>
                    <w:top w:val="none" w:sz="0" w:space="0" w:color="auto"/>
                    <w:left w:val="none" w:sz="0" w:space="0" w:color="auto"/>
                    <w:bottom w:val="none" w:sz="0" w:space="0" w:color="auto"/>
                    <w:right w:val="none" w:sz="0" w:space="0" w:color="auto"/>
                  </w:divBdr>
                  <w:divsChild>
                    <w:div w:id="216862072">
                      <w:marLeft w:val="0"/>
                      <w:marRight w:val="0"/>
                      <w:marTop w:val="120"/>
                      <w:marBottom w:val="0"/>
                      <w:divBdr>
                        <w:top w:val="none" w:sz="0" w:space="0" w:color="auto"/>
                        <w:left w:val="none" w:sz="0" w:space="0" w:color="auto"/>
                        <w:bottom w:val="none" w:sz="0" w:space="0" w:color="auto"/>
                        <w:right w:val="none" w:sz="0" w:space="0" w:color="auto"/>
                      </w:divBdr>
                    </w:div>
                    <w:div w:id="1351446259">
                      <w:marLeft w:val="0"/>
                      <w:marRight w:val="0"/>
                      <w:marTop w:val="0"/>
                      <w:marBottom w:val="0"/>
                      <w:divBdr>
                        <w:top w:val="none" w:sz="0" w:space="0" w:color="auto"/>
                        <w:left w:val="none" w:sz="0" w:space="0" w:color="auto"/>
                        <w:bottom w:val="none" w:sz="0" w:space="0" w:color="auto"/>
                        <w:right w:val="none" w:sz="0" w:space="0" w:color="auto"/>
                      </w:divBdr>
                    </w:div>
                  </w:divsChild>
                </w:div>
                <w:div w:id="2047488788">
                  <w:marLeft w:val="0"/>
                  <w:marRight w:val="0"/>
                  <w:marTop w:val="0"/>
                  <w:marBottom w:val="0"/>
                  <w:divBdr>
                    <w:top w:val="none" w:sz="0" w:space="0" w:color="auto"/>
                    <w:left w:val="none" w:sz="0" w:space="0" w:color="auto"/>
                    <w:bottom w:val="none" w:sz="0" w:space="0" w:color="auto"/>
                    <w:right w:val="none" w:sz="0" w:space="0" w:color="auto"/>
                  </w:divBdr>
                  <w:divsChild>
                    <w:div w:id="239413503">
                      <w:marLeft w:val="0"/>
                      <w:marRight w:val="0"/>
                      <w:marTop w:val="120"/>
                      <w:marBottom w:val="0"/>
                      <w:divBdr>
                        <w:top w:val="none" w:sz="0" w:space="0" w:color="auto"/>
                        <w:left w:val="none" w:sz="0" w:space="0" w:color="auto"/>
                        <w:bottom w:val="none" w:sz="0" w:space="0" w:color="auto"/>
                        <w:right w:val="none" w:sz="0" w:space="0" w:color="auto"/>
                      </w:divBdr>
                    </w:div>
                    <w:div w:id="127173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56718">
          <w:marLeft w:val="0"/>
          <w:marRight w:val="0"/>
          <w:marTop w:val="0"/>
          <w:marBottom w:val="0"/>
          <w:divBdr>
            <w:top w:val="none" w:sz="0" w:space="0" w:color="auto"/>
            <w:left w:val="none" w:sz="0" w:space="0" w:color="auto"/>
            <w:bottom w:val="none" w:sz="0" w:space="0" w:color="auto"/>
            <w:right w:val="none" w:sz="0" w:space="0" w:color="auto"/>
          </w:divBdr>
          <w:divsChild>
            <w:div w:id="1405179505">
              <w:marLeft w:val="0"/>
              <w:marRight w:val="0"/>
              <w:marTop w:val="120"/>
              <w:marBottom w:val="0"/>
              <w:divBdr>
                <w:top w:val="none" w:sz="0" w:space="0" w:color="auto"/>
                <w:left w:val="none" w:sz="0" w:space="0" w:color="auto"/>
                <w:bottom w:val="none" w:sz="0" w:space="0" w:color="auto"/>
                <w:right w:val="none" w:sz="0" w:space="0" w:color="auto"/>
              </w:divBdr>
            </w:div>
            <w:div w:id="850726294">
              <w:marLeft w:val="0"/>
              <w:marRight w:val="0"/>
              <w:marTop w:val="0"/>
              <w:marBottom w:val="0"/>
              <w:divBdr>
                <w:top w:val="none" w:sz="0" w:space="0" w:color="auto"/>
                <w:left w:val="none" w:sz="0" w:space="0" w:color="auto"/>
                <w:bottom w:val="none" w:sz="0" w:space="0" w:color="auto"/>
                <w:right w:val="none" w:sz="0" w:space="0" w:color="auto"/>
              </w:divBdr>
              <w:divsChild>
                <w:div w:id="1556774272">
                  <w:marLeft w:val="0"/>
                  <w:marRight w:val="0"/>
                  <w:marTop w:val="0"/>
                  <w:marBottom w:val="0"/>
                  <w:divBdr>
                    <w:top w:val="none" w:sz="0" w:space="0" w:color="auto"/>
                    <w:left w:val="none" w:sz="0" w:space="0" w:color="auto"/>
                    <w:bottom w:val="none" w:sz="0" w:space="0" w:color="auto"/>
                    <w:right w:val="none" w:sz="0" w:space="0" w:color="auto"/>
                  </w:divBdr>
                  <w:divsChild>
                    <w:div w:id="1330862106">
                      <w:marLeft w:val="0"/>
                      <w:marRight w:val="0"/>
                      <w:marTop w:val="120"/>
                      <w:marBottom w:val="0"/>
                      <w:divBdr>
                        <w:top w:val="none" w:sz="0" w:space="0" w:color="auto"/>
                        <w:left w:val="none" w:sz="0" w:space="0" w:color="auto"/>
                        <w:bottom w:val="none" w:sz="0" w:space="0" w:color="auto"/>
                        <w:right w:val="none" w:sz="0" w:space="0" w:color="auto"/>
                      </w:divBdr>
                    </w:div>
                    <w:div w:id="87968836">
                      <w:marLeft w:val="0"/>
                      <w:marRight w:val="0"/>
                      <w:marTop w:val="0"/>
                      <w:marBottom w:val="0"/>
                      <w:divBdr>
                        <w:top w:val="none" w:sz="0" w:space="0" w:color="auto"/>
                        <w:left w:val="none" w:sz="0" w:space="0" w:color="auto"/>
                        <w:bottom w:val="none" w:sz="0" w:space="0" w:color="auto"/>
                        <w:right w:val="none" w:sz="0" w:space="0" w:color="auto"/>
                      </w:divBdr>
                    </w:div>
                  </w:divsChild>
                </w:div>
                <w:div w:id="451168091">
                  <w:marLeft w:val="0"/>
                  <w:marRight w:val="0"/>
                  <w:marTop w:val="0"/>
                  <w:marBottom w:val="0"/>
                  <w:divBdr>
                    <w:top w:val="none" w:sz="0" w:space="0" w:color="auto"/>
                    <w:left w:val="none" w:sz="0" w:space="0" w:color="auto"/>
                    <w:bottom w:val="none" w:sz="0" w:space="0" w:color="auto"/>
                    <w:right w:val="none" w:sz="0" w:space="0" w:color="auto"/>
                  </w:divBdr>
                  <w:divsChild>
                    <w:div w:id="863634932">
                      <w:marLeft w:val="0"/>
                      <w:marRight w:val="0"/>
                      <w:marTop w:val="120"/>
                      <w:marBottom w:val="0"/>
                      <w:divBdr>
                        <w:top w:val="none" w:sz="0" w:space="0" w:color="auto"/>
                        <w:left w:val="none" w:sz="0" w:space="0" w:color="auto"/>
                        <w:bottom w:val="none" w:sz="0" w:space="0" w:color="auto"/>
                        <w:right w:val="none" w:sz="0" w:space="0" w:color="auto"/>
                      </w:divBdr>
                    </w:div>
                    <w:div w:id="1970477182">
                      <w:marLeft w:val="0"/>
                      <w:marRight w:val="0"/>
                      <w:marTop w:val="0"/>
                      <w:marBottom w:val="0"/>
                      <w:divBdr>
                        <w:top w:val="none" w:sz="0" w:space="0" w:color="auto"/>
                        <w:left w:val="none" w:sz="0" w:space="0" w:color="auto"/>
                        <w:bottom w:val="none" w:sz="0" w:space="0" w:color="auto"/>
                        <w:right w:val="none" w:sz="0" w:space="0" w:color="auto"/>
                      </w:divBdr>
                    </w:div>
                  </w:divsChild>
                </w:div>
                <w:div w:id="2006660830">
                  <w:marLeft w:val="0"/>
                  <w:marRight w:val="0"/>
                  <w:marTop w:val="0"/>
                  <w:marBottom w:val="0"/>
                  <w:divBdr>
                    <w:top w:val="none" w:sz="0" w:space="0" w:color="auto"/>
                    <w:left w:val="none" w:sz="0" w:space="0" w:color="auto"/>
                    <w:bottom w:val="none" w:sz="0" w:space="0" w:color="auto"/>
                    <w:right w:val="none" w:sz="0" w:space="0" w:color="auto"/>
                  </w:divBdr>
                  <w:divsChild>
                    <w:div w:id="184641311">
                      <w:marLeft w:val="0"/>
                      <w:marRight w:val="0"/>
                      <w:marTop w:val="120"/>
                      <w:marBottom w:val="0"/>
                      <w:divBdr>
                        <w:top w:val="none" w:sz="0" w:space="0" w:color="auto"/>
                        <w:left w:val="none" w:sz="0" w:space="0" w:color="auto"/>
                        <w:bottom w:val="none" w:sz="0" w:space="0" w:color="auto"/>
                        <w:right w:val="none" w:sz="0" w:space="0" w:color="auto"/>
                      </w:divBdr>
                    </w:div>
                    <w:div w:id="1218084506">
                      <w:marLeft w:val="0"/>
                      <w:marRight w:val="0"/>
                      <w:marTop w:val="0"/>
                      <w:marBottom w:val="0"/>
                      <w:divBdr>
                        <w:top w:val="none" w:sz="0" w:space="0" w:color="auto"/>
                        <w:left w:val="none" w:sz="0" w:space="0" w:color="auto"/>
                        <w:bottom w:val="none" w:sz="0" w:space="0" w:color="auto"/>
                        <w:right w:val="none" w:sz="0" w:space="0" w:color="auto"/>
                      </w:divBdr>
                    </w:div>
                  </w:divsChild>
                </w:div>
                <w:div w:id="2018535719">
                  <w:marLeft w:val="0"/>
                  <w:marRight w:val="0"/>
                  <w:marTop w:val="0"/>
                  <w:marBottom w:val="0"/>
                  <w:divBdr>
                    <w:top w:val="none" w:sz="0" w:space="0" w:color="auto"/>
                    <w:left w:val="none" w:sz="0" w:space="0" w:color="auto"/>
                    <w:bottom w:val="none" w:sz="0" w:space="0" w:color="auto"/>
                    <w:right w:val="none" w:sz="0" w:space="0" w:color="auto"/>
                  </w:divBdr>
                  <w:divsChild>
                    <w:div w:id="228930983">
                      <w:marLeft w:val="0"/>
                      <w:marRight w:val="0"/>
                      <w:marTop w:val="120"/>
                      <w:marBottom w:val="0"/>
                      <w:divBdr>
                        <w:top w:val="none" w:sz="0" w:space="0" w:color="auto"/>
                        <w:left w:val="none" w:sz="0" w:space="0" w:color="auto"/>
                        <w:bottom w:val="none" w:sz="0" w:space="0" w:color="auto"/>
                        <w:right w:val="none" w:sz="0" w:space="0" w:color="auto"/>
                      </w:divBdr>
                    </w:div>
                    <w:div w:id="15375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45436">
          <w:marLeft w:val="0"/>
          <w:marRight w:val="0"/>
          <w:marTop w:val="0"/>
          <w:marBottom w:val="0"/>
          <w:divBdr>
            <w:top w:val="none" w:sz="0" w:space="0" w:color="auto"/>
            <w:left w:val="none" w:sz="0" w:space="0" w:color="auto"/>
            <w:bottom w:val="none" w:sz="0" w:space="0" w:color="auto"/>
            <w:right w:val="none" w:sz="0" w:space="0" w:color="auto"/>
          </w:divBdr>
          <w:divsChild>
            <w:div w:id="1916746143">
              <w:marLeft w:val="0"/>
              <w:marRight w:val="0"/>
              <w:marTop w:val="120"/>
              <w:marBottom w:val="0"/>
              <w:divBdr>
                <w:top w:val="none" w:sz="0" w:space="0" w:color="auto"/>
                <w:left w:val="none" w:sz="0" w:space="0" w:color="auto"/>
                <w:bottom w:val="none" w:sz="0" w:space="0" w:color="auto"/>
                <w:right w:val="none" w:sz="0" w:space="0" w:color="auto"/>
              </w:divBdr>
            </w:div>
            <w:div w:id="630284823">
              <w:marLeft w:val="0"/>
              <w:marRight w:val="0"/>
              <w:marTop w:val="0"/>
              <w:marBottom w:val="0"/>
              <w:divBdr>
                <w:top w:val="none" w:sz="0" w:space="0" w:color="auto"/>
                <w:left w:val="none" w:sz="0" w:space="0" w:color="auto"/>
                <w:bottom w:val="none" w:sz="0" w:space="0" w:color="auto"/>
                <w:right w:val="none" w:sz="0" w:space="0" w:color="auto"/>
              </w:divBdr>
            </w:div>
          </w:divsChild>
        </w:div>
        <w:div w:id="1830713355">
          <w:marLeft w:val="0"/>
          <w:marRight w:val="0"/>
          <w:marTop w:val="0"/>
          <w:marBottom w:val="0"/>
          <w:divBdr>
            <w:top w:val="none" w:sz="0" w:space="0" w:color="auto"/>
            <w:left w:val="none" w:sz="0" w:space="0" w:color="auto"/>
            <w:bottom w:val="none" w:sz="0" w:space="0" w:color="auto"/>
            <w:right w:val="none" w:sz="0" w:space="0" w:color="auto"/>
          </w:divBdr>
          <w:divsChild>
            <w:div w:id="1745444728">
              <w:marLeft w:val="0"/>
              <w:marRight w:val="0"/>
              <w:marTop w:val="120"/>
              <w:marBottom w:val="0"/>
              <w:divBdr>
                <w:top w:val="none" w:sz="0" w:space="0" w:color="auto"/>
                <w:left w:val="none" w:sz="0" w:space="0" w:color="auto"/>
                <w:bottom w:val="none" w:sz="0" w:space="0" w:color="auto"/>
                <w:right w:val="none" w:sz="0" w:space="0" w:color="auto"/>
              </w:divBdr>
            </w:div>
            <w:div w:id="210265024">
              <w:marLeft w:val="0"/>
              <w:marRight w:val="0"/>
              <w:marTop w:val="0"/>
              <w:marBottom w:val="0"/>
              <w:divBdr>
                <w:top w:val="none" w:sz="0" w:space="0" w:color="auto"/>
                <w:left w:val="none" w:sz="0" w:space="0" w:color="auto"/>
                <w:bottom w:val="none" w:sz="0" w:space="0" w:color="auto"/>
                <w:right w:val="none" w:sz="0" w:space="0" w:color="auto"/>
              </w:divBdr>
              <w:divsChild>
                <w:div w:id="2012904688">
                  <w:marLeft w:val="0"/>
                  <w:marRight w:val="0"/>
                  <w:marTop w:val="0"/>
                  <w:marBottom w:val="0"/>
                  <w:divBdr>
                    <w:top w:val="none" w:sz="0" w:space="0" w:color="auto"/>
                    <w:left w:val="none" w:sz="0" w:space="0" w:color="auto"/>
                    <w:bottom w:val="none" w:sz="0" w:space="0" w:color="auto"/>
                    <w:right w:val="none" w:sz="0" w:space="0" w:color="auto"/>
                  </w:divBdr>
                  <w:divsChild>
                    <w:div w:id="763192020">
                      <w:marLeft w:val="0"/>
                      <w:marRight w:val="0"/>
                      <w:marTop w:val="120"/>
                      <w:marBottom w:val="0"/>
                      <w:divBdr>
                        <w:top w:val="none" w:sz="0" w:space="0" w:color="auto"/>
                        <w:left w:val="none" w:sz="0" w:space="0" w:color="auto"/>
                        <w:bottom w:val="none" w:sz="0" w:space="0" w:color="auto"/>
                        <w:right w:val="none" w:sz="0" w:space="0" w:color="auto"/>
                      </w:divBdr>
                    </w:div>
                    <w:div w:id="219368299">
                      <w:marLeft w:val="0"/>
                      <w:marRight w:val="0"/>
                      <w:marTop w:val="0"/>
                      <w:marBottom w:val="0"/>
                      <w:divBdr>
                        <w:top w:val="none" w:sz="0" w:space="0" w:color="auto"/>
                        <w:left w:val="none" w:sz="0" w:space="0" w:color="auto"/>
                        <w:bottom w:val="none" w:sz="0" w:space="0" w:color="auto"/>
                        <w:right w:val="none" w:sz="0" w:space="0" w:color="auto"/>
                      </w:divBdr>
                    </w:div>
                  </w:divsChild>
                </w:div>
                <w:div w:id="204102338">
                  <w:marLeft w:val="0"/>
                  <w:marRight w:val="0"/>
                  <w:marTop w:val="0"/>
                  <w:marBottom w:val="0"/>
                  <w:divBdr>
                    <w:top w:val="none" w:sz="0" w:space="0" w:color="auto"/>
                    <w:left w:val="none" w:sz="0" w:space="0" w:color="auto"/>
                    <w:bottom w:val="none" w:sz="0" w:space="0" w:color="auto"/>
                    <w:right w:val="none" w:sz="0" w:space="0" w:color="auto"/>
                  </w:divBdr>
                  <w:divsChild>
                    <w:div w:id="562370641">
                      <w:marLeft w:val="0"/>
                      <w:marRight w:val="0"/>
                      <w:marTop w:val="120"/>
                      <w:marBottom w:val="0"/>
                      <w:divBdr>
                        <w:top w:val="none" w:sz="0" w:space="0" w:color="auto"/>
                        <w:left w:val="none" w:sz="0" w:space="0" w:color="auto"/>
                        <w:bottom w:val="none" w:sz="0" w:space="0" w:color="auto"/>
                        <w:right w:val="none" w:sz="0" w:space="0" w:color="auto"/>
                      </w:divBdr>
                    </w:div>
                    <w:div w:id="1646280008">
                      <w:marLeft w:val="0"/>
                      <w:marRight w:val="0"/>
                      <w:marTop w:val="0"/>
                      <w:marBottom w:val="0"/>
                      <w:divBdr>
                        <w:top w:val="none" w:sz="0" w:space="0" w:color="auto"/>
                        <w:left w:val="none" w:sz="0" w:space="0" w:color="auto"/>
                        <w:bottom w:val="none" w:sz="0" w:space="0" w:color="auto"/>
                        <w:right w:val="none" w:sz="0" w:space="0" w:color="auto"/>
                      </w:divBdr>
                    </w:div>
                  </w:divsChild>
                </w:div>
                <w:div w:id="274795994">
                  <w:marLeft w:val="0"/>
                  <w:marRight w:val="0"/>
                  <w:marTop w:val="0"/>
                  <w:marBottom w:val="0"/>
                  <w:divBdr>
                    <w:top w:val="none" w:sz="0" w:space="0" w:color="auto"/>
                    <w:left w:val="none" w:sz="0" w:space="0" w:color="auto"/>
                    <w:bottom w:val="none" w:sz="0" w:space="0" w:color="auto"/>
                    <w:right w:val="none" w:sz="0" w:space="0" w:color="auto"/>
                  </w:divBdr>
                  <w:divsChild>
                    <w:div w:id="1978098744">
                      <w:marLeft w:val="0"/>
                      <w:marRight w:val="0"/>
                      <w:marTop w:val="120"/>
                      <w:marBottom w:val="0"/>
                      <w:divBdr>
                        <w:top w:val="none" w:sz="0" w:space="0" w:color="auto"/>
                        <w:left w:val="none" w:sz="0" w:space="0" w:color="auto"/>
                        <w:bottom w:val="none" w:sz="0" w:space="0" w:color="auto"/>
                        <w:right w:val="none" w:sz="0" w:space="0" w:color="auto"/>
                      </w:divBdr>
                    </w:div>
                    <w:div w:id="1615207349">
                      <w:marLeft w:val="0"/>
                      <w:marRight w:val="0"/>
                      <w:marTop w:val="0"/>
                      <w:marBottom w:val="0"/>
                      <w:divBdr>
                        <w:top w:val="none" w:sz="0" w:space="0" w:color="auto"/>
                        <w:left w:val="none" w:sz="0" w:space="0" w:color="auto"/>
                        <w:bottom w:val="none" w:sz="0" w:space="0" w:color="auto"/>
                        <w:right w:val="none" w:sz="0" w:space="0" w:color="auto"/>
                      </w:divBdr>
                    </w:div>
                  </w:divsChild>
                </w:div>
                <w:div w:id="564266397">
                  <w:marLeft w:val="0"/>
                  <w:marRight w:val="0"/>
                  <w:marTop w:val="0"/>
                  <w:marBottom w:val="0"/>
                  <w:divBdr>
                    <w:top w:val="none" w:sz="0" w:space="0" w:color="auto"/>
                    <w:left w:val="none" w:sz="0" w:space="0" w:color="auto"/>
                    <w:bottom w:val="none" w:sz="0" w:space="0" w:color="auto"/>
                    <w:right w:val="none" w:sz="0" w:space="0" w:color="auto"/>
                  </w:divBdr>
                  <w:divsChild>
                    <w:div w:id="1563756881">
                      <w:marLeft w:val="0"/>
                      <w:marRight w:val="0"/>
                      <w:marTop w:val="120"/>
                      <w:marBottom w:val="0"/>
                      <w:divBdr>
                        <w:top w:val="none" w:sz="0" w:space="0" w:color="auto"/>
                        <w:left w:val="none" w:sz="0" w:space="0" w:color="auto"/>
                        <w:bottom w:val="none" w:sz="0" w:space="0" w:color="auto"/>
                        <w:right w:val="none" w:sz="0" w:space="0" w:color="auto"/>
                      </w:divBdr>
                    </w:div>
                    <w:div w:id="2106681836">
                      <w:marLeft w:val="0"/>
                      <w:marRight w:val="0"/>
                      <w:marTop w:val="0"/>
                      <w:marBottom w:val="0"/>
                      <w:divBdr>
                        <w:top w:val="none" w:sz="0" w:space="0" w:color="auto"/>
                        <w:left w:val="none" w:sz="0" w:space="0" w:color="auto"/>
                        <w:bottom w:val="none" w:sz="0" w:space="0" w:color="auto"/>
                        <w:right w:val="none" w:sz="0" w:space="0" w:color="auto"/>
                      </w:divBdr>
                    </w:div>
                  </w:divsChild>
                </w:div>
                <w:div w:id="1279945229">
                  <w:marLeft w:val="0"/>
                  <w:marRight w:val="0"/>
                  <w:marTop w:val="0"/>
                  <w:marBottom w:val="0"/>
                  <w:divBdr>
                    <w:top w:val="none" w:sz="0" w:space="0" w:color="auto"/>
                    <w:left w:val="none" w:sz="0" w:space="0" w:color="auto"/>
                    <w:bottom w:val="none" w:sz="0" w:space="0" w:color="auto"/>
                    <w:right w:val="none" w:sz="0" w:space="0" w:color="auto"/>
                  </w:divBdr>
                  <w:divsChild>
                    <w:div w:id="1458334760">
                      <w:marLeft w:val="0"/>
                      <w:marRight w:val="0"/>
                      <w:marTop w:val="120"/>
                      <w:marBottom w:val="0"/>
                      <w:divBdr>
                        <w:top w:val="none" w:sz="0" w:space="0" w:color="auto"/>
                        <w:left w:val="none" w:sz="0" w:space="0" w:color="auto"/>
                        <w:bottom w:val="none" w:sz="0" w:space="0" w:color="auto"/>
                        <w:right w:val="none" w:sz="0" w:space="0" w:color="auto"/>
                      </w:divBdr>
                    </w:div>
                    <w:div w:id="13636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44672">
          <w:marLeft w:val="0"/>
          <w:marRight w:val="0"/>
          <w:marTop w:val="0"/>
          <w:marBottom w:val="0"/>
          <w:divBdr>
            <w:top w:val="none" w:sz="0" w:space="0" w:color="auto"/>
            <w:left w:val="none" w:sz="0" w:space="0" w:color="auto"/>
            <w:bottom w:val="none" w:sz="0" w:space="0" w:color="auto"/>
            <w:right w:val="none" w:sz="0" w:space="0" w:color="auto"/>
          </w:divBdr>
          <w:divsChild>
            <w:div w:id="1733847155">
              <w:marLeft w:val="0"/>
              <w:marRight w:val="0"/>
              <w:marTop w:val="120"/>
              <w:marBottom w:val="0"/>
              <w:divBdr>
                <w:top w:val="none" w:sz="0" w:space="0" w:color="auto"/>
                <w:left w:val="none" w:sz="0" w:space="0" w:color="auto"/>
                <w:bottom w:val="none" w:sz="0" w:space="0" w:color="auto"/>
                <w:right w:val="none" w:sz="0" w:space="0" w:color="auto"/>
              </w:divBdr>
            </w:div>
            <w:div w:id="807671268">
              <w:marLeft w:val="0"/>
              <w:marRight w:val="0"/>
              <w:marTop w:val="0"/>
              <w:marBottom w:val="0"/>
              <w:divBdr>
                <w:top w:val="none" w:sz="0" w:space="0" w:color="auto"/>
                <w:left w:val="none" w:sz="0" w:space="0" w:color="auto"/>
                <w:bottom w:val="none" w:sz="0" w:space="0" w:color="auto"/>
                <w:right w:val="none" w:sz="0" w:space="0" w:color="auto"/>
              </w:divBdr>
            </w:div>
          </w:divsChild>
        </w:div>
        <w:div w:id="821509737">
          <w:marLeft w:val="0"/>
          <w:marRight w:val="0"/>
          <w:marTop w:val="0"/>
          <w:marBottom w:val="0"/>
          <w:divBdr>
            <w:top w:val="none" w:sz="0" w:space="0" w:color="auto"/>
            <w:left w:val="none" w:sz="0" w:space="0" w:color="auto"/>
            <w:bottom w:val="none" w:sz="0" w:space="0" w:color="auto"/>
            <w:right w:val="none" w:sz="0" w:space="0" w:color="auto"/>
          </w:divBdr>
          <w:divsChild>
            <w:div w:id="102039952">
              <w:marLeft w:val="0"/>
              <w:marRight w:val="0"/>
              <w:marTop w:val="120"/>
              <w:marBottom w:val="0"/>
              <w:divBdr>
                <w:top w:val="none" w:sz="0" w:space="0" w:color="auto"/>
                <w:left w:val="none" w:sz="0" w:space="0" w:color="auto"/>
                <w:bottom w:val="none" w:sz="0" w:space="0" w:color="auto"/>
                <w:right w:val="none" w:sz="0" w:space="0" w:color="auto"/>
              </w:divBdr>
            </w:div>
            <w:div w:id="1963877164">
              <w:marLeft w:val="0"/>
              <w:marRight w:val="0"/>
              <w:marTop w:val="0"/>
              <w:marBottom w:val="0"/>
              <w:divBdr>
                <w:top w:val="none" w:sz="0" w:space="0" w:color="auto"/>
                <w:left w:val="none" w:sz="0" w:space="0" w:color="auto"/>
                <w:bottom w:val="none" w:sz="0" w:space="0" w:color="auto"/>
                <w:right w:val="none" w:sz="0" w:space="0" w:color="auto"/>
              </w:divBdr>
            </w:div>
          </w:divsChild>
        </w:div>
        <w:div w:id="1197963305">
          <w:marLeft w:val="0"/>
          <w:marRight w:val="0"/>
          <w:marTop w:val="0"/>
          <w:marBottom w:val="0"/>
          <w:divBdr>
            <w:top w:val="none" w:sz="0" w:space="0" w:color="auto"/>
            <w:left w:val="none" w:sz="0" w:space="0" w:color="auto"/>
            <w:bottom w:val="none" w:sz="0" w:space="0" w:color="auto"/>
            <w:right w:val="none" w:sz="0" w:space="0" w:color="auto"/>
          </w:divBdr>
          <w:divsChild>
            <w:div w:id="1276713582">
              <w:marLeft w:val="0"/>
              <w:marRight w:val="0"/>
              <w:marTop w:val="120"/>
              <w:marBottom w:val="0"/>
              <w:divBdr>
                <w:top w:val="none" w:sz="0" w:space="0" w:color="auto"/>
                <w:left w:val="none" w:sz="0" w:space="0" w:color="auto"/>
                <w:bottom w:val="none" w:sz="0" w:space="0" w:color="auto"/>
                <w:right w:val="none" w:sz="0" w:space="0" w:color="auto"/>
              </w:divBdr>
            </w:div>
            <w:div w:id="1494757925">
              <w:marLeft w:val="0"/>
              <w:marRight w:val="0"/>
              <w:marTop w:val="0"/>
              <w:marBottom w:val="0"/>
              <w:divBdr>
                <w:top w:val="none" w:sz="0" w:space="0" w:color="auto"/>
                <w:left w:val="none" w:sz="0" w:space="0" w:color="auto"/>
                <w:bottom w:val="none" w:sz="0" w:space="0" w:color="auto"/>
                <w:right w:val="none" w:sz="0" w:space="0" w:color="auto"/>
              </w:divBdr>
              <w:divsChild>
                <w:div w:id="82578641">
                  <w:marLeft w:val="0"/>
                  <w:marRight w:val="0"/>
                  <w:marTop w:val="0"/>
                  <w:marBottom w:val="0"/>
                  <w:divBdr>
                    <w:top w:val="none" w:sz="0" w:space="0" w:color="auto"/>
                    <w:left w:val="none" w:sz="0" w:space="0" w:color="auto"/>
                    <w:bottom w:val="none" w:sz="0" w:space="0" w:color="auto"/>
                    <w:right w:val="none" w:sz="0" w:space="0" w:color="auto"/>
                  </w:divBdr>
                  <w:divsChild>
                    <w:div w:id="1919822206">
                      <w:marLeft w:val="0"/>
                      <w:marRight w:val="0"/>
                      <w:marTop w:val="120"/>
                      <w:marBottom w:val="0"/>
                      <w:divBdr>
                        <w:top w:val="none" w:sz="0" w:space="0" w:color="auto"/>
                        <w:left w:val="none" w:sz="0" w:space="0" w:color="auto"/>
                        <w:bottom w:val="none" w:sz="0" w:space="0" w:color="auto"/>
                        <w:right w:val="none" w:sz="0" w:space="0" w:color="auto"/>
                      </w:divBdr>
                    </w:div>
                    <w:div w:id="1815222677">
                      <w:marLeft w:val="0"/>
                      <w:marRight w:val="0"/>
                      <w:marTop w:val="0"/>
                      <w:marBottom w:val="0"/>
                      <w:divBdr>
                        <w:top w:val="none" w:sz="0" w:space="0" w:color="auto"/>
                        <w:left w:val="none" w:sz="0" w:space="0" w:color="auto"/>
                        <w:bottom w:val="none" w:sz="0" w:space="0" w:color="auto"/>
                        <w:right w:val="none" w:sz="0" w:space="0" w:color="auto"/>
                      </w:divBdr>
                    </w:div>
                  </w:divsChild>
                </w:div>
                <w:div w:id="2097287555">
                  <w:marLeft w:val="0"/>
                  <w:marRight w:val="0"/>
                  <w:marTop w:val="0"/>
                  <w:marBottom w:val="0"/>
                  <w:divBdr>
                    <w:top w:val="none" w:sz="0" w:space="0" w:color="auto"/>
                    <w:left w:val="none" w:sz="0" w:space="0" w:color="auto"/>
                    <w:bottom w:val="none" w:sz="0" w:space="0" w:color="auto"/>
                    <w:right w:val="none" w:sz="0" w:space="0" w:color="auto"/>
                  </w:divBdr>
                  <w:divsChild>
                    <w:div w:id="1052269491">
                      <w:marLeft w:val="0"/>
                      <w:marRight w:val="0"/>
                      <w:marTop w:val="120"/>
                      <w:marBottom w:val="0"/>
                      <w:divBdr>
                        <w:top w:val="none" w:sz="0" w:space="0" w:color="auto"/>
                        <w:left w:val="none" w:sz="0" w:space="0" w:color="auto"/>
                        <w:bottom w:val="none" w:sz="0" w:space="0" w:color="auto"/>
                        <w:right w:val="none" w:sz="0" w:space="0" w:color="auto"/>
                      </w:divBdr>
                    </w:div>
                    <w:div w:id="295721964">
                      <w:marLeft w:val="0"/>
                      <w:marRight w:val="0"/>
                      <w:marTop w:val="0"/>
                      <w:marBottom w:val="0"/>
                      <w:divBdr>
                        <w:top w:val="none" w:sz="0" w:space="0" w:color="auto"/>
                        <w:left w:val="none" w:sz="0" w:space="0" w:color="auto"/>
                        <w:bottom w:val="none" w:sz="0" w:space="0" w:color="auto"/>
                        <w:right w:val="none" w:sz="0" w:space="0" w:color="auto"/>
                      </w:divBdr>
                    </w:div>
                  </w:divsChild>
                </w:div>
                <w:div w:id="1183783095">
                  <w:marLeft w:val="0"/>
                  <w:marRight w:val="0"/>
                  <w:marTop w:val="0"/>
                  <w:marBottom w:val="0"/>
                  <w:divBdr>
                    <w:top w:val="none" w:sz="0" w:space="0" w:color="auto"/>
                    <w:left w:val="none" w:sz="0" w:space="0" w:color="auto"/>
                    <w:bottom w:val="none" w:sz="0" w:space="0" w:color="auto"/>
                    <w:right w:val="none" w:sz="0" w:space="0" w:color="auto"/>
                  </w:divBdr>
                  <w:divsChild>
                    <w:div w:id="1432235332">
                      <w:marLeft w:val="0"/>
                      <w:marRight w:val="0"/>
                      <w:marTop w:val="120"/>
                      <w:marBottom w:val="0"/>
                      <w:divBdr>
                        <w:top w:val="none" w:sz="0" w:space="0" w:color="auto"/>
                        <w:left w:val="none" w:sz="0" w:space="0" w:color="auto"/>
                        <w:bottom w:val="none" w:sz="0" w:space="0" w:color="auto"/>
                        <w:right w:val="none" w:sz="0" w:space="0" w:color="auto"/>
                      </w:divBdr>
                    </w:div>
                    <w:div w:id="494879961">
                      <w:marLeft w:val="0"/>
                      <w:marRight w:val="0"/>
                      <w:marTop w:val="0"/>
                      <w:marBottom w:val="0"/>
                      <w:divBdr>
                        <w:top w:val="none" w:sz="0" w:space="0" w:color="auto"/>
                        <w:left w:val="none" w:sz="0" w:space="0" w:color="auto"/>
                        <w:bottom w:val="none" w:sz="0" w:space="0" w:color="auto"/>
                        <w:right w:val="none" w:sz="0" w:space="0" w:color="auto"/>
                      </w:divBdr>
                    </w:div>
                  </w:divsChild>
                </w:div>
                <w:div w:id="176237567">
                  <w:marLeft w:val="0"/>
                  <w:marRight w:val="0"/>
                  <w:marTop w:val="0"/>
                  <w:marBottom w:val="0"/>
                  <w:divBdr>
                    <w:top w:val="none" w:sz="0" w:space="0" w:color="auto"/>
                    <w:left w:val="none" w:sz="0" w:space="0" w:color="auto"/>
                    <w:bottom w:val="none" w:sz="0" w:space="0" w:color="auto"/>
                    <w:right w:val="none" w:sz="0" w:space="0" w:color="auto"/>
                  </w:divBdr>
                  <w:divsChild>
                    <w:div w:id="722219103">
                      <w:marLeft w:val="0"/>
                      <w:marRight w:val="0"/>
                      <w:marTop w:val="120"/>
                      <w:marBottom w:val="0"/>
                      <w:divBdr>
                        <w:top w:val="none" w:sz="0" w:space="0" w:color="auto"/>
                        <w:left w:val="none" w:sz="0" w:space="0" w:color="auto"/>
                        <w:bottom w:val="none" w:sz="0" w:space="0" w:color="auto"/>
                        <w:right w:val="none" w:sz="0" w:space="0" w:color="auto"/>
                      </w:divBdr>
                    </w:div>
                    <w:div w:id="93960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13171">
          <w:marLeft w:val="0"/>
          <w:marRight w:val="0"/>
          <w:marTop w:val="0"/>
          <w:marBottom w:val="0"/>
          <w:divBdr>
            <w:top w:val="none" w:sz="0" w:space="0" w:color="auto"/>
            <w:left w:val="none" w:sz="0" w:space="0" w:color="auto"/>
            <w:bottom w:val="none" w:sz="0" w:space="0" w:color="auto"/>
            <w:right w:val="none" w:sz="0" w:space="0" w:color="auto"/>
          </w:divBdr>
          <w:divsChild>
            <w:div w:id="1599751313">
              <w:marLeft w:val="0"/>
              <w:marRight w:val="0"/>
              <w:marTop w:val="120"/>
              <w:marBottom w:val="0"/>
              <w:divBdr>
                <w:top w:val="none" w:sz="0" w:space="0" w:color="auto"/>
                <w:left w:val="none" w:sz="0" w:space="0" w:color="auto"/>
                <w:bottom w:val="none" w:sz="0" w:space="0" w:color="auto"/>
                <w:right w:val="none" w:sz="0" w:space="0" w:color="auto"/>
              </w:divBdr>
            </w:div>
            <w:div w:id="2146195243">
              <w:marLeft w:val="0"/>
              <w:marRight w:val="0"/>
              <w:marTop w:val="0"/>
              <w:marBottom w:val="0"/>
              <w:divBdr>
                <w:top w:val="none" w:sz="0" w:space="0" w:color="auto"/>
                <w:left w:val="none" w:sz="0" w:space="0" w:color="auto"/>
                <w:bottom w:val="none" w:sz="0" w:space="0" w:color="auto"/>
                <w:right w:val="none" w:sz="0" w:space="0" w:color="auto"/>
              </w:divBdr>
            </w:div>
          </w:divsChild>
        </w:div>
        <w:div w:id="1663581420">
          <w:marLeft w:val="0"/>
          <w:marRight w:val="0"/>
          <w:marTop w:val="0"/>
          <w:marBottom w:val="0"/>
          <w:divBdr>
            <w:top w:val="none" w:sz="0" w:space="0" w:color="auto"/>
            <w:left w:val="none" w:sz="0" w:space="0" w:color="auto"/>
            <w:bottom w:val="none" w:sz="0" w:space="0" w:color="auto"/>
            <w:right w:val="none" w:sz="0" w:space="0" w:color="auto"/>
          </w:divBdr>
          <w:divsChild>
            <w:div w:id="995299986">
              <w:marLeft w:val="0"/>
              <w:marRight w:val="0"/>
              <w:marTop w:val="120"/>
              <w:marBottom w:val="0"/>
              <w:divBdr>
                <w:top w:val="none" w:sz="0" w:space="0" w:color="auto"/>
                <w:left w:val="none" w:sz="0" w:space="0" w:color="auto"/>
                <w:bottom w:val="none" w:sz="0" w:space="0" w:color="auto"/>
                <w:right w:val="none" w:sz="0" w:space="0" w:color="auto"/>
              </w:divBdr>
            </w:div>
            <w:div w:id="654799729">
              <w:marLeft w:val="0"/>
              <w:marRight w:val="0"/>
              <w:marTop w:val="0"/>
              <w:marBottom w:val="0"/>
              <w:divBdr>
                <w:top w:val="none" w:sz="0" w:space="0" w:color="auto"/>
                <w:left w:val="none" w:sz="0" w:space="0" w:color="auto"/>
                <w:bottom w:val="none" w:sz="0" w:space="0" w:color="auto"/>
                <w:right w:val="none" w:sz="0" w:space="0" w:color="auto"/>
              </w:divBdr>
              <w:divsChild>
                <w:div w:id="1679505392">
                  <w:marLeft w:val="0"/>
                  <w:marRight w:val="0"/>
                  <w:marTop w:val="0"/>
                  <w:marBottom w:val="0"/>
                  <w:divBdr>
                    <w:top w:val="none" w:sz="0" w:space="0" w:color="auto"/>
                    <w:left w:val="none" w:sz="0" w:space="0" w:color="auto"/>
                    <w:bottom w:val="none" w:sz="0" w:space="0" w:color="auto"/>
                    <w:right w:val="none" w:sz="0" w:space="0" w:color="auto"/>
                  </w:divBdr>
                  <w:divsChild>
                    <w:div w:id="1879704350">
                      <w:marLeft w:val="0"/>
                      <w:marRight w:val="0"/>
                      <w:marTop w:val="120"/>
                      <w:marBottom w:val="0"/>
                      <w:divBdr>
                        <w:top w:val="none" w:sz="0" w:space="0" w:color="auto"/>
                        <w:left w:val="none" w:sz="0" w:space="0" w:color="auto"/>
                        <w:bottom w:val="none" w:sz="0" w:space="0" w:color="auto"/>
                        <w:right w:val="none" w:sz="0" w:space="0" w:color="auto"/>
                      </w:divBdr>
                    </w:div>
                    <w:div w:id="221134398">
                      <w:marLeft w:val="0"/>
                      <w:marRight w:val="0"/>
                      <w:marTop w:val="0"/>
                      <w:marBottom w:val="0"/>
                      <w:divBdr>
                        <w:top w:val="none" w:sz="0" w:space="0" w:color="auto"/>
                        <w:left w:val="none" w:sz="0" w:space="0" w:color="auto"/>
                        <w:bottom w:val="none" w:sz="0" w:space="0" w:color="auto"/>
                        <w:right w:val="none" w:sz="0" w:space="0" w:color="auto"/>
                      </w:divBdr>
                    </w:div>
                  </w:divsChild>
                </w:div>
                <w:div w:id="460265282">
                  <w:marLeft w:val="0"/>
                  <w:marRight w:val="0"/>
                  <w:marTop w:val="0"/>
                  <w:marBottom w:val="0"/>
                  <w:divBdr>
                    <w:top w:val="none" w:sz="0" w:space="0" w:color="auto"/>
                    <w:left w:val="none" w:sz="0" w:space="0" w:color="auto"/>
                    <w:bottom w:val="none" w:sz="0" w:space="0" w:color="auto"/>
                    <w:right w:val="none" w:sz="0" w:space="0" w:color="auto"/>
                  </w:divBdr>
                  <w:divsChild>
                    <w:div w:id="2037150399">
                      <w:marLeft w:val="0"/>
                      <w:marRight w:val="0"/>
                      <w:marTop w:val="120"/>
                      <w:marBottom w:val="0"/>
                      <w:divBdr>
                        <w:top w:val="none" w:sz="0" w:space="0" w:color="auto"/>
                        <w:left w:val="none" w:sz="0" w:space="0" w:color="auto"/>
                        <w:bottom w:val="none" w:sz="0" w:space="0" w:color="auto"/>
                        <w:right w:val="none" w:sz="0" w:space="0" w:color="auto"/>
                      </w:divBdr>
                    </w:div>
                    <w:div w:id="866677305">
                      <w:marLeft w:val="0"/>
                      <w:marRight w:val="0"/>
                      <w:marTop w:val="0"/>
                      <w:marBottom w:val="0"/>
                      <w:divBdr>
                        <w:top w:val="none" w:sz="0" w:space="0" w:color="auto"/>
                        <w:left w:val="none" w:sz="0" w:space="0" w:color="auto"/>
                        <w:bottom w:val="none" w:sz="0" w:space="0" w:color="auto"/>
                        <w:right w:val="none" w:sz="0" w:space="0" w:color="auto"/>
                      </w:divBdr>
                    </w:div>
                  </w:divsChild>
                </w:div>
                <w:div w:id="1720278324">
                  <w:marLeft w:val="0"/>
                  <w:marRight w:val="0"/>
                  <w:marTop w:val="0"/>
                  <w:marBottom w:val="0"/>
                  <w:divBdr>
                    <w:top w:val="none" w:sz="0" w:space="0" w:color="auto"/>
                    <w:left w:val="none" w:sz="0" w:space="0" w:color="auto"/>
                    <w:bottom w:val="none" w:sz="0" w:space="0" w:color="auto"/>
                    <w:right w:val="none" w:sz="0" w:space="0" w:color="auto"/>
                  </w:divBdr>
                  <w:divsChild>
                    <w:div w:id="1509248293">
                      <w:marLeft w:val="0"/>
                      <w:marRight w:val="0"/>
                      <w:marTop w:val="120"/>
                      <w:marBottom w:val="0"/>
                      <w:divBdr>
                        <w:top w:val="none" w:sz="0" w:space="0" w:color="auto"/>
                        <w:left w:val="none" w:sz="0" w:space="0" w:color="auto"/>
                        <w:bottom w:val="none" w:sz="0" w:space="0" w:color="auto"/>
                        <w:right w:val="none" w:sz="0" w:space="0" w:color="auto"/>
                      </w:divBdr>
                    </w:div>
                    <w:div w:id="909314588">
                      <w:marLeft w:val="0"/>
                      <w:marRight w:val="0"/>
                      <w:marTop w:val="0"/>
                      <w:marBottom w:val="0"/>
                      <w:divBdr>
                        <w:top w:val="none" w:sz="0" w:space="0" w:color="auto"/>
                        <w:left w:val="none" w:sz="0" w:space="0" w:color="auto"/>
                        <w:bottom w:val="none" w:sz="0" w:space="0" w:color="auto"/>
                        <w:right w:val="none" w:sz="0" w:space="0" w:color="auto"/>
                      </w:divBdr>
                    </w:div>
                  </w:divsChild>
                </w:div>
                <w:div w:id="658575973">
                  <w:marLeft w:val="0"/>
                  <w:marRight w:val="0"/>
                  <w:marTop w:val="0"/>
                  <w:marBottom w:val="0"/>
                  <w:divBdr>
                    <w:top w:val="none" w:sz="0" w:space="0" w:color="auto"/>
                    <w:left w:val="none" w:sz="0" w:space="0" w:color="auto"/>
                    <w:bottom w:val="none" w:sz="0" w:space="0" w:color="auto"/>
                    <w:right w:val="none" w:sz="0" w:space="0" w:color="auto"/>
                  </w:divBdr>
                  <w:divsChild>
                    <w:div w:id="1015762541">
                      <w:marLeft w:val="0"/>
                      <w:marRight w:val="0"/>
                      <w:marTop w:val="120"/>
                      <w:marBottom w:val="0"/>
                      <w:divBdr>
                        <w:top w:val="none" w:sz="0" w:space="0" w:color="auto"/>
                        <w:left w:val="none" w:sz="0" w:space="0" w:color="auto"/>
                        <w:bottom w:val="none" w:sz="0" w:space="0" w:color="auto"/>
                        <w:right w:val="none" w:sz="0" w:space="0" w:color="auto"/>
                      </w:divBdr>
                    </w:div>
                    <w:div w:id="100683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66054">
          <w:marLeft w:val="0"/>
          <w:marRight w:val="0"/>
          <w:marTop w:val="0"/>
          <w:marBottom w:val="0"/>
          <w:divBdr>
            <w:top w:val="none" w:sz="0" w:space="0" w:color="auto"/>
            <w:left w:val="none" w:sz="0" w:space="0" w:color="auto"/>
            <w:bottom w:val="none" w:sz="0" w:space="0" w:color="auto"/>
            <w:right w:val="none" w:sz="0" w:space="0" w:color="auto"/>
          </w:divBdr>
          <w:divsChild>
            <w:div w:id="1117064500">
              <w:marLeft w:val="0"/>
              <w:marRight w:val="0"/>
              <w:marTop w:val="120"/>
              <w:marBottom w:val="0"/>
              <w:divBdr>
                <w:top w:val="none" w:sz="0" w:space="0" w:color="auto"/>
                <w:left w:val="none" w:sz="0" w:space="0" w:color="auto"/>
                <w:bottom w:val="none" w:sz="0" w:space="0" w:color="auto"/>
                <w:right w:val="none" w:sz="0" w:space="0" w:color="auto"/>
              </w:divBdr>
            </w:div>
            <w:div w:id="569584761">
              <w:marLeft w:val="0"/>
              <w:marRight w:val="0"/>
              <w:marTop w:val="0"/>
              <w:marBottom w:val="0"/>
              <w:divBdr>
                <w:top w:val="none" w:sz="0" w:space="0" w:color="auto"/>
                <w:left w:val="none" w:sz="0" w:space="0" w:color="auto"/>
                <w:bottom w:val="none" w:sz="0" w:space="0" w:color="auto"/>
                <w:right w:val="none" w:sz="0" w:space="0" w:color="auto"/>
              </w:divBdr>
            </w:div>
          </w:divsChild>
        </w:div>
        <w:div w:id="179513832">
          <w:marLeft w:val="0"/>
          <w:marRight w:val="0"/>
          <w:marTop w:val="0"/>
          <w:marBottom w:val="0"/>
          <w:divBdr>
            <w:top w:val="none" w:sz="0" w:space="0" w:color="auto"/>
            <w:left w:val="none" w:sz="0" w:space="0" w:color="auto"/>
            <w:bottom w:val="none" w:sz="0" w:space="0" w:color="auto"/>
            <w:right w:val="none" w:sz="0" w:space="0" w:color="auto"/>
          </w:divBdr>
          <w:divsChild>
            <w:div w:id="26419285">
              <w:marLeft w:val="0"/>
              <w:marRight w:val="0"/>
              <w:marTop w:val="120"/>
              <w:marBottom w:val="0"/>
              <w:divBdr>
                <w:top w:val="none" w:sz="0" w:space="0" w:color="auto"/>
                <w:left w:val="none" w:sz="0" w:space="0" w:color="auto"/>
                <w:bottom w:val="none" w:sz="0" w:space="0" w:color="auto"/>
                <w:right w:val="none" w:sz="0" w:space="0" w:color="auto"/>
              </w:divBdr>
            </w:div>
            <w:div w:id="2130587241">
              <w:marLeft w:val="0"/>
              <w:marRight w:val="0"/>
              <w:marTop w:val="0"/>
              <w:marBottom w:val="0"/>
              <w:divBdr>
                <w:top w:val="none" w:sz="0" w:space="0" w:color="auto"/>
                <w:left w:val="none" w:sz="0" w:space="0" w:color="auto"/>
                <w:bottom w:val="none" w:sz="0" w:space="0" w:color="auto"/>
                <w:right w:val="none" w:sz="0" w:space="0" w:color="auto"/>
              </w:divBdr>
            </w:div>
          </w:divsChild>
        </w:div>
        <w:div w:id="2093165277">
          <w:marLeft w:val="0"/>
          <w:marRight w:val="0"/>
          <w:marTop w:val="0"/>
          <w:marBottom w:val="0"/>
          <w:divBdr>
            <w:top w:val="none" w:sz="0" w:space="0" w:color="auto"/>
            <w:left w:val="none" w:sz="0" w:space="0" w:color="auto"/>
            <w:bottom w:val="none" w:sz="0" w:space="0" w:color="auto"/>
            <w:right w:val="none" w:sz="0" w:space="0" w:color="auto"/>
          </w:divBdr>
          <w:divsChild>
            <w:div w:id="1218325126">
              <w:marLeft w:val="0"/>
              <w:marRight w:val="0"/>
              <w:marTop w:val="120"/>
              <w:marBottom w:val="0"/>
              <w:divBdr>
                <w:top w:val="none" w:sz="0" w:space="0" w:color="auto"/>
                <w:left w:val="none" w:sz="0" w:space="0" w:color="auto"/>
                <w:bottom w:val="none" w:sz="0" w:space="0" w:color="auto"/>
                <w:right w:val="none" w:sz="0" w:space="0" w:color="auto"/>
              </w:divBdr>
            </w:div>
            <w:div w:id="1961567565">
              <w:marLeft w:val="0"/>
              <w:marRight w:val="0"/>
              <w:marTop w:val="0"/>
              <w:marBottom w:val="0"/>
              <w:divBdr>
                <w:top w:val="none" w:sz="0" w:space="0" w:color="auto"/>
                <w:left w:val="none" w:sz="0" w:space="0" w:color="auto"/>
                <w:bottom w:val="none" w:sz="0" w:space="0" w:color="auto"/>
                <w:right w:val="none" w:sz="0" w:space="0" w:color="auto"/>
              </w:divBdr>
            </w:div>
          </w:divsChild>
        </w:div>
        <w:div w:id="267472849">
          <w:marLeft w:val="0"/>
          <w:marRight w:val="0"/>
          <w:marTop w:val="0"/>
          <w:marBottom w:val="0"/>
          <w:divBdr>
            <w:top w:val="none" w:sz="0" w:space="0" w:color="auto"/>
            <w:left w:val="none" w:sz="0" w:space="0" w:color="auto"/>
            <w:bottom w:val="none" w:sz="0" w:space="0" w:color="auto"/>
            <w:right w:val="none" w:sz="0" w:space="0" w:color="auto"/>
          </w:divBdr>
          <w:divsChild>
            <w:div w:id="83577348">
              <w:marLeft w:val="0"/>
              <w:marRight w:val="0"/>
              <w:marTop w:val="120"/>
              <w:marBottom w:val="0"/>
              <w:divBdr>
                <w:top w:val="none" w:sz="0" w:space="0" w:color="auto"/>
                <w:left w:val="none" w:sz="0" w:space="0" w:color="auto"/>
                <w:bottom w:val="none" w:sz="0" w:space="0" w:color="auto"/>
                <w:right w:val="none" w:sz="0" w:space="0" w:color="auto"/>
              </w:divBdr>
            </w:div>
            <w:div w:id="564462049">
              <w:marLeft w:val="0"/>
              <w:marRight w:val="0"/>
              <w:marTop w:val="0"/>
              <w:marBottom w:val="0"/>
              <w:divBdr>
                <w:top w:val="none" w:sz="0" w:space="0" w:color="auto"/>
                <w:left w:val="none" w:sz="0" w:space="0" w:color="auto"/>
                <w:bottom w:val="none" w:sz="0" w:space="0" w:color="auto"/>
                <w:right w:val="none" w:sz="0" w:space="0" w:color="auto"/>
              </w:divBdr>
            </w:div>
          </w:divsChild>
        </w:div>
        <w:div w:id="970982728">
          <w:marLeft w:val="0"/>
          <w:marRight w:val="0"/>
          <w:marTop w:val="0"/>
          <w:marBottom w:val="0"/>
          <w:divBdr>
            <w:top w:val="none" w:sz="0" w:space="0" w:color="auto"/>
            <w:left w:val="none" w:sz="0" w:space="0" w:color="auto"/>
            <w:bottom w:val="none" w:sz="0" w:space="0" w:color="auto"/>
            <w:right w:val="none" w:sz="0" w:space="0" w:color="auto"/>
          </w:divBdr>
          <w:divsChild>
            <w:div w:id="551500928">
              <w:marLeft w:val="0"/>
              <w:marRight w:val="0"/>
              <w:marTop w:val="120"/>
              <w:marBottom w:val="0"/>
              <w:divBdr>
                <w:top w:val="none" w:sz="0" w:space="0" w:color="auto"/>
                <w:left w:val="none" w:sz="0" w:space="0" w:color="auto"/>
                <w:bottom w:val="none" w:sz="0" w:space="0" w:color="auto"/>
                <w:right w:val="none" w:sz="0" w:space="0" w:color="auto"/>
              </w:divBdr>
            </w:div>
            <w:div w:id="184904673">
              <w:marLeft w:val="0"/>
              <w:marRight w:val="0"/>
              <w:marTop w:val="0"/>
              <w:marBottom w:val="0"/>
              <w:divBdr>
                <w:top w:val="none" w:sz="0" w:space="0" w:color="auto"/>
                <w:left w:val="none" w:sz="0" w:space="0" w:color="auto"/>
                <w:bottom w:val="none" w:sz="0" w:space="0" w:color="auto"/>
                <w:right w:val="none" w:sz="0" w:space="0" w:color="auto"/>
              </w:divBdr>
            </w:div>
          </w:divsChild>
        </w:div>
        <w:div w:id="572785485">
          <w:marLeft w:val="0"/>
          <w:marRight w:val="0"/>
          <w:marTop w:val="0"/>
          <w:marBottom w:val="0"/>
          <w:divBdr>
            <w:top w:val="none" w:sz="0" w:space="0" w:color="auto"/>
            <w:left w:val="none" w:sz="0" w:space="0" w:color="auto"/>
            <w:bottom w:val="none" w:sz="0" w:space="0" w:color="auto"/>
            <w:right w:val="none" w:sz="0" w:space="0" w:color="auto"/>
          </w:divBdr>
          <w:divsChild>
            <w:div w:id="307395322">
              <w:marLeft w:val="0"/>
              <w:marRight w:val="0"/>
              <w:marTop w:val="120"/>
              <w:marBottom w:val="0"/>
              <w:divBdr>
                <w:top w:val="none" w:sz="0" w:space="0" w:color="auto"/>
                <w:left w:val="none" w:sz="0" w:space="0" w:color="auto"/>
                <w:bottom w:val="none" w:sz="0" w:space="0" w:color="auto"/>
                <w:right w:val="none" w:sz="0" w:space="0" w:color="auto"/>
              </w:divBdr>
            </w:div>
            <w:div w:id="1939866118">
              <w:marLeft w:val="0"/>
              <w:marRight w:val="0"/>
              <w:marTop w:val="0"/>
              <w:marBottom w:val="0"/>
              <w:divBdr>
                <w:top w:val="none" w:sz="0" w:space="0" w:color="auto"/>
                <w:left w:val="none" w:sz="0" w:space="0" w:color="auto"/>
                <w:bottom w:val="none" w:sz="0" w:space="0" w:color="auto"/>
                <w:right w:val="none" w:sz="0" w:space="0" w:color="auto"/>
              </w:divBdr>
            </w:div>
          </w:divsChild>
        </w:div>
        <w:div w:id="864244548">
          <w:marLeft w:val="0"/>
          <w:marRight w:val="0"/>
          <w:marTop w:val="0"/>
          <w:marBottom w:val="0"/>
          <w:divBdr>
            <w:top w:val="none" w:sz="0" w:space="0" w:color="auto"/>
            <w:left w:val="none" w:sz="0" w:space="0" w:color="auto"/>
            <w:bottom w:val="none" w:sz="0" w:space="0" w:color="auto"/>
            <w:right w:val="none" w:sz="0" w:space="0" w:color="auto"/>
          </w:divBdr>
          <w:divsChild>
            <w:div w:id="896623460">
              <w:marLeft w:val="0"/>
              <w:marRight w:val="0"/>
              <w:marTop w:val="120"/>
              <w:marBottom w:val="0"/>
              <w:divBdr>
                <w:top w:val="none" w:sz="0" w:space="0" w:color="auto"/>
                <w:left w:val="none" w:sz="0" w:space="0" w:color="auto"/>
                <w:bottom w:val="none" w:sz="0" w:space="0" w:color="auto"/>
                <w:right w:val="none" w:sz="0" w:space="0" w:color="auto"/>
              </w:divBdr>
            </w:div>
            <w:div w:id="368144773">
              <w:marLeft w:val="0"/>
              <w:marRight w:val="0"/>
              <w:marTop w:val="0"/>
              <w:marBottom w:val="0"/>
              <w:divBdr>
                <w:top w:val="none" w:sz="0" w:space="0" w:color="auto"/>
                <w:left w:val="none" w:sz="0" w:space="0" w:color="auto"/>
                <w:bottom w:val="none" w:sz="0" w:space="0" w:color="auto"/>
                <w:right w:val="none" w:sz="0" w:space="0" w:color="auto"/>
              </w:divBdr>
            </w:div>
          </w:divsChild>
        </w:div>
        <w:div w:id="284505400">
          <w:marLeft w:val="0"/>
          <w:marRight w:val="0"/>
          <w:marTop w:val="0"/>
          <w:marBottom w:val="0"/>
          <w:divBdr>
            <w:top w:val="none" w:sz="0" w:space="0" w:color="auto"/>
            <w:left w:val="none" w:sz="0" w:space="0" w:color="auto"/>
            <w:bottom w:val="none" w:sz="0" w:space="0" w:color="auto"/>
            <w:right w:val="none" w:sz="0" w:space="0" w:color="auto"/>
          </w:divBdr>
          <w:divsChild>
            <w:div w:id="1770195410">
              <w:marLeft w:val="0"/>
              <w:marRight w:val="0"/>
              <w:marTop w:val="120"/>
              <w:marBottom w:val="0"/>
              <w:divBdr>
                <w:top w:val="none" w:sz="0" w:space="0" w:color="auto"/>
                <w:left w:val="none" w:sz="0" w:space="0" w:color="auto"/>
                <w:bottom w:val="none" w:sz="0" w:space="0" w:color="auto"/>
                <w:right w:val="none" w:sz="0" w:space="0" w:color="auto"/>
              </w:divBdr>
            </w:div>
            <w:div w:id="9254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362778122">
      <w:bodyDiv w:val="1"/>
      <w:marLeft w:val="0"/>
      <w:marRight w:val="0"/>
      <w:marTop w:val="0"/>
      <w:marBottom w:val="0"/>
      <w:divBdr>
        <w:top w:val="none" w:sz="0" w:space="0" w:color="auto"/>
        <w:left w:val="none" w:sz="0" w:space="0" w:color="auto"/>
        <w:bottom w:val="none" w:sz="0" w:space="0" w:color="auto"/>
        <w:right w:val="none" w:sz="0" w:space="0" w:color="auto"/>
      </w:divBdr>
    </w:div>
    <w:div w:id="1394507427">
      <w:bodyDiv w:val="1"/>
      <w:marLeft w:val="0"/>
      <w:marRight w:val="0"/>
      <w:marTop w:val="0"/>
      <w:marBottom w:val="0"/>
      <w:divBdr>
        <w:top w:val="none" w:sz="0" w:space="0" w:color="auto"/>
        <w:left w:val="none" w:sz="0" w:space="0" w:color="auto"/>
        <w:bottom w:val="none" w:sz="0" w:space="0" w:color="auto"/>
        <w:right w:val="none" w:sz="0" w:space="0" w:color="auto"/>
      </w:divBdr>
      <w:divsChild>
        <w:div w:id="416287984">
          <w:marLeft w:val="0"/>
          <w:marRight w:val="0"/>
          <w:marTop w:val="0"/>
          <w:marBottom w:val="0"/>
          <w:divBdr>
            <w:top w:val="none" w:sz="0" w:space="0" w:color="auto"/>
            <w:left w:val="none" w:sz="0" w:space="0" w:color="auto"/>
            <w:bottom w:val="none" w:sz="0" w:space="0" w:color="auto"/>
            <w:right w:val="none" w:sz="0" w:space="0" w:color="auto"/>
          </w:divBdr>
        </w:div>
      </w:divsChild>
    </w:div>
    <w:div w:id="1411075151">
      <w:bodyDiv w:val="1"/>
      <w:marLeft w:val="0"/>
      <w:marRight w:val="0"/>
      <w:marTop w:val="0"/>
      <w:marBottom w:val="0"/>
      <w:divBdr>
        <w:top w:val="none" w:sz="0" w:space="0" w:color="auto"/>
        <w:left w:val="none" w:sz="0" w:space="0" w:color="auto"/>
        <w:bottom w:val="none" w:sz="0" w:space="0" w:color="auto"/>
        <w:right w:val="none" w:sz="0" w:space="0" w:color="auto"/>
      </w:divBdr>
      <w:divsChild>
        <w:div w:id="1963076373">
          <w:marLeft w:val="0"/>
          <w:marRight w:val="0"/>
          <w:marTop w:val="0"/>
          <w:marBottom w:val="0"/>
          <w:divBdr>
            <w:top w:val="none" w:sz="0" w:space="0" w:color="auto"/>
            <w:left w:val="none" w:sz="0" w:space="0" w:color="auto"/>
            <w:bottom w:val="none" w:sz="0" w:space="0" w:color="auto"/>
            <w:right w:val="none" w:sz="0" w:space="0" w:color="auto"/>
          </w:divBdr>
        </w:div>
        <w:div w:id="1787843340">
          <w:marLeft w:val="0"/>
          <w:marRight w:val="0"/>
          <w:marTop w:val="0"/>
          <w:marBottom w:val="0"/>
          <w:divBdr>
            <w:top w:val="none" w:sz="0" w:space="0" w:color="auto"/>
            <w:left w:val="none" w:sz="0" w:space="0" w:color="auto"/>
            <w:bottom w:val="none" w:sz="0" w:space="0" w:color="auto"/>
            <w:right w:val="none" w:sz="0" w:space="0" w:color="auto"/>
          </w:divBdr>
          <w:divsChild>
            <w:div w:id="1471288494">
              <w:marLeft w:val="0"/>
              <w:marRight w:val="0"/>
              <w:marTop w:val="0"/>
              <w:marBottom w:val="0"/>
              <w:divBdr>
                <w:top w:val="none" w:sz="0" w:space="0" w:color="auto"/>
                <w:left w:val="none" w:sz="0" w:space="0" w:color="auto"/>
                <w:bottom w:val="none" w:sz="0" w:space="0" w:color="auto"/>
                <w:right w:val="none" w:sz="0" w:space="0" w:color="auto"/>
              </w:divBdr>
            </w:div>
          </w:divsChild>
        </w:div>
        <w:div w:id="1265455253">
          <w:marLeft w:val="0"/>
          <w:marRight w:val="0"/>
          <w:marTop w:val="0"/>
          <w:marBottom w:val="0"/>
          <w:divBdr>
            <w:top w:val="none" w:sz="0" w:space="0" w:color="auto"/>
            <w:left w:val="none" w:sz="0" w:space="0" w:color="auto"/>
            <w:bottom w:val="none" w:sz="0" w:space="0" w:color="auto"/>
            <w:right w:val="none" w:sz="0" w:space="0" w:color="auto"/>
          </w:divBdr>
          <w:divsChild>
            <w:div w:id="1896699799">
              <w:marLeft w:val="0"/>
              <w:marRight w:val="0"/>
              <w:marTop w:val="0"/>
              <w:marBottom w:val="0"/>
              <w:divBdr>
                <w:top w:val="none" w:sz="0" w:space="0" w:color="auto"/>
                <w:left w:val="none" w:sz="0" w:space="0" w:color="auto"/>
                <w:bottom w:val="none" w:sz="0" w:space="0" w:color="auto"/>
                <w:right w:val="none" w:sz="0" w:space="0" w:color="auto"/>
              </w:divBdr>
              <w:divsChild>
                <w:div w:id="1152478233">
                  <w:marLeft w:val="0"/>
                  <w:marRight w:val="0"/>
                  <w:marTop w:val="0"/>
                  <w:marBottom w:val="0"/>
                  <w:divBdr>
                    <w:top w:val="none" w:sz="0" w:space="0" w:color="auto"/>
                    <w:left w:val="none" w:sz="0" w:space="0" w:color="auto"/>
                    <w:bottom w:val="none" w:sz="0" w:space="0" w:color="auto"/>
                    <w:right w:val="none" w:sz="0" w:space="0" w:color="auto"/>
                  </w:divBdr>
                  <w:divsChild>
                    <w:div w:id="424616738">
                      <w:marLeft w:val="0"/>
                      <w:marRight w:val="0"/>
                      <w:marTop w:val="120"/>
                      <w:marBottom w:val="0"/>
                      <w:divBdr>
                        <w:top w:val="none" w:sz="0" w:space="0" w:color="auto"/>
                        <w:left w:val="none" w:sz="0" w:space="0" w:color="auto"/>
                        <w:bottom w:val="none" w:sz="0" w:space="0" w:color="auto"/>
                        <w:right w:val="none" w:sz="0" w:space="0" w:color="auto"/>
                      </w:divBdr>
                    </w:div>
                    <w:div w:id="1662156180">
                      <w:marLeft w:val="0"/>
                      <w:marRight w:val="0"/>
                      <w:marTop w:val="0"/>
                      <w:marBottom w:val="0"/>
                      <w:divBdr>
                        <w:top w:val="none" w:sz="0" w:space="0" w:color="auto"/>
                        <w:left w:val="none" w:sz="0" w:space="0" w:color="auto"/>
                        <w:bottom w:val="none" w:sz="0" w:space="0" w:color="auto"/>
                        <w:right w:val="none" w:sz="0" w:space="0" w:color="auto"/>
                      </w:divBdr>
                    </w:div>
                  </w:divsChild>
                </w:div>
                <w:div w:id="1731148537">
                  <w:marLeft w:val="0"/>
                  <w:marRight w:val="0"/>
                  <w:marTop w:val="0"/>
                  <w:marBottom w:val="0"/>
                  <w:divBdr>
                    <w:top w:val="none" w:sz="0" w:space="0" w:color="auto"/>
                    <w:left w:val="none" w:sz="0" w:space="0" w:color="auto"/>
                    <w:bottom w:val="none" w:sz="0" w:space="0" w:color="auto"/>
                    <w:right w:val="none" w:sz="0" w:space="0" w:color="auto"/>
                  </w:divBdr>
                  <w:divsChild>
                    <w:div w:id="423040134">
                      <w:marLeft w:val="0"/>
                      <w:marRight w:val="0"/>
                      <w:marTop w:val="120"/>
                      <w:marBottom w:val="0"/>
                      <w:divBdr>
                        <w:top w:val="none" w:sz="0" w:space="0" w:color="auto"/>
                        <w:left w:val="none" w:sz="0" w:space="0" w:color="auto"/>
                        <w:bottom w:val="none" w:sz="0" w:space="0" w:color="auto"/>
                        <w:right w:val="none" w:sz="0" w:space="0" w:color="auto"/>
                      </w:divBdr>
                    </w:div>
                    <w:div w:id="17461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661286">
          <w:marLeft w:val="0"/>
          <w:marRight w:val="0"/>
          <w:marTop w:val="0"/>
          <w:marBottom w:val="0"/>
          <w:divBdr>
            <w:top w:val="none" w:sz="0" w:space="0" w:color="auto"/>
            <w:left w:val="none" w:sz="0" w:space="0" w:color="auto"/>
            <w:bottom w:val="none" w:sz="0" w:space="0" w:color="auto"/>
            <w:right w:val="none" w:sz="0" w:space="0" w:color="auto"/>
          </w:divBdr>
          <w:divsChild>
            <w:div w:id="38629752">
              <w:marLeft w:val="0"/>
              <w:marRight w:val="0"/>
              <w:marTop w:val="0"/>
              <w:marBottom w:val="0"/>
              <w:divBdr>
                <w:top w:val="none" w:sz="0" w:space="0" w:color="auto"/>
                <w:left w:val="none" w:sz="0" w:space="0" w:color="auto"/>
                <w:bottom w:val="none" w:sz="0" w:space="0" w:color="auto"/>
                <w:right w:val="none" w:sz="0" w:space="0" w:color="auto"/>
              </w:divBdr>
            </w:div>
          </w:divsChild>
        </w:div>
        <w:div w:id="648479760">
          <w:marLeft w:val="0"/>
          <w:marRight w:val="0"/>
          <w:marTop w:val="0"/>
          <w:marBottom w:val="0"/>
          <w:divBdr>
            <w:top w:val="none" w:sz="0" w:space="0" w:color="auto"/>
            <w:left w:val="none" w:sz="0" w:space="0" w:color="auto"/>
            <w:bottom w:val="none" w:sz="0" w:space="0" w:color="auto"/>
            <w:right w:val="none" w:sz="0" w:space="0" w:color="auto"/>
          </w:divBdr>
          <w:divsChild>
            <w:div w:id="1633561377">
              <w:marLeft w:val="0"/>
              <w:marRight w:val="0"/>
              <w:marTop w:val="0"/>
              <w:marBottom w:val="0"/>
              <w:divBdr>
                <w:top w:val="none" w:sz="0" w:space="0" w:color="auto"/>
                <w:left w:val="none" w:sz="0" w:space="0" w:color="auto"/>
                <w:bottom w:val="none" w:sz="0" w:space="0" w:color="auto"/>
                <w:right w:val="none" w:sz="0" w:space="0" w:color="auto"/>
              </w:divBdr>
            </w:div>
          </w:divsChild>
        </w:div>
        <w:div w:id="793013546">
          <w:marLeft w:val="0"/>
          <w:marRight w:val="0"/>
          <w:marTop w:val="0"/>
          <w:marBottom w:val="0"/>
          <w:divBdr>
            <w:top w:val="none" w:sz="0" w:space="0" w:color="auto"/>
            <w:left w:val="none" w:sz="0" w:space="0" w:color="auto"/>
            <w:bottom w:val="none" w:sz="0" w:space="0" w:color="auto"/>
            <w:right w:val="none" w:sz="0" w:space="0" w:color="auto"/>
          </w:divBdr>
          <w:divsChild>
            <w:div w:id="1973630210">
              <w:marLeft w:val="0"/>
              <w:marRight w:val="0"/>
              <w:marTop w:val="0"/>
              <w:marBottom w:val="0"/>
              <w:divBdr>
                <w:top w:val="none" w:sz="0" w:space="0" w:color="auto"/>
                <w:left w:val="none" w:sz="0" w:space="0" w:color="auto"/>
                <w:bottom w:val="none" w:sz="0" w:space="0" w:color="auto"/>
                <w:right w:val="none" w:sz="0" w:space="0" w:color="auto"/>
              </w:divBdr>
              <w:divsChild>
                <w:div w:id="1778256097">
                  <w:marLeft w:val="0"/>
                  <w:marRight w:val="0"/>
                  <w:marTop w:val="0"/>
                  <w:marBottom w:val="0"/>
                  <w:divBdr>
                    <w:top w:val="none" w:sz="0" w:space="0" w:color="auto"/>
                    <w:left w:val="none" w:sz="0" w:space="0" w:color="auto"/>
                    <w:bottom w:val="none" w:sz="0" w:space="0" w:color="auto"/>
                    <w:right w:val="none" w:sz="0" w:space="0" w:color="auto"/>
                  </w:divBdr>
                  <w:divsChild>
                    <w:div w:id="1458722189">
                      <w:marLeft w:val="0"/>
                      <w:marRight w:val="0"/>
                      <w:marTop w:val="120"/>
                      <w:marBottom w:val="0"/>
                      <w:divBdr>
                        <w:top w:val="none" w:sz="0" w:space="0" w:color="auto"/>
                        <w:left w:val="none" w:sz="0" w:space="0" w:color="auto"/>
                        <w:bottom w:val="none" w:sz="0" w:space="0" w:color="auto"/>
                        <w:right w:val="none" w:sz="0" w:space="0" w:color="auto"/>
                      </w:divBdr>
                    </w:div>
                    <w:div w:id="870846368">
                      <w:marLeft w:val="0"/>
                      <w:marRight w:val="0"/>
                      <w:marTop w:val="0"/>
                      <w:marBottom w:val="0"/>
                      <w:divBdr>
                        <w:top w:val="none" w:sz="0" w:space="0" w:color="auto"/>
                        <w:left w:val="none" w:sz="0" w:space="0" w:color="auto"/>
                        <w:bottom w:val="none" w:sz="0" w:space="0" w:color="auto"/>
                        <w:right w:val="none" w:sz="0" w:space="0" w:color="auto"/>
                      </w:divBdr>
                    </w:div>
                  </w:divsChild>
                </w:div>
                <w:div w:id="884371871">
                  <w:marLeft w:val="0"/>
                  <w:marRight w:val="0"/>
                  <w:marTop w:val="0"/>
                  <w:marBottom w:val="0"/>
                  <w:divBdr>
                    <w:top w:val="none" w:sz="0" w:space="0" w:color="auto"/>
                    <w:left w:val="none" w:sz="0" w:space="0" w:color="auto"/>
                    <w:bottom w:val="none" w:sz="0" w:space="0" w:color="auto"/>
                    <w:right w:val="none" w:sz="0" w:space="0" w:color="auto"/>
                  </w:divBdr>
                  <w:divsChild>
                    <w:div w:id="638337611">
                      <w:marLeft w:val="0"/>
                      <w:marRight w:val="0"/>
                      <w:marTop w:val="120"/>
                      <w:marBottom w:val="0"/>
                      <w:divBdr>
                        <w:top w:val="none" w:sz="0" w:space="0" w:color="auto"/>
                        <w:left w:val="none" w:sz="0" w:space="0" w:color="auto"/>
                        <w:bottom w:val="none" w:sz="0" w:space="0" w:color="auto"/>
                        <w:right w:val="none" w:sz="0" w:space="0" w:color="auto"/>
                      </w:divBdr>
                    </w:div>
                    <w:div w:id="1666007800">
                      <w:marLeft w:val="0"/>
                      <w:marRight w:val="0"/>
                      <w:marTop w:val="0"/>
                      <w:marBottom w:val="0"/>
                      <w:divBdr>
                        <w:top w:val="none" w:sz="0" w:space="0" w:color="auto"/>
                        <w:left w:val="none" w:sz="0" w:space="0" w:color="auto"/>
                        <w:bottom w:val="none" w:sz="0" w:space="0" w:color="auto"/>
                        <w:right w:val="none" w:sz="0" w:space="0" w:color="auto"/>
                      </w:divBdr>
                    </w:div>
                  </w:divsChild>
                </w:div>
                <w:div w:id="309411100">
                  <w:marLeft w:val="0"/>
                  <w:marRight w:val="0"/>
                  <w:marTop w:val="0"/>
                  <w:marBottom w:val="0"/>
                  <w:divBdr>
                    <w:top w:val="none" w:sz="0" w:space="0" w:color="auto"/>
                    <w:left w:val="none" w:sz="0" w:space="0" w:color="auto"/>
                    <w:bottom w:val="none" w:sz="0" w:space="0" w:color="auto"/>
                    <w:right w:val="none" w:sz="0" w:space="0" w:color="auto"/>
                  </w:divBdr>
                  <w:divsChild>
                    <w:div w:id="329602913">
                      <w:marLeft w:val="0"/>
                      <w:marRight w:val="0"/>
                      <w:marTop w:val="120"/>
                      <w:marBottom w:val="0"/>
                      <w:divBdr>
                        <w:top w:val="none" w:sz="0" w:space="0" w:color="auto"/>
                        <w:left w:val="none" w:sz="0" w:space="0" w:color="auto"/>
                        <w:bottom w:val="none" w:sz="0" w:space="0" w:color="auto"/>
                        <w:right w:val="none" w:sz="0" w:space="0" w:color="auto"/>
                      </w:divBdr>
                    </w:div>
                    <w:div w:id="87446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750276">
          <w:marLeft w:val="0"/>
          <w:marRight w:val="0"/>
          <w:marTop w:val="0"/>
          <w:marBottom w:val="0"/>
          <w:divBdr>
            <w:top w:val="none" w:sz="0" w:space="0" w:color="auto"/>
            <w:left w:val="none" w:sz="0" w:space="0" w:color="auto"/>
            <w:bottom w:val="none" w:sz="0" w:space="0" w:color="auto"/>
            <w:right w:val="none" w:sz="0" w:space="0" w:color="auto"/>
          </w:divBdr>
          <w:divsChild>
            <w:div w:id="2048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15937206">
      <w:bodyDiv w:val="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 w:id="1418213489">
      <w:bodyDiv w:val="1"/>
      <w:marLeft w:val="0"/>
      <w:marRight w:val="0"/>
      <w:marTop w:val="0"/>
      <w:marBottom w:val="0"/>
      <w:divBdr>
        <w:top w:val="none" w:sz="0" w:space="0" w:color="auto"/>
        <w:left w:val="none" w:sz="0" w:space="0" w:color="auto"/>
        <w:bottom w:val="none" w:sz="0" w:space="0" w:color="auto"/>
        <w:right w:val="none" w:sz="0" w:space="0" w:color="auto"/>
      </w:divBdr>
      <w:divsChild>
        <w:div w:id="1472212804">
          <w:marLeft w:val="0"/>
          <w:marRight w:val="0"/>
          <w:marTop w:val="0"/>
          <w:marBottom w:val="0"/>
          <w:divBdr>
            <w:top w:val="none" w:sz="0" w:space="0" w:color="auto"/>
            <w:left w:val="none" w:sz="0" w:space="0" w:color="auto"/>
            <w:bottom w:val="none" w:sz="0" w:space="0" w:color="auto"/>
            <w:right w:val="none" w:sz="0" w:space="0" w:color="auto"/>
          </w:divBdr>
        </w:div>
      </w:divsChild>
    </w:div>
    <w:div w:id="1438598790">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54441339">
      <w:bodyDiv w:val="1"/>
      <w:marLeft w:val="0"/>
      <w:marRight w:val="0"/>
      <w:marTop w:val="0"/>
      <w:marBottom w:val="0"/>
      <w:divBdr>
        <w:top w:val="none" w:sz="0" w:space="0" w:color="auto"/>
        <w:left w:val="none" w:sz="0" w:space="0" w:color="auto"/>
        <w:bottom w:val="none" w:sz="0" w:space="0" w:color="auto"/>
        <w:right w:val="none" w:sz="0" w:space="0" w:color="auto"/>
      </w:divBdr>
      <w:divsChild>
        <w:div w:id="691807740">
          <w:marLeft w:val="0"/>
          <w:marRight w:val="0"/>
          <w:marTop w:val="0"/>
          <w:marBottom w:val="0"/>
          <w:divBdr>
            <w:top w:val="none" w:sz="0" w:space="0" w:color="auto"/>
            <w:left w:val="none" w:sz="0" w:space="0" w:color="auto"/>
            <w:bottom w:val="none" w:sz="0" w:space="0" w:color="auto"/>
            <w:right w:val="none" w:sz="0" w:space="0" w:color="auto"/>
          </w:divBdr>
        </w:div>
      </w:divsChild>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53691541">
      <w:bodyDiv w:val="1"/>
      <w:marLeft w:val="0"/>
      <w:marRight w:val="0"/>
      <w:marTop w:val="0"/>
      <w:marBottom w:val="0"/>
      <w:divBdr>
        <w:top w:val="none" w:sz="0" w:space="0" w:color="auto"/>
        <w:left w:val="none" w:sz="0" w:space="0" w:color="auto"/>
        <w:bottom w:val="none" w:sz="0" w:space="0" w:color="auto"/>
        <w:right w:val="none" w:sz="0" w:space="0" w:color="auto"/>
      </w:divBdr>
      <w:divsChild>
        <w:div w:id="1504469557">
          <w:marLeft w:val="0"/>
          <w:marRight w:val="0"/>
          <w:marTop w:val="0"/>
          <w:marBottom w:val="0"/>
          <w:divBdr>
            <w:top w:val="none" w:sz="0" w:space="0" w:color="auto"/>
            <w:left w:val="none" w:sz="0" w:space="0" w:color="auto"/>
            <w:bottom w:val="none" w:sz="0" w:space="0" w:color="auto"/>
            <w:right w:val="none" w:sz="0" w:space="0" w:color="auto"/>
          </w:divBdr>
        </w:div>
        <w:div w:id="674066632">
          <w:marLeft w:val="0"/>
          <w:marRight w:val="0"/>
          <w:marTop w:val="0"/>
          <w:marBottom w:val="0"/>
          <w:divBdr>
            <w:top w:val="none" w:sz="0" w:space="0" w:color="auto"/>
            <w:left w:val="none" w:sz="0" w:space="0" w:color="auto"/>
            <w:bottom w:val="none" w:sz="0" w:space="0" w:color="auto"/>
            <w:right w:val="none" w:sz="0" w:space="0" w:color="auto"/>
          </w:divBdr>
        </w:div>
        <w:div w:id="1325089639">
          <w:marLeft w:val="0"/>
          <w:marRight w:val="0"/>
          <w:marTop w:val="0"/>
          <w:marBottom w:val="0"/>
          <w:divBdr>
            <w:top w:val="none" w:sz="0" w:space="0" w:color="auto"/>
            <w:left w:val="none" w:sz="0" w:space="0" w:color="auto"/>
            <w:bottom w:val="none" w:sz="0" w:space="0" w:color="auto"/>
            <w:right w:val="none" w:sz="0" w:space="0" w:color="auto"/>
          </w:divBdr>
        </w:div>
      </w:divsChild>
    </w:div>
    <w:div w:id="1554343333">
      <w:bodyDiv w:val="1"/>
      <w:marLeft w:val="0"/>
      <w:marRight w:val="0"/>
      <w:marTop w:val="0"/>
      <w:marBottom w:val="0"/>
      <w:divBdr>
        <w:top w:val="none" w:sz="0" w:space="0" w:color="auto"/>
        <w:left w:val="none" w:sz="0" w:space="0" w:color="auto"/>
        <w:bottom w:val="none" w:sz="0" w:space="0" w:color="auto"/>
        <w:right w:val="none" w:sz="0" w:space="0" w:color="auto"/>
      </w:divBdr>
      <w:divsChild>
        <w:div w:id="498540575">
          <w:marLeft w:val="0"/>
          <w:marRight w:val="0"/>
          <w:marTop w:val="0"/>
          <w:marBottom w:val="0"/>
          <w:divBdr>
            <w:top w:val="none" w:sz="0" w:space="0" w:color="auto"/>
            <w:left w:val="none" w:sz="0" w:space="0" w:color="auto"/>
            <w:bottom w:val="none" w:sz="0" w:space="0" w:color="auto"/>
            <w:right w:val="none" w:sz="0" w:space="0" w:color="auto"/>
          </w:divBdr>
          <w:divsChild>
            <w:div w:id="1198812510">
              <w:marLeft w:val="0"/>
              <w:marRight w:val="0"/>
              <w:marTop w:val="0"/>
              <w:marBottom w:val="0"/>
              <w:divBdr>
                <w:top w:val="none" w:sz="0" w:space="0" w:color="auto"/>
                <w:left w:val="none" w:sz="0" w:space="0" w:color="auto"/>
                <w:bottom w:val="none" w:sz="0" w:space="0" w:color="auto"/>
                <w:right w:val="none" w:sz="0" w:space="0" w:color="auto"/>
              </w:divBdr>
            </w:div>
            <w:div w:id="2128237023">
              <w:marLeft w:val="0"/>
              <w:marRight w:val="0"/>
              <w:marTop w:val="0"/>
              <w:marBottom w:val="0"/>
              <w:divBdr>
                <w:top w:val="none" w:sz="0" w:space="0" w:color="auto"/>
                <w:left w:val="none" w:sz="0" w:space="0" w:color="auto"/>
                <w:bottom w:val="none" w:sz="0" w:space="0" w:color="auto"/>
                <w:right w:val="none" w:sz="0" w:space="0" w:color="auto"/>
              </w:divBdr>
              <w:divsChild>
                <w:div w:id="1362970862">
                  <w:marLeft w:val="0"/>
                  <w:marRight w:val="0"/>
                  <w:marTop w:val="0"/>
                  <w:marBottom w:val="0"/>
                  <w:divBdr>
                    <w:top w:val="none" w:sz="0" w:space="0" w:color="auto"/>
                    <w:left w:val="none" w:sz="0" w:space="0" w:color="auto"/>
                    <w:bottom w:val="none" w:sz="0" w:space="0" w:color="auto"/>
                    <w:right w:val="none" w:sz="0" w:space="0" w:color="auto"/>
                  </w:divBdr>
                </w:div>
              </w:divsChild>
            </w:div>
            <w:div w:id="1332097019">
              <w:marLeft w:val="0"/>
              <w:marRight w:val="0"/>
              <w:marTop w:val="0"/>
              <w:marBottom w:val="0"/>
              <w:divBdr>
                <w:top w:val="none" w:sz="0" w:space="0" w:color="auto"/>
                <w:left w:val="none" w:sz="0" w:space="0" w:color="auto"/>
                <w:bottom w:val="none" w:sz="0" w:space="0" w:color="auto"/>
                <w:right w:val="none" w:sz="0" w:space="0" w:color="auto"/>
              </w:divBdr>
              <w:divsChild>
                <w:div w:id="1873876452">
                  <w:marLeft w:val="0"/>
                  <w:marRight w:val="0"/>
                  <w:marTop w:val="0"/>
                  <w:marBottom w:val="0"/>
                  <w:divBdr>
                    <w:top w:val="none" w:sz="0" w:space="0" w:color="auto"/>
                    <w:left w:val="none" w:sz="0" w:space="0" w:color="auto"/>
                    <w:bottom w:val="none" w:sz="0" w:space="0" w:color="auto"/>
                    <w:right w:val="none" w:sz="0" w:space="0" w:color="auto"/>
                  </w:divBdr>
                </w:div>
              </w:divsChild>
            </w:div>
            <w:div w:id="1822579677">
              <w:marLeft w:val="0"/>
              <w:marRight w:val="0"/>
              <w:marTop w:val="0"/>
              <w:marBottom w:val="0"/>
              <w:divBdr>
                <w:top w:val="none" w:sz="0" w:space="0" w:color="auto"/>
                <w:left w:val="none" w:sz="0" w:space="0" w:color="auto"/>
                <w:bottom w:val="none" w:sz="0" w:space="0" w:color="auto"/>
                <w:right w:val="none" w:sz="0" w:space="0" w:color="auto"/>
              </w:divBdr>
              <w:divsChild>
                <w:div w:id="1231035684">
                  <w:marLeft w:val="0"/>
                  <w:marRight w:val="0"/>
                  <w:marTop w:val="0"/>
                  <w:marBottom w:val="0"/>
                  <w:divBdr>
                    <w:top w:val="none" w:sz="0" w:space="0" w:color="auto"/>
                    <w:left w:val="none" w:sz="0" w:space="0" w:color="auto"/>
                    <w:bottom w:val="none" w:sz="0" w:space="0" w:color="auto"/>
                    <w:right w:val="none" w:sz="0" w:space="0" w:color="auto"/>
                  </w:divBdr>
                </w:div>
              </w:divsChild>
            </w:div>
            <w:div w:id="607394054">
              <w:marLeft w:val="0"/>
              <w:marRight w:val="0"/>
              <w:marTop w:val="0"/>
              <w:marBottom w:val="0"/>
              <w:divBdr>
                <w:top w:val="none" w:sz="0" w:space="0" w:color="auto"/>
                <w:left w:val="none" w:sz="0" w:space="0" w:color="auto"/>
                <w:bottom w:val="none" w:sz="0" w:space="0" w:color="auto"/>
                <w:right w:val="none" w:sz="0" w:space="0" w:color="auto"/>
              </w:divBdr>
              <w:divsChild>
                <w:div w:id="118851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581986037">
      <w:bodyDiv w:val="1"/>
      <w:marLeft w:val="0"/>
      <w:marRight w:val="0"/>
      <w:marTop w:val="0"/>
      <w:marBottom w:val="0"/>
      <w:divBdr>
        <w:top w:val="none" w:sz="0" w:space="0" w:color="auto"/>
        <w:left w:val="none" w:sz="0" w:space="0" w:color="auto"/>
        <w:bottom w:val="none" w:sz="0" w:space="0" w:color="auto"/>
        <w:right w:val="none" w:sz="0" w:space="0" w:color="auto"/>
      </w:divBdr>
      <w:divsChild>
        <w:div w:id="1564482207">
          <w:marLeft w:val="0"/>
          <w:marRight w:val="0"/>
          <w:marTop w:val="0"/>
          <w:marBottom w:val="0"/>
          <w:divBdr>
            <w:top w:val="none" w:sz="0" w:space="0" w:color="auto"/>
            <w:left w:val="none" w:sz="0" w:space="0" w:color="auto"/>
            <w:bottom w:val="none" w:sz="0" w:space="0" w:color="auto"/>
            <w:right w:val="none" w:sz="0" w:space="0" w:color="auto"/>
          </w:divBdr>
        </w:div>
      </w:divsChild>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2556841">
      <w:bodyDiv w:val="1"/>
      <w:marLeft w:val="0"/>
      <w:marRight w:val="0"/>
      <w:marTop w:val="0"/>
      <w:marBottom w:val="0"/>
      <w:divBdr>
        <w:top w:val="none" w:sz="0" w:space="0" w:color="auto"/>
        <w:left w:val="none" w:sz="0" w:space="0" w:color="auto"/>
        <w:bottom w:val="none" w:sz="0" w:space="0" w:color="auto"/>
        <w:right w:val="none" w:sz="0" w:space="0" w:color="auto"/>
      </w:divBdr>
      <w:divsChild>
        <w:div w:id="226956906">
          <w:marLeft w:val="0"/>
          <w:marRight w:val="0"/>
          <w:marTop w:val="0"/>
          <w:marBottom w:val="0"/>
          <w:divBdr>
            <w:top w:val="none" w:sz="0" w:space="0" w:color="auto"/>
            <w:left w:val="none" w:sz="0" w:space="0" w:color="auto"/>
            <w:bottom w:val="none" w:sz="0" w:space="0" w:color="auto"/>
            <w:right w:val="none" w:sz="0" w:space="0" w:color="auto"/>
          </w:divBdr>
        </w:div>
      </w:divsChild>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73678367">
      <w:bodyDiv w:val="1"/>
      <w:marLeft w:val="0"/>
      <w:marRight w:val="0"/>
      <w:marTop w:val="0"/>
      <w:marBottom w:val="0"/>
      <w:divBdr>
        <w:top w:val="none" w:sz="0" w:space="0" w:color="auto"/>
        <w:left w:val="none" w:sz="0" w:space="0" w:color="auto"/>
        <w:bottom w:val="none" w:sz="0" w:space="0" w:color="auto"/>
        <w:right w:val="none" w:sz="0" w:space="0" w:color="auto"/>
      </w:divBdr>
      <w:divsChild>
        <w:div w:id="966475453">
          <w:marLeft w:val="0"/>
          <w:marRight w:val="0"/>
          <w:marTop w:val="0"/>
          <w:marBottom w:val="0"/>
          <w:divBdr>
            <w:top w:val="none" w:sz="0" w:space="0" w:color="auto"/>
            <w:left w:val="none" w:sz="0" w:space="0" w:color="auto"/>
            <w:bottom w:val="none" w:sz="0" w:space="0" w:color="auto"/>
            <w:right w:val="none" w:sz="0" w:space="0" w:color="auto"/>
          </w:divBdr>
        </w:div>
      </w:divsChild>
    </w:div>
    <w:div w:id="1680346424">
      <w:bodyDiv w:val="1"/>
      <w:marLeft w:val="0"/>
      <w:marRight w:val="0"/>
      <w:marTop w:val="0"/>
      <w:marBottom w:val="0"/>
      <w:divBdr>
        <w:top w:val="none" w:sz="0" w:space="0" w:color="auto"/>
        <w:left w:val="none" w:sz="0" w:space="0" w:color="auto"/>
        <w:bottom w:val="none" w:sz="0" w:space="0" w:color="auto"/>
        <w:right w:val="none" w:sz="0" w:space="0" w:color="auto"/>
      </w:divBdr>
      <w:divsChild>
        <w:div w:id="668679256">
          <w:marLeft w:val="0"/>
          <w:marRight w:val="0"/>
          <w:marTop w:val="0"/>
          <w:marBottom w:val="0"/>
          <w:divBdr>
            <w:top w:val="none" w:sz="0" w:space="0" w:color="auto"/>
            <w:left w:val="none" w:sz="0" w:space="0" w:color="auto"/>
            <w:bottom w:val="none" w:sz="0" w:space="0" w:color="auto"/>
            <w:right w:val="none" w:sz="0" w:space="0" w:color="auto"/>
          </w:divBdr>
        </w:div>
        <w:div w:id="1813208772">
          <w:marLeft w:val="0"/>
          <w:marRight w:val="0"/>
          <w:marTop w:val="0"/>
          <w:marBottom w:val="0"/>
          <w:divBdr>
            <w:top w:val="none" w:sz="0" w:space="0" w:color="auto"/>
            <w:left w:val="none" w:sz="0" w:space="0" w:color="auto"/>
            <w:bottom w:val="none" w:sz="0" w:space="0" w:color="auto"/>
            <w:right w:val="none" w:sz="0" w:space="0" w:color="auto"/>
          </w:divBdr>
          <w:divsChild>
            <w:div w:id="492255712">
              <w:marLeft w:val="0"/>
              <w:marRight w:val="0"/>
              <w:marTop w:val="0"/>
              <w:marBottom w:val="0"/>
              <w:divBdr>
                <w:top w:val="none" w:sz="0" w:space="0" w:color="auto"/>
                <w:left w:val="none" w:sz="0" w:space="0" w:color="auto"/>
                <w:bottom w:val="none" w:sz="0" w:space="0" w:color="auto"/>
                <w:right w:val="none" w:sz="0" w:space="0" w:color="auto"/>
              </w:divBdr>
            </w:div>
          </w:divsChild>
        </w:div>
        <w:div w:id="132869948">
          <w:marLeft w:val="0"/>
          <w:marRight w:val="0"/>
          <w:marTop w:val="0"/>
          <w:marBottom w:val="0"/>
          <w:divBdr>
            <w:top w:val="none" w:sz="0" w:space="0" w:color="auto"/>
            <w:left w:val="none" w:sz="0" w:space="0" w:color="auto"/>
            <w:bottom w:val="none" w:sz="0" w:space="0" w:color="auto"/>
            <w:right w:val="none" w:sz="0" w:space="0" w:color="auto"/>
          </w:divBdr>
          <w:divsChild>
            <w:div w:id="585191416">
              <w:marLeft w:val="0"/>
              <w:marRight w:val="0"/>
              <w:marTop w:val="0"/>
              <w:marBottom w:val="0"/>
              <w:divBdr>
                <w:top w:val="none" w:sz="0" w:space="0" w:color="auto"/>
                <w:left w:val="none" w:sz="0" w:space="0" w:color="auto"/>
                <w:bottom w:val="none" w:sz="0" w:space="0" w:color="auto"/>
                <w:right w:val="none" w:sz="0" w:space="0" w:color="auto"/>
              </w:divBdr>
            </w:div>
          </w:divsChild>
        </w:div>
        <w:div w:id="1303922925">
          <w:marLeft w:val="0"/>
          <w:marRight w:val="0"/>
          <w:marTop w:val="0"/>
          <w:marBottom w:val="0"/>
          <w:divBdr>
            <w:top w:val="none" w:sz="0" w:space="0" w:color="auto"/>
            <w:left w:val="none" w:sz="0" w:space="0" w:color="auto"/>
            <w:bottom w:val="none" w:sz="0" w:space="0" w:color="auto"/>
            <w:right w:val="none" w:sz="0" w:space="0" w:color="auto"/>
          </w:divBdr>
          <w:divsChild>
            <w:div w:id="1304191315">
              <w:marLeft w:val="0"/>
              <w:marRight w:val="0"/>
              <w:marTop w:val="0"/>
              <w:marBottom w:val="0"/>
              <w:divBdr>
                <w:top w:val="none" w:sz="0" w:space="0" w:color="auto"/>
                <w:left w:val="none" w:sz="0" w:space="0" w:color="auto"/>
                <w:bottom w:val="none" w:sz="0" w:space="0" w:color="auto"/>
                <w:right w:val="none" w:sz="0" w:space="0" w:color="auto"/>
              </w:divBdr>
              <w:divsChild>
                <w:div w:id="643778719">
                  <w:marLeft w:val="0"/>
                  <w:marRight w:val="0"/>
                  <w:marTop w:val="0"/>
                  <w:marBottom w:val="0"/>
                  <w:divBdr>
                    <w:top w:val="none" w:sz="0" w:space="0" w:color="auto"/>
                    <w:left w:val="none" w:sz="0" w:space="0" w:color="auto"/>
                    <w:bottom w:val="none" w:sz="0" w:space="0" w:color="auto"/>
                    <w:right w:val="none" w:sz="0" w:space="0" w:color="auto"/>
                  </w:divBdr>
                  <w:divsChild>
                    <w:div w:id="1965306437">
                      <w:marLeft w:val="0"/>
                      <w:marRight w:val="0"/>
                      <w:marTop w:val="120"/>
                      <w:marBottom w:val="0"/>
                      <w:divBdr>
                        <w:top w:val="none" w:sz="0" w:space="0" w:color="auto"/>
                        <w:left w:val="none" w:sz="0" w:space="0" w:color="auto"/>
                        <w:bottom w:val="none" w:sz="0" w:space="0" w:color="auto"/>
                        <w:right w:val="none" w:sz="0" w:space="0" w:color="auto"/>
                      </w:divBdr>
                    </w:div>
                    <w:div w:id="477769485">
                      <w:marLeft w:val="0"/>
                      <w:marRight w:val="0"/>
                      <w:marTop w:val="0"/>
                      <w:marBottom w:val="0"/>
                      <w:divBdr>
                        <w:top w:val="none" w:sz="0" w:space="0" w:color="auto"/>
                        <w:left w:val="none" w:sz="0" w:space="0" w:color="auto"/>
                        <w:bottom w:val="none" w:sz="0" w:space="0" w:color="auto"/>
                        <w:right w:val="none" w:sz="0" w:space="0" w:color="auto"/>
                      </w:divBdr>
                    </w:div>
                  </w:divsChild>
                </w:div>
                <w:div w:id="1234197609">
                  <w:marLeft w:val="0"/>
                  <w:marRight w:val="0"/>
                  <w:marTop w:val="0"/>
                  <w:marBottom w:val="0"/>
                  <w:divBdr>
                    <w:top w:val="none" w:sz="0" w:space="0" w:color="auto"/>
                    <w:left w:val="none" w:sz="0" w:space="0" w:color="auto"/>
                    <w:bottom w:val="none" w:sz="0" w:space="0" w:color="auto"/>
                    <w:right w:val="none" w:sz="0" w:space="0" w:color="auto"/>
                  </w:divBdr>
                  <w:divsChild>
                    <w:div w:id="501314371">
                      <w:marLeft w:val="0"/>
                      <w:marRight w:val="0"/>
                      <w:marTop w:val="120"/>
                      <w:marBottom w:val="0"/>
                      <w:divBdr>
                        <w:top w:val="none" w:sz="0" w:space="0" w:color="auto"/>
                        <w:left w:val="none" w:sz="0" w:space="0" w:color="auto"/>
                        <w:bottom w:val="none" w:sz="0" w:space="0" w:color="auto"/>
                        <w:right w:val="none" w:sz="0" w:space="0" w:color="auto"/>
                      </w:divBdr>
                    </w:div>
                    <w:div w:id="212815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909517">
          <w:marLeft w:val="0"/>
          <w:marRight w:val="0"/>
          <w:marTop w:val="0"/>
          <w:marBottom w:val="0"/>
          <w:divBdr>
            <w:top w:val="none" w:sz="0" w:space="0" w:color="auto"/>
            <w:left w:val="none" w:sz="0" w:space="0" w:color="auto"/>
            <w:bottom w:val="none" w:sz="0" w:space="0" w:color="auto"/>
            <w:right w:val="none" w:sz="0" w:space="0" w:color="auto"/>
          </w:divBdr>
          <w:divsChild>
            <w:div w:id="15001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5498968">
      <w:bodyDiv w:val="1"/>
      <w:marLeft w:val="0"/>
      <w:marRight w:val="0"/>
      <w:marTop w:val="0"/>
      <w:marBottom w:val="0"/>
      <w:divBdr>
        <w:top w:val="none" w:sz="0" w:space="0" w:color="auto"/>
        <w:left w:val="none" w:sz="0" w:space="0" w:color="auto"/>
        <w:bottom w:val="none" w:sz="0" w:space="0" w:color="auto"/>
        <w:right w:val="none" w:sz="0" w:space="0" w:color="auto"/>
      </w:divBdr>
      <w:divsChild>
        <w:div w:id="38938906">
          <w:marLeft w:val="0"/>
          <w:marRight w:val="0"/>
          <w:marTop w:val="0"/>
          <w:marBottom w:val="0"/>
          <w:divBdr>
            <w:top w:val="none" w:sz="0" w:space="0" w:color="auto"/>
            <w:left w:val="none" w:sz="0" w:space="0" w:color="auto"/>
            <w:bottom w:val="none" w:sz="0" w:space="0" w:color="auto"/>
            <w:right w:val="none" w:sz="0" w:space="0" w:color="auto"/>
          </w:divBdr>
        </w:div>
      </w:divsChild>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698971928">
      <w:bodyDiv w:val="1"/>
      <w:marLeft w:val="0"/>
      <w:marRight w:val="0"/>
      <w:marTop w:val="0"/>
      <w:marBottom w:val="0"/>
      <w:divBdr>
        <w:top w:val="none" w:sz="0" w:space="0" w:color="auto"/>
        <w:left w:val="none" w:sz="0" w:space="0" w:color="auto"/>
        <w:bottom w:val="none" w:sz="0" w:space="0" w:color="auto"/>
        <w:right w:val="none" w:sz="0" w:space="0" w:color="auto"/>
      </w:divBdr>
      <w:divsChild>
        <w:div w:id="1166476938">
          <w:marLeft w:val="0"/>
          <w:marRight w:val="0"/>
          <w:marTop w:val="0"/>
          <w:marBottom w:val="0"/>
          <w:divBdr>
            <w:top w:val="none" w:sz="0" w:space="0" w:color="auto"/>
            <w:left w:val="none" w:sz="0" w:space="0" w:color="auto"/>
            <w:bottom w:val="none" w:sz="0" w:space="0" w:color="auto"/>
            <w:right w:val="none" w:sz="0" w:space="0" w:color="auto"/>
          </w:divBdr>
        </w:div>
      </w:divsChild>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12876607">
      <w:bodyDiv w:val="1"/>
      <w:marLeft w:val="0"/>
      <w:marRight w:val="0"/>
      <w:marTop w:val="0"/>
      <w:marBottom w:val="0"/>
      <w:divBdr>
        <w:top w:val="none" w:sz="0" w:space="0" w:color="auto"/>
        <w:left w:val="none" w:sz="0" w:space="0" w:color="auto"/>
        <w:bottom w:val="none" w:sz="0" w:space="0" w:color="auto"/>
        <w:right w:val="none" w:sz="0" w:space="0" w:color="auto"/>
      </w:divBdr>
      <w:divsChild>
        <w:div w:id="855850021">
          <w:marLeft w:val="0"/>
          <w:marRight w:val="0"/>
          <w:marTop w:val="0"/>
          <w:marBottom w:val="0"/>
          <w:divBdr>
            <w:top w:val="none" w:sz="0" w:space="0" w:color="auto"/>
            <w:left w:val="none" w:sz="0" w:space="0" w:color="auto"/>
            <w:bottom w:val="none" w:sz="0" w:space="0" w:color="auto"/>
            <w:right w:val="none" w:sz="0" w:space="0" w:color="auto"/>
          </w:divBdr>
        </w:div>
      </w:divsChild>
    </w:div>
    <w:div w:id="1734502262">
      <w:bodyDiv w:val="1"/>
      <w:marLeft w:val="0"/>
      <w:marRight w:val="0"/>
      <w:marTop w:val="0"/>
      <w:marBottom w:val="0"/>
      <w:divBdr>
        <w:top w:val="none" w:sz="0" w:space="0" w:color="auto"/>
        <w:left w:val="none" w:sz="0" w:space="0" w:color="auto"/>
        <w:bottom w:val="none" w:sz="0" w:space="0" w:color="auto"/>
        <w:right w:val="none" w:sz="0" w:space="0" w:color="auto"/>
      </w:divBdr>
      <w:divsChild>
        <w:div w:id="1475219700">
          <w:marLeft w:val="0"/>
          <w:marRight w:val="0"/>
          <w:marTop w:val="0"/>
          <w:marBottom w:val="0"/>
          <w:divBdr>
            <w:top w:val="none" w:sz="0" w:space="0" w:color="auto"/>
            <w:left w:val="none" w:sz="0" w:space="0" w:color="auto"/>
            <w:bottom w:val="none" w:sz="0" w:space="0" w:color="auto"/>
            <w:right w:val="none" w:sz="0" w:space="0" w:color="auto"/>
          </w:divBdr>
        </w:div>
      </w:divsChild>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66267657">
      <w:bodyDiv w:val="1"/>
      <w:marLeft w:val="0"/>
      <w:marRight w:val="0"/>
      <w:marTop w:val="0"/>
      <w:marBottom w:val="0"/>
      <w:divBdr>
        <w:top w:val="none" w:sz="0" w:space="0" w:color="auto"/>
        <w:left w:val="none" w:sz="0" w:space="0" w:color="auto"/>
        <w:bottom w:val="none" w:sz="0" w:space="0" w:color="auto"/>
        <w:right w:val="none" w:sz="0" w:space="0" w:color="auto"/>
      </w:divBdr>
      <w:divsChild>
        <w:div w:id="2073233421">
          <w:marLeft w:val="0"/>
          <w:marRight w:val="0"/>
          <w:marTop w:val="0"/>
          <w:marBottom w:val="0"/>
          <w:divBdr>
            <w:top w:val="none" w:sz="0" w:space="0" w:color="auto"/>
            <w:left w:val="none" w:sz="0" w:space="0" w:color="auto"/>
            <w:bottom w:val="none" w:sz="0" w:space="0" w:color="auto"/>
            <w:right w:val="none" w:sz="0" w:space="0" w:color="auto"/>
          </w:divBdr>
        </w:div>
      </w:divsChild>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6385070">
      <w:bodyDiv w:val="1"/>
      <w:marLeft w:val="0"/>
      <w:marRight w:val="0"/>
      <w:marTop w:val="0"/>
      <w:marBottom w:val="0"/>
      <w:divBdr>
        <w:top w:val="none" w:sz="0" w:space="0" w:color="auto"/>
        <w:left w:val="none" w:sz="0" w:space="0" w:color="auto"/>
        <w:bottom w:val="none" w:sz="0" w:space="0" w:color="auto"/>
        <w:right w:val="none" w:sz="0" w:space="0" w:color="auto"/>
      </w:divBdr>
      <w:divsChild>
        <w:div w:id="9141630">
          <w:marLeft w:val="0"/>
          <w:marRight w:val="0"/>
          <w:marTop w:val="0"/>
          <w:marBottom w:val="0"/>
          <w:divBdr>
            <w:top w:val="none" w:sz="0" w:space="0" w:color="auto"/>
            <w:left w:val="none" w:sz="0" w:space="0" w:color="auto"/>
            <w:bottom w:val="none" w:sz="0" w:space="0" w:color="auto"/>
            <w:right w:val="none" w:sz="0" w:space="0" w:color="auto"/>
          </w:divBdr>
        </w:div>
      </w:divsChild>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719425">
      <w:bodyDiv w:val="1"/>
      <w:marLeft w:val="0"/>
      <w:marRight w:val="0"/>
      <w:marTop w:val="0"/>
      <w:marBottom w:val="0"/>
      <w:divBdr>
        <w:top w:val="none" w:sz="0" w:space="0" w:color="auto"/>
        <w:left w:val="none" w:sz="0" w:space="0" w:color="auto"/>
        <w:bottom w:val="none" w:sz="0" w:space="0" w:color="auto"/>
        <w:right w:val="none" w:sz="0" w:space="0" w:color="auto"/>
      </w:divBdr>
      <w:divsChild>
        <w:div w:id="1221097206">
          <w:marLeft w:val="0"/>
          <w:marRight w:val="0"/>
          <w:marTop w:val="0"/>
          <w:marBottom w:val="0"/>
          <w:divBdr>
            <w:top w:val="none" w:sz="0" w:space="0" w:color="auto"/>
            <w:left w:val="none" w:sz="0" w:space="0" w:color="auto"/>
            <w:bottom w:val="none" w:sz="0" w:space="0" w:color="auto"/>
            <w:right w:val="none" w:sz="0" w:space="0" w:color="auto"/>
          </w:divBdr>
        </w:div>
      </w:divsChild>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78621058">
      <w:bodyDiv w:val="1"/>
      <w:marLeft w:val="0"/>
      <w:marRight w:val="0"/>
      <w:marTop w:val="0"/>
      <w:marBottom w:val="0"/>
      <w:divBdr>
        <w:top w:val="none" w:sz="0" w:space="0" w:color="auto"/>
        <w:left w:val="none" w:sz="0" w:space="0" w:color="auto"/>
        <w:bottom w:val="none" w:sz="0" w:space="0" w:color="auto"/>
        <w:right w:val="none" w:sz="0" w:space="0" w:color="auto"/>
      </w:divBdr>
      <w:divsChild>
        <w:div w:id="1535263495">
          <w:marLeft w:val="0"/>
          <w:marRight w:val="0"/>
          <w:marTop w:val="0"/>
          <w:marBottom w:val="0"/>
          <w:divBdr>
            <w:top w:val="none" w:sz="0" w:space="0" w:color="auto"/>
            <w:left w:val="none" w:sz="0" w:space="0" w:color="auto"/>
            <w:bottom w:val="none" w:sz="0" w:space="0" w:color="auto"/>
            <w:right w:val="none" w:sz="0" w:space="0" w:color="auto"/>
          </w:divBdr>
        </w:div>
      </w:divsChild>
    </w:div>
    <w:div w:id="1879538806">
      <w:bodyDiv w:val="1"/>
      <w:marLeft w:val="0"/>
      <w:marRight w:val="0"/>
      <w:marTop w:val="0"/>
      <w:marBottom w:val="0"/>
      <w:divBdr>
        <w:top w:val="none" w:sz="0" w:space="0" w:color="auto"/>
        <w:left w:val="none" w:sz="0" w:space="0" w:color="auto"/>
        <w:bottom w:val="none" w:sz="0" w:space="0" w:color="auto"/>
        <w:right w:val="none" w:sz="0" w:space="0" w:color="auto"/>
      </w:divBdr>
      <w:divsChild>
        <w:div w:id="402110">
          <w:marLeft w:val="0"/>
          <w:marRight w:val="0"/>
          <w:marTop w:val="0"/>
          <w:marBottom w:val="0"/>
          <w:divBdr>
            <w:top w:val="none" w:sz="0" w:space="0" w:color="auto"/>
            <w:left w:val="none" w:sz="0" w:space="0" w:color="auto"/>
            <w:bottom w:val="none" w:sz="0" w:space="0" w:color="auto"/>
            <w:right w:val="none" w:sz="0" w:space="0" w:color="auto"/>
          </w:divBdr>
        </w:div>
      </w:divsChild>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1934431403">
      <w:bodyDiv w:val="1"/>
      <w:marLeft w:val="0"/>
      <w:marRight w:val="0"/>
      <w:marTop w:val="0"/>
      <w:marBottom w:val="0"/>
      <w:divBdr>
        <w:top w:val="none" w:sz="0" w:space="0" w:color="auto"/>
        <w:left w:val="none" w:sz="0" w:space="0" w:color="auto"/>
        <w:bottom w:val="none" w:sz="0" w:space="0" w:color="auto"/>
        <w:right w:val="none" w:sz="0" w:space="0" w:color="auto"/>
      </w:divBdr>
      <w:divsChild>
        <w:div w:id="1007095995">
          <w:marLeft w:val="0"/>
          <w:marRight w:val="0"/>
          <w:marTop w:val="0"/>
          <w:marBottom w:val="0"/>
          <w:divBdr>
            <w:top w:val="none" w:sz="0" w:space="0" w:color="auto"/>
            <w:left w:val="none" w:sz="0" w:space="0" w:color="auto"/>
            <w:bottom w:val="none" w:sz="0" w:space="0" w:color="auto"/>
            <w:right w:val="none" w:sz="0" w:space="0" w:color="auto"/>
          </w:divBdr>
        </w:div>
      </w:divsChild>
    </w:div>
    <w:div w:id="1936865631">
      <w:bodyDiv w:val="1"/>
      <w:marLeft w:val="0"/>
      <w:marRight w:val="0"/>
      <w:marTop w:val="0"/>
      <w:marBottom w:val="0"/>
      <w:divBdr>
        <w:top w:val="none" w:sz="0" w:space="0" w:color="auto"/>
        <w:left w:val="none" w:sz="0" w:space="0" w:color="auto"/>
        <w:bottom w:val="none" w:sz="0" w:space="0" w:color="auto"/>
        <w:right w:val="none" w:sz="0" w:space="0" w:color="auto"/>
      </w:divBdr>
      <w:divsChild>
        <w:div w:id="1369719892">
          <w:marLeft w:val="0"/>
          <w:marRight w:val="0"/>
          <w:marTop w:val="0"/>
          <w:marBottom w:val="0"/>
          <w:divBdr>
            <w:top w:val="none" w:sz="0" w:space="0" w:color="auto"/>
            <w:left w:val="none" w:sz="0" w:space="0" w:color="auto"/>
            <w:bottom w:val="none" w:sz="0" w:space="0" w:color="auto"/>
            <w:right w:val="none" w:sz="0" w:space="0" w:color="auto"/>
          </w:divBdr>
        </w:div>
      </w:divsChild>
    </w:div>
    <w:div w:id="2016954558">
      <w:bodyDiv w:val="1"/>
      <w:marLeft w:val="0"/>
      <w:marRight w:val="0"/>
      <w:marTop w:val="0"/>
      <w:marBottom w:val="0"/>
      <w:divBdr>
        <w:top w:val="none" w:sz="0" w:space="0" w:color="auto"/>
        <w:left w:val="none" w:sz="0" w:space="0" w:color="auto"/>
        <w:bottom w:val="none" w:sz="0" w:space="0" w:color="auto"/>
        <w:right w:val="none" w:sz="0" w:space="0" w:color="auto"/>
      </w:divBdr>
      <w:divsChild>
        <w:div w:id="924649279">
          <w:marLeft w:val="0"/>
          <w:marRight w:val="0"/>
          <w:marTop w:val="0"/>
          <w:marBottom w:val="0"/>
          <w:divBdr>
            <w:top w:val="none" w:sz="0" w:space="0" w:color="auto"/>
            <w:left w:val="none" w:sz="0" w:space="0" w:color="auto"/>
            <w:bottom w:val="none" w:sz="0" w:space="0" w:color="auto"/>
            <w:right w:val="none" w:sz="0" w:space="0" w:color="auto"/>
          </w:divBdr>
        </w:div>
      </w:divsChild>
    </w:div>
    <w:div w:id="2034187385">
      <w:bodyDiv w:val="1"/>
      <w:marLeft w:val="0"/>
      <w:marRight w:val="0"/>
      <w:marTop w:val="0"/>
      <w:marBottom w:val="0"/>
      <w:divBdr>
        <w:top w:val="none" w:sz="0" w:space="0" w:color="auto"/>
        <w:left w:val="none" w:sz="0" w:space="0" w:color="auto"/>
        <w:bottom w:val="none" w:sz="0" w:space="0" w:color="auto"/>
        <w:right w:val="none" w:sz="0" w:space="0" w:color="auto"/>
      </w:divBdr>
      <w:divsChild>
        <w:div w:id="1858041307">
          <w:marLeft w:val="0"/>
          <w:marRight w:val="0"/>
          <w:marTop w:val="0"/>
          <w:marBottom w:val="0"/>
          <w:divBdr>
            <w:top w:val="none" w:sz="0" w:space="0" w:color="auto"/>
            <w:left w:val="none" w:sz="0" w:space="0" w:color="auto"/>
            <w:bottom w:val="none" w:sz="0" w:space="0" w:color="auto"/>
            <w:right w:val="none" w:sz="0" w:space="0" w:color="auto"/>
          </w:divBdr>
        </w:div>
      </w:divsChild>
    </w:div>
    <w:div w:id="2062241410">
      <w:bodyDiv w:val="1"/>
      <w:marLeft w:val="0"/>
      <w:marRight w:val="0"/>
      <w:marTop w:val="0"/>
      <w:marBottom w:val="0"/>
      <w:divBdr>
        <w:top w:val="none" w:sz="0" w:space="0" w:color="auto"/>
        <w:left w:val="none" w:sz="0" w:space="0" w:color="auto"/>
        <w:bottom w:val="none" w:sz="0" w:space="0" w:color="auto"/>
        <w:right w:val="none" w:sz="0" w:space="0" w:color="auto"/>
      </w:divBdr>
      <w:divsChild>
        <w:div w:id="1089546086">
          <w:marLeft w:val="0"/>
          <w:marRight w:val="0"/>
          <w:marTop w:val="0"/>
          <w:marBottom w:val="0"/>
          <w:divBdr>
            <w:top w:val="none" w:sz="0" w:space="0" w:color="auto"/>
            <w:left w:val="none" w:sz="0" w:space="0" w:color="auto"/>
            <w:bottom w:val="none" w:sz="0" w:space="0" w:color="auto"/>
            <w:right w:val="none" w:sz="0" w:space="0" w:color="auto"/>
          </w:divBdr>
        </w:div>
      </w:divsChild>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093158061">
      <w:bodyDiv w:val="1"/>
      <w:marLeft w:val="0"/>
      <w:marRight w:val="0"/>
      <w:marTop w:val="0"/>
      <w:marBottom w:val="0"/>
      <w:divBdr>
        <w:top w:val="none" w:sz="0" w:space="0" w:color="auto"/>
        <w:left w:val="none" w:sz="0" w:space="0" w:color="auto"/>
        <w:bottom w:val="none" w:sz="0" w:space="0" w:color="auto"/>
        <w:right w:val="none" w:sz="0" w:space="0" w:color="auto"/>
      </w:divBdr>
      <w:divsChild>
        <w:div w:id="594558403">
          <w:marLeft w:val="0"/>
          <w:marRight w:val="0"/>
          <w:marTop w:val="0"/>
          <w:marBottom w:val="0"/>
          <w:divBdr>
            <w:top w:val="none" w:sz="0" w:space="0" w:color="auto"/>
            <w:left w:val="none" w:sz="0" w:space="0" w:color="auto"/>
            <w:bottom w:val="none" w:sz="0" w:space="0" w:color="auto"/>
            <w:right w:val="none" w:sz="0" w:space="0" w:color="auto"/>
          </w:divBdr>
        </w:div>
      </w:divsChild>
    </w:div>
    <w:div w:id="2125029649">
      <w:bodyDiv w:val="1"/>
      <w:marLeft w:val="0"/>
      <w:marRight w:val="0"/>
      <w:marTop w:val="0"/>
      <w:marBottom w:val="0"/>
      <w:divBdr>
        <w:top w:val="none" w:sz="0" w:space="0" w:color="auto"/>
        <w:left w:val="none" w:sz="0" w:space="0" w:color="auto"/>
        <w:bottom w:val="none" w:sz="0" w:space="0" w:color="auto"/>
        <w:right w:val="none" w:sz="0" w:space="0" w:color="auto"/>
      </w:divBdr>
      <w:divsChild>
        <w:div w:id="1238173753">
          <w:marLeft w:val="0"/>
          <w:marRight w:val="0"/>
          <w:marTop w:val="0"/>
          <w:marBottom w:val="0"/>
          <w:divBdr>
            <w:top w:val="none" w:sz="0" w:space="0" w:color="auto"/>
            <w:left w:val="none" w:sz="0" w:space="0" w:color="auto"/>
            <w:bottom w:val="none" w:sz="0" w:space="0" w:color="auto"/>
            <w:right w:val="none" w:sz="0" w:space="0" w:color="auto"/>
          </w:divBdr>
          <w:divsChild>
            <w:div w:id="260993506">
              <w:marLeft w:val="0"/>
              <w:marRight w:val="0"/>
              <w:marTop w:val="0"/>
              <w:marBottom w:val="0"/>
              <w:divBdr>
                <w:top w:val="none" w:sz="0" w:space="0" w:color="auto"/>
                <w:left w:val="none" w:sz="0" w:space="0" w:color="auto"/>
                <w:bottom w:val="none" w:sz="0" w:space="0" w:color="auto"/>
                <w:right w:val="none" w:sz="0" w:space="0" w:color="auto"/>
              </w:divBdr>
              <w:divsChild>
                <w:div w:id="1703438387">
                  <w:marLeft w:val="0"/>
                  <w:marRight w:val="0"/>
                  <w:marTop w:val="0"/>
                  <w:marBottom w:val="0"/>
                  <w:divBdr>
                    <w:top w:val="none" w:sz="0" w:space="0" w:color="auto"/>
                    <w:left w:val="none" w:sz="0" w:space="0" w:color="auto"/>
                    <w:bottom w:val="none" w:sz="0" w:space="0" w:color="auto"/>
                    <w:right w:val="none" w:sz="0" w:space="0" w:color="auto"/>
                  </w:divBdr>
                  <w:divsChild>
                    <w:div w:id="1748839947">
                      <w:marLeft w:val="0"/>
                      <w:marRight w:val="0"/>
                      <w:marTop w:val="0"/>
                      <w:marBottom w:val="0"/>
                      <w:divBdr>
                        <w:top w:val="none" w:sz="0" w:space="0" w:color="auto"/>
                        <w:left w:val="none" w:sz="0" w:space="0" w:color="auto"/>
                        <w:bottom w:val="none" w:sz="0" w:space="0" w:color="auto"/>
                        <w:right w:val="none" w:sz="0" w:space="0" w:color="auto"/>
                      </w:divBdr>
                      <w:divsChild>
                        <w:div w:id="1136679912">
                          <w:marLeft w:val="0"/>
                          <w:marRight w:val="0"/>
                          <w:marTop w:val="0"/>
                          <w:marBottom w:val="0"/>
                          <w:divBdr>
                            <w:top w:val="none" w:sz="0" w:space="0" w:color="auto"/>
                            <w:left w:val="none" w:sz="0" w:space="0" w:color="auto"/>
                            <w:bottom w:val="none" w:sz="0" w:space="0" w:color="auto"/>
                            <w:right w:val="none" w:sz="0" w:space="0" w:color="auto"/>
                          </w:divBdr>
                          <w:divsChild>
                            <w:div w:id="1185443336">
                              <w:marLeft w:val="0"/>
                              <w:marRight w:val="0"/>
                              <w:marTop w:val="0"/>
                              <w:marBottom w:val="0"/>
                              <w:divBdr>
                                <w:top w:val="none" w:sz="0" w:space="0" w:color="auto"/>
                                <w:left w:val="none" w:sz="0" w:space="0" w:color="auto"/>
                                <w:bottom w:val="none" w:sz="0" w:space="0" w:color="auto"/>
                                <w:right w:val="none" w:sz="0" w:space="0" w:color="auto"/>
                              </w:divBdr>
                              <w:divsChild>
                                <w:div w:id="211501733">
                                  <w:marLeft w:val="0"/>
                                  <w:marRight w:val="0"/>
                                  <w:marTop w:val="0"/>
                                  <w:marBottom w:val="0"/>
                                  <w:divBdr>
                                    <w:top w:val="none" w:sz="0" w:space="0" w:color="auto"/>
                                    <w:left w:val="none" w:sz="0" w:space="0" w:color="auto"/>
                                    <w:bottom w:val="none" w:sz="0" w:space="0" w:color="auto"/>
                                    <w:right w:val="none" w:sz="0" w:space="0" w:color="auto"/>
                                  </w:divBdr>
                                  <w:divsChild>
                                    <w:div w:id="157424609">
                                      <w:marLeft w:val="0"/>
                                      <w:marRight w:val="0"/>
                                      <w:marTop w:val="0"/>
                                      <w:marBottom w:val="0"/>
                                      <w:divBdr>
                                        <w:top w:val="none" w:sz="0" w:space="0" w:color="auto"/>
                                        <w:left w:val="none" w:sz="0" w:space="0" w:color="auto"/>
                                        <w:bottom w:val="none" w:sz="0" w:space="0" w:color="auto"/>
                                        <w:right w:val="none" w:sz="0" w:space="0" w:color="auto"/>
                                      </w:divBdr>
                                      <w:divsChild>
                                        <w:div w:id="1070156512">
                                          <w:marLeft w:val="0"/>
                                          <w:marRight w:val="0"/>
                                          <w:marTop w:val="0"/>
                                          <w:marBottom w:val="0"/>
                                          <w:divBdr>
                                            <w:top w:val="none" w:sz="0" w:space="0" w:color="auto"/>
                                            <w:left w:val="none" w:sz="0" w:space="0" w:color="auto"/>
                                            <w:bottom w:val="none" w:sz="0" w:space="0" w:color="auto"/>
                                            <w:right w:val="none" w:sz="0" w:space="0" w:color="auto"/>
                                          </w:divBdr>
                                          <w:divsChild>
                                            <w:div w:id="1477067649">
                                              <w:marLeft w:val="0"/>
                                              <w:marRight w:val="0"/>
                                              <w:marTop w:val="0"/>
                                              <w:marBottom w:val="0"/>
                                              <w:divBdr>
                                                <w:top w:val="none" w:sz="0" w:space="0" w:color="auto"/>
                                                <w:left w:val="none" w:sz="0" w:space="0" w:color="auto"/>
                                                <w:bottom w:val="none" w:sz="0" w:space="0" w:color="auto"/>
                                                <w:right w:val="none" w:sz="0" w:space="0" w:color="auto"/>
                                              </w:divBdr>
                                              <w:divsChild>
                                                <w:div w:id="385840786">
                                                  <w:marLeft w:val="0"/>
                                                  <w:marRight w:val="0"/>
                                                  <w:marTop w:val="0"/>
                                                  <w:marBottom w:val="0"/>
                                                  <w:divBdr>
                                                    <w:top w:val="none" w:sz="0" w:space="0" w:color="auto"/>
                                                    <w:left w:val="none" w:sz="0" w:space="0" w:color="auto"/>
                                                    <w:bottom w:val="none" w:sz="0" w:space="0" w:color="auto"/>
                                                    <w:right w:val="none" w:sz="0" w:space="0" w:color="auto"/>
                                                  </w:divBdr>
                                                  <w:divsChild>
                                                    <w:div w:id="156533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1415086">
              <w:marLeft w:val="0"/>
              <w:marRight w:val="0"/>
              <w:marTop w:val="0"/>
              <w:marBottom w:val="0"/>
              <w:divBdr>
                <w:top w:val="none" w:sz="0" w:space="0" w:color="auto"/>
                <w:left w:val="none" w:sz="0" w:space="0" w:color="auto"/>
                <w:bottom w:val="none" w:sz="0" w:space="0" w:color="auto"/>
                <w:right w:val="none" w:sz="0" w:space="0" w:color="auto"/>
              </w:divBdr>
              <w:divsChild>
                <w:div w:id="683627901">
                  <w:marLeft w:val="0"/>
                  <w:marRight w:val="0"/>
                  <w:marTop w:val="0"/>
                  <w:marBottom w:val="0"/>
                  <w:divBdr>
                    <w:top w:val="none" w:sz="0" w:space="0" w:color="auto"/>
                    <w:left w:val="none" w:sz="0" w:space="0" w:color="auto"/>
                    <w:bottom w:val="none" w:sz="0" w:space="0" w:color="auto"/>
                    <w:right w:val="none" w:sz="0" w:space="0" w:color="auto"/>
                  </w:divBdr>
                  <w:divsChild>
                    <w:div w:id="175853598">
                      <w:marLeft w:val="0"/>
                      <w:marRight w:val="0"/>
                      <w:marTop w:val="0"/>
                      <w:marBottom w:val="0"/>
                      <w:divBdr>
                        <w:top w:val="none" w:sz="0" w:space="0" w:color="auto"/>
                        <w:left w:val="none" w:sz="0" w:space="0" w:color="auto"/>
                        <w:bottom w:val="none" w:sz="0" w:space="0" w:color="auto"/>
                        <w:right w:val="none" w:sz="0" w:space="0" w:color="auto"/>
                      </w:divBdr>
                      <w:divsChild>
                        <w:div w:id="1336616349">
                          <w:marLeft w:val="0"/>
                          <w:marRight w:val="0"/>
                          <w:marTop w:val="0"/>
                          <w:marBottom w:val="0"/>
                          <w:divBdr>
                            <w:top w:val="none" w:sz="0" w:space="0" w:color="auto"/>
                            <w:left w:val="none" w:sz="0" w:space="0" w:color="auto"/>
                            <w:bottom w:val="none" w:sz="0" w:space="0" w:color="auto"/>
                            <w:right w:val="none" w:sz="0" w:space="0" w:color="auto"/>
                          </w:divBdr>
                          <w:divsChild>
                            <w:div w:id="1294942568">
                              <w:marLeft w:val="0"/>
                              <w:marRight w:val="0"/>
                              <w:marTop w:val="0"/>
                              <w:marBottom w:val="0"/>
                              <w:divBdr>
                                <w:top w:val="none" w:sz="0" w:space="0" w:color="auto"/>
                                <w:left w:val="none" w:sz="0" w:space="0" w:color="auto"/>
                                <w:bottom w:val="none" w:sz="0" w:space="0" w:color="auto"/>
                                <w:right w:val="none" w:sz="0" w:space="0" w:color="auto"/>
                              </w:divBdr>
                              <w:divsChild>
                                <w:div w:id="41505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884620">
      <w:bodyDiv w:val="1"/>
      <w:marLeft w:val="0"/>
      <w:marRight w:val="0"/>
      <w:marTop w:val="0"/>
      <w:marBottom w:val="0"/>
      <w:divBdr>
        <w:top w:val="none" w:sz="0" w:space="0" w:color="auto"/>
        <w:left w:val="none" w:sz="0" w:space="0" w:color="auto"/>
        <w:bottom w:val="none" w:sz="0" w:space="0" w:color="auto"/>
        <w:right w:val="none" w:sz="0" w:space="0" w:color="auto"/>
      </w:divBdr>
      <w:divsChild>
        <w:div w:id="320736016">
          <w:marLeft w:val="0"/>
          <w:marRight w:val="0"/>
          <w:marTop w:val="0"/>
          <w:marBottom w:val="0"/>
          <w:divBdr>
            <w:top w:val="none" w:sz="0" w:space="0" w:color="auto"/>
            <w:left w:val="none" w:sz="0" w:space="0" w:color="auto"/>
            <w:bottom w:val="none" w:sz="0" w:space="0" w:color="auto"/>
            <w:right w:val="none" w:sz="0" w:space="0" w:color="auto"/>
          </w:divBdr>
        </w:div>
        <w:div w:id="1152137667">
          <w:marLeft w:val="0"/>
          <w:marRight w:val="0"/>
          <w:marTop w:val="0"/>
          <w:marBottom w:val="0"/>
          <w:divBdr>
            <w:top w:val="none" w:sz="0" w:space="0" w:color="auto"/>
            <w:left w:val="none" w:sz="0" w:space="0" w:color="auto"/>
            <w:bottom w:val="none" w:sz="0" w:space="0" w:color="auto"/>
            <w:right w:val="none" w:sz="0" w:space="0" w:color="auto"/>
          </w:divBdr>
        </w:div>
      </w:divsChild>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 w:id="2145610087">
      <w:bodyDiv w:val="1"/>
      <w:marLeft w:val="0"/>
      <w:marRight w:val="0"/>
      <w:marTop w:val="0"/>
      <w:marBottom w:val="0"/>
      <w:divBdr>
        <w:top w:val="none" w:sz="0" w:space="0" w:color="auto"/>
        <w:left w:val="none" w:sz="0" w:space="0" w:color="auto"/>
        <w:bottom w:val="none" w:sz="0" w:space="0" w:color="auto"/>
        <w:right w:val="none" w:sz="0" w:space="0" w:color="auto"/>
      </w:divBdr>
      <w:divsChild>
        <w:div w:id="2147114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99B60-38CA-4187-A0C6-537D81852AAB}">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99</TotalTime>
  <Pages>1</Pages>
  <Words>31192</Words>
  <Characters>177797</Characters>
  <Application>Microsoft Office Word</Application>
  <DocSecurity>0</DocSecurity>
  <Lines>1481</Lines>
  <Paragraphs>417</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208572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Author</cp:lastModifiedBy>
  <cp:revision>17</cp:revision>
  <cp:lastPrinted>2026-07-28T09:41:00Z</cp:lastPrinted>
  <dcterms:created xsi:type="dcterms:W3CDTF">2026-07-24T21:16:00Z</dcterms:created>
  <dcterms:modified xsi:type="dcterms:W3CDTF">2026-07-28T10:02:00Z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d947ad09-1c82-4ddc-a97d-5ab76653826f</vt:lpwstr>
  </property>
</Properties>
</file>