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F7936" w14:textId="009B99E9" w:rsidR="00A0457B" w:rsidRPr="005F3659" w:rsidRDefault="00A0457B" w:rsidP="00A0457B">
      <w:pPr>
        <w:spacing w:line="276" w:lineRule="auto"/>
        <w:jc w:val="center"/>
        <w:rPr>
          <w:rFonts w:ascii="Times New Roman" w:hAnsi="Times New Roman" w:cs="Times New Roman"/>
          <w:b/>
          <w:sz w:val="24"/>
          <w:szCs w:val="24"/>
          <w:lang w:val="sq-AL"/>
        </w:rPr>
      </w:pPr>
      <w:bookmarkStart w:id="0" w:name="_GoBack"/>
      <w:bookmarkEnd w:id="0"/>
      <w:r w:rsidRPr="005F3659">
        <w:rPr>
          <w:rFonts w:ascii="Times New Roman" w:hAnsi="Times New Roman" w:cs="Times New Roman"/>
          <w:b/>
          <w:sz w:val="24"/>
          <w:szCs w:val="24"/>
          <w:lang w:val="sq-AL"/>
        </w:rPr>
        <w:t>RELACION</w:t>
      </w:r>
    </w:p>
    <w:p w14:paraId="51C6E5DA" w14:textId="1CC9E110" w:rsidR="007C1D03" w:rsidRPr="005F3659" w:rsidRDefault="00A0457B" w:rsidP="00A0457B">
      <w:pPr>
        <w:spacing w:line="276" w:lineRule="auto"/>
        <w:jc w:val="center"/>
        <w:rPr>
          <w:rFonts w:ascii="Times New Roman" w:hAnsi="Times New Roman" w:cs="Times New Roman"/>
          <w:b/>
          <w:sz w:val="24"/>
          <w:szCs w:val="24"/>
          <w:lang w:val="sq-AL"/>
        </w:rPr>
      </w:pPr>
      <w:r w:rsidRPr="005F3659">
        <w:rPr>
          <w:rFonts w:ascii="Times New Roman" w:hAnsi="Times New Roman" w:cs="Times New Roman"/>
          <w:b/>
          <w:sz w:val="24"/>
          <w:szCs w:val="24"/>
          <w:lang w:val="sq-AL"/>
        </w:rPr>
        <w:t>PËR PROJEKTLIGJIN</w:t>
      </w:r>
    </w:p>
    <w:p w14:paraId="07CBF17E" w14:textId="1733EF88" w:rsidR="00A0457B" w:rsidRPr="005F3659" w:rsidRDefault="00A0457B" w:rsidP="00A0457B">
      <w:pPr>
        <w:spacing w:line="276" w:lineRule="auto"/>
        <w:jc w:val="center"/>
        <w:rPr>
          <w:rFonts w:ascii="Times New Roman" w:hAnsi="Times New Roman" w:cs="Times New Roman"/>
          <w:b/>
          <w:sz w:val="24"/>
          <w:szCs w:val="24"/>
          <w:lang w:val="sq-AL"/>
        </w:rPr>
      </w:pPr>
      <w:r w:rsidRPr="005F3659">
        <w:rPr>
          <w:rFonts w:ascii="Times New Roman" w:hAnsi="Times New Roman" w:cs="Times New Roman"/>
          <w:b/>
          <w:sz w:val="24"/>
          <w:szCs w:val="24"/>
          <w:lang w:val="sq-AL"/>
        </w:rPr>
        <w:t>“PËR AGJENCINË SHTETËRORE TË PRONËS”</w:t>
      </w:r>
    </w:p>
    <w:p w14:paraId="3E79028F" w14:textId="77777777" w:rsidR="00A0457B" w:rsidRPr="00371AE2" w:rsidRDefault="00A0457B" w:rsidP="00A0457B">
      <w:pPr>
        <w:spacing w:line="276" w:lineRule="auto"/>
        <w:jc w:val="both"/>
        <w:rPr>
          <w:rFonts w:ascii="Times New Roman" w:hAnsi="Times New Roman" w:cs="Times New Roman"/>
          <w:sz w:val="24"/>
          <w:szCs w:val="24"/>
          <w:lang w:val="sq-AL"/>
        </w:rPr>
      </w:pPr>
    </w:p>
    <w:p w14:paraId="1F56D84C" w14:textId="6C6C3331" w:rsidR="00A0457B" w:rsidRPr="005F3659" w:rsidRDefault="00A0457B" w:rsidP="00A0457B">
      <w:pPr>
        <w:pStyle w:val="ListParagraph"/>
        <w:numPr>
          <w:ilvl w:val="0"/>
          <w:numId w:val="2"/>
        </w:numPr>
        <w:spacing w:line="276" w:lineRule="auto"/>
        <w:jc w:val="both"/>
        <w:rPr>
          <w:rFonts w:ascii="Times New Roman" w:hAnsi="Times New Roman" w:cs="Times New Roman"/>
          <w:b/>
          <w:sz w:val="24"/>
          <w:szCs w:val="24"/>
          <w:lang w:val="sq-AL"/>
        </w:rPr>
      </w:pPr>
      <w:bookmarkStart w:id="1" w:name="_Hlk225856369"/>
      <w:bookmarkStart w:id="2" w:name="_Hlk225764618"/>
      <w:r w:rsidRPr="005F3659">
        <w:rPr>
          <w:rFonts w:ascii="Times New Roman" w:hAnsi="Times New Roman" w:cs="Times New Roman"/>
          <w:b/>
          <w:sz w:val="24"/>
          <w:szCs w:val="24"/>
          <w:lang w:val="sq-AL"/>
        </w:rPr>
        <w:t>QËLLIMI I PROJEKTAKTIT DHE OBJEKTIVAT QË SYNOHEN TË ARRIHE</w:t>
      </w:r>
      <w:bookmarkEnd w:id="1"/>
      <w:r w:rsidRPr="005F3659">
        <w:rPr>
          <w:rFonts w:ascii="Times New Roman" w:hAnsi="Times New Roman" w:cs="Times New Roman"/>
          <w:b/>
          <w:sz w:val="24"/>
          <w:szCs w:val="24"/>
          <w:lang w:val="sq-AL"/>
        </w:rPr>
        <w:t>N</w:t>
      </w:r>
    </w:p>
    <w:p w14:paraId="3E9D1524" w14:textId="5014B014" w:rsidR="00667134" w:rsidRPr="005F3659" w:rsidRDefault="00667134" w:rsidP="00667134">
      <w:pPr>
        <w:spacing w:line="276" w:lineRule="auto"/>
        <w:jc w:val="both"/>
        <w:rPr>
          <w:rFonts w:ascii="Times New Roman" w:hAnsi="Times New Roman" w:cs="Times New Roman"/>
          <w:sz w:val="24"/>
          <w:szCs w:val="24"/>
          <w:lang w:val="sq-AL"/>
        </w:rPr>
      </w:pPr>
      <w:bookmarkStart w:id="3" w:name="_Hlk225856648"/>
      <w:bookmarkEnd w:id="2"/>
      <w:r w:rsidRPr="005F3659">
        <w:rPr>
          <w:rFonts w:ascii="Times New Roman" w:hAnsi="Times New Roman" w:cs="Times New Roman"/>
          <w:sz w:val="24"/>
          <w:szCs w:val="24"/>
          <w:lang w:val="sq-AL"/>
        </w:rPr>
        <w:t>Projektligji ka për qëllim riorganizimin e kuadrit institucional dhe funksional që rregullon administrimin e pronës së paluajtshme në Republikën e Shqipërisë, duke adresuar problematikat e akumuluara si pasojë e fragmentarizimit të kompetencave, mbivendosjes së përgjegjësive dhe koordinimit ndërmjet institucioneve përgjegjëse</w:t>
      </w:r>
      <w:r w:rsidR="00E45A9F" w:rsidRPr="005F3659">
        <w:rPr>
          <w:rFonts w:ascii="Times New Roman" w:hAnsi="Times New Roman" w:cs="Times New Roman"/>
          <w:sz w:val="24"/>
          <w:szCs w:val="24"/>
          <w:lang w:val="sq-AL"/>
        </w:rPr>
        <w:t xml:space="preserve"> </w:t>
      </w:r>
      <w:r w:rsidR="00A86833">
        <w:rPr>
          <w:rFonts w:ascii="Times New Roman" w:hAnsi="Times New Roman" w:cs="Times New Roman"/>
          <w:sz w:val="24"/>
          <w:szCs w:val="24"/>
          <w:lang w:val="sq-AL"/>
        </w:rPr>
        <w:t>pë</w:t>
      </w:r>
      <w:r w:rsidR="00E45A9F" w:rsidRPr="005F3659">
        <w:rPr>
          <w:rFonts w:ascii="Times New Roman" w:hAnsi="Times New Roman" w:cs="Times New Roman"/>
          <w:sz w:val="24"/>
          <w:szCs w:val="24"/>
          <w:lang w:val="sq-AL"/>
        </w:rPr>
        <w:t>r administrimi</w:t>
      </w:r>
      <w:r w:rsidR="00A86833">
        <w:rPr>
          <w:rFonts w:ascii="Times New Roman" w:hAnsi="Times New Roman" w:cs="Times New Roman"/>
          <w:sz w:val="24"/>
          <w:szCs w:val="24"/>
          <w:lang w:val="sq-AL"/>
        </w:rPr>
        <w:t>n dhe regjistrimin</w:t>
      </w:r>
      <w:r w:rsidRPr="005F3659">
        <w:rPr>
          <w:rFonts w:ascii="Times New Roman" w:hAnsi="Times New Roman" w:cs="Times New Roman"/>
          <w:sz w:val="24"/>
          <w:szCs w:val="24"/>
          <w:lang w:val="sq-AL"/>
        </w:rPr>
        <w:t>.</w:t>
      </w:r>
      <w:r w:rsidR="00E45A9F" w:rsidRPr="005F3659">
        <w:rPr>
          <w:rFonts w:ascii="Times New Roman" w:hAnsi="Times New Roman" w:cs="Times New Roman"/>
          <w:sz w:val="24"/>
          <w:szCs w:val="24"/>
          <w:lang w:val="sq-AL"/>
        </w:rPr>
        <w:t xml:space="preserve"> </w:t>
      </w:r>
      <w:r w:rsidRPr="005F3659">
        <w:rPr>
          <w:rFonts w:ascii="Times New Roman" w:hAnsi="Times New Roman" w:cs="Times New Roman"/>
          <w:sz w:val="24"/>
          <w:szCs w:val="24"/>
          <w:lang w:val="sq-AL"/>
        </w:rPr>
        <w:t>Ky projektligj nuk synon thjesht krijimin e një institucioni të ri, por konsiston në ndërtimin e një modeli të integruar të administrimit të pronës, i cili garanton një qasje koherente dhe të unifikuar në tre shtylla kryesore të menaxhimit të pasurisë së paluajtshme:</w:t>
      </w:r>
      <w:r w:rsidR="00A86833">
        <w:rPr>
          <w:rFonts w:ascii="Times New Roman" w:hAnsi="Times New Roman" w:cs="Times New Roman"/>
          <w:sz w:val="24"/>
          <w:szCs w:val="24"/>
          <w:lang w:val="sq-AL"/>
        </w:rPr>
        <w:t xml:space="preserve"> </w:t>
      </w:r>
    </w:p>
    <w:p w14:paraId="1BC550B0" w14:textId="4C4C21A7" w:rsidR="00667134" w:rsidRPr="005F3659" w:rsidRDefault="00667134" w:rsidP="000B1A24">
      <w:pPr>
        <w:pStyle w:val="ListParagraph"/>
        <w:numPr>
          <w:ilvl w:val="0"/>
          <w:numId w:val="31"/>
        </w:numPr>
        <w:spacing w:line="276" w:lineRule="auto"/>
        <w:ind w:left="360"/>
        <w:jc w:val="both"/>
        <w:rPr>
          <w:rFonts w:ascii="Times New Roman" w:hAnsi="Times New Roman" w:cs="Times New Roman"/>
          <w:sz w:val="24"/>
          <w:szCs w:val="24"/>
          <w:lang w:val="sq-AL"/>
        </w:rPr>
      </w:pPr>
      <w:r w:rsidRPr="005F3659">
        <w:rPr>
          <w:rFonts w:ascii="Times New Roman" w:hAnsi="Times New Roman" w:cs="Times New Roman"/>
          <w:bCs/>
          <w:sz w:val="24"/>
          <w:szCs w:val="24"/>
          <w:lang w:val="sq-AL"/>
        </w:rPr>
        <w:t>Regjistrimin kadastral</w:t>
      </w:r>
      <w:r w:rsidRPr="005F3659">
        <w:rPr>
          <w:rFonts w:ascii="Times New Roman" w:hAnsi="Times New Roman" w:cs="Times New Roman"/>
          <w:sz w:val="24"/>
          <w:szCs w:val="24"/>
          <w:lang w:val="sq-AL"/>
        </w:rPr>
        <w:t>, duke ruajtur dhe zhvilluar praktikën institucionale të Kadastrës ekzistuese, përfshirë proceset e digjitalizimit, regjistrimit fillestar dhe përmirësimit të regjistrave</w:t>
      </w:r>
      <w:r w:rsidR="00F908AD" w:rsidRPr="005F3659">
        <w:rPr>
          <w:rFonts w:ascii="Times New Roman" w:hAnsi="Times New Roman" w:cs="Times New Roman"/>
          <w:sz w:val="24"/>
          <w:szCs w:val="24"/>
          <w:lang w:val="sq-AL"/>
        </w:rPr>
        <w:t>.</w:t>
      </w:r>
    </w:p>
    <w:p w14:paraId="5145645C" w14:textId="547B5602" w:rsidR="00667134" w:rsidRPr="005F3659" w:rsidRDefault="00667134" w:rsidP="000B1A24">
      <w:pPr>
        <w:pStyle w:val="ListParagraph"/>
        <w:numPr>
          <w:ilvl w:val="0"/>
          <w:numId w:val="31"/>
        </w:numPr>
        <w:spacing w:line="276" w:lineRule="auto"/>
        <w:ind w:left="360"/>
        <w:jc w:val="both"/>
        <w:rPr>
          <w:rFonts w:ascii="Times New Roman" w:hAnsi="Times New Roman" w:cs="Times New Roman"/>
          <w:sz w:val="24"/>
          <w:szCs w:val="24"/>
          <w:lang w:val="sq-AL"/>
        </w:rPr>
      </w:pPr>
      <w:r w:rsidRPr="005F3659">
        <w:rPr>
          <w:rFonts w:ascii="Times New Roman" w:hAnsi="Times New Roman" w:cs="Times New Roman"/>
          <w:bCs/>
          <w:sz w:val="24"/>
          <w:szCs w:val="24"/>
          <w:lang w:val="sq-AL"/>
        </w:rPr>
        <w:t>Menaxhimin e pronës shtetërore</w:t>
      </w:r>
      <w:r w:rsidRPr="005F3659">
        <w:rPr>
          <w:rFonts w:ascii="Times New Roman" w:hAnsi="Times New Roman" w:cs="Times New Roman"/>
          <w:sz w:val="24"/>
          <w:szCs w:val="24"/>
          <w:lang w:val="sq-AL"/>
        </w:rPr>
        <w:t>, përfshirë inventarizimin, përditësimin dhe regjistrimin e pasurive të paluajtshme të shtetit, si dhe ushtrimin e kompetencave të parashikuara nga ligji për pronat e paluajtshme të Republikës së Shqipërisë</w:t>
      </w:r>
      <w:r w:rsidR="00F908AD" w:rsidRPr="005F3659">
        <w:rPr>
          <w:rFonts w:ascii="Times New Roman" w:hAnsi="Times New Roman" w:cs="Times New Roman"/>
          <w:sz w:val="24"/>
          <w:szCs w:val="24"/>
          <w:lang w:val="sq-AL"/>
        </w:rPr>
        <w:t>.</w:t>
      </w:r>
    </w:p>
    <w:p w14:paraId="29820E62" w14:textId="43B4DF71" w:rsidR="00667134" w:rsidRPr="005F3659" w:rsidRDefault="00667134" w:rsidP="000B1A24">
      <w:pPr>
        <w:pStyle w:val="ListParagraph"/>
        <w:numPr>
          <w:ilvl w:val="0"/>
          <w:numId w:val="31"/>
        </w:numPr>
        <w:spacing w:line="276" w:lineRule="auto"/>
        <w:ind w:left="360"/>
        <w:jc w:val="both"/>
        <w:rPr>
          <w:rFonts w:ascii="Times New Roman" w:hAnsi="Times New Roman" w:cs="Times New Roman"/>
          <w:sz w:val="24"/>
          <w:szCs w:val="24"/>
          <w:lang w:val="sq-AL"/>
        </w:rPr>
      </w:pPr>
      <w:r w:rsidRPr="005F3659">
        <w:rPr>
          <w:rFonts w:ascii="Times New Roman" w:hAnsi="Times New Roman" w:cs="Times New Roman"/>
          <w:bCs/>
          <w:sz w:val="24"/>
          <w:szCs w:val="24"/>
          <w:lang w:val="sq-AL"/>
        </w:rPr>
        <w:t xml:space="preserve">Përfundimin e proceseve kalimtare të pronësisë </w:t>
      </w:r>
      <w:r w:rsidR="00F908AD" w:rsidRPr="005F3659">
        <w:rPr>
          <w:rFonts w:ascii="Times New Roman" w:hAnsi="Times New Roman" w:cs="Times New Roman"/>
          <w:sz w:val="24"/>
          <w:szCs w:val="24"/>
          <w:lang w:val="sq-AL"/>
        </w:rPr>
        <w:t>për legalizimin e ndërtimeve dhe kalimin e tokave bujqësore, si</w:t>
      </w:r>
      <w:r w:rsidR="00F908AD" w:rsidRPr="005F3659">
        <w:rPr>
          <w:rFonts w:ascii="Times New Roman" w:hAnsi="Times New Roman" w:cs="Times New Roman"/>
          <w:bCs/>
          <w:sz w:val="24"/>
          <w:szCs w:val="24"/>
          <w:lang w:val="sq-AL"/>
        </w:rPr>
        <w:t xml:space="preserve"> </w:t>
      </w:r>
      <w:r w:rsidRPr="005F3659">
        <w:rPr>
          <w:rFonts w:ascii="Times New Roman" w:hAnsi="Times New Roman" w:cs="Times New Roman"/>
          <w:bCs/>
          <w:sz w:val="24"/>
          <w:szCs w:val="24"/>
          <w:lang w:val="sq-AL"/>
        </w:rPr>
        <w:t>dhe</w:t>
      </w:r>
      <w:r w:rsidR="00F908AD" w:rsidRPr="005F3659">
        <w:rPr>
          <w:rFonts w:ascii="Times New Roman" w:hAnsi="Times New Roman" w:cs="Times New Roman"/>
          <w:bCs/>
          <w:sz w:val="24"/>
          <w:szCs w:val="24"/>
          <w:lang w:val="sq-AL"/>
        </w:rPr>
        <w:t xml:space="preserve"> procesin e</w:t>
      </w:r>
      <w:r w:rsidRPr="005F3659">
        <w:rPr>
          <w:rFonts w:ascii="Times New Roman" w:hAnsi="Times New Roman" w:cs="Times New Roman"/>
          <w:bCs/>
          <w:sz w:val="24"/>
          <w:szCs w:val="24"/>
          <w:lang w:val="sq-AL"/>
        </w:rPr>
        <w:t xml:space="preserve"> trajtimit të pronës në kuadër të kompesimit</w:t>
      </w:r>
      <w:r w:rsidR="00F908AD" w:rsidRPr="005F3659">
        <w:rPr>
          <w:rFonts w:ascii="Times New Roman" w:hAnsi="Times New Roman" w:cs="Times New Roman"/>
          <w:sz w:val="24"/>
          <w:szCs w:val="24"/>
          <w:lang w:val="sq-AL"/>
        </w:rPr>
        <w:t>, sipas legjislacionit në fuqi</w:t>
      </w:r>
      <w:r w:rsidRPr="005F3659">
        <w:rPr>
          <w:rFonts w:ascii="Times New Roman" w:hAnsi="Times New Roman" w:cs="Times New Roman"/>
          <w:sz w:val="24"/>
          <w:szCs w:val="24"/>
          <w:lang w:val="sq-AL"/>
        </w:rPr>
        <w:t xml:space="preserve">. </w:t>
      </w:r>
    </w:p>
    <w:p w14:paraId="0F797360" w14:textId="3903E600" w:rsidR="00261474" w:rsidRPr="005F3659" w:rsidRDefault="00667134" w:rsidP="0026147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Projektligji synon të realizojë konsolidimin institucional përmes përqendrimit të këtyre funksioneve në një autoritet të vetëm, </w:t>
      </w:r>
      <w:r w:rsidRPr="005F3659">
        <w:rPr>
          <w:rFonts w:ascii="Times New Roman" w:hAnsi="Times New Roman" w:cs="Times New Roman"/>
          <w:bCs/>
          <w:sz w:val="24"/>
          <w:szCs w:val="24"/>
          <w:lang w:val="sq-AL"/>
        </w:rPr>
        <w:t>Agjencinë Shtetërore të Pronës – ASHP</w:t>
      </w:r>
      <w:r w:rsidRPr="005F3659">
        <w:rPr>
          <w:rFonts w:ascii="Times New Roman" w:hAnsi="Times New Roman" w:cs="Times New Roman"/>
          <w:sz w:val="24"/>
          <w:szCs w:val="24"/>
          <w:lang w:val="sq-AL"/>
        </w:rPr>
        <w:t xml:space="preserve">, duke krijuar kushtet për vendimmarrje më të shpejtë </w:t>
      </w:r>
      <w:r w:rsidR="00F908AD" w:rsidRPr="005F3659">
        <w:rPr>
          <w:rFonts w:ascii="Times New Roman" w:hAnsi="Times New Roman" w:cs="Times New Roman"/>
          <w:sz w:val="24"/>
          <w:szCs w:val="24"/>
          <w:lang w:val="sq-AL"/>
        </w:rPr>
        <w:t xml:space="preserve">dhe </w:t>
      </w:r>
      <w:r w:rsidRPr="005F3659">
        <w:rPr>
          <w:rFonts w:ascii="Times New Roman" w:hAnsi="Times New Roman" w:cs="Times New Roman"/>
          <w:sz w:val="24"/>
          <w:szCs w:val="24"/>
          <w:lang w:val="sq-AL"/>
        </w:rPr>
        <w:t xml:space="preserve">më të koordinuar. Ky riorganizim synon gjithashtu të eliminojë boshllëqet ligjore dhe ndërthurjet e kompetencave, që </w:t>
      </w:r>
      <w:r w:rsidR="005B1ABF" w:rsidRPr="005F3659">
        <w:rPr>
          <w:rFonts w:ascii="Times New Roman" w:hAnsi="Times New Roman" w:cs="Times New Roman"/>
          <w:sz w:val="24"/>
          <w:szCs w:val="24"/>
          <w:lang w:val="sq-AL"/>
        </w:rPr>
        <w:t>mund të</w:t>
      </w:r>
      <w:r w:rsidRPr="005F3659">
        <w:rPr>
          <w:rFonts w:ascii="Times New Roman" w:hAnsi="Times New Roman" w:cs="Times New Roman"/>
          <w:sz w:val="24"/>
          <w:szCs w:val="24"/>
          <w:lang w:val="sq-AL"/>
        </w:rPr>
        <w:t xml:space="preserve"> krijojnë hapësira për interpretime </w:t>
      </w:r>
      <w:r w:rsidR="005B1ABF" w:rsidRPr="005F3659">
        <w:rPr>
          <w:rFonts w:ascii="Times New Roman" w:hAnsi="Times New Roman" w:cs="Times New Roman"/>
          <w:sz w:val="24"/>
          <w:szCs w:val="24"/>
          <w:lang w:val="sq-AL"/>
        </w:rPr>
        <w:t xml:space="preserve">apo praktika administrative </w:t>
      </w:r>
      <w:r w:rsidRPr="005F3659">
        <w:rPr>
          <w:rFonts w:ascii="Times New Roman" w:hAnsi="Times New Roman" w:cs="Times New Roman"/>
          <w:sz w:val="24"/>
          <w:szCs w:val="24"/>
          <w:lang w:val="sq-AL"/>
        </w:rPr>
        <w:t>të ndryshme.</w:t>
      </w:r>
      <w:r w:rsidR="00612454" w:rsidRPr="005F3659">
        <w:rPr>
          <w:rFonts w:ascii="Times New Roman" w:hAnsi="Times New Roman" w:cs="Times New Roman"/>
          <w:sz w:val="24"/>
          <w:szCs w:val="24"/>
          <w:lang w:val="sq-AL"/>
        </w:rPr>
        <w:t xml:space="preserve"> </w:t>
      </w:r>
      <w:r w:rsidRPr="005F3659">
        <w:rPr>
          <w:rFonts w:ascii="Times New Roman" w:hAnsi="Times New Roman" w:cs="Times New Roman"/>
          <w:sz w:val="24"/>
          <w:szCs w:val="24"/>
          <w:lang w:val="sq-AL"/>
        </w:rPr>
        <w:t xml:space="preserve">Projektligji ruan dhe përsos kompetencat ekzistuese të Kadastrës dhe të Agjencisë së Trajtimit të Pronës, duke i përfshirë ato në strukturën e </w:t>
      </w:r>
      <w:r w:rsidR="00F908AD" w:rsidRPr="005F3659">
        <w:rPr>
          <w:rFonts w:ascii="Times New Roman" w:hAnsi="Times New Roman" w:cs="Times New Roman"/>
          <w:sz w:val="24"/>
          <w:szCs w:val="24"/>
          <w:lang w:val="sq-AL"/>
        </w:rPr>
        <w:t>Agjencisë së rë</w:t>
      </w:r>
      <w:r w:rsidR="00612454" w:rsidRPr="005F3659">
        <w:rPr>
          <w:rFonts w:ascii="Times New Roman" w:hAnsi="Times New Roman" w:cs="Times New Roman"/>
          <w:sz w:val="24"/>
          <w:szCs w:val="24"/>
          <w:lang w:val="sq-AL"/>
        </w:rPr>
        <w:t>.</w:t>
      </w:r>
      <w:r w:rsidRPr="005F3659">
        <w:rPr>
          <w:rFonts w:ascii="Times New Roman" w:hAnsi="Times New Roman" w:cs="Times New Roman"/>
          <w:sz w:val="24"/>
          <w:szCs w:val="24"/>
          <w:lang w:val="sq-AL"/>
        </w:rPr>
        <w:t xml:space="preserve"> </w:t>
      </w:r>
      <w:r w:rsidR="00F908AD" w:rsidRPr="005F3659">
        <w:rPr>
          <w:rFonts w:ascii="Times New Roman" w:hAnsi="Times New Roman" w:cs="Times New Roman"/>
          <w:sz w:val="24"/>
          <w:szCs w:val="24"/>
          <w:lang w:val="sq-AL"/>
        </w:rPr>
        <w:t xml:space="preserve"> </w:t>
      </w:r>
      <w:r w:rsidRPr="005F3659">
        <w:rPr>
          <w:rFonts w:ascii="Times New Roman" w:hAnsi="Times New Roman" w:cs="Times New Roman"/>
          <w:sz w:val="24"/>
          <w:szCs w:val="24"/>
          <w:lang w:val="sq-AL"/>
        </w:rPr>
        <w:t>Në</w:t>
      </w:r>
      <w:r w:rsidR="00261474" w:rsidRPr="005F3659">
        <w:rPr>
          <w:rFonts w:ascii="Times New Roman" w:hAnsi="Times New Roman" w:cs="Times New Roman"/>
          <w:sz w:val="24"/>
          <w:szCs w:val="24"/>
          <w:lang w:val="sq-AL"/>
        </w:rPr>
        <w:t xml:space="preserve"> mënyrë të përmbledhur</w:t>
      </w:r>
      <w:r w:rsidRPr="005F3659">
        <w:rPr>
          <w:rFonts w:ascii="Times New Roman" w:hAnsi="Times New Roman" w:cs="Times New Roman"/>
          <w:sz w:val="24"/>
          <w:szCs w:val="24"/>
          <w:lang w:val="sq-AL"/>
        </w:rPr>
        <w:t>, objektivat kryesore që synohen të arrihen përmes këtij projektligji janë:</w:t>
      </w:r>
      <w:r w:rsidR="00E45A9F" w:rsidRPr="005F3659">
        <w:rPr>
          <w:rFonts w:ascii="Times New Roman" w:hAnsi="Times New Roman" w:cs="Times New Roman"/>
          <w:sz w:val="24"/>
          <w:szCs w:val="24"/>
          <w:lang w:val="sq-AL"/>
        </w:rPr>
        <w:t xml:space="preserve"> </w:t>
      </w:r>
    </w:p>
    <w:p w14:paraId="6BE7F509" w14:textId="6F796523" w:rsidR="00261474" w:rsidRPr="005F3659" w:rsidRDefault="00667134" w:rsidP="000B1A24">
      <w:pPr>
        <w:pStyle w:val="ListParagraph"/>
        <w:numPr>
          <w:ilvl w:val="0"/>
          <w:numId w:val="32"/>
        </w:numPr>
        <w:spacing w:line="276" w:lineRule="auto"/>
        <w:ind w:left="360"/>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Ndërtimi i një sistemi të integruar të administrimit të pasurisë së paluajtshme shtetërore dhe private</w:t>
      </w:r>
      <w:r w:rsidR="00520823" w:rsidRPr="005F3659">
        <w:rPr>
          <w:rFonts w:ascii="Times New Roman" w:hAnsi="Times New Roman" w:cs="Times New Roman"/>
          <w:sz w:val="24"/>
          <w:szCs w:val="24"/>
          <w:lang w:val="sq-AL"/>
        </w:rPr>
        <w:t xml:space="preserve"> në Republikën e Shqipërisë</w:t>
      </w:r>
      <w:r w:rsidRPr="005F3659">
        <w:rPr>
          <w:rFonts w:ascii="Times New Roman" w:hAnsi="Times New Roman" w:cs="Times New Roman"/>
          <w:sz w:val="24"/>
          <w:szCs w:val="24"/>
          <w:lang w:val="sq-AL"/>
        </w:rPr>
        <w:t xml:space="preserve">; </w:t>
      </w:r>
    </w:p>
    <w:p w14:paraId="25AAF321" w14:textId="4C616EC6" w:rsidR="00261474" w:rsidRPr="005F3659" w:rsidRDefault="00667134" w:rsidP="000B1A24">
      <w:pPr>
        <w:pStyle w:val="ListParagraph"/>
        <w:numPr>
          <w:ilvl w:val="0"/>
          <w:numId w:val="32"/>
        </w:numPr>
        <w:spacing w:line="276" w:lineRule="auto"/>
        <w:ind w:left="360"/>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Forcimi i menaxhimit </w:t>
      </w:r>
      <w:r w:rsidR="00261474" w:rsidRPr="005F3659">
        <w:rPr>
          <w:rFonts w:ascii="Times New Roman" w:hAnsi="Times New Roman" w:cs="Times New Roman"/>
          <w:sz w:val="24"/>
          <w:szCs w:val="24"/>
          <w:lang w:val="sq-AL"/>
        </w:rPr>
        <w:t xml:space="preserve">të </w:t>
      </w:r>
      <w:r w:rsidRPr="005F3659">
        <w:rPr>
          <w:rFonts w:ascii="Times New Roman" w:hAnsi="Times New Roman" w:cs="Times New Roman"/>
          <w:sz w:val="24"/>
          <w:szCs w:val="24"/>
          <w:lang w:val="sq-AL"/>
        </w:rPr>
        <w:t>pronës shtetërore</w:t>
      </w:r>
      <w:r w:rsidR="00261474" w:rsidRPr="005F3659">
        <w:rPr>
          <w:rFonts w:ascii="Times New Roman" w:hAnsi="Times New Roman" w:cs="Times New Roman"/>
          <w:sz w:val="24"/>
          <w:szCs w:val="24"/>
          <w:lang w:val="sq-AL"/>
        </w:rPr>
        <w:t xml:space="preserve"> nëpërmjet </w:t>
      </w:r>
      <w:r w:rsidR="00F908AD" w:rsidRPr="005F3659">
        <w:rPr>
          <w:rFonts w:ascii="Times New Roman" w:hAnsi="Times New Roman" w:cs="Times New Roman"/>
          <w:sz w:val="24"/>
          <w:szCs w:val="24"/>
          <w:lang w:val="sq-AL"/>
        </w:rPr>
        <w:t xml:space="preserve">inventarizimit, përditësimi dhe </w:t>
      </w:r>
      <w:r w:rsidR="00261474" w:rsidRPr="005F3659">
        <w:rPr>
          <w:rFonts w:ascii="Times New Roman" w:hAnsi="Times New Roman" w:cs="Times New Roman"/>
          <w:sz w:val="24"/>
          <w:szCs w:val="24"/>
          <w:lang w:val="sq-AL"/>
        </w:rPr>
        <w:t>regjistrimit të saktë</w:t>
      </w:r>
      <w:r w:rsidR="00F908AD" w:rsidRPr="005F3659">
        <w:rPr>
          <w:rFonts w:ascii="Times New Roman" w:hAnsi="Times New Roman" w:cs="Times New Roman"/>
          <w:sz w:val="24"/>
          <w:szCs w:val="24"/>
          <w:lang w:val="sq-AL"/>
        </w:rPr>
        <w:t xml:space="preserve"> të saj</w:t>
      </w:r>
      <w:r w:rsidRPr="005F3659">
        <w:rPr>
          <w:rFonts w:ascii="Times New Roman" w:hAnsi="Times New Roman" w:cs="Times New Roman"/>
          <w:sz w:val="24"/>
          <w:szCs w:val="24"/>
          <w:lang w:val="sq-AL"/>
        </w:rPr>
        <w:t xml:space="preserve">; </w:t>
      </w:r>
    </w:p>
    <w:p w14:paraId="099CD87B" w14:textId="3C42BF34" w:rsidR="00261474" w:rsidRPr="005F3659" w:rsidRDefault="00667134" w:rsidP="000B1A24">
      <w:pPr>
        <w:pStyle w:val="ListParagraph"/>
        <w:numPr>
          <w:ilvl w:val="0"/>
          <w:numId w:val="32"/>
        </w:numPr>
        <w:spacing w:line="276" w:lineRule="auto"/>
        <w:ind w:left="360"/>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Përmbyllja e proceseve </w:t>
      </w:r>
      <w:r w:rsidR="00F908AD" w:rsidRPr="005F3659">
        <w:rPr>
          <w:rFonts w:ascii="Times New Roman" w:hAnsi="Times New Roman" w:cs="Times New Roman"/>
          <w:sz w:val="24"/>
          <w:szCs w:val="24"/>
          <w:lang w:val="sq-AL"/>
        </w:rPr>
        <w:t xml:space="preserve">të </w:t>
      </w:r>
      <w:r w:rsidRPr="005F3659">
        <w:rPr>
          <w:rFonts w:ascii="Times New Roman" w:hAnsi="Times New Roman" w:cs="Times New Roman"/>
          <w:sz w:val="24"/>
          <w:szCs w:val="24"/>
          <w:lang w:val="sq-AL"/>
        </w:rPr>
        <w:t>pronësisë</w:t>
      </w:r>
      <w:r w:rsidR="00261474" w:rsidRPr="005F3659">
        <w:rPr>
          <w:rFonts w:ascii="Times New Roman" w:hAnsi="Times New Roman" w:cs="Times New Roman"/>
          <w:sz w:val="24"/>
          <w:szCs w:val="24"/>
          <w:lang w:val="sq-AL"/>
        </w:rPr>
        <w:t xml:space="preserve"> me natyrë kalimtare</w:t>
      </w:r>
      <w:r w:rsidR="00520823" w:rsidRPr="005F3659">
        <w:rPr>
          <w:rFonts w:ascii="Times New Roman" w:hAnsi="Times New Roman" w:cs="Times New Roman"/>
          <w:sz w:val="24"/>
          <w:szCs w:val="24"/>
          <w:lang w:val="sq-AL"/>
        </w:rPr>
        <w:t>, përkatësisht:</w:t>
      </w:r>
      <w:r w:rsidRPr="005F3659">
        <w:rPr>
          <w:rFonts w:ascii="Times New Roman" w:hAnsi="Times New Roman" w:cs="Times New Roman"/>
          <w:sz w:val="24"/>
          <w:szCs w:val="24"/>
          <w:lang w:val="sq-AL"/>
        </w:rPr>
        <w:t xml:space="preserve"> legalizimi, kalimi </w:t>
      </w:r>
      <w:r w:rsidR="00F908AD" w:rsidRPr="005F3659">
        <w:rPr>
          <w:rFonts w:ascii="Times New Roman" w:hAnsi="Times New Roman" w:cs="Times New Roman"/>
          <w:sz w:val="24"/>
          <w:szCs w:val="24"/>
          <w:lang w:val="sq-AL"/>
        </w:rPr>
        <w:t>i</w:t>
      </w:r>
      <w:r w:rsidRPr="005F3659">
        <w:rPr>
          <w:rFonts w:ascii="Times New Roman" w:hAnsi="Times New Roman" w:cs="Times New Roman"/>
          <w:sz w:val="24"/>
          <w:szCs w:val="24"/>
          <w:lang w:val="sq-AL"/>
        </w:rPr>
        <w:t xml:space="preserve"> pronësisë së tokave bujqësore dhe </w:t>
      </w:r>
      <w:r w:rsidR="00F908AD" w:rsidRPr="005F3659">
        <w:rPr>
          <w:rFonts w:ascii="Times New Roman" w:hAnsi="Times New Roman" w:cs="Times New Roman"/>
          <w:sz w:val="24"/>
          <w:szCs w:val="24"/>
          <w:lang w:val="sq-AL"/>
        </w:rPr>
        <w:t>kompesimi</w:t>
      </w:r>
      <w:r w:rsidRPr="005F3659">
        <w:rPr>
          <w:rFonts w:ascii="Times New Roman" w:hAnsi="Times New Roman" w:cs="Times New Roman"/>
          <w:sz w:val="24"/>
          <w:szCs w:val="24"/>
          <w:lang w:val="sq-AL"/>
        </w:rPr>
        <w:t xml:space="preserve"> </w:t>
      </w:r>
      <w:r w:rsidR="00F908AD" w:rsidRPr="005F3659">
        <w:rPr>
          <w:rFonts w:ascii="Times New Roman" w:hAnsi="Times New Roman" w:cs="Times New Roman"/>
          <w:sz w:val="24"/>
          <w:szCs w:val="24"/>
          <w:lang w:val="sq-AL"/>
        </w:rPr>
        <w:t xml:space="preserve">i </w:t>
      </w:r>
      <w:r w:rsidRPr="005F3659">
        <w:rPr>
          <w:rFonts w:ascii="Times New Roman" w:hAnsi="Times New Roman" w:cs="Times New Roman"/>
          <w:sz w:val="24"/>
          <w:szCs w:val="24"/>
          <w:lang w:val="sq-AL"/>
        </w:rPr>
        <w:t>pronës</w:t>
      </w:r>
      <w:r w:rsidR="00520823" w:rsidRPr="005F3659">
        <w:rPr>
          <w:rFonts w:ascii="Times New Roman" w:hAnsi="Times New Roman" w:cs="Times New Roman"/>
          <w:sz w:val="24"/>
          <w:szCs w:val="24"/>
          <w:lang w:val="sq-AL"/>
        </w:rPr>
        <w:t xml:space="preserve"> për ish-pronarët</w:t>
      </w:r>
      <w:r w:rsidR="00F908AD" w:rsidRPr="005F3659">
        <w:rPr>
          <w:rFonts w:ascii="Times New Roman" w:hAnsi="Times New Roman" w:cs="Times New Roman"/>
          <w:sz w:val="24"/>
          <w:szCs w:val="24"/>
          <w:lang w:val="sq-AL"/>
        </w:rPr>
        <w:t>.</w:t>
      </w:r>
    </w:p>
    <w:p w14:paraId="096014CC" w14:textId="6104883C" w:rsidR="00776C12" w:rsidRPr="005F3659" w:rsidRDefault="00612454" w:rsidP="000B1A2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lastRenderedPageBreak/>
        <w:t xml:space="preserve">Për sa më sipër, ASHP </w:t>
      </w:r>
      <w:r w:rsidR="00F908AD" w:rsidRPr="005F3659">
        <w:rPr>
          <w:rFonts w:ascii="Times New Roman" w:hAnsi="Times New Roman" w:cs="Times New Roman"/>
          <w:sz w:val="24"/>
          <w:szCs w:val="24"/>
          <w:lang w:val="sq-AL"/>
        </w:rPr>
        <w:t xml:space="preserve">sipas këtij projektligji, </w:t>
      </w:r>
      <w:r w:rsidRPr="005F3659">
        <w:rPr>
          <w:rFonts w:ascii="Times New Roman" w:hAnsi="Times New Roman" w:cs="Times New Roman"/>
          <w:sz w:val="24"/>
          <w:szCs w:val="24"/>
          <w:lang w:val="sq-AL"/>
        </w:rPr>
        <w:t xml:space="preserve">konceptohet </w:t>
      </w:r>
      <w:r w:rsidR="00F908AD" w:rsidRPr="005F3659">
        <w:rPr>
          <w:rFonts w:ascii="Times New Roman" w:hAnsi="Times New Roman" w:cs="Times New Roman"/>
          <w:sz w:val="24"/>
          <w:szCs w:val="24"/>
          <w:lang w:val="sq-AL"/>
        </w:rPr>
        <w:t xml:space="preserve">të operojë </w:t>
      </w:r>
      <w:r w:rsidRPr="005F3659">
        <w:rPr>
          <w:rFonts w:ascii="Times New Roman" w:hAnsi="Times New Roman" w:cs="Times New Roman"/>
          <w:sz w:val="24"/>
          <w:szCs w:val="24"/>
          <w:lang w:val="sq-AL"/>
        </w:rPr>
        <w:t xml:space="preserve">si regjistri i pronave </w:t>
      </w:r>
      <w:r w:rsidR="00A86833">
        <w:rPr>
          <w:rFonts w:ascii="Times New Roman" w:hAnsi="Times New Roman" w:cs="Times New Roman"/>
          <w:sz w:val="24"/>
          <w:szCs w:val="24"/>
          <w:lang w:val="sq-AL"/>
        </w:rPr>
        <w:t xml:space="preserve">të paluajtshme </w:t>
      </w:r>
      <w:r w:rsidRPr="005F3659">
        <w:rPr>
          <w:rFonts w:ascii="Times New Roman" w:hAnsi="Times New Roman" w:cs="Times New Roman"/>
          <w:sz w:val="24"/>
          <w:szCs w:val="24"/>
          <w:lang w:val="sq-AL"/>
        </w:rPr>
        <w:t xml:space="preserve">që mbledh dhe mirëmban informacion të përditësuar mbi çdo pasuri të paluajtshme, private dhe shtetërore, duke garantuar një shërbim administrativ të unifikuar dhe efikas. </w:t>
      </w:r>
      <w:bookmarkEnd w:id="3"/>
    </w:p>
    <w:p w14:paraId="188BB578" w14:textId="77777777" w:rsidR="000B1A24" w:rsidRPr="00371AE2" w:rsidRDefault="000B1A24" w:rsidP="000B1A24">
      <w:pPr>
        <w:spacing w:line="276" w:lineRule="auto"/>
        <w:jc w:val="both"/>
        <w:rPr>
          <w:rFonts w:ascii="Times New Roman" w:hAnsi="Times New Roman" w:cs="Times New Roman"/>
          <w:sz w:val="24"/>
          <w:szCs w:val="24"/>
          <w:lang w:val="sq-AL"/>
        </w:rPr>
      </w:pPr>
    </w:p>
    <w:p w14:paraId="7FEDB2B7" w14:textId="26621A7B" w:rsidR="00A0457B" w:rsidRPr="005F3659" w:rsidRDefault="00A0457B" w:rsidP="00A0457B">
      <w:pPr>
        <w:pStyle w:val="ListParagraph"/>
        <w:numPr>
          <w:ilvl w:val="0"/>
          <w:numId w:val="2"/>
        </w:numPr>
        <w:spacing w:line="276" w:lineRule="auto"/>
        <w:jc w:val="both"/>
        <w:rPr>
          <w:rFonts w:ascii="Times New Roman" w:hAnsi="Times New Roman" w:cs="Times New Roman"/>
          <w:b/>
          <w:sz w:val="24"/>
          <w:szCs w:val="24"/>
          <w:lang w:val="sq-AL"/>
        </w:rPr>
      </w:pPr>
      <w:bookmarkStart w:id="4" w:name="_Hlk225770619"/>
      <w:r w:rsidRPr="005F3659">
        <w:rPr>
          <w:rFonts w:ascii="Times New Roman" w:hAnsi="Times New Roman" w:cs="Times New Roman"/>
          <w:b/>
          <w:sz w:val="24"/>
          <w:szCs w:val="24"/>
          <w:lang w:val="sq-AL"/>
        </w:rPr>
        <w:t>VLERËSIMI I PROJEKTAKTIT NË RAPORT ME PROGRAMIN POLITIK TË KËSHILLIT TË MINISTRAVE, ME PROGRAMIN ANALITIK TË AKTEVE DHE DOKUMENTE TË TJERA POLITIKE</w:t>
      </w:r>
      <w:bookmarkEnd w:id="4"/>
    </w:p>
    <w:p w14:paraId="58FA03E2" w14:textId="04DE43DA" w:rsidR="00776C15" w:rsidRPr="005F3659" w:rsidRDefault="00776C15" w:rsidP="00776C15">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Projektligji i propozuar është në përputhje të plotë me prioritetet strategjike të programit politik të Këshillit të Ministrave, si dhe me dokumentet kryesore të planifikimit dhe politikëbërjes në fushën e zhvillimit ekonomik, sundimit të ligjit dhe menaxhimit të qëndrueshëm të burimeve publike.</w:t>
      </w:r>
    </w:p>
    <w:p w14:paraId="6D1C49CE" w14:textId="3AB5F0F6" w:rsidR="00776C15" w:rsidRPr="005F3659" w:rsidRDefault="00776C15" w:rsidP="00776C15">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Projektligji reflekton drejtpërdrejt orientimet e përcaktuara në Vendimin e Këshillit të Ministrave nr. 91, datë 12.2.2025 “</w:t>
      </w:r>
      <w:r w:rsidRPr="005F3659">
        <w:rPr>
          <w:rFonts w:ascii="Times New Roman" w:hAnsi="Times New Roman" w:cs="Times New Roman"/>
          <w:i/>
          <w:sz w:val="24"/>
          <w:szCs w:val="24"/>
          <w:lang w:val="sq-AL"/>
        </w:rPr>
        <w:t>Për miratimin e dokumentit të politikave prioritare 2026–2028</w:t>
      </w:r>
      <w:r w:rsidRPr="005F3659">
        <w:rPr>
          <w:rFonts w:ascii="Times New Roman" w:hAnsi="Times New Roman" w:cs="Times New Roman"/>
          <w:sz w:val="24"/>
          <w:szCs w:val="24"/>
          <w:lang w:val="sq-AL"/>
        </w:rPr>
        <w:t>”, ku proceset kadastrale dhe regjistrimi i pasurive të paluajtshme janë identifikuar si fusha prioritare ndërhyrjeje. Në kuadër të Kreut I, pika 1.1 “</w:t>
      </w:r>
      <w:r w:rsidRPr="005F3659">
        <w:rPr>
          <w:rFonts w:ascii="Times New Roman" w:hAnsi="Times New Roman" w:cs="Times New Roman"/>
          <w:i/>
          <w:sz w:val="24"/>
          <w:szCs w:val="24"/>
          <w:lang w:val="sq-AL"/>
        </w:rPr>
        <w:t>Reformat afatmesme dhe afatgjata të qeverisë shqiptare</w:t>
      </w:r>
      <w:r w:rsidRPr="005F3659">
        <w:rPr>
          <w:rFonts w:ascii="Times New Roman" w:hAnsi="Times New Roman" w:cs="Times New Roman"/>
          <w:sz w:val="24"/>
          <w:szCs w:val="24"/>
          <w:lang w:val="sq-AL"/>
        </w:rPr>
        <w:t xml:space="preserve">”, dhe në veçanti të </w:t>
      </w:r>
      <w:r w:rsidR="00097FC5" w:rsidRPr="005F3659">
        <w:rPr>
          <w:rFonts w:ascii="Times New Roman" w:hAnsi="Times New Roman" w:cs="Times New Roman"/>
          <w:sz w:val="24"/>
          <w:szCs w:val="24"/>
          <w:lang w:val="sq-AL"/>
        </w:rPr>
        <w:t>element</w:t>
      </w:r>
      <w:r w:rsidRPr="005F3659">
        <w:rPr>
          <w:rFonts w:ascii="Times New Roman" w:hAnsi="Times New Roman" w:cs="Times New Roman"/>
          <w:sz w:val="24"/>
          <w:szCs w:val="24"/>
          <w:lang w:val="sq-AL"/>
        </w:rPr>
        <w:t>it “</w:t>
      </w:r>
      <w:r w:rsidRPr="005F3659">
        <w:rPr>
          <w:rFonts w:ascii="Times New Roman" w:hAnsi="Times New Roman" w:cs="Times New Roman"/>
          <w:i/>
          <w:sz w:val="24"/>
          <w:szCs w:val="24"/>
          <w:lang w:val="sq-AL"/>
        </w:rPr>
        <w:t>Plani i ri i rritjes, instrumenti për reforma dhe rritje dhe agjenda e reformave</w:t>
      </w:r>
      <w:r w:rsidRPr="005F3659">
        <w:rPr>
          <w:rFonts w:ascii="Times New Roman" w:hAnsi="Times New Roman" w:cs="Times New Roman"/>
          <w:sz w:val="24"/>
          <w:szCs w:val="24"/>
          <w:lang w:val="sq-AL"/>
        </w:rPr>
        <w:t>”, projektakti kontribuon drejtpërdrejt në përmbushjen e objektivave të lidhura me përmirësimin e klimës së biznesit.</w:t>
      </w:r>
    </w:p>
    <w:p w14:paraId="3B2915BA" w14:textId="00259398" w:rsidR="00776C15" w:rsidRPr="005F3659" w:rsidRDefault="00776C15" w:rsidP="00776C15">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Në këtë drejtim, krijimi i një strukture të integruar </w:t>
      </w:r>
      <w:r w:rsidR="002A47BB">
        <w:rPr>
          <w:rFonts w:ascii="Times New Roman" w:hAnsi="Times New Roman" w:cs="Times New Roman"/>
          <w:sz w:val="24"/>
          <w:szCs w:val="24"/>
          <w:lang w:val="sq-AL"/>
        </w:rPr>
        <w:t xml:space="preserve">si </w:t>
      </w:r>
      <w:r w:rsidRPr="005F3659">
        <w:rPr>
          <w:rFonts w:ascii="Times New Roman" w:hAnsi="Times New Roman" w:cs="Times New Roman"/>
          <w:sz w:val="24"/>
          <w:szCs w:val="24"/>
          <w:lang w:val="sq-AL"/>
        </w:rPr>
        <w:t xml:space="preserve">Agjencia Shtetërore e Pronës synon të përmirësojë transparencën dhe efikasitetin e shërbimeve në fushën e kadastrës dhe të administrimit të pronës, si për qytetarët, ashtu edhe për subjektet tregtare. Njëkohësisht, projektakti mbështet arritjen e objektivave konkrete të përcaktuara në dokumentin e sipërcituar, si përfundimi i regjistrimit fillestar të territorit dhe digjitalizimi i plotë i të dhënave kadastrale. </w:t>
      </w:r>
      <w:r w:rsidR="00E45A9F" w:rsidRPr="005F3659">
        <w:rPr>
          <w:rFonts w:ascii="Times New Roman" w:hAnsi="Times New Roman" w:cs="Times New Roman"/>
          <w:sz w:val="24"/>
          <w:szCs w:val="24"/>
          <w:lang w:val="sq-AL"/>
        </w:rPr>
        <w:t>Projektligji krijon kushtet për një koordinim më të mirë operacional dhe përshpejtim të proceseve, d</w:t>
      </w:r>
      <w:r w:rsidRPr="005F3659">
        <w:rPr>
          <w:rFonts w:ascii="Times New Roman" w:hAnsi="Times New Roman" w:cs="Times New Roman"/>
          <w:sz w:val="24"/>
          <w:szCs w:val="24"/>
          <w:lang w:val="sq-AL"/>
        </w:rPr>
        <w:t xml:space="preserve">uke ruajtur të pandryshuar funksionet ekzistuese të regjistrimit kadastral dhe të përfundimit të proceseve kalimtare të pronësisë, ndërkohë që integron funksione të </w:t>
      </w:r>
      <w:r w:rsidR="00097FC5" w:rsidRPr="005F3659">
        <w:rPr>
          <w:rFonts w:ascii="Times New Roman" w:hAnsi="Times New Roman" w:cs="Times New Roman"/>
          <w:sz w:val="24"/>
          <w:szCs w:val="24"/>
          <w:lang w:val="sq-AL"/>
        </w:rPr>
        <w:t>reja</w:t>
      </w:r>
      <w:r w:rsidR="00E45A9F" w:rsidRPr="005F3659">
        <w:rPr>
          <w:rFonts w:ascii="Times New Roman" w:hAnsi="Times New Roman" w:cs="Times New Roman"/>
          <w:sz w:val="24"/>
          <w:szCs w:val="24"/>
          <w:lang w:val="sq-AL"/>
        </w:rPr>
        <w:t xml:space="preserve"> referuar procesit të kompesimit të pronës sipas legjislacionit të posaçëm.</w:t>
      </w:r>
    </w:p>
    <w:p w14:paraId="6A6B3112" w14:textId="3C9BE6F1" w:rsidR="00776C15" w:rsidRPr="005F3659" w:rsidRDefault="00776C15" w:rsidP="00776C15">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Gjithashtu, projektligji është në përputhje me dokumentet strategjike që lidhen me politikën e tokës dhe integritetin e sistemit kadastral, duke kontribuar në forcimin e kuadrit institucional dhe rregullator në këtë drejtim. Përmes mekanizmave të parashikuar për inventarizimin, përditësimin dhe regjistrimin e pasurive të paluajtshme shtetërore, si dhe për administrimin e tyre, projektakti ndihmon në krijimin e një baze të dhënash të saktë dhe të besueshme, e cila është thelbësore për hartimin dhe zbatimin e politikave publike efektive</w:t>
      </w:r>
      <w:r w:rsidR="00097FC5" w:rsidRPr="005F3659">
        <w:rPr>
          <w:rFonts w:ascii="Times New Roman" w:hAnsi="Times New Roman" w:cs="Times New Roman"/>
          <w:sz w:val="24"/>
          <w:szCs w:val="24"/>
          <w:lang w:val="sq-AL"/>
        </w:rPr>
        <w:t xml:space="preserve"> mbi pronat shtetërore</w:t>
      </w:r>
      <w:r w:rsidRPr="005F3659">
        <w:rPr>
          <w:rFonts w:ascii="Times New Roman" w:hAnsi="Times New Roman" w:cs="Times New Roman"/>
          <w:sz w:val="24"/>
          <w:szCs w:val="24"/>
          <w:lang w:val="sq-AL"/>
        </w:rPr>
        <w:t>.</w:t>
      </w:r>
      <w:r w:rsidR="00097FC5" w:rsidRPr="005F3659">
        <w:rPr>
          <w:rFonts w:ascii="Times New Roman" w:hAnsi="Times New Roman" w:cs="Times New Roman"/>
          <w:sz w:val="24"/>
          <w:szCs w:val="24"/>
          <w:lang w:val="sq-AL"/>
        </w:rPr>
        <w:t xml:space="preserve"> </w:t>
      </w:r>
    </w:p>
    <w:p w14:paraId="11589520" w14:textId="39EAAA93" w:rsidR="00776C12" w:rsidRPr="005F3659" w:rsidRDefault="00776C12" w:rsidP="00776C15">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Për sa më sipër</w:t>
      </w:r>
      <w:r w:rsidR="00776C15" w:rsidRPr="005F3659">
        <w:rPr>
          <w:rFonts w:ascii="Times New Roman" w:hAnsi="Times New Roman" w:cs="Times New Roman"/>
          <w:sz w:val="24"/>
          <w:szCs w:val="24"/>
          <w:lang w:val="sq-AL"/>
        </w:rPr>
        <w:t>, projektligji është i harmonizuar me drejtimet strategjike të qeverisë dhe dokumentet përkatëse të politikave publike, duke përbërë një hap konkret drejt modernizimit të sistemit të administrimit të pronës së paluajtshme, rritjes së sigurisë juridike dhe përmirësimit të klimës ekonomike dhe investuese në Republikën e Shqipërisë.</w:t>
      </w:r>
    </w:p>
    <w:p w14:paraId="7A9E92AE" w14:textId="77777777" w:rsidR="00776C12" w:rsidRPr="000318FB" w:rsidRDefault="00776C12" w:rsidP="00776C15">
      <w:pPr>
        <w:spacing w:line="276" w:lineRule="auto"/>
        <w:jc w:val="both"/>
        <w:rPr>
          <w:rFonts w:ascii="Times New Roman" w:hAnsi="Times New Roman" w:cs="Times New Roman"/>
          <w:sz w:val="10"/>
          <w:szCs w:val="10"/>
          <w:lang w:val="sq-AL"/>
        </w:rPr>
      </w:pPr>
    </w:p>
    <w:p w14:paraId="69BEDA86" w14:textId="39FC8BFB" w:rsidR="00A0457B" w:rsidRPr="005F3659" w:rsidRDefault="00A0457B" w:rsidP="00A0457B">
      <w:pPr>
        <w:pStyle w:val="ListParagraph"/>
        <w:numPr>
          <w:ilvl w:val="0"/>
          <w:numId w:val="2"/>
        </w:numPr>
        <w:spacing w:line="276" w:lineRule="auto"/>
        <w:jc w:val="both"/>
        <w:rPr>
          <w:rFonts w:ascii="Times New Roman" w:hAnsi="Times New Roman" w:cs="Times New Roman"/>
          <w:b/>
          <w:sz w:val="24"/>
          <w:szCs w:val="24"/>
          <w:lang w:val="sq-AL"/>
        </w:rPr>
      </w:pPr>
      <w:bookmarkStart w:id="5" w:name="_Hlk225771404"/>
      <w:r w:rsidRPr="005F3659">
        <w:rPr>
          <w:rFonts w:ascii="Times New Roman" w:hAnsi="Times New Roman" w:cs="Times New Roman"/>
          <w:b/>
          <w:sz w:val="24"/>
          <w:szCs w:val="24"/>
          <w:lang w:val="sq-AL"/>
        </w:rPr>
        <w:lastRenderedPageBreak/>
        <w:t>ARGUMENTIMI I PROJEKTAKTIT LIDHUR ME PËRPARËSITË,</w:t>
      </w:r>
      <w:r w:rsidR="00776C12" w:rsidRPr="005F3659">
        <w:rPr>
          <w:rFonts w:ascii="Times New Roman" w:hAnsi="Times New Roman" w:cs="Times New Roman"/>
          <w:b/>
          <w:sz w:val="24"/>
          <w:szCs w:val="24"/>
          <w:lang w:val="sq-AL"/>
        </w:rPr>
        <w:t xml:space="preserve"> P</w:t>
      </w:r>
      <w:r w:rsidRPr="005F3659">
        <w:rPr>
          <w:rFonts w:ascii="Times New Roman" w:hAnsi="Times New Roman" w:cs="Times New Roman"/>
          <w:b/>
          <w:sz w:val="24"/>
          <w:szCs w:val="24"/>
          <w:lang w:val="sq-AL"/>
        </w:rPr>
        <w:t>ROBLEMATIKAT, EFEKTET E PRITSHME</w:t>
      </w:r>
    </w:p>
    <w:bookmarkEnd w:id="5"/>
    <w:p w14:paraId="3186DC20" w14:textId="261FAC6F" w:rsidR="00DD2004" w:rsidRPr="005F3659" w:rsidRDefault="00DD2004" w:rsidP="00DD200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Projektligji i propozuar përbën një ndërhyrje reformuese në kuadrin ligjor dhe institucional që rregullon marrëdhëniet juridike në fushën e pasurive të paluajtshme, duke synuar kapërcimin e problematikave strukturore dhe funksionale të evidentuara në praktikën </w:t>
      </w:r>
      <w:r w:rsidR="00097FC5" w:rsidRPr="005F3659">
        <w:rPr>
          <w:rFonts w:ascii="Times New Roman" w:hAnsi="Times New Roman" w:cs="Times New Roman"/>
          <w:sz w:val="24"/>
          <w:szCs w:val="24"/>
          <w:lang w:val="sq-AL"/>
        </w:rPr>
        <w:t xml:space="preserve">e </w:t>
      </w:r>
      <w:r w:rsidRPr="005F3659">
        <w:rPr>
          <w:rFonts w:ascii="Times New Roman" w:hAnsi="Times New Roman" w:cs="Times New Roman"/>
          <w:sz w:val="24"/>
          <w:szCs w:val="24"/>
          <w:lang w:val="sq-AL"/>
        </w:rPr>
        <w:t>zbatimit të legjislacionit ekzistues. Ai është hartuar në zbatim të detyrave të përcaktuara për grupin ndërinstitucional të punës, ngritur me Urdhrin e Kryeministrit nr. 190, datë 16.10.2025, dhe, së bashku me projektligjin “</w:t>
      </w:r>
      <w:r w:rsidRPr="005F3659">
        <w:rPr>
          <w:rFonts w:ascii="Times New Roman" w:hAnsi="Times New Roman" w:cs="Times New Roman"/>
          <w:i/>
          <w:sz w:val="24"/>
          <w:szCs w:val="24"/>
          <w:lang w:val="sq-AL"/>
        </w:rPr>
        <w:t>Për pronat e paluajtshme të shtetit</w:t>
      </w:r>
      <w:r w:rsidRPr="005F3659">
        <w:rPr>
          <w:rFonts w:ascii="Times New Roman" w:hAnsi="Times New Roman" w:cs="Times New Roman"/>
          <w:sz w:val="24"/>
          <w:szCs w:val="24"/>
          <w:lang w:val="sq-AL"/>
        </w:rPr>
        <w:t>”, përbën një paketë të integruar reformash që adreson në mënyrë sistematike çështjet e pronësisë në Republikën e Shqipërisë.</w:t>
      </w:r>
      <w:r w:rsidR="001929D8">
        <w:rPr>
          <w:rFonts w:ascii="Times New Roman" w:hAnsi="Times New Roman" w:cs="Times New Roman"/>
          <w:sz w:val="24"/>
          <w:szCs w:val="24"/>
          <w:lang w:val="sq-AL"/>
        </w:rPr>
        <w:t xml:space="preserve"> </w:t>
      </w:r>
      <w:r w:rsidRPr="005F3659">
        <w:rPr>
          <w:rFonts w:ascii="Times New Roman" w:hAnsi="Times New Roman" w:cs="Times New Roman"/>
          <w:sz w:val="24"/>
          <w:szCs w:val="24"/>
          <w:lang w:val="sq-AL"/>
        </w:rPr>
        <w:t>Analiza e kryer në kuadër të procesit të hartimit të këtij projektligji ka evidentuar një sërë problematikash</w:t>
      </w:r>
      <w:r w:rsidR="00097FC5" w:rsidRPr="005F3659">
        <w:rPr>
          <w:rFonts w:ascii="Times New Roman" w:hAnsi="Times New Roman" w:cs="Times New Roman"/>
          <w:sz w:val="24"/>
          <w:szCs w:val="24"/>
          <w:lang w:val="sq-AL"/>
        </w:rPr>
        <w:t xml:space="preserve"> </w:t>
      </w:r>
      <w:r w:rsidRPr="005F3659">
        <w:rPr>
          <w:rFonts w:ascii="Times New Roman" w:hAnsi="Times New Roman" w:cs="Times New Roman"/>
          <w:sz w:val="24"/>
          <w:szCs w:val="24"/>
          <w:lang w:val="sq-AL"/>
        </w:rPr>
        <w:t>në funksionimin e sistemit të administrimit të pronës, ndër të cilat veçohen:</w:t>
      </w:r>
    </w:p>
    <w:p w14:paraId="03800F30" w14:textId="0019E0BB" w:rsidR="00DD2004" w:rsidRPr="005F3659" w:rsidRDefault="00DD2004" w:rsidP="000B1A24">
      <w:pPr>
        <w:pStyle w:val="ListParagraph"/>
        <w:numPr>
          <w:ilvl w:val="0"/>
          <w:numId w:val="16"/>
        </w:numPr>
        <w:spacing w:line="276" w:lineRule="auto"/>
        <w:ind w:left="360"/>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fragmentarizimi i kompetencave ndërmjet institucioneve të ndryshme, që ushtrojnë funksione të ndërlidhura</w:t>
      </w:r>
      <w:r w:rsidR="000B1A24" w:rsidRPr="005F3659">
        <w:rPr>
          <w:rFonts w:ascii="Times New Roman" w:hAnsi="Times New Roman" w:cs="Times New Roman"/>
          <w:sz w:val="24"/>
          <w:szCs w:val="24"/>
          <w:lang w:val="sq-AL"/>
        </w:rPr>
        <w:t xml:space="preserve"> për administrimin e pasurive të paluajtshme në Republikën e Shqipërisë </w:t>
      </w:r>
      <w:r w:rsidRPr="005F3659">
        <w:rPr>
          <w:rFonts w:ascii="Times New Roman" w:hAnsi="Times New Roman" w:cs="Times New Roman"/>
          <w:sz w:val="24"/>
          <w:szCs w:val="24"/>
          <w:lang w:val="sq-AL"/>
        </w:rPr>
        <w:t>(</w:t>
      </w:r>
      <w:r w:rsidRPr="005F3659">
        <w:rPr>
          <w:rFonts w:ascii="Times New Roman" w:hAnsi="Times New Roman" w:cs="Times New Roman"/>
          <w:i/>
          <w:sz w:val="24"/>
          <w:szCs w:val="24"/>
          <w:lang w:val="sq-AL"/>
        </w:rPr>
        <w:t>regjistrimi kadastral, trajtimi i pronës, administrimi i pronës shtetërore</w:t>
      </w:r>
      <w:r w:rsidRPr="005F3659">
        <w:rPr>
          <w:rFonts w:ascii="Times New Roman" w:hAnsi="Times New Roman" w:cs="Times New Roman"/>
          <w:sz w:val="24"/>
          <w:szCs w:val="24"/>
          <w:lang w:val="sq-AL"/>
        </w:rPr>
        <w:t xml:space="preserve">); </w:t>
      </w:r>
    </w:p>
    <w:p w14:paraId="057CBB71" w14:textId="77777777" w:rsidR="00DD2004" w:rsidRPr="005F3659" w:rsidRDefault="00DD2004" w:rsidP="000B1A24">
      <w:pPr>
        <w:pStyle w:val="ListParagraph"/>
        <w:numPr>
          <w:ilvl w:val="0"/>
          <w:numId w:val="16"/>
        </w:numPr>
        <w:spacing w:line="276" w:lineRule="auto"/>
        <w:ind w:left="360"/>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mungesa e një qasjeje të integruar në trajtimin e çështjeve të pronësisë, e cila reflektohet në zvarritjen e proceseve administrative dhe në vështirësinë për të arritur zgjidhje përfundimtare dhe të zbatueshme; </w:t>
      </w:r>
    </w:p>
    <w:p w14:paraId="68DD65A6" w14:textId="7BCF0E64" w:rsidR="00DD2004" w:rsidRPr="005F3659" w:rsidRDefault="00DD2004" w:rsidP="000B1A24">
      <w:pPr>
        <w:pStyle w:val="ListParagraph"/>
        <w:numPr>
          <w:ilvl w:val="0"/>
          <w:numId w:val="16"/>
        </w:numPr>
        <w:spacing w:line="276" w:lineRule="auto"/>
        <w:ind w:left="360"/>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ndarja institucionale ndërmjet proceseve të trajtimit të pronës dhe regjistrimit të saj, e cila pengon reflektimin e plotë dhe në kohë të vendimmarrjeve në regjistrat publikë; </w:t>
      </w:r>
    </w:p>
    <w:p w14:paraId="1CEEAE19" w14:textId="328D162A" w:rsidR="00DD2004" w:rsidRPr="005F3659" w:rsidRDefault="00DD2004" w:rsidP="000B1A24">
      <w:pPr>
        <w:pStyle w:val="ListParagraph"/>
        <w:numPr>
          <w:ilvl w:val="0"/>
          <w:numId w:val="16"/>
        </w:numPr>
        <w:spacing w:line="276" w:lineRule="auto"/>
        <w:ind w:left="360"/>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mungesa e një sistemi të plotë dhe të përditësuar të inventarizimit dhe administrimit të pasurisë së paluajtshme shtetërore, si dhe e një strukture të unifikuar për ushtrimin e këtyre funksioneve. </w:t>
      </w:r>
    </w:p>
    <w:p w14:paraId="5FCA0CDD" w14:textId="67933211" w:rsidR="00DD2004" w:rsidRPr="005F3659" w:rsidRDefault="00DD2004" w:rsidP="000B1A2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Këto problematika kanë prodhuar pasoja në nivel juridik, ekonomik dhe administrativ, </w:t>
      </w:r>
      <w:r w:rsidR="000B1A24" w:rsidRPr="005F3659">
        <w:rPr>
          <w:rFonts w:ascii="Times New Roman" w:hAnsi="Times New Roman" w:cs="Times New Roman"/>
          <w:sz w:val="24"/>
          <w:szCs w:val="24"/>
          <w:lang w:val="sq-AL"/>
        </w:rPr>
        <w:t xml:space="preserve">për të cilat </w:t>
      </w:r>
      <w:r w:rsidRPr="005F3659">
        <w:rPr>
          <w:rFonts w:ascii="Times New Roman" w:hAnsi="Times New Roman" w:cs="Times New Roman"/>
          <w:sz w:val="24"/>
          <w:szCs w:val="24"/>
          <w:lang w:val="sq-AL"/>
        </w:rPr>
        <w:t>projektligji propozon</w:t>
      </w:r>
      <w:r w:rsidR="000B1A24" w:rsidRPr="005F3659">
        <w:rPr>
          <w:rFonts w:ascii="Times New Roman" w:hAnsi="Times New Roman" w:cs="Times New Roman"/>
          <w:sz w:val="24"/>
          <w:szCs w:val="24"/>
          <w:lang w:val="sq-AL"/>
        </w:rPr>
        <w:t xml:space="preserve"> </w:t>
      </w:r>
      <w:r w:rsidR="001929D8">
        <w:rPr>
          <w:rFonts w:ascii="Times New Roman" w:hAnsi="Times New Roman" w:cs="Times New Roman"/>
          <w:sz w:val="24"/>
          <w:szCs w:val="24"/>
          <w:lang w:val="sq-AL"/>
        </w:rPr>
        <w:t>zgjidhje nëpërmjet konsolidimit</w:t>
      </w:r>
      <w:r w:rsidRPr="005F3659">
        <w:rPr>
          <w:rFonts w:ascii="Times New Roman" w:hAnsi="Times New Roman" w:cs="Times New Roman"/>
          <w:bCs/>
          <w:sz w:val="24"/>
          <w:szCs w:val="24"/>
          <w:lang w:val="sq-AL"/>
        </w:rPr>
        <w:t xml:space="preserve"> institucional dhe funksional</w:t>
      </w:r>
      <w:r w:rsidR="000B1A24" w:rsidRPr="005F3659">
        <w:rPr>
          <w:rFonts w:ascii="Times New Roman" w:hAnsi="Times New Roman" w:cs="Times New Roman"/>
          <w:sz w:val="24"/>
          <w:szCs w:val="24"/>
          <w:lang w:val="sq-AL"/>
        </w:rPr>
        <w:t xml:space="preserve">, pasi </w:t>
      </w:r>
      <w:r w:rsidRPr="005F3659">
        <w:rPr>
          <w:rFonts w:ascii="Times New Roman" w:hAnsi="Times New Roman" w:cs="Times New Roman"/>
          <w:sz w:val="24"/>
          <w:szCs w:val="24"/>
          <w:lang w:val="sq-AL"/>
        </w:rPr>
        <w:t>përmes krijimit të Agjencisë Shtetërore të Pronës, kompetenca</w:t>
      </w:r>
      <w:r w:rsidR="001929D8">
        <w:rPr>
          <w:rFonts w:ascii="Times New Roman" w:hAnsi="Times New Roman" w:cs="Times New Roman"/>
          <w:sz w:val="24"/>
          <w:szCs w:val="24"/>
          <w:lang w:val="sq-AL"/>
        </w:rPr>
        <w:t xml:space="preserve">t </w:t>
      </w:r>
      <w:r w:rsidRPr="005F3659">
        <w:rPr>
          <w:rFonts w:ascii="Times New Roman" w:hAnsi="Times New Roman" w:cs="Times New Roman"/>
          <w:sz w:val="24"/>
          <w:szCs w:val="24"/>
          <w:lang w:val="sq-AL"/>
        </w:rPr>
        <w:t xml:space="preserve">kryesore </w:t>
      </w:r>
      <w:r w:rsidR="000B1A24" w:rsidRPr="005F3659">
        <w:rPr>
          <w:rFonts w:ascii="Times New Roman" w:hAnsi="Times New Roman" w:cs="Times New Roman"/>
          <w:sz w:val="24"/>
          <w:szCs w:val="24"/>
          <w:lang w:val="sq-AL"/>
        </w:rPr>
        <w:t xml:space="preserve">mbi administrimin e pasurisë së paluajtshme, </w:t>
      </w:r>
      <w:r w:rsidR="001929D8">
        <w:rPr>
          <w:rFonts w:ascii="Times New Roman" w:hAnsi="Times New Roman" w:cs="Times New Roman"/>
          <w:sz w:val="24"/>
          <w:szCs w:val="24"/>
          <w:lang w:val="sq-AL"/>
        </w:rPr>
        <w:t xml:space="preserve">ushtrohen nga një institucion i </w:t>
      </w:r>
      <w:r w:rsidRPr="005F3659">
        <w:rPr>
          <w:rFonts w:ascii="Times New Roman" w:hAnsi="Times New Roman" w:cs="Times New Roman"/>
          <w:sz w:val="24"/>
          <w:szCs w:val="24"/>
          <w:lang w:val="sq-AL"/>
        </w:rPr>
        <w:t>vetëm</w:t>
      </w:r>
      <w:r w:rsidR="001929D8">
        <w:rPr>
          <w:rFonts w:ascii="Times New Roman" w:hAnsi="Times New Roman" w:cs="Times New Roman"/>
          <w:sz w:val="24"/>
          <w:szCs w:val="24"/>
          <w:lang w:val="sq-AL"/>
        </w:rPr>
        <w:t>. Në këtë mënyrë</w:t>
      </w:r>
      <w:r w:rsidRPr="005F3659">
        <w:rPr>
          <w:rFonts w:ascii="Times New Roman" w:hAnsi="Times New Roman" w:cs="Times New Roman"/>
          <w:sz w:val="24"/>
          <w:szCs w:val="24"/>
          <w:lang w:val="sq-AL"/>
        </w:rPr>
        <w:t xml:space="preserve"> </w:t>
      </w:r>
      <w:r w:rsidR="001929D8">
        <w:rPr>
          <w:rFonts w:ascii="Times New Roman" w:hAnsi="Times New Roman" w:cs="Times New Roman"/>
          <w:sz w:val="24"/>
          <w:szCs w:val="24"/>
          <w:lang w:val="sq-AL"/>
        </w:rPr>
        <w:t>eleminohet</w:t>
      </w:r>
      <w:r w:rsidRPr="005F3659">
        <w:rPr>
          <w:rFonts w:ascii="Times New Roman" w:hAnsi="Times New Roman" w:cs="Times New Roman"/>
          <w:sz w:val="24"/>
          <w:szCs w:val="24"/>
          <w:lang w:val="sq-AL"/>
        </w:rPr>
        <w:t xml:space="preserve"> fragmentarizimi</w:t>
      </w:r>
      <w:r w:rsidR="001929D8">
        <w:rPr>
          <w:rFonts w:ascii="Times New Roman" w:hAnsi="Times New Roman" w:cs="Times New Roman"/>
          <w:sz w:val="24"/>
          <w:szCs w:val="24"/>
          <w:lang w:val="sq-AL"/>
        </w:rPr>
        <w:t>, rritet</w:t>
      </w:r>
      <w:r w:rsidRPr="005F3659">
        <w:rPr>
          <w:rFonts w:ascii="Times New Roman" w:hAnsi="Times New Roman" w:cs="Times New Roman"/>
          <w:sz w:val="24"/>
          <w:szCs w:val="24"/>
          <w:lang w:val="sq-AL"/>
        </w:rPr>
        <w:t xml:space="preserve"> koherenc</w:t>
      </w:r>
      <w:r w:rsidR="001929D8">
        <w:rPr>
          <w:rFonts w:ascii="Times New Roman" w:hAnsi="Times New Roman" w:cs="Times New Roman"/>
          <w:sz w:val="24"/>
          <w:szCs w:val="24"/>
          <w:lang w:val="sq-AL"/>
        </w:rPr>
        <w:t>a</w:t>
      </w:r>
      <w:r w:rsidRPr="005F3659">
        <w:rPr>
          <w:rFonts w:ascii="Times New Roman" w:hAnsi="Times New Roman" w:cs="Times New Roman"/>
          <w:sz w:val="24"/>
          <w:szCs w:val="24"/>
          <w:lang w:val="sq-AL"/>
        </w:rPr>
        <w:t xml:space="preserve"> në vendimmarrje. </w:t>
      </w:r>
      <w:r w:rsidR="001929D8">
        <w:rPr>
          <w:rFonts w:ascii="Times New Roman" w:hAnsi="Times New Roman" w:cs="Times New Roman"/>
          <w:sz w:val="24"/>
          <w:szCs w:val="24"/>
          <w:lang w:val="sq-AL"/>
        </w:rPr>
        <w:t>Rrjedhimisht,</w:t>
      </w:r>
      <w:r w:rsidR="000B1A24" w:rsidRPr="005F3659">
        <w:rPr>
          <w:rFonts w:ascii="Times New Roman" w:hAnsi="Times New Roman" w:cs="Times New Roman"/>
          <w:sz w:val="24"/>
          <w:szCs w:val="24"/>
          <w:lang w:val="sq-AL"/>
        </w:rPr>
        <w:t xml:space="preserve"> garantohet edhe </w:t>
      </w:r>
      <w:r w:rsidR="000B1A24" w:rsidRPr="005F3659">
        <w:rPr>
          <w:rFonts w:ascii="Times New Roman" w:hAnsi="Times New Roman" w:cs="Times New Roman"/>
          <w:bCs/>
          <w:sz w:val="24"/>
          <w:szCs w:val="24"/>
          <w:lang w:val="sq-AL"/>
        </w:rPr>
        <w:t>q</w:t>
      </w:r>
      <w:r w:rsidRPr="005F3659">
        <w:rPr>
          <w:rFonts w:ascii="Times New Roman" w:hAnsi="Times New Roman" w:cs="Times New Roman"/>
          <w:bCs/>
          <w:sz w:val="24"/>
          <w:szCs w:val="24"/>
          <w:lang w:val="sq-AL"/>
        </w:rPr>
        <w:t xml:space="preserve">asje </w:t>
      </w:r>
      <w:r w:rsidR="000B1A24" w:rsidRPr="005F3659">
        <w:rPr>
          <w:rFonts w:ascii="Times New Roman" w:hAnsi="Times New Roman" w:cs="Times New Roman"/>
          <w:bCs/>
          <w:sz w:val="24"/>
          <w:szCs w:val="24"/>
          <w:lang w:val="sq-AL"/>
        </w:rPr>
        <w:t>e</w:t>
      </w:r>
      <w:r w:rsidRPr="005F3659">
        <w:rPr>
          <w:rFonts w:ascii="Times New Roman" w:hAnsi="Times New Roman" w:cs="Times New Roman"/>
          <w:bCs/>
          <w:sz w:val="24"/>
          <w:szCs w:val="24"/>
          <w:lang w:val="sq-AL"/>
        </w:rPr>
        <w:t xml:space="preserve"> integruar ndaj pronësisë</w:t>
      </w:r>
      <w:r w:rsidR="000B1A24" w:rsidRPr="005F3659">
        <w:rPr>
          <w:rFonts w:ascii="Times New Roman" w:hAnsi="Times New Roman" w:cs="Times New Roman"/>
          <w:sz w:val="24"/>
          <w:szCs w:val="24"/>
          <w:lang w:val="sq-AL"/>
        </w:rPr>
        <w:t>, pasi</w:t>
      </w:r>
      <w:r w:rsidRPr="005F3659">
        <w:rPr>
          <w:rFonts w:ascii="Times New Roman" w:hAnsi="Times New Roman" w:cs="Times New Roman"/>
          <w:sz w:val="24"/>
          <w:szCs w:val="24"/>
          <w:lang w:val="sq-AL"/>
        </w:rPr>
        <w:t xml:space="preserve"> bashkimi i funksioneve të regjistrimit kadastral, trajtimit të pronës dhe administrimit të pronës shtetërore krijon kushtet për një trajtim të plotë dhe të koordinuar të çështjeve të pronësisë, nga verifikimi i titullit deri në regjistrimin përfundimtar. </w:t>
      </w:r>
    </w:p>
    <w:p w14:paraId="4EE30F28" w14:textId="3D72076B" w:rsidR="00DD2004" w:rsidRPr="005F3659" w:rsidRDefault="000B1A24" w:rsidP="00DF08AC">
      <w:pPr>
        <w:spacing w:line="276" w:lineRule="auto"/>
        <w:jc w:val="both"/>
        <w:rPr>
          <w:rFonts w:ascii="Times New Roman" w:hAnsi="Times New Roman" w:cs="Times New Roman"/>
          <w:sz w:val="24"/>
          <w:szCs w:val="24"/>
          <w:lang w:val="sq-AL"/>
        </w:rPr>
      </w:pPr>
      <w:r w:rsidRPr="005F3659">
        <w:rPr>
          <w:rFonts w:ascii="Times New Roman" w:hAnsi="Times New Roman" w:cs="Times New Roman"/>
          <w:bCs/>
          <w:sz w:val="24"/>
          <w:szCs w:val="24"/>
          <w:lang w:val="sq-AL"/>
        </w:rPr>
        <w:t>Nga ana tjetër projektligji garanton r</w:t>
      </w:r>
      <w:r w:rsidR="00DD2004" w:rsidRPr="005F3659">
        <w:rPr>
          <w:rFonts w:ascii="Times New Roman" w:hAnsi="Times New Roman" w:cs="Times New Roman"/>
          <w:bCs/>
          <w:sz w:val="24"/>
          <w:szCs w:val="24"/>
          <w:lang w:val="sq-AL"/>
        </w:rPr>
        <w:t>uajtj</w:t>
      </w:r>
      <w:r w:rsidRPr="005F3659">
        <w:rPr>
          <w:rFonts w:ascii="Times New Roman" w:hAnsi="Times New Roman" w:cs="Times New Roman"/>
          <w:bCs/>
          <w:sz w:val="24"/>
          <w:szCs w:val="24"/>
          <w:lang w:val="sq-AL"/>
        </w:rPr>
        <w:t>en</w:t>
      </w:r>
      <w:r w:rsidR="00DD2004" w:rsidRPr="005F3659">
        <w:rPr>
          <w:rFonts w:ascii="Times New Roman" w:hAnsi="Times New Roman" w:cs="Times New Roman"/>
          <w:bCs/>
          <w:sz w:val="24"/>
          <w:szCs w:val="24"/>
          <w:lang w:val="sq-AL"/>
        </w:rPr>
        <w:t xml:space="preserve"> e vazhdimësisë funksionale</w:t>
      </w:r>
      <w:r w:rsidRPr="005F3659">
        <w:rPr>
          <w:rFonts w:ascii="Times New Roman" w:hAnsi="Times New Roman" w:cs="Times New Roman"/>
          <w:sz w:val="24"/>
          <w:szCs w:val="24"/>
          <w:lang w:val="sq-AL"/>
        </w:rPr>
        <w:t xml:space="preserve">, pasi </w:t>
      </w:r>
      <w:r w:rsidR="00DD2004" w:rsidRPr="005F3659">
        <w:rPr>
          <w:rFonts w:ascii="Times New Roman" w:hAnsi="Times New Roman" w:cs="Times New Roman"/>
          <w:sz w:val="24"/>
          <w:szCs w:val="24"/>
          <w:lang w:val="sq-AL"/>
        </w:rPr>
        <w:t xml:space="preserve">funksionet ekzistuese të regjistrimit kadastral dhe përfundimit të proceseve kalimtare të pronësisë, </w:t>
      </w:r>
      <w:r w:rsidRPr="005F3659">
        <w:rPr>
          <w:rFonts w:ascii="Times New Roman" w:hAnsi="Times New Roman" w:cs="Times New Roman"/>
          <w:sz w:val="24"/>
          <w:szCs w:val="24"/>
          <w:lang w:val="sq-AL"/>
        </w:rPr>
        <w:t xml:space="preserve">parashikohen </w:t>
      </w:r>
      <w:r w:rsidR="00DD2004" w:rsidRPr="005F3659">
        <w:rPr>
          <w:rFonts w:ascii="Times New Roman" w:hAnsi="Times New Roman" w:cs="Times New Roman"/>
          <w:sz w:val="24"/>
          <w:szCs w:val="24"/>
          <w:lang w:val="sq-AL"/>
        </w:rPr>
        <w:t>të vijojnë pa ndërprerje, duke shmangur çdo pasojë negative gjatë fazës së tranzicionit institucional.</w:t>
      </w:r>
      <w:r w:rsidR="00DF08AC" w:rsidRPr="005F3659">
        <w:rPr>
          <w:rFonts w:ascii="Times New Roman" w:hAnsi="Times New Roman" w:cs="Times New Roman"/>
          <w:sz w:val="24"/>
          <w:szCs w:val="24"/>
          <w:lang w:val="sq-AL"/>
        </w:rPr>
        <w:t xml:space="preserve"> Gjithashtu, </w:t>
      </w:r>
      <w:r w:rsidR="00DD2004" w:rsidRPr="005F3659">
        <w:rPr>
          <w:rFonts w:ascii="Times New Roman" w:hAnsi="Times New Roman" w:cs="Times New Roman"/>
          <w:sz w:val="24"/>
          <w:szCs w:val="24"/>
          <w:lang w:val="sq-AL"/>
        </w:rPr>
        <w:t>përmes krijimit të struktur</w:t>
      </w:r>
      <w:r w:rsidR="00DF08AC" w:rsidRPr="005F3659">
        <w:rPr>
          <w:rFonts w:ascii="Times New Roman" w:hAnsi="Times New Roman" w:cs="Times New Roman"/>
          <w:sz w:val="24"/>
          <w:szCs w:val="24"/>
          <w:lang w:val="sq-AL"/>
        </w:rPr>
        <w:t xml:space="preserve">ës së posaçme </w:t>
      </w:r>
      <w:r w:rsidR="00097FC5" w:rsidRPr="005F3659">
        <w:rPr>
          <w:rFonts w:ascii="Times New Roman" w:hAnsi="Times New Roman" w:cs="Times New Roman"/>
          <w:sz w:val="24"/>
          <w:szCs w:val="24"/>
          <w:lang w:val="sq-AL"/>
        </w:rPr>
        <w:t xml:space="preserve">brenda ASHP, </w:t>
      </w:r>
      <w:r w:rsidR="00DD2004" w:rsidRPr="005F3659">
        <w:rPr>
          <w:rFonts w:ascii="Times New Roman" w:hAnsi="Times New Roman" w:cs="Times New Roman"/>
          <w:sz w:val="24"/>
          <w:szCs w:val="24"/>
          <w:lang w:val="sq-AL"/>
        </w:rPr>
        <w:t>për</w:t>
      </w:r>
      <w:r w:rsidR="00DF08AC" w:rsidRPr="005F3659">
        <w:rPr>
          <w:rFonts w:ascii="Times New Roman" w:hAnsi="Times New Roman" w:cs="Times New Roman"/>
          <w:sz w:val="24"/>
          <w:szCs w:val="24"/>
          <w:lang w:val="sq-AL"/>
        </w:rPr>
        <w:t xml:space="preserve"> përditësimin,</w:t>
      </w:r>
      <w:r w:rsidR="00DD2004" w:rsidRPr="005F3659">
        <w:rPr>
          <w:rFonts w:ascii="Times New Roman" w:hAnsi="Times New Roman" w:cs="Times New Roman"/>
          <w:sz w:val="24"/>
          <w:szCs w:val="24"/>
          <w:lang w:val="sq-AL"/>
        </w:rPr>
        <w:t xml:space="preserve"> inventarizimin</w:t>
      </w:r>
      <w:r w:rsidR="00DF08AC" w:rsidRPr="005F3659">
        <w:rPr>
          <w:rFonts w:ascii="Times New Roman" w:hAnsi="Times New Roman" w:cs="Times New Roman"/>
          <w:sz w:val="24"/>
          <w:szCs w:val="24"/>
          <w:lang w:val="sq-AL"/>
        </w:rPr>
        <w:t xml:space="preserve"> dhe </w:t>
      </w:r>
      <w:r w:rsidR="00DD2004" w:rsidRPr="005F3659">
        <w:rPr>
          <w:rFonts w:ascii="Times New Roman" w:hAnsi="Times New Roman" w:cs="Times New Roman"/>
          <w:sz w:val="24"/>
          <w:szCs w:val="24"/>
          <w:lang w:val="sq-AL"/>
        </w:rPr>
        <w:t xml:space="preserve">regjistrimin e pronës shtetërore, sigurohet një administrim më i organizuar, transparent dhe efikas i aseteve publike. </w:t>
      </w:r>
      <w:r w:rsidR="009456B5">
        <w:rPr>
          <w:rFonts w:ascii="Times New Roman" w:hAnsi="Times New Roman" w:cs="Times New Roman"/>
          <w:bCs/>
          <w:sz w:val="24"/>
          <w:szCs w:val="24"/>
          <w:lang w:val="sq-AL"/>
        </w:rPr>
        <w:t>P</w:t>
      </w:r>
      <w:r w:rsidR="00520823" w:rsidRPr="005F3659">
        <w:rPr>
          <w:rFonts w:ascii="Times New Roman" w:hAnsi="Times New Roman" w:cs="Times New Roman"/>
          <w:bCs/>
          <w:sz w:val="24"/>
          <w:szCs w:val="24"/>
          <w:lang w:val="sq-AL"/>
        </w:rPr>
        <w:t>rojektligji</w:t>
      </w:r>
      <w:r w:rsidR="009456B5">
        <w:rPr>
          <w:rFonts w:ascii="Times New Roman" w:hAnsi="Times New Roman" w:cs="Times New Roman"/>
          <w:bCs/>
          <w:sz w:val="24"/>
          <w:szCs w:val="24"/>
          <w:lang w:val="sq-AL"/>
        </w:rPr>
        <w:t>,</w:t>
      </w:r>
      <w:r w:rsidR="00520823" w:rsidRPr="005F3659">
        <w:rPr>
          <w:rFonts w:ascii="Times New Roman" w:hAnsi="Times New Roman" w:cs="Times New Roman"/>
          <w:bCs/>
          <w:sz w:val="24"/>
          <w:szCs w:val="24"/>
          <w:lang w:val="sq-AL"/>
        </w:rPr>
        <w:t xml:space="preserve"> </w:t>
      </w:r>
      <w:r w:rsidR="009456B5">
        <w:rPr>
          <w:rFonts w:ascii="Times New Roman" w:hAnsi="Times New Roman" w:cs="Times New Roman"/>
          <w:bCs/>
          <w:sz w:val="24"/>
          <w:szCs w:val="24"/>
          <w:lang w:val="sq-AL"/>
        </w:rPr>
        <w:t xml:space="preserve">po ashtu, </w:t>
      </w:r>
      <w:r w:rsidR="00520823" w:rsidRPr="005F3659">
        <w:rPr>
          <w:rFonts w:ascii="Times New Roman" w:hAnsi="Times New Roman" w:cs="Times New Roman"/>
          <w:bCs/>
          <w:sz w:val="24"/>
          <w:szCs w:val="24"/>
          <w:lang w:val="sq-AL"/>
        </w:rPr>
        <w:t>ofron një model organizativ të balancuar</w:t>
      </w:r>
      <w:r w:rsidR="00520823" w:rsidRPr="005F3659">
        <w:rPr>
          <w:rFonts w:ascii="Times New Roman" w:hAnsi="Times New Roman" w:cs="Times New Roman"/>
          <w:sz w:val="24"/>
          <w:szCs w:val="24"/>
          <w:lang w:val="sq-AL"/>
        </w:rPr>
        <w:t xml:space="preserve"> pasi struktura e brendshme e ASHP-së, parashikohet e ndërtuar mbi drejtori funksionale me autonomi në vendimmarrje, duke garantuar profesionalizëm dhe paanshmëri.</w:t>
      </w:r>
    </w:p>
    <w:p w14:paraId="399F053D" w14:textId="1CD87381" w:rsidR="000B1A24" w:rsidRPr="005F3659" w:rsidRDefault="00DD2004" w:rsidP="00776C12">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lastRenderedPageBreak/>
        <w:t>Për sa më sipër, projektligji paraqet një përgjigje të strukturuar dhe të argumentuar ndaj problematikave ekzistuese në fushën e pronësisë</w:t>
      </w:r>
      <w:r w:rsidR="009456B5">
        <w:rPr>
          <w:rFonts w:ascii="Times New Roman" w:hAnsi="Times New Roman" w:cs="Times New Roman"/>
          <w:sz w:val="24"/>
          <w:szCs w:val="24"/>
          <w:lang w:val="sq-AL"/>
        </w:rPr>
        <w:t xml:space="preserve"> në Republikën e Shqipërisë</w:t>
      </w:r>
      <w:r w:rsidRPr="005F3659">
        <w:rPr>
          <w:rFonts w:ascii="Times New Roman" w:hAnsi="Times New Roman" w:cs="Times New Roman"/>
          <w:sz w:val="24"/>
          <w:szCs w:val="24"/>
          <w:lang w:val="sq-AL"/>
        </w:rPr>
        <w:t>, duke ofruar një model institucional dhe normativ, i cili synon të garantojë një administrim më efikas të pasurive të paluajtshme.</w:t>
      </w:r>
    </w:p>
    <w:p w14:paraId="1C6B8EA4" w14:textId="77777777" w:rsidR="000B1A24" w:rsidRPr="00371AE2" w:rsidRDefault="000B1A24" w:rsidP="00776C12">
      <w:pPr>
        <w:spacing w:line="276" w:lineRule="auto"/>
        <w:jc w:val="both"/>
        <w:rPr>
          <w:rFonts w:ascii="Times New Roman" w:hAnsi="Times New Roman" w:cs="Times New Roman"/>
          <w:sz w:val="24"/>
          <w:szCs w:val="24"/>
          <w:lang w:val="sq-AL"/>
        </w:rPr>
      </w:pPr>
    </w:p>
    <w:p w14:paraId="7E77D261" w14:textId="7907A344" w:rsidR="00A0457B" w:rsidRPr="005F3659" w:rsidRDefault="00A0457B" w:rsidP="00A0457B">
      <w:pPr>
        <w:pStyle w:val="ListParagraph"/>
        <w:numPr>
          <w:ilvl w:val="0"/>
          <w:numId w:val="2"/>
        </w:numPr>
        <w:spacing w:line="276" w:lineRule="auto"/>
        <w:jc w:val="both"/>
        <w:rPr>
          <w:rFonts w:ascii="Times New Roman" w:hAnsi="Times New Roman" w:cs="Times New Roman"/>
          <w:b/>
          <w:sz w:val="24"/>
          <w:szCs w:val="24"/>
          <w:lang w:val="sq-AL"/>
        </w:rPr>
      </w:pPr>
      <w:bookmarkStart w:id="6" w:name="_Hlk225771856"/>
      <w:r w:rsidRPr="005F3659">
        <w:rPr>
          <w:rFonts w:ascii="Times New Roman" w:hAnsi="Times New Roman" w:cs="Times New Roman"/>
          <w:b/>
          <w:sz w:val="24"/>
          <w:szCs w:val="24"/>
          <w:lang w:val="sq-AL"/>
        </w:rPr>
        <w:t>VLERËSIMI I LIGJSHMËRISË, KUSHTETUTSHMËRISË DHE</w:t>
      </w:r>
      <w:r w:rsidR="001A08E1" w:rsidRPr="005F3659">
        <w:rPr>
          <w:rFonts w:ascii="Times New Roman" w:hAnsi="Times New Roman" w:cs="Times New Roman"/>
          <w:b/>
          <w:sz w:val="24"/>
          <w:szCs w:val="24"/>
          <w:lang w:val="sq-AL"/>
        </w:rPr>
        <w:t xml:space="preserve"> </w:t>
      </w:r>
      <w:r w:rsidRPr="005F3659">
        <w:rPr>
          <w:rFonts w:ascii="Times New Roman" w:hAnsi="Times New Roman" w:cs="Times New Roman"/>
          <w:b/>
          <w:sz w:val="24"/>
          <w:szCs w:val="24"/>
          <w:lang w:val="sq-AL"/>
        </w:rPr>
        <w:t>HARMONIZIMI ME LEGJISLACIONIN NË FUQI VENDAS E</w:t>
      </w:r>
      <w:r w:rsidR="001A08E1" w:rsidRPr="005F3659">
        <w:rPr>
          <w:rFonts w:ascii="Times New Roman" w:hAnsi="Times New Roman" w:cs="Times New Roman"/>
          <w:b/>
          <w:sz w:val="24"/>
          <w:szCs w:val="24"/>
          <w:lang w:val="sq-AL"/>
        </w:rPr>
        <w:t xml:space="preserve"> </w:t>
      </w:r>
      <w:r w:rsidRPr="005F3659">
        <w:rPr>
          <w:rFonts w:ascii="Times New Roman" w:hAnsi="Times New Roman" w:cs="Times New Roman"/>
          <w:b/>
          <w:sz w:val="24"/>
          <w:szCs w:val="24"/>
          <w:lang w:val="sq-AL"/>
        </w:rPr>
        <w:t>NDËRKOMBËTAR</w:t>
      </w:r>
      <w:bookmarkEnd w:id="6"/>
    </w:p>
    <w:p w14:paraId="3A02A8B1" w14:textId="10987905" w:rsidR="00DD2004" w:rsidRPr="005F3659" w:rsidRDefault="00DD2004" w:rsidP="00DD2004">
      <w:pPr>
        <w:spacing w:line="276" w:lineRule="auto"/>
        <w:jc w:val="both"/>
        <w:rPr>
          <w:rFonts w:ascii="Times New Roman" w:hAnsi="Times New Roman" w:cs="Times New Roman"/>
          <w:sz w:val="24"/>
          <w:szCs w:val="24"/>
          <w:lang w:val="sq-AL"/>
        </w:rPr>
      </w:pPr>
      <w:bookmarkStart w:id="7" w:name="_Hlk225771975"/>
      <w:bookmarkStart w:id="8" w:name="_Hlk225860623"/>
      <w:r w:rsidRPr="005F3659">
        <w:rPr>
          <w:rFonts w:ascii="Times New Roman" w:hAnsi="Times New Roman" w:cs="Times New Roman"/>
          <w:sz w:val="24"/>
          <w:szCs w:val="24"/>
          <w:lang w:val="sq-AL"/>
        </w:rPr>
        <w:t>Projektligji i propozuar është hartuar në përputhje të plotë me parimet e ligjshmërisë dhe të rendit juridik në Republikën e Shqipërisë, si në aspektin formal të ushtrimit të iniciativës ligjvënëse, ashtu edhe në përmbajtjen e tij materiale. Në aspektin formal, projektakti përbën ushtrim të rregullt të së drejtës së iniciativës ligjvënëse nga ana e Këshillit të Ministrave, në përputhje me nenin 81, pika 1, të Kushtetutës së Republikës së Shqipërisë, i cili parashikon shprehimisht të drejtën e këtij organi për të propozuar ligje. Në këtë kuptim, paraqitja e projektligjit për shqyrtim është në përputhje me procedurat dhe kompetencat kushtetuese përkatëse.</w:t>
      </w:r>
    </w:p>
    <w:p w14:paraId="2BF750A8" w14:textId="30A10781" w:rsidR="00DD2004" w:rsidRPr="005F3659" w:rsidRDefault="00DD2004" w:rsidP="00DD200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aspektin material, projektligji respekton dhe reflekton parimet themelore kushtetuese që lidhen me mbrojtjen e të drejtës së pronësisë dhe garantimin e një procesi të rregullt ligjor. Dispozitat e tij nuk cenojnë thelbin e së drejtës së pronës</w:t>
      </w:r>
      <w:r w:rsidR="009456B5">
        <w:rPr>
          <w:rFonts w:ascii="Times New Roman" w:hAnsi="Times New Roman" w:cs="Times New Roman"/>
          <w:sz w:val="24"/>
          <w:szCs w:val="24"/>
          <w:lang w:val="sq-AL"/>
        </w:rPr>
        <w:t>isë</w:t>
      </w:r>
      <w:r w:rsidRPr="005F3659">
        <w:rPr>
          <w:rFonts w:ascii="Times New Roman" w:hAnsi="Times New Roman" w:cs="Times New Roman"/>
          <w:sz w:val="24"/>
          <w:szCs w:val="24"/>
          <w:lang w:val="sq-AL"/>
        </w:rPr>
        <w:t>, por synojnë forcimin e mekanizmave institucionalë dhe procedur</w:t>
      </w:r>
      <w:r w:rsidR="001A08E1" w:rsidRPr="005F3659">
        <w:rPr>
          <w:rFonts w:ascii="Times New Roman" w:hAnsi="Times New Roman" w:cs="Times New Roman"/>
          <w:sz w:val="24"/>
          <w:szCs w:val="24"/>
          <w:lang w:val="sq-AL"/>
        </w:rPr>
        <w:t>alë</w:t>
      </w:r>
      <w:r w:rsidRPr="005F3659">
        <w:rPr>
          <w:rFonts w:ascii="Times New Roman" w:hAnsi="Times New Roman" w:cs="Times New Roman"/>
          <w:sz w:val="24"/>
          <w:szCs w:val="24"/>
          <w:lang w:val="sq-AL"/>
        </w:rPr>
        <w:t xml:space="preserve"> që garantojnë ushtrimin efektiv dhe mbrojtjen e kësaj të drejte. Në këtë drejtim, projektligji kontribuon në rritjen e sigurisë juridike për subjektet e së drejtës, duke përmirësuar funksionimin e regjistrit publik të pasurive të paluajtshme dhe duke krijuar kushte për një trajtim më të unifikuar dhe të qëndrueshëm të marrëdhënieve pronësore.</w:t>
      </w:r>
      <w:r w:rsidR="005F4500" w:rsidRPr="005F3659">
        <w:rPr>
          <w:rFonts w:ascii="Times New Roman" w:hAnsi="Times New Roman" w:cs="Times New Roman"/>
          <w:sz w:val="24"/>
          <w:szCs w:val="24"/>
          <w:lang w:val="sq-AL"/>
        </w:rPr>
        <w:t xml:space="preserve"> </w:t>
      </w:r>
    </w:p>
    <w:p w14:paraId="1E5971BA" w14:textId="77777777" w:rsidR="001A08E1" w:rsidRPr="005F3659" w:rsidRDefault="00DD2004" w:rsidP="00DD200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Në raport me legjislacionin e brendshëm në fuqi, projektligji është </w:t>
      </w:r>
      <w:r w:rsidR="001A08E1" w:rsidRPr="005F3659">
        <w:rPr>
          <w:rFonts w:ascii="Times New Roman" w:hAnsi="Times New Roman" w:cs="Times New Roman"/>
          <w:sz w:val="24"/>
          <w:szCs w:val="24"/>
          <w:lang w:val="sq-AL"/>
        </w:rPr>
        <w:t>në përputhje</w:t>
      </w:r>
      <w:r w:rsidRPr="005F3659">
        <w:rPr>
          <w:rFonts w:ascii="Times New Roman" w:hAnsi="Times New Roman" w:cs="Times New Roman"/>
          <w:sz w:val="24"/>
          <w:szCs w:val="24"/>
          <w:lang w:val="sq-AL"/>
        </w:rPr>
        <w:t xml:space="preserve"> me dispozitat e Kodit Civil që rregullojnë të drejtën e pronësisë dhe të drejtat reale mbi pasuritë e paluajtshme. Ai nuk ndërhyn në rregullimin material të këtyre të drejtave, por fokusohet në aspektet procedurale dhe administrative që lidhen me regjistrimin, administrimin dhe pasqyrimin e tyre në regjistrat publikë. Në këtë mënyrë, ruhet koherenca me sistemin ekzistues dhe shmangen konfliktet normative.</w:t>
      </w:r>
      <w:r w:rsidR="001A08E1" w:rsidRPr="005F3659">
        <w:rPr>
          <w:rFonts w:ascii="Times New Roman" w:hAnsi="Times New Roman" w:cs="Times New Roman"/>
          <w:sz w:val="24"/>
          <w:szCs w:val="24"/>
          <w:lang w:val="sq-AL"/>
        </w:rPr>
        <w:t xml:space="preserve"> </w:t>
      </w:r>
    </w:p>
    <w:p w14:paraId="27EE74FB" w14:textId="4B61A89C" w:rsidR="00DD2004" w:rsidRPr="005F3659" w:rsidRDefault="00DD2004" w:rsidP="00130C1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Njëkohësisht, projektligji parashikon shfuqizimin e kuadrit ligjor aktual për kadastrën dhe zëvendësimin e tij me një instrument të ri ligjor, i cili integron dhe konsolidon dispozitat ekzistuese, duke garantuar vazhdimësinë e funksioneve thelbësore, në veçanti ato që lidhen me regjistrimin kadastral dhe përfundimin e proceseve kalimtare të pronësisë, sipas legjislacionit të posaçëm në fuqi. Ky tranzicion normativ është konceptuar në mënyrë të tillë që të sigurojë vijimësinë e pandërprerë të shërbimeve publike.</w:t>
      </w:r>
      <w:r w:rsidR="005F4500" w:rsidRPr="005F3659">
        <w:rPr>
          <w:rFonts w:ascii="Times New Roman" w:hAnsi="Times New Roman" w:cs="Times New Roman"/>
          <w:sz w:val="24"/>
          <w:szCs w:val="24"/>
          <w:lang w:val="sq-AL"/>
        </w:rPr>
        <w:t xml:space="preserve"> </w:t>
      </w:r>
    </w:p>
    <w:p w14:paraId="5706F577" w14:textId="61883CCC" w:rsidR="001A08E1" w:rsidRPr="00371AE2" w:rsidRDefault="005F4500" w:rsidP="00DD200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Për sa më sipër</w:t>
      </w:r>
      <w:r w:rsidR="00DD2004" w:rsidRPr="005F3659">
        <w:rPr>
          <w:rFonts w:ascii="Times New Roman" w:hAnsi="Times New Roman" w:cs="Times New Roman"/>
          <w:sz w:val="24"/>
          <w:szCs w:val="24"/>
          <w:lang w:val="sq-AL"/>
        </w:rPr>
        <w:t>, projektligji rezulton të jetë në përputhje të plotë me Kushtetutën e Republikës së Shqipërisë, me legjislacionin e brendshëm në fuqi, duke garantuar një harmonizim të qëndrueshëm normativ dhe institucional në fushën e administrimit të pronës së paluajtshme.</w:t>
      </w:r>
      <w:bookmarkEnd w:id="7"/>
      <w:bookmarkEnd w:id="8"/>
    </w:p>
    <w:p w14:paraId="491D3373" w14:textId="220FA68A" w:rsidR="00A0457B" w:rsidRPr="005F3659" w:rsidRDefault="00A0457B" w:rsidP="00A0457B">
      <w:pPr>
        <w:pStyle w:val="ListParagraph"/>
        <w:numPr>
          <w:ilvl w:val="0"/>
          <w:numId w:val="2"/>
        </w:numPr>
        <w:spacing w:line="276" w:lineRule="auto"/>
        <w:jc w:val="both"/>
        <w:rPr>
          <w:rFonts w:ascii="Times New Roman" w:hAnsi="Times New Roman" w:cs="Times New Roman"/>
          <w:b/>
          <w:sz w:val="24"/>
          <w:szCs w:val="24"/>
          <w:lang w:val="sq-AL"/>
        </w:rPr>
      </w:pPr>
      <w:bookmarkStart w:id="9" w:name="_Hlk225772599"/>
      <w:r w:rsidRPr="005F3659">
        <w:rPr>
          <w:rFonts w:ascii="Times New Roman" w:hAnsi="Times New Roman" w:cs="Times New Roman"/>
          <w:b/>
          <w:sz w:val="24"/>
          <w:szCs w:val="24"/>
          <w:lang w:val="sq-AL"/>
        </w:rPr>
        <w:lastRenderedPageBreak/>
        <w:t>VLERËSIMI I SHKALLËS SË PËRAFRIMIT ME ACQUIS COMMUNAUTAIR</w:t>
      </w:r>
      <w:bookmarkEnd w:id="9"/>
      <w:r w:rsidRPr="005F3659">
        <w:rPr>
          <w:rFonts w:ascii="Times New Roman" w:hAnsi="Times New Roman" w:cs="Times New Roman"/>
          <w:b/>
          <w:sz w:val="24"/>
          <w:szCs w:val="24"/>
          <w:lang w:val="sq-AL"/>
        </w:rPr>
        <w:t xml:space="preserve">E </w:t>
      </w:r>
    </w:p>
    <w:p w14:paraId="0BBEA77C" w14:textId="35D4742A" w:rsidR="005F4500" w:rsidRPr="005F3659" w:rsidRDefault="005F4500" w:rsidP="005F4500">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Projektligji i propozuar është hartuar në përputhje me orientimet dhe standardet e Bashkimit Evropian në fushën e të drejtave të pronësisë, administrimit të tokës dhe funksionimit të sistemeve të regjistrimit të pasurive të paluajtshme, duke kontribuar në mënyrë të drejtpërdrejtë në procesin e përafrimit gradual të legjislacionit shqiptar me acquis communautaire.</w:t>
      </w:r>
    </w:p>
    <w:p w14:paraId="6FEC997C" w14:textId="6998639F" w:rsidR="005F4500" w:rsidRPr="005F3659" w:rsidRDefault="005F4500" w:rsidP="005F4500">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kuptimin formal, duhet theksuar se Bashkimi Evropian nuk ka një acquis detyrues në mënyrë të drejtpërdrejtë për shtetet anëtare në lidhje me regjimin juridik të pronësisë dhe organizimin e sistemeve kadastrale, pasi këto çështje mbeten kryesisht në kompetencën e brendshme të shteteve. Megjithatë, ekziston një kuadër i konsoliduar parimesh, standardesh dhe praktikash më të mira evropiane, të cilat lidhen ngushtësisht me funksionimin e tregut të brendshëm, sigurinë juridike, mbrojtjen e të drejtave të pronësisë dhe eficiencën e administratës publike.</w:t>
      </w:r>
      <w:r w:rsidR="004D2CA5" w:rsidRPr="005F3659">
        <w:rPr>
          <w:rFonts w:ascii="Times New Roman" w:hAnsi="Times New Roman" w:cs="Times New Roman"/>
          <w:sz w:val="24"/>
          <w:szCs w:val="24"/>
          <w:lang w:val="sq-AL"/>
        </w:rPr>
        <w:t xml:space="preserve"> </w:t>
      </w:r>
      <w:r w:rsidRPr="005F3659">
        <w:rPr>
          <w:rFonts w:ascii="Times New Roman" w:hAnsi="Times New Roman" w:cs="Times New Roman"/>
          <w:sz w:val="24"/>
          <w:szCs w:val="24"/>
          <w:lang w:val="sq-AL"/>
        </w:rPr>
        <w:t>Në këtë kontekst, projektligji është në përputhje të plotë me këto parime dhe standarde</w:t>
      </w:r>
      <w:r w:rsidR="00130C1C" w:rsidRPr="005F3659">
        <w:rPr>
          <w:rFonts w:ascii="Times New Roman" w:hAnsi="Times New Roman" w:cs="Times New Roman"/>
          <w:sz w:val="24"/>
          <w:szCs w:val="24"/>
          <w:lang w:val="sq-AL"/>
        </w:rPr>
        <w:t xml:space="preserve">. </w:t>
      </w:r>
      <w:r w:rsidR="009172AF">
        <w:rPr>
          <w:rFonts w:ascii="Times New Roman" w:hAnsi="Times New Roman" w:cs="Times New Roman"/>
          <w:sz w:val="24"/>
          <w:szCs w:val="24"/>
          <w:lang w:val="sq-AL"/>
        </w:rPr>
        <w:t xml:space="preserve"> </w:t>
      </w:r>
      <w:r w:rsidRPr="005F3659">
        <w:rPr>
          <w:rFonts w:ascii="Times New Roman" w:hAnsi="Times New Roman" w:cs="Times New Roman"/>
          <w:sz w:val="24"/>
          <w:szCs w:val="24"/>
          <w:lang w:val="sq-AL"/>
        </w:rPr>
        <w:t>Për këtë arsye, përafrimi vlerësohet si përafrim në nivel parimor dhe funksional, i cili kontribuon në përmbushjen e detyrimeve të procesit të integrimit evropian.</w:t>
      </w:r>
    </w:p>
    <w:p w14:paraId="70702E1F" w14:textId="298A4863" w:rsidR="005F4500" w:rsidRPr="005F3659" w:rsidRDefault="004D2CA5" w:rsidP="005F4500">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Për sa më sipër</w:t>
      </w:r>
      <w:r w:rsidR="005F4500" w:rsidRPr="005F3659">
        <w:rPr>
          <w:rFonts w:ascii="Times New Roman" w:hAnsi="Times New Roman" w:cs="Times New Roman"/>
          <w:sz w:val="24"/>
          <w:szCs w:val="24"/>
          <w:lang w:val="sq-AL"/>
        </w:rPr>
        <w:t xml:space="preserve">, projektligji është në përputhje me </w:t>
      </w:r>
      <w:r w:rsidR="005F4500" w:rsidRPr="005F3659">
        <w:rPr>
          <w:rFonts w:ascii="Times New Roman" w:hAnsi="Times New Roman" w:cs="Times New Roman"/>
          <w:i/>
          <w:sz w:val="24"/>
          <w:szCs w:val="24"/>
          <w:lang w:val="sq-AL"/>
        </w:rPr>
        <w:t>acquis communautaire</w:t>
      </w:r>
      <w:r w:rsidR="005F4500" w:rsidRPr="005F3659">
        <w:rPr>
          <w:rFonts w:ascii="Times New Roman" w:hAnsi="Times New Roman" w:cs="Times New Roman"/>
          <w:sz w:val="24"/>
          <w:szCs w:val="24"/>
          <w:lang w:val="sq-AL"/>
        </w:rPr>
        <w:t xml:space="preserve"> dhe praktikat më të mira evropiane në fushën e administrimit të pronës së paluajtshme, duke përbërë një hap të rëndësishëm drejt konsolidimit të standardeve evropiane në këtë sektor dhe forcimit të kapaciteteve institucionale</w:t>
      </w:r>
      <w:r w:rsidR="00130C1C" w:rsidRPr="005F3659">
        <w:rPr>
          <w:rFonts w:ascii="Times New Roman" w:hAnsi="Times New Roman" w:cs="Times New Roman"/>
          <w:sz w:val="24"/>
          <w:szCs w:val="24"/>
          <w:lang w:val="sq-AL"/>
        </w:rPr>
        <w:t>,</w:t>
      </w:r>
      <w:r w:rsidR="005F4500" w:rsidRPr="005F3659">
        <w:rPr>
          <w:rFonts w:ascii="Times New Roman" w:hAnsi="Times New Roman" w:cs="Times New Roman"/>
          <w:sz w:val="24"/>
          <w:szCs w:val="24"/>
          <w:lang w:val="sq-AL"/>
        </w:rPr>
        <w:t xml:space="preserve"> në funksion të integrimit të Republikës së Shqipërisë në Bashkimin Evropian.</w:t>
      </w:r>
    </w:p>
    <w:p w14:paraId="77BFBC0D" w14:textId="77777777" w:rsidR="005F4500" w:rsidRPr="00371AE2" w:rsidRDefault="005F4500" w:rsidP="005F4500">
      <w:pPr>
        <w:spacing w:line="276" w:lineRule="auto"/>
        <w:jc w:val="both"/>
        <w:rPr>
          <w:rFonts w:ascii="Times New Roman" w:hAnsi="Times New Roman" w:cs="Times New Roman"/>
          <w:sz w:val="24"/>
          <w:szCs w:val="24"/>
          <w:lang w:val="sq-AL"/>
        </w:rPr>
      </w:pPr>
    </w:p>
    <w:p w14:paraId="4BDB1AB9" w14:textId="079FC1F3" w:rsidR="00A0457B" w:rsidRPr="005F3659" w:rsidRDefault="00A0457B" w:rsidP="00A0457B">
      <w:pPr>
        <w:pStyle w:val="ListParagraph"/>
        <w:numPr>
          <w:ilvl w:val="0"/>
          <w:numId w:val="2"/>
        </w:numPr>
        <w:spacing w:line="276" w:lineRule="auto"/>
        <w:jc w:val="both"/>
        <w:rPr>
          <w:rFonts w:ascii="Times New Roman" w:hAnsi="Times New Roman" w:cs="Times New Roman"/>
          <w:b/>
          <w:sz w:val="24"/>
          <w:szCs w:val="24"/>
          <w:lang w:val="sq-AL"/>
        </w:rPr>
      </w:pPr>
      <w:bookmarkStart w:id="10" w:name="_Hlk225773140"/>
      <w:r w:rsidRPr="005F3659">
        <w:rPr>
          <w:rFonts w:ascii="Times New Roman" w:hAnsi="Times New Roman" w:cs="Times New Roman"/>
          <w:b/>
          <w:sz w:val="24"/>
          <w:szCs w:val="24"/>
          <w:lang w:val="sq-AL"/>
        </w:rPr>
        <w:t>PËRMBLEDHJE SHPJEGUESE E PËRMBAJTJES SË PROJEKTAKTIT</w:t>
      </w:r>
      <w:bookmarkEnd w:id="10"/>
    </w:p>
    <w:p w14:paraId="45B12AA5" w14:textId="3DA438A1" w:rsidR="004D2CA5" w:rsidRPr="005F3659" w:rsidRDefault="004D2CA5" w:rsidP="004D2CA5">
      <w:pPr>
        <w:spacing w:line="276" w:lineRule="auto"/>
        <w:jc w:val="both"/>
        <w:rPr>
          <w:rFonts w:ascii="Times New Roman" w:hAnsi="Times New Roman" w:cs="Times New Roman"/>
          <w:sz w:val="24"/>
          <w:szCs w:val="24"/>
          <w:lang w:val="sq-AL"/>
        </w:rPr>
      </w:pPr>
      <w:bookmarkStart w:id="11" w:name="_Hlk225861301"/>
      <w:bookmarkStart w:id="12" w:name="_Hlk225773176"/>
      <w:r w:rsidRPr="005F3659">
        <w:rPr>
          <w:rFonts w:ascii="Times New Roman" w:hAnsi="Times New Roman" w:cs="Times New Roman"/>
          <w:sz w:val="24"/>
          <w:szCs w:val="24"/>
          <w:lang w:val="sq-AL"/>
        </w:rPr>
        <w:t xml:space="preserve">Projektligji i propozuar përbëhet nga 74 nene, të strukturuara në 8 krerë, dhe paraqet një rregullim të plotë të kuadrit ligjor që lidhet me organizimin institucional, funksionimin dhe ushtrimin e kompetencave në fushën e </w:t>
      </w:r>
      <w:r w:rsidR="005E5709" w:rsidRPr="005F3659">
        <w:rPr>
          <w:rFonts w:ascii="Times New Roman" w:hAnsi="Times New Roman" w:cs="Times New Roman"/>
          <w:sz w:val="24"/>
          <w:szCs w:val="24"/>
          <w:lang w:val="sq-AL"/>
        </w:rPr>
        <w:t xml:space="preserve">regjistrimit </w:t>
      </w:r>
      <w:r w:rsidRPr="005F3659">
        <w:rPr>
          <w:rFonts w:ascii="Times New Roman" w:hAnsi="Times New Roman" w:cs="Times New Roman"/>
          <w:sz w:val="24"/>
          <w:szCs w:val="24"/>
          <w:lang w:val="sq-AL"/>
        </w:rPr>
        <w:t>të pasurive të paluajtshme</w:t>
      </w:r>
      <w:r w:rsidR="005E5709" w:rsidRPr="005F3659">
        <w:rPr>
          <w:rFonts w:ascii="Times New Roman" w:hAnsi="Times New Roman" w:cs="Times New Roman"/>
          <w:sz w:val="24"/>
          <w:szCs w:val="24"/>
          <w:lang w:val="sq-AL"/>
        </w:rPr>
        <w:t xml:space="preserve"> në Republikën e Shqipërisë</w:t>
      </w:r>
      <w:r w:rsidRPr="005F3659">
        <w:rPr>
          <w:rFonts w:ascii="Times New Roman" w:hAnsi="Times New Roman" w:cs="Times New Roman"/>
          <w:sz w:val="24"/>
          <w:szCs w:val="24"/>
          <w:lang w:val="sq-AL"/>
        </w:rPr>
        <w:t xml:space="preserve">, si dhe </w:t>
      </w:r>
      <w:r w:rsidR="005E5709" w:rsidRPr="005F3659">
        <w:rPr>
          <w:rFonts w:ascii="Times New Roman" w:hAnsi="Times New Roman" w:cs="Times New Roman"/>
          <w:sz w:val="24"/>
          <w:szCs w:val="24"/>
          <w:lang w:val="sq-AL"/>
        </w:rPr>
        <w:t>proceseve të pronësisë me natyrë kalimtare</w:t>
      </w:r>
      <w:r w:rsidRPr="005F3659">
        <w:rPr>
          <w:rFonts w:ascii="Times New Roman" w:hAnsi="Times New Roman" w:cs="Times New Roman"/>
          <w:sz w:val="24"/>
          <w:szCs w:val="24"/>
          <w:lang w:val="sq-AL"/>
        </w:rPr>
        <w:t>.</w:t>
      </w:r>
    </w:p>
    <w:p w14:paraId="2AAA3F3D" w14:textId="19C1995D" w:rsidR="00AF2021" w:rsidRPr="005F3659" w:rsidRDefault="004D2CA5" w:rsidP="005C286D">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tërësinë e tij, projektakti synon të ndërtojë një sistem të unifikuar normativ dhe institucional, duke konsoliduar në një ligj të vetëm rregullat që lidhen me regjistrimin e pasurive të paluajtshme, trajtimin e të drejtave të pronësisë dhe administrimin e pasurisë shtetërore, nëpërmjet krijimit të Agjencisë Shtetërore të Pronës (ASHP).</w:t>
      </w:r>
      <w:r w:rsidR="00AF2021" w:rsidRPr="005F3659">
        <w:rPr>
          <w:rFonts w:ascii="Times New Roman" w:hAnsi="Times New Roman" w:cs="Times New Roman"/>
          <w:sz w:val="24"/>
          <w:szCs w:val="24"/>
          <w:lang w:val="sq-AL"/>
        </w:rPr>
        <w:t xml:space="preserve"> </w:t>
      </w:r>
    </w:p>
    <w:bookmarkEnd w:id="11"/>
    <w:p w14:paraId="4D0441A5" w14:textId="0A960759" w:rsidR="004D2CA5" w:rsidRPr="005F3659" w:rsidRDefault="007F23A6" w:rsidP="004D2CA5">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Konkretisht, </w:t>
      </w:r>
      <w:r w:rsidR="00B062D6" w:rsidRPr="005F3659">
        <w:rPr>
          <w:rFonts w:ascii="Times New Roman" w:hAnsi="Times New Roman" w:cs="Times New Roman"/>
          <w:b/>
          <w:sz w:val="24"/>
          <w:szCs w:val="24"/>
          <w:lang w:val="sq-AL"/>
        </w:rPr>
        <w:t>K</w:t>
      </w:r>
      <w:r w:rsidRPr="005F3659">
        <w:rPr>
          <w:rFonts w:ascii="Times New Roman" w:hAnsi="Times New Roman" w:cs="Times New Roman"/>
          <w:b/>
          <w:sz w:val="24"/>
          <w:szCs w:val="24"/>
          <w:lang w:val="sq-AL"/>
        </w:rPr>
        <w:t xml:space="preserve">reu </w:t>
      </w:r>
      <w:r w:rsidR="00B062D6" w:rsidRPr="005F3659">
        <w:rPr>
          <w:rFonts w:ascii="Times New Roman" w:hAnsi="Times New Roman" w:cs="Times New Roman"/>
          <w:b/>
          <w:sz w:val="24"/>
          <w:szCs w:val="24"/>
          <w:lang w:val="sq-AL"/>
        </w:rPr>
        <w:t>I</w:t>
      </w:r>
      <w:r w:rsidRPr="005F3659">
        <w:rPr>
          <w:rFonts w:ascii="Times New Roman" w:hAnsi="Times New Roman" w:cs="Times New Roman"/>
          <w:sz w:val="24"/>
          <w:szCs w:val="24"/>
          <w:lang w:val="sq-AL"/>
        </w:rPr>
        <w:t xml:space="preserve"> </w:t>
      </w:r>
      <w:r w:rsidR="004D2CA5" w:rsidRPr="005F3659">
        <w:rPr>
          <w:rFonts w:ascii="Times New Roman" w:hAnsi="Times New Roman" w:cs="Times New Roman"/>
          <w:sz w:val="24"/>
          <w:szCs w:val="24"/>
          <w:lang w:val="sq-AL"/>
        </w:rPr>
        <w:t xml:space="preserve">përmban dispozitat </w:t>
      </w:r>
      <w:r w:rsidRPr="005F3659">
        <w:rPr>
          <w:rFonts w:ascii="Times New Roman" w:hAnsi="Times New Roman" w:cs="Times New Roman"/>
          <w:sz w:val="24"/>
          <w:szCs w:val="24"/>
          <w:lang w:val="sq-AL"/>
        </w:rPr>
        <w:t>e përgjithshme</w:t>
      </w:r>
      <w:r w:rsidR="004D2CA5" w:rsidRPr="005F3659">
        <w:rPr>
          <w:rFonts w:ascii="Times New Roman" w:hAnsi="Times New Roman" w:cs="Times New Roman"/>
          <w:sz w:val="24"/>
          <w:szCs w:val="24"/>
          <w:lang w:val="sq-AL"/>
        </w:rPr>
        <w:t xml:space="preserve"> që përcaktojnë bazën konceptuale dhe normative të ligjit. Në të sanksionohet objekti dhe qëllimi i projektligjit, fusha e veprimit, si dhe jepen përkufizimet kryesore ligjore që sigurojnë interpretimin e njëtrajtshëm të dispozitave të tij. Gjithashtu, përcaktohen subjektet që përfshihen në marrëdhëniet juridike të rregulluara nga ligji dhe parimet e përgjithshme që udhëheqin veprimtarinë e ASHP-së, </w:t>
      </w:r>
      <w:r w:rsidR="005C286D" w:rsidRPr="005F3659">
        <w:rPr>
          <w:rFonts w:ascii="Times New Roman" w:hAnsi="Times New Roman" w:cs="Times New Roman"/>
          <w:sz w:val="24"/>
          <w:szCs w:val="24"/>
          <w:lang w:val="sq-AL"/>
        </w:rPr>
        <w:t>si:</w:t>
      </w:r>
      <w:r w:rsidR="004D2CA5" w:rsidRPr="005F3659">
        <w:rPr>
          <w:rFonts w:ascii="Times New Roman" w:hAnsi="Times New Roman" w:cs="Times New Roman"/>
          <w:sz w:val="24"/>
          <w:szCs w:val="24"/>
          <w:lang w:val="sq-AL"/>
        </w:rPr>
        <w:t xml:space="preserve"> parim</w:t>
      </w:r>
      <w:r w:rsidR="005C286D" w:rsidRPr="005F3659">
        <w:rPr>
          <w:rFonts w:ascii="Times New Roman" w:hAnsi="Times New Roman" w:cs="Times New Roman"/>
          <w:sz w:val="24"/>
          <w:szCs w:val="24"/>
          <w:lang w:val="sq-AL"/>
        </w:rPr>
        <w:t>i i</w:t>
      </w:r>
      <w:r w:rsidR="004D2CA5" w:rsidRPr="005F3659">
        <w:rPr>
          <w:rFonts w:ascii="Times New Roman" w:hAnsi="Times New Roman" w:cs="Times New Roman"/>
          <w:sz w:val="24"/>
          <w:szCs w:val="24"/>
          <w:lang w:val="sq-AL"/>
        </w:rPr>
        <w:t xml:space="preserve"> ligjshmërisë, sigurisë juridike, transparencës, ekskluzivitetit të shërbimit, mbrojtjes së pronës shtetërore dhe saktësisë së të dhënave kadastrale.</w:t>
      </w:r>
    </w:p>
    <w:p w14:paraId="16E02A6D" w14:textId="1A21A55D" w:rsidR="004D2CA5" w:rsidRPr="005F3659" w:rsidRDefault="004D2CA5" w:rsidP="004D2CA5">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lastRenderedPageBreak/>
        <w:t xml:space="preserve">Në këtë kre evidentohen gjithashtu kompetencat kryesore të ASHP-së, të cilat përfshijnë jo vetëm funksionet ekzistuese të regjistrimit kadastral dhe përfundimit të proceseve kalimtare të pronësisë, por edhe funksione të reja që lidhen me </w:t>
      </w:r>
      <w:r w:rsidR="007F23A6" w:rsidRPr="005F3659">
        <w:rPr>
          <w:rFonts w:ascii="Times New Roman" w:hAnsi="Times New Roman" w:cs="Times New Roman"/>
          <w:sz w:val="24"/>
          <w:szCs w:val="24"/>
          <w:lang w:val="sq-AL"/>
        </w:rPr>
        <w:t xml:space="preserve">trajtimin e çështjeve të pronësisë së ish-pronarëve, si dhe </w:t>
      </w:r>
      <w:r w:rsidRPr="005F3659">
        <w:rPr>
          <w:rFonts w:ascii="Times New Roman" w:hAnsi="Times New Roman" w:cs="Times New Roman"/>
          <w:sz w:val="24"/>
          <w:szCs w:val="24"/>
          <w:lang w:val="sq-AL"/>
        </w:rPr>
        <w:t>inventarizimin, regjistrimin dhe disponimin e pasurive të paluajtshme shtetërore.</w:t>
      </w:r>
    </w:p>
    <w:bookmarkEnd w:id="12"/>
    <w:p w14:paraId="422AE6C0" w14:textId="77777777" w:rsidR="00B062D6" w:rsidRPr="005F3659" w:rsidRDefault="00B062D6" w:rsidP="00B062D6">
      <w:pPr>
        <w:spacing w:line="276" w:lineRule="auto"/>
        <w:jc w:val="both"/>
        <w:rPr>
          <w:rFonts w:ascii="Times New Roman" w:hAnsi="Times New Roman" w:cs="Times New Roman"/>
          <w:sz w:val="24"/>
          <w:szCs w:val="24"/>
          <w:lang w:val="sq-AL"/>
        </w:rPr>
      </w:pPr>
      <w:r w:rsidRPr="005F3659">
        <w:rPr>
          <w:rFonts w:ascii="Times New Roman" w:hAnsi="Times New Roman" w:cs="Times New Roman"/>
          <w:b/>
          <w:sz w:val="24"/>
          <w:szCs w:val="24"/>
          <w:lang w:val="sq-AL"/>
        </w:rPr>
        <w:t>Kreu II</w:t>
      </w:r>
      <w:r w:rsidRPr="005F3659">
        <w:rPr>
          <w:rFonts w:ascii="Times New Roman" w:hAnsi="Times New Roman" w:cs="Times New Roman"/>
          <w:sz w:val="24"/>
          <w:szCs w:val="24"/>
          <w:lang w:val="sq-AL"/>
        </w:rPr>
        <w:t xml:space="preserve"> i projektligjit përcakton në mënyrë të detajuar kuadrin juridik që rregullon organizimin, funksionimin, administrimin dhe drejtimin e Agjencisë Shtetërore të Pronës (ASHP), si institucioni përgjegjës për ushtrimin e kompetencave në fushën e regjistrimit të pasurive të paluajtshme, trajtimit të pronës dhe administrimit të pronës shtetërore. Dispozitat e këtij kreu synojnë të krijojnë një strukturë institucionale të integruar, funksionale dhe efikase, duke garantuar njëkohësisht autonominë funksionale, përgjegjshmërinë administrative dhe kontrollin e brendshëm të veprimtarisë së Agjencisë.</w:t>
      </w:r>
    </w:p>
    <w:p w14:paraId="02E32AAC" w14:textId="0140CEEA" w:rsidR="00B062D6" w:rsidRPr="005F3659" w:rsidRDefault="00B062D6" w:rsidP="00B062D6">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Në nenin 7 përcaktohet statusi juridik i ASHP-së si person juridik publik në varësi të Kryeministrit ose ministrit përgjegjës për pronën, si dhe rregullohen burimet e financimit dhe mënyra e administrimit financiar të saj. Parashikohet një model i kombinuar financimi, i bazuar në vetëfinancim, mbështetje nga buxheti i shtetit dhe burime të tjera financiare, përfshirë donacionet dhe kreditë. Dispozita vendos gjithashtu rregulla për menaxhimin buxhetor, përfshirë miratimin e buxhetit, </w:t>
      </w:r>
      <w:r w:rsidR="009C46A0" w:rsidRPr="005F3659">
        <w:rPr>
          <w:rFonts w:ascii="Times New Roman" w:hAnsi="Times New Roman" w:cs="Times New Roman"/>
          <w:sz w:val="24"/>
          <w:szCs w:val="24"/>
          <w:lang w:val="sq-AL"/>
        </w:rPr>
        <w:t>përdorimin e llogarive të veçanta në Thesarin e Shtetit</w:t>
      </w:r>
      <w:r w:rsidRPr="005F3659">
        <w:rPr>
          <w:rFonts w:ascii="Times New Roman" w:hAnsi="Times New Roman" w:cs="Times New Roman"/>
          <w:sz w:val="24"/>
          <w:szCs w:val="24"/>
          <w:lang w:val="sq-AL"/>
        </w:rPr>
        <w:t>, trashëgiminë e të ardhurave të papërdorura dhe krijimin e një fondi rezervë për mbulimin e veprimtar</w:t>
      </w:r>
      <w:r w:rsidR="005C286D" w:rsidRPr="005F3659">
        <w:rPr>
          <w:rFonts w:ascii="Times New Roman" w:hAnsi="Times New Roman" w:cs="Times New Roman"/>
          <w:sz w:val="24"/>
          <w:szCs w:val="24"/>
          <w:lang w:val="sq-AL"/>
        </w:rPr>
        <w:t>së</w:t>
      </w:r>
      <w:r w:rsidRPr="005F3659">
        <w:rPr>
          <w:rFonts w:ascii="Times New Roman" w:hAnsi="Times New Roman" w:cs="Times New Roman"/>
          <w:sz w:val="24"/>
          <w:szCs w:val="24"/>
          <w:lang w:val="sq-AL"/>
        </w:rPr>
        <w:t xml:space="preserve"> kadastrale. Një rregullim i veçantë i dedikohet Drejtorisë së Posaçme të Trajtimit të Pronës, e cila, ndonëse pjesë e ASHP-së, operon si njësi shpenzuese me buxhet të </w:t>
      </w:r>
      <w:r w:rsidRPr="00371AE2">
        <w:rPr>
          <w:rFonts w:ascii="Times New Roman" w:hAnsi="Times New Roman" w:cs="Times New Roman"/>
          <w:sz w:val="24"/>
          <w:szCs w:val="24"/>
          <w:lang w:val="sq-AL"/>
        </w:rPr>
        <w:t>veçantë të financuar nga buxheti i shtetit</w:t>
      </w:r>
      <w:r w:rsidRPr="005F3659">
        <w:rPr>
          <w:rFonts w:ascii="Times New Roman" w:hAnsi="Times New Roman" w:cs="Times New Roman"/>
          <w:sz w:val="24"/>
          <w:szCs w:val="24"/>
          <w:lang w:val="sq-AL"/>
        </w:rPr>
        <w:t>, në funksion të përmbushjes së detyrimeve që burojnë nga legjislacioni i posaçëm për trajtimin e pronës.</w:t>
      </w:r>
    </w:p>
    <w:p w14:paraId="5FE8B092" w14:textId="7A6BEA53" w:rsidR="00B062D6" w:rsidRPr="005F3659" w:rsidRDefault="00B062D6" w:rsidP="00B062D6">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Neni 8 përcakton parimet bazë të organizimit dhe funksionimit të Agjencisë, duke </w:t>
      </w:r>
      <w:r w:rsidR="005C286D" w:rsidRPr="005F3659">
        <w:rPr>
          <w:rFonts w:ascii="Times New Roman" w:hAnsi="Times New Roman" w:cs="Times New Roman"/>
          <w:sz w:val="24"/>
          <w:szCs w:val="24"/>
          <w:lang w:val="sq-AL"/>
        </w:rPr>
        <w:t>parashikua</w:t>
      </w:r>
      <w:r w:rsidRPr="005F3659">
        <w:rPr>
          <w:rFonts w:ascii="Times New Roman" w:hAnsi="Times New Roman" w:cs="Times New Roman"/>
          <w:sz w:val="24"/>
          <w:szCs w:val="24"/>
          <w:lang w:val="sq-AL"/>
        </w:rPr>
        <w:t>r specializim sektorial, autonomi funksionale dhe mekanizma</w:t>
      </w:r>
      <w:r w:rsidR="005C286D" w:rsidRPr="005F3659">
        <w:rPr>
          <w:rFonts w:ascii="Times New Roman" w:hAnsi="Times New Roman" w:cs="Times New Roman"/>
          <w:sz w:val="24"/>
          <w:szCs w:val="24"/>
          <w:lang w:val="sq-AL"/>
        </w:rPr>
        <w:t xml:space="preserve"> </w:t>
      </w:r>
      <w:r w:rsidRPr="005F3659">
        <w:rPr>
          <w:rFonts w:ascii="Times New Roman" w:hAnsi="Times New Roman" w:cs="Times New Roman"/>
          <w:sz w:val="24"/>
          <w:szCs w:val="24"/>
          <w:lang w:val="sq-AL"/>
        </w:rPr>
        <w:t>kontrolli e llogaridhënie. Organizimi institucional parashikohet në dy nivele: qendror dhe vendor. Në nivel qendror, struktura përbëhet nga Drejtoria e Përgjithshme dhe drejtoritë e posaçme për trajtimin e pronës dhe pronat shtetërore, ndërsa në nivel vendor organizohet në drejtoritë vendore që mbulojnë të gjithë territorin e Republikës së Shqipërisë. Gjithashtu, përcaktohen organet drejtuese të Agjencisë, konkretisht Këshilli Drejtues dhe Drejtori i Përgjithshëm, si dhe procedurat për miratimin e strukturës dhe organikës.</w:t>
      </w:r>
    </w:p>
    <w:p w14:paraId="7CCAB1B2" w14:textId="77777777" w:rsidR="00B062D6" w:rsidRPr="005F3659" w:rsidRDefault="00B062D6" w:rsidP="00B062D6">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nenin 9 rregullohet përbërja, mënyra e emërimit, funksionimi dhe kompetencat e Këshillit Drejtues, si organ kolegjial mbikëqyrës dhe vendimmarrës strategjik. Përbërja e tij siguron përfaqësim ndërinstitucional nga ministritë dhe institucionet kryesore të lidhura me fushën e pronës. Dispozitat përcaktojnë kriteret profesionale të anëtarëve, kohëzgjatjen e mandatit të kryetarit, si dhe një gamë të gjerë kompetencash që lidhen me miratimin e programeve buxhetore, politikave institucionale, rregulloreve të brendshme, tarifave të shërbimeve, strukturës organizative, si dhe monitorimin e veprimtarisë financiare dhe administrative të Agjencisë.</w:t>
      </w:r>
    </w:p>
    <w:p w14:paraId="070FF6A6" w14:textId="77777777" w:rsidR="00B062D6" w:rsidRPr="005F3659" w:rsidRDefault="00B062D6" w:rsidP="00B062D6">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Neni 10 përcakton statusin, mënyrën e emërimit dhe kompetencat e Drejtorit të Përgjithshëm, si organi ekzekutiv dhe administrativ i lartë i ASHP-së. Drejtori i Përgjithshëm është përgjegjës për </w:t>
      </w:r>
      <w:r w:rsidRPr="005F3659">
        <w:rPr>
          <w:rFonts w:ascii="Times New Roman" w:hAnsi="Times New Roman" w:cs="Times New Roman"/>
          <w:sz w:val="24"/>
          <w:szCs w:val="24"/>
          <w:lang w:val="sq-AL"/>
        </w:rPr>
        <w:lastRenderedPageBreak/>
        <w:t>drejtimin e përgjithshëm të Agjencisë, zbatimin e politikave dhe legjislacionit në fuqi, menaxhimin e burimeve njerëzore dhe financiare, si dhe përfaqësimin ligjor të institucionit. Dispozita detajon kompetencat e tij në drejtim të hartimit të programeve buxhetore, nxjerrjes së akteve të brendshme, organizimit territorial, kontrollit të brendshëm dhe raportimit institucional. Gjithashtu, parashikohet mbështetja e tij nga dy zëvendësdrejtorë të përgjithshëm, njëri prej të cilëve përgjegjës për ankimin administrativ.</w:t>
      </w:r>
    </w:p>
    <w:p w14:paraId="0A75F0E3" w14:textId="77777777" w:rsidR="00B062D6" w:rsidRPr="005F3659" w:rsidRDefault="00B062D6" w:rsidP="00B062D6">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nenin 11 rregullohet roli dhe funksionimi i Drejtorisë së Përgjithshme si struktura qendrore drejtuese dhe koordinuese e Agjencisë. Ajo ushtron drejtimin dhe mbikëqyrjen e të gjitha strukturave në nivel qendror dhe vendor, si dhe garanton funksionimin e mekanizmave të kontrollit, auditimit dhe shqyrtimit të ankesave administrative, në përputhje me parimet e përcaktuara në ligj.</w:t>
      </w:r>
    </w:p>
    <w:p w14:paraId="69A6D8E1" w14:textId="77777777" w:rsidR="00B062D6" w:rsidRPr="005F3659" w:rsidRDefault="00B062D6" w:rsidP="00B062D6">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12 parashikon krijimin dhe funksionimin e Drejtorive të Posaçme, konkretisht Drejtorisë së Trajtimit të Pronës dhe Drejtorisë së Pronave Shtetërore, të cilat ushtrojnë kompetenca të specializuara sipas legjislacionit përkatës. Dispozita përcakton organizimin, mënyrën e drejtimit dhe kompetencat vendimmarrëse të këtyre strukturave, si dhe rregullon procedurat e ankimit kundër vendimeve të tyre, duke bërë dallim midis regjimit juridik të ankimit për secilën drejtori, në përputhje me ligjet e posaçme përkatëse.</w:t>
      </w:r>
    </w:p>
    <w:p w14:paraId="40DB1438" w14:textId="77777777" w:rsidR="00B062D6" w:rsidRPr="005F3659" w:rsidRDefault="00B062D6" w:rsidP="00B062D6">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nenin 13 rregullohet organizimi dhe funksionimi i strukturave të varësisë në nivel vendor, të cilat janë përgjegjëse për administrimin e kadastrës dhe zbatimin e procedurave në fushën e pronësisë. Dispozita përcakton në mënyrë të detajuar kompetencat e drejtorive vendore, përfshirë administrimin e regjistrave kadastralë, dokumentacionit ligjor dhe teknik, si dhe lëshimin e akteve kadastrale. Gjithashtu, parashikohet mbështetja teknike nga strukturat qendrore dhe rregullohet statusi dhe kompetencat e drejtuesve vendorë.</w:t>
      </w:r>
    </w:p>
    <w:p w14:paraId="2FA37213" w14:textId="552D8DD2" w:rsidR="00B062D6" w:rsidRPr="005F3659" w:rsidRDefault="00B062D6" w:rsidP="00B062D6">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Neni 14 përcakton regjimin juridik të marrëdhënieve të punës në ASHP, </w:t>
      </w:r>
      <w:r w:rsidR="001757A8" w:rsidRPr="005F3659">
        <w:rPr>
          <w:rFonts w:ascii="Times New Roman" w:hAnsi="Times New Roman" w:cs="Times New Roman"/>
          <w:sz w:val="24"/>
          <w:szCs w:val="24"/>
          <w:lang w:val="sq-AL"/>
        </w:rPr>
        <w:t xml:space="preserve">sipas </w:t>
      </w:r>
      <w:r w:rsidRPr="005F3659">
        <w:rPr>
          <w:rFonts w:ascii="Times New Roman" w:hAnsi="Times New Roman" w:cs="Times New Roman"/>
          <w:sz w:val="24"/>
          <w:szCs w:val="24"/>
          <w:lang w:val="sq-AL"/>
        </w:rPr>
        <w:t>dispozitave të Kodit të Punës, ndërkohë që vendos kërkesa për përmbushjen e kritereve të përgjithshme dhe të veçanta profesionale. Dispozita garanton një proces transparent rekrutimi, si dhe përcakton kompetencat për vendosjen e nivelit të pagave.</w:t>
      </w:r>
    </w:p>
    <w:p w14:paraId="2C5C128D" w14:textId="40088687" w:rsidR="00B062D6" w:rsidRPr="005F3659" w:rsidRDefault="00283660" w:rsidP="00B062D6">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w:t>
      </w:r>
      <w:r w:rsidR="00B062D6" w:rsidRPr="005F3659">
        <w:rPr>
          <w:rFonts w:ascii="Times New Roman" w:hAnsi="Times New Roman" w:cs="Times New Roman"/>
          <w:sz w:val="24"/>
          <w:szCs w:val="24"/>
          <w:lang w:val="sq-AL"/>
        </w:rPr>
        <w:t xml:space="preserve">eni 15 rregullon hierarkinë administrative dhe mekanizmat e kontrollit të akteve kadastrale, duke përcaktuar përgjegjësinë e drejtorëve vendorë dhe të drejtorive të posaçme ndaj Drejtorit të Përgjithshëm, si dhe procedurat e kontrollit administrativ dhe të ankimit. Parashikohen kompetencat për shfuqizimin, anulimin apo konstatimin e pavlefshmërisë së akteve </w:t>
      </w:r>
      <w:r w:rsidR="002C4C89" w:rsidRPr="005F3659">
        <w:rPr>
          <w:rFonts w:ascii="Times New Roman" w:hAnsi="Times New Roman" w:cs="Times New Roman"/>
          <w:sz w:val="24"/>
          <w:szCs w:val="24"/>
          <w:lang w:val="sq-AL"/>
        </w:rPr>
        <w:t xml:space="preserve">kadastrale </w:t>
      </w:r>
      <w:r w:rsidR="00B062D6" w:rsidRPr="005F3659">
        <w:rPr>
          <w:rFonts w:ascii="Times New Roman" w:hAnsi="Times New Roman" w:cs="Times New Roman"/>
          <w:sz w:val="24"/>
          <w:szCs w:val="24"/>
          <w:lang w:val="sq-AL"/>
        </w:rPr>
        <w:t>të paligjshme, si dhe për korrigjimin e gabimeve materiale, në përputhje me legjislacionin për procedurën administrative.</w:t>
      </w:r>
    </w:p>
    <w:p w14:paraId="63408848" w14:textId="44F29D43" w:rsidR="00B062D6" w:rsidRPr="005F3659" w:rsidRDefault="00B062D6" w:rsidP="00B062D6">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tërësi, Kreu II ndërton një arkitekturë institucionale dhe funksionale të ASHP-së, duke harmonizuar parimet e eficiencës administrative, specializimit funksional dhe kontrollit të brendshëm, me qëllim garantimin e një administrimi të qëndrueshëm, transparent dhe ligjërisht të sigurt të çështjeve të pronësisë në Republikën e Shqipërisë.</w:t>
      </w:r>
    </w:p>
    <w:p w14:paraId="4B070219" w14:textId="26E5B6CD" w:rsidR="00D853E4" w:rsidRPr="005F3659" w:rsidRDefault="00D853E4" w:rsidP="00D853E4">
      <w:pPr>
        <w:spacing w:line="276" w:lineRule="auto"/>
        <w:jc w:val="both"/>
        <w:rPr>
          <w:rFonts w:ascii="Times New Roman" w:hAnsi="Times New Roman" w:cs="Times New Roman"/>
          <w:sz w:val="24"/>
          <w:szCs w:val="24"/>
          <w:lang w:val="sq-AL"/>
        </w:rPr>
      </w:pPr>
      <w:r w:rsidRPr="005F3659">
        <w:rPr>
          <w:rFonts w:ascii="Times New Roman" w:hAnsi="Times New Roman" w:cs="Times New Roman"/>
          <w:b/>
          <w:sz w:val="24"/>
          <w:szCs w:val="24"/>
          <w:lang w:val="sq-AL"/>
        </w:rPr>
        <w:lastRenderedPageBreak/>
        <w:t xml:space="preserve">Kreu III </w:t>
      </w:r>
      <w:r w:rsidRPr="005F3659">
        <w:rPr>
          <w:rFonts w:ascii="Times New Roman" w:hAnsi="Times New Roman" w:cs="Times New Roman"/>
          <w:sz w:val="24"/>
          <w:szCs w:val="24"/>
          <w:lang w:val="sq-AL"/>
        </w:rPr>
        <w:t xml:space="preserve">i projektligjit rregullon në mënyrë të plotë dhe të detajuar organizimin, funksionimin dhe administrimin e sistemit kadastral në Republikën e Shqipërisë, duke përcaktuar elementët përbërës të tij, mënyrën e krijimit, administrimit dhe përditësimit të të dhënave kadastrale, si dhe procedurat përkatëse për regjistrimin dhe certifikimin e të drejtave mbi pasuritë e paluajtshme. Dispozitat e këtij kreu synojnë garantimin e një sistemi kadastral të integruar, të saktë, të përditësuar dhe të besueshëm, i cili shërben si bazë ligjore dhe teknike për sigurinë juridike të marrëdhënieve të pronësisë dhe zhvillimin ekonomik të vendit. </w:t>
      </w:r>
    </w:p>
    <w:p w14:paraId="66E85BC3" w14:textId="77777777" w:rsidR="00D853E4" w:rsidRPr="005F3659" w:rsidRDefault="00D853E4" w:rsidP="00D853E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nenin 16 përcaktohen parimet themelore mbi të dhënat kadastrale, duke sanksionuar detyrimin për regjistrimin e çdo pasurie të paluajtshme, private apo shtetërore, nëpërmjet kartelës së pasurisë dhe hartës kadastrale. Dispozita përcakton përmbajtjen e detyrueshme të kartelës kadastrale, e cila përfshin elementë thelbësorë si identifikimi i pronës, të drejtat reale mbi të dhe burimi juridik i tyre. Gjithashtu, parashikohet administrimi i të dhënave si në format shkresor ashtu edhe në atë digjital, duke sanksionuar kadastrën digjitale si bazë shtetërore të të dhënave mbi pasuritë e paluajtshme. Rregullimi i mëtejshëm i përdorimit dhe administrimit të kësaj baze të dhënash i lihet akteve nënligjore të Këshillit të Ministrave, në përputhje me legjislacionin përkatës.</w:t>
      </w:r>
    </w:p>
    <w:p w14:paraId="7B152A24" w14:textId="55A2A898" w:rsidR="00D853E4" w:rsidRPr="005F3659" w:rsidRDefault="00D853E4" w:rsidP="00D853E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Neni 17 rregullon ndarjen territoriale për efekt të regjistrimit kadastral, duke përcaktuar zonën kadastrale si njësi bazë të administrimit të të dhënave dhe zonën e regjistrimit si bashkësi funksionale e disa zonave kadastrale. Dispozita synon standardizimin dhe unifikimin e sistemit të identifikimit të pasurive të paluajtshme në nivel kombëtar, duke garantuar administrimin e tyre në një sistem unik dhe të integruar nga Agjencia. </w:t>
      </w:r>
    </w:p>
    <w:p w14:paraId="75FEB344" w14:textId="5C2AAC0E" w:rsidR="00D853E4" w:rsidRPr="005F3659" w:rsidRDefault="00D853E4" w:rsidP="00D853E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nenin 18 trajtohet harta kadastrale si element thelbësor i sistemit kadastral, e cila pasqyron të dhënat mbi pozicionin, kufijtë dhe karakteristikat e pasurive të paluajtshme. Parashikohet krijimi i hartës në momentin e regjistrimit fillestar dhe përditësimi i vazhdueshëm i saj, si dhe përbërja e saj minimale e detyrueshme. Gjithashtu, vendoset detyrimi për krijimin e një harte unike kombëtare të pronave dhe i jepet Agjencisë kompetenca për hartimin e hartave specifike kadastrale sipas nevojave shtetërore. Dispozita garanton transparencën përmes publikimit të informacionit bazik mbi hartën kadastrale dhe adresimin e pronave.</w:t>
      </w:r>
    </w:p>
    <w:p w14:paraId="47303236" w14:textId="77777777" w:rsidR="00D853E4" w:rsidRPr="005F3659" w:rsidRDefault="00D853E4" w:rsidP="00D853E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19 rregullon procedurat për korrigjimin e gabimeve në të dhënat kadastrale, duke përcaktuar rastet dhe mënyrat e ndërhyrjes administrative, si me iniciativë të autoriteteve përkatëse, ashtu edhe me kërkesë të subjekteve të interesuara. Dispozita vendos detyrimin për korrigjimin e gabimeve në përputhje me dokumentacionin ligjor dhe gjendjen faktike, si dhe parashikon mosaplikimin e tarifave në rastet kur gabimet burojnë nga vetë administrata. Gjithashtu, përcaktohen kufijtë e përgjegjësisë së Agjencisë, duke përjashtuar përgjegjësinë për gabime që burojnë nga aktet noteriale ndërmjet palëve private.</w:t>
      </w:r>
    </w:p>
    <w:p w14:paraId="1F031ADC" w14:textId="77777777" w:rsidR="00D853E4" w:rsidRPr="005F3659" w:rsidRDefault="00D853E4" w:rsidP="00D853E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Në nenin 20 përcaktohet regjimi juridik i certifikatës së pronësisë, si dokumenti themelor që provon të drejtën e pronësisë dhe statusin juridik të pasurisë së paluajtshme. Dispozita rregullon procedurën e lëshimit të certifikatës, përmbajtjen e saj, si dhe rastet e lëshimit të certifikatave për të drejta të tjera reale mbi pasurinë. Gjithashtu, sanksionohet pavlefshmëria absolute e certifikatave </w:t>
      </w:r>
      <w:r w:rsidRPr="005F3659">
        <w:rPr>
          <w:rFonts w:ascii="Times New Roman" w:hAnsi="Times New Roman" w:cs="Times New Roman"/>
          <w:sz w:val="24"/>
          <w:szCs w:val="24"/>
          <w:lang w:val="sq-AL"/>
        </w:rPr>
        <w:lastRenderedPageBreak/>
        <w:t>të lëshuara në kundërshtim me ligjin dhe detyrimi për respektimin e modeleve të miratuara me vendim të Këshillit të Ministrave.</w:t>
      </w:r>
    </w:p>
    <w:p w14:paraId="552A2A36" w14:textId="77777777" w:rsidR="00D853E4" w:rsidRPr="005F3659" w:rsidRDefault="00D853E4" w:rsidP="00D853E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21 parashikon procedurat për lëshimin e certifikatave “dublikatë” në rast humbjeje apo dëmtimi të certifikatës origjinale, duke vendosur mekanizma transparence dhe sigurie juridike përmes publikimit të njoftimit dhe respektimit të afateve procedurale përkatëse.</w:t>
      </w:r>
    </w:p>
    <w:p w14:paraId="4DA22D9C" w14:textId="77777777" w:rsidR="00D853E4" w:rsidRPr="005F3659" w:rsidRDefault="00D853E4" w:rsidP="00D853E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nenin 22 rregullohet lëshimi i akteve të tjera kadastrale, të cilat shërbejnë për të provuar gjendjen juridike të pasurisë apo për të mundësuar kryerjen e veprimeve juridiko-civile. Dispozita përcakton llojet e këtyre akteve, si vërtetimi i pronësisë, ekstrakti i gjendjes së pasurisë, harta kadastrale dhe vërtetime të ndryshme regjistrimi, si dhe njeh vlefshmërinë juridike të procedurave elektronike për kërkimin dhe marrjen e shërbimeve kadastrale.</w:t>
      </w:r>
    </w:p>
    <w:p w14:paraId="61BCAB43" w14:textId="77777777" w:rsidR="00D853E4" w:rsidRPr="005F3659" w:rsidRDefault="00D853E4" w:rsidP="00D853E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nenin 23 rregullohet në mënyrë të detajuar procesi i përditësimit të informacionit kadastral, si një element thelbësor për ruajtjen e saktësisë dhe aktualitetit të të dhënave. Dispozita përcakton rastet kur realizohet përditësimi, si dhe kompetencat e organeve përkatëse për urdhërimin e tij. Parashikohet krijimi i një sistemi periodik për përditësimin e të dhënave, i cili përfshin ndryshimet juridike, fizike dhe ekonomike të pasurisë, si dhe ndërhyrjet në territor. Gjithashtu, rregullohen në mënyrë të posaçme procedurat për ndryshimin e kategorisë së resursit të tokës, duke garantuar përputhshmërinë me legjislacionin për planifikimin dhe zhvillimin e territorit dhe me vendimmarrjen e organeve kompetente.</w:t>
      </w:r>
    </w:p>
    <w:p w14:paraId="5B45A30E" w14:textId="0A835FF4" w:rsidR="00361CA3" w:rsidRPr="005F3659" w:rsidRDefault="00D853E4" w:rsidP="00D853E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tërësi, Kreu III vendos bazat ligjore për një sistem kadastral të integruar dhe të digjitalizuar, i cili garanton siguri juridike, transparencë dhe efikasitet në administrimin e pasurive të paluajtshme, duke reflektuar njëkohësisht zhvillimet bashkëkohore në menaxhimin e informacionit kadastral dhe nevojat e administrimit publik në këtë fushë.</w:t>
      </w:r>
    </w:p>
    <w:p w14:paraId="1738AFB3" w14:textId="77777777" w:rsidR="00361CA3" w:rsidRPr="005F3659" w:rsidRDefault="00361CA3" w:rsidP="00361CA3">
      <w:pPr>
        <w:spacing w:line="276" w:lineRule="auto"/>
        <w:jc w:val="both"/>
        <w:rPr>
          <w:rFonts w:ascii="Times New Roman" w:hAnsi="Times New Roman" w:cs="Times New Roman"/>
          <w:sz w:val="24"/>
          <w:szCs w:val="24"/>
          <w:lang w:val="sq-AL"/>
        </w:rPr>
      </w:pPr>
      <w:r w:rsidRPr="005F3659">
        <w:rPr>
          <w:rFonts w:ascii="Times New Roman" w:hAnsi="Times New Roman" w:cs="Times New Roman"/>
          <w:b/>
          <w:sz w:val="24"/>
          <w:szCs w:val="24"/>
          <w:lang w:val="sq-AL"/>
        </w:rPr>
        <w:t>Kreu IV</w:t>
      </w:r>
      <w:r w:rsidRPr="005F3659">
        <w:rPr>
          <w:rFonts w:ascii="Times New Roman" w:hAnsi="Times New Roman" w:cs="Times New Roman"/>
          <w:sz w:val="24"/>
          <w:szCs w:val="24"/>
          <w:lang w:val="sq-AL"/>
        </w:rPr>
        <w:t xml:space="preserve"> i projektligjit rregullon në mënyrë të detajuar procesin e regjistrimit fillestar të pasurive të paluajtshme, duke përcaktuar parimet, procedurat dhe kompetencat e Agjencisë Shtetërore të Pronës (ASHP) dhe Drejtorive Vendore në këtë fushë. Ky kreu ka për qëllim garantimin e një regjistrimi të saktë, të plotë dhe të besueshëm të pronësisë, duke siguruar një bazë të fortë ligjore dhe teknike për të gjitha marrëdhëniet pronësore, si për pronat private, ashtu edhe për pasuritë shtetërore.</w:t>
      </w:r>
    </w:p>
    <w:p w14:paraId="75426D65" w14:textId="77777777" w:rsidR="00361CA3" w:rsidRPr="005F3659" w:rsidRDefault="00361CA3" w:rsidP="00361CA3">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Neni 24 përcakton se regjistrimi fillestar kryhet për çdo zonë kadastrale të identifikuar nga Drejtoria Vendore dhe konsiston në pasqyrimin e çdo pasurie të paluajtshme, private dhe shtetërore, në kartelën dhe hartën kadastrale përkatëse. Parashikohet që pronësia dhe kufijtë e çdo pasurie të dokumentohen në përputhje me aktet e fitimit të pronësisë sipas nenit 193 të Kodit Civil, duke përfshirë rastet kur dokumentacioni hartografik nuk është i plotë. Dispozitat parashikojnë procedurat për trajtimin e mosmarrëveshjeve mbi kufijtë e pasurive, duke vendosur që vendimi i ASHP-së mund të ankimohet gjyqësor. Gjithashtu, rregullohet regjistrimi i sipërfaqes efektive kur ajo është më e vogël se ajo e përcaktuar në titullin e pronësisë dhe parashikohet bashkëpunimi me organet shtetërore për shpronësimin kur prona private është prekur nga pronat publike. Për </w:t>
      </w:r>
      <w:r w:rsidRPr="005F3659">
        <w:rPr>
          <w:rFonts w:ascii="Times New Roman" w:hAnsi="Times New Roman" w:cs="Times New Roman"/>
          <w:sz w:val="24"/>
          <w:szCs w:val="24"/>
          <w:lang w:val="sq-AL"/>
        </w:rPr>
        <w:lastRenderedPageBreak/>
        <w:t>hartografimin e saktë të pasurive, përdoret produkti i fotografimit ajror të Republikës së Shqipërisë. Procedura e regjistrimit fillestar nis me vendim të drejtuesit të zyrës vendore ose të Drejtorit të Përgjithshëm dhe mund të realizohet nga strukturat e ASHP-së, subjekte të kontraktuara të jashtme, ose njësitë e vetëqeverisjes vendore sipas marrëveshjeve të miratuara nga këshilli drejtues i Agjencisë.</w:t>
      </w:r>
    </w:p>
    <w:p w14:paraId="42E6AC2B" w14:textId="77777777" w:rsidR="00361CA3" w:rsidRPr="005F3659" w:rsidRDefault="00361CA3" w:rsidP="00361CA3">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25 rregullon njoftimin dhe transparencën për publikun gjatë regjistrimit fillestar. Pas hartimit të hartës paraprake dhe kartelave të pasurive, shpallet publike zona kadastrale nëpërmjet njoftimeve të dukshme, duke përfshirë hartën dhe emrat e pronarëve identifikuar. Njoftimi ka një afat 45-ditor gjatë të cilit individët dhe subjektet e interesuara mund të paraqesin ankesa dhe pretendime, duke garantuar përfshirjen dhe mbrojtjen e të drejtave të pronarëve të zonës.</w:t>
      </w:r>
    </w:p>
    <w:p w14:paraId="1ADC4E07" w14:textId="77777777" w:rsidR="00E65665" w:rsidRPr="005F3659" w:rsidRDefault="00361CA3" w:rsidP="00361CA3">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26 përcakton se pas përfundimit të periudhës së konsultimit publik dhe trajtimit të ankesave, Drejtoritë Vendore formalizojnë regjistrimin fillestar duke krijuar kartelat e pasurive, hartat zyrtare kadastrale dhe duke lëshuar certifikatat e pronësisë për pronarët që kanë përmbushur detyrimet e regjistrimit. Dispozitat saktësojnë që Drejtoritë Vendore mund të kryejnë vetëm korrigjimin e gabimeve të konstatuara gjatë regjistrimit, ndërsa ankesa për shtesa të reja shqyrtohen nga struktura e posaçme për ankimet.</w:t>
      </w:r>
    </w:p>
    <w:p w14:paraId="5D9733FF" w14:textId="1836F41D" w:rsidR="00E65665" w:rsidRPr="005F3659" w:rsidRDefault="00E65665" w:rsidP="00E65665">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27</w:t>
      </w:r>
      <w:r w:rsidR="00361CA3" w:rsidRPr="005F3659">
        <w:rPr>
          <w:rFonts w:ascii="Times New Roman" w:hAnsi="Times New Roman" w:cs="Times New Roman"/>
          <w:sz w:val="24"/>
          <w:szCs w:val="24"/>
          <w:lang w:val="sq-AL"/>
        </w:rPr>
        <w:t xml:space="preserve"> përcakton kompetencat e strukturës së posaçme për ankimet, e cila shqyrton kërkesat që nuk janë trajtuar gjatë regjistrimit fillestar. Bazuar në gjetjet, kjo strukturë mund të vendosë për pranimin, rrëzimin ose detyrimin e Drejtorisë Vendore për të shqyrtuar sërish kërkesën, duke ruajtur kufijtë dhe të drejtat e pronarëve kufitarë.</w:t>
      </w:r>
      <w:r w:rsidR="00B972C3" w:rsidRPr="005F3659">
        <w:rPr>
          <w:rFonts w:ascii="Times New Roman" w:hAnsi="Times New Roman" w:cs="Times New Roman"/>
          <w:sz w:val="24"/>
          <w:szCs w:val="24"/>
          <w:lang w:val="sq-AL"/>
        </w:rPr>
        <w:t xml:space="preserve"> </w:t>
      </w:r>
      <w:r w:rsidR="00361CA3" w:rsidRPr="005F3659">
        <w:rPr>
          <w:rFonts w:ascii="Times New Roman" w:hAnsi="Times New Roman" w:cs="Times New Roman"/>
          <w:sz w:val="24"/>
          <w:szCs w:val="24"/>
          <w:lang w:val="sq-AL"/>
        </w:rPr>
        <w:t>Në tërësi, Kreu IV vendos një kuadër të qartë ligjor për regjistrimin fillestar, duke garantuar:</w:t>
      </w:r>
    </w:p>
    <w:p w14:paraId="188E9DBA" w14:textId="77777777" w:rsidR="00E65665" w:rsidRPr="005F3659" w:rsidRDefault="00361CA3" w:rsidP="00E65665">
      <w:pPr>
        <w:pStyle w:val="ListParagraph"/>
        <w:numPr>
          <w:ilvl w:val="0"/>
          <w:numId w:val="20"/>
        </w:num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Pasqyrimin ligjor dhe hartografik të të gjitha pasurive të paluajtshme; </w:t>
      </w:r>
    </w:p>
    <w:p w14:paraId="12F7CFA1" w14:textId="77777777" w:rsidR="00E65665" w:rsidRPr="005F3659" w:rsidRDefault="00361CA3" w:rsidP="00E65665">
      <w:pPr>
        <w:pStyle w:val="ListParagraph"/>
        <w:numPr>
          <w:ilvl w:val="0"/>
          <w:numId w:val="20"/>
        </w:num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Sigurimin e transparencës dhe pjesëmarrjen publike; </w:t>
      </w:r>
    </w:p>
    <w:p w14:paraId="74310B21" w14:textId="77777777" w:rsidR="00E65665" w:rsidRPr="005F3659" w:rsidRDefault="00361CA3" w:rsidP="00E65665">
      <w:pPr>
        <w:pStyle w:val="ListParagraph"/>
        <w:numPr>
          <w:ilvl w:val="0"/>
          <w:numId w:val="20"/>
        </w:num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Procedura të qarta për trajtimin e mosmarrëveshjeve dhe ankesave; </w:t>
      </w:r>
    </w:p>
    <w:p w14:paraId="7F3B86EB" w14:textId="77777777" w:rsidR="00E65665" w:rsidRPr="005F3659" w:rsidRDefault="00361CA3" w:rsidP="00E65665">
      <w:pPr>
        <w:pStyle w:val="ListParagraph"/>
        <w:numPr>
          <w:ilvl w:val="0"/>
          <w:numId w:val="20"/>
        </w:num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Bashkëpunimin me organet shtetërore për shpronësime të nevojshme; </w:t>
      </w:r>
    </w:p>
    <w:p w14:paraId="14ED1651" w14:textId="7D2B3FCD" w:rsidR="00361CA3" w:rsidRPr="005F3659" w:rsidRDefault="00361CA3" w:rsidP="00E65665">
      <w:pPr>
        <w:pStyle w:val="ListParagraph"/>
        <w:numPr>
          <w:ilvl w:val="0"/>
          <w:numId w:val="20"/>
        </w:num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Integrimin e regjistrimit fillestar në sistemin unik kadastral dhe digjital të ASHP-së. </w:t>
      </w:r>
    </w:p>
    <w:p w14:paraId="667DCEE8" w14:textId="29B3D17F" w:rsidR="00361CA3" w:rsidRPr="005F3659" w:rsidRDefault="00361CA3" w:rsidP="00361CA3">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Ky kreu krijon bazën për një regjistër të besueshëm dhe të qëndrueshëm të pasurive, duke konsoliduar sigurinë juridike të pronës dhe funksionimin efikas të sistemit kadastral në nivel kombëtar.</w:t>
      </w:r>
    </w:p>
    <w:p w14:paraId="2D625652" w14:textId="24F65407" w:rsidR="00F06485" w:rsidRPr="005F3659" w:rsidRDefault="00E65665" w:rsidP="00F06485">
      <w:pPr>
        <w:spacing w:line="276" w:lineRule="auto"/>
        <w:jc w:val="both"/>
        <w:rPr>
          <w:lang w:val="sq-AL"/>
        </w:rPr>
      </w:pPr>
      <w:r w:rsidRPr="005F3659">
        <w:rPr>
          <w:rFonts w:ascii="Times New Roman" w:hAnsi="Times New Roman" w:cs="Times New Roman"/>
          <w:b/>
          <w:sz w:val="24"/>
          <w:szCs w:val="24"/>
          <w:lang w:val="sq-AL"/>
        </w:rPr>
        <w:t>Kreu V</w:t>
      </w:r>
      <w:r w:rsidRPr="005F3659">
        <w:rPr>
          <w:rFonts w:ascii="Times New Roman" w:hAnsi="Times New Roman" w:cs="Times New Roman"/>
          <w:sz w:val="24"/>
          <w:szCs w:val="24"/>
          <w:lang w:val="sq-AL"/>
        </w:rPr>
        <w:t xml:space="preserve"> </w:t>
      </w:r>
      <w:r w:rsidR="00F06485" w:rsidRPr="005F3659">
        <w:rPr>
          <w:rFonts w:ascii="Times New Roman" w:hAnsi="Times New Roman" w:cs="Times New Roman"/>
          <w:sz w:val="24"/>
          <w:szCs w:val="24"/>
          <w:lang w:val="sq-AL"/>
        </w:rPr>
        <w:t>i këtij projektligji përcakton rregullat, parimet dhe procedurat për përmirësimin e regjistrit kadastral dhe të të dhënave referenciale të pasurive të paluajtshme, duke synuar përputhjen e informacionit kadastral me gjendjen faktike të pasurive dhe garantimin e sigurisë juridike të pronësisë. Ky kre është hartuar në funksion të modernizimit dhe konsolidimit të regjistrit, duke iu përgjigjur nevojës për korrigjimin e pasaktësive teknike, gabimeve materiale dhe mospërputhjeve që mund të ndikojnë në të drejtat pronësore.</w:t>
      </w:r>
    </w:p>
    <w:p w14:paraId="3096503F" w14:textId="77777777" w:rsidR="00F06485" w:rsidRPr="005F3659" w:rsidRDefault="00F06485" w:rsidP="00F06485">
      <w:pPr>
        <w:spacing w:line="276" w:lineRule="auto"/>
        <w:jc w:val="both"/>
        <w:rPr>
          <w:rFonts w:ascii="Times New Roman" w:hAnsi="Times New Roman" w:cs="Times New Roman"/>
          <w:sz w:val="24"/>
          <w:szCs w:val="24"/>
          <w:lang w:val="sq-AL"/>
        </w:rPr>
      </w:pPr>
      <w:r w:rsidRPr="005F3659">
        <w:rPr>
          <w:rFonts w:ascii="Times New Roman" w:hAnsi="Times New Roman" w:cs="Times New Roman"/>
          <w:bCs/>
          <w:sz w:val="24"/>
          <w:szCs w:val="24"/>
          <w:lang w:val="sq-AL"/>
        </w:rPr>
        <w:t>Neni 28</w:t>
      </w:r>
      <w:r w:rsidRPr="005F3659">
        <w:rPr>
          <w:rFonts w:ascii="Times New Roman" w:hAnsi="Times New Roman" w:cs="Times New Roman"/>
          <w:sz w:val="24"/>
          <w:szCs w:val="24"/>
          <w:lang w:val="sq-AL"/>
        </w:rPr>
        <w:t xml:space="preserve"> përcakton fillimin e procesit të përmirësimit të regjistrit, ku ASHP-ja ka kompetencën për të ndërmarrë nismën për përmirësimin, qoftë sipas iniciativës së saj, qoftë në kërkesë të palëve të </w:t>
      </w:r>
      <w:r w:rsidRPr="005F3659">
        <w:rPr>
          <w:rFonts w:ascii="Times New Roman" w:hAnsi="Times New Roman" w:cs="Times New Roman"/>
          <w:sz w:val="24"/>
          <w:szCs w:val="24"/>
          <w:lang w:val="sq-AL"/>
        </w:rPr>
        <w:lastRenderedPageBreak/>
        <w:t>interesuara. Përmirësimi mund të realizohet në nivel individual të pasurisë, të bllokut kadastral, ose të zonës kadastrale, dhe ka për qëllim saktësimin e kufijve, sipërfaqeve, pozicionit gjeografik dhe të dhënave të regjistrit.</w:t>
      </w:r>
    </w:p>
    <w:p w14:paraId="11914D2B" w14:textId="77777777" w:rsidR="00F06485" w:rsidRPr="005F3659" w:rsidRDefault="00F06485" w:rsidP="00F06485">
      <w:pPr>
        <w:spacing w:line="276" w:lineRule="auto"/>
        <w:jc w:val="both"/>
        <w:rPr>
          <w:rFonts w:ascii="Times New Roman" w:hAnsi="Times New Roman" w:cs="Times New Roman"/>
          <w:sz w:val="24"/>
          <w:szCs w:val="24"/>
          <w:lang w:val="sq-AL"/>
        </w:rPr>
      </w:pPr>
      <w:r w:rsidRPr="005F3659">
        <w:rPr>
          <w:rFonts w:ascii="Times New Roman" w:hAnsi="Times New Roman" w:cs="Times New Roman"/>
          <w:bCs/>
          <w:sz w:val="24"/>
          <w:szCs w:val="24"/>
          <w:lang w:val="sq-AL"/>
        </w:rPr>
        <w:t>Neni 29</w:t>
      </w:r>
      <w:r w:rsidRPr="005F3659">
        <w:rPr>
          <w:rFonts w:ascii="Times New Roman" w:hAnsi="Times New Roman" w:cs="Times New Roman"/>
          <w:sz w:val="24"/>
          <w:szCs w:val="24"/>
          <w:lang w:val="sq-AL"/>
        </w:rPr>
        <w:t xml:space="preserve"> parashikon parimet themelore të procesit të përmirësimit, të cilat udhëheqin veprimet e ASHP-së, duke përfshirë: rregullimin e konfiguracionit dhe pozicionit hartografik në përputhje me gjendjen faktike; respektimin e sipërfaqes së titujve të pronësisë private, përjashtuar rastet e veçanta të përcaktuara në ligj; pasqyrimin në regjistrin publik të të gjitha veprimeve të kryera mbi pasurinë dhe dokumentimin tekniko-ligjor të tyre; si dhe detyrimin për pasqyrimin e të gjitha titujve të depozituar në regjistër.</w:t>
      </w:r>
    </w:p>
    <w:p w14:paraId="0E4A1AA7" w14:textId="77777777" w:rsidR="00F06485" w:rsidRPr="005F3659" w:rsidRDefault="00F06485" w:rsidP="00F06485">
      <w:pPr>
        <w:spacing w:line="276" w:lineRule="auto"/>
        <w:jc w:val="both"/>
        <w:rPr>
          <w:rFonts w:ascii="Times New Roman" w:hAnsi="Times New Roman" w:cs="Times New Roman"/>
          <w:sz w:val="24"/>
          <w:szCs w:val="24"/>
          <w:lang w:val="sq-AL"/>
        </w:rPr>
      </w:pPr>
      <w:r w:rsidRPr="005F3659">
        <w:rPr>
          <w:rFonts w:ascii="Times New Roman" w:hAnsi="Times New Roman" w:cs="Times New Roman"/>
          <w:bCs/>
          <w:sz w:val="24"/>
          <w:szCs w:val="24"/>
          <w:lang w:val="sq-AL"/>
        </w:rPr>
        <w:t>Neni 30</w:t>
      </w:r>
      <w:r w:rsidRPr="005F3659">
        <w:rPr>
          <w:rFonts w:ascii="Times New Roman" w:hAnsi="Times New Roman" w:cs="Times New Roman"/>
          <w:sz w:val="24"/>
          <w:szCs w:val="24"/>
          <w:lang w:val="sq-AL"/>
        </w:rPr>
        <w:t xml:space="preserve"> përcakton dy nivelet e përmirësimit: Niveli 1, që konsiston në përmirësimin e hartës kadastrale dhe korrigjimin e saj në raport me titujt e pronësisë dhe gjendjen faktike; dhe Niveli 2, që konsiston në përmirësimin e regjistrit kadastral dhe të dhënave referenciale, për të siguruar përputhshmërinë e informacionit juridik me gjendjen faktike të pasurisë.</w:t>
      </w:r>
    </w:p>
    <w:p w14:paraId="4BED3CB4" w14:textId="77777777" w:rsidR="00F06485" w:rsidRPr="005F3659" w:rsidRDefault="00F06485" w:rsidP="00F06485">
      <w:pPr>
        <w:spacing w:line="276" w:lineRule="auto"/>
        <w:jc w:val="both"/>
        <w:rPr>
          <w:rFonts w:ascii="Times New Roman" w:hAnsi="Times New Roman" w:cs="Times New Roman"/>
          <w:sz w:val="24"/>
          <w:szCs w:val="24"/>
          <w:lang w:val="sq-AL"/>
        </w:rPr>
      </w:pPr>
      <w:r w:rsidRPr="005F3659">
        <w:rPr>
          <w:rFonts w:ascii="Times New Roman" w:hAnsi="Times New Roman" w:cs="Times New Roman"/>
          <w:bCs/>
          <w:sz w:val="24"/>
          <w:szCs w:val="24"/>
          <w:lang w:val="sq-AL"/>
        </w:rPr>
        <w:t>Nenet 31 dhe 32</w:t>
      </w:r>
      <w:r w:rsidRPr="005F3659">
        <w:rPr>
          <w:rFonts w:ascii="Times New Roman" w:hAnsi="Times New Roman" w:cs="Times New Roman"/>
          <w:sz w:val="24"/>
          <w:szCs w:val="24"/>
          <w:lang w:val="sq-AL"/>
        </w:rPr>
        <w:t xml:space="preserve"> përcaktojnë rregulla të veçanta për pasuritë e llojit “tokë” dhe “ndërtesë”. Për tokat, trajtohen mospërputhjet e sipërfaqeve duke kufizuar ose korrigjuar sipas diferencave midis dokumentit dhe gjendjes faktike, ndërsa për ndërtesat, përmirësimi ka si qëllim saktësimin e pozicionit, konfigurimit, përmasave dhe sipërfaqes, përfshirë edhe zhvillimet ndërtimore pa leje sipas legjislacionit përkatës. Për të dy llojet e pasurive, korrigjimet realizohen në përputhje me titujt ekzistues dhe gjendjen faktike në terren, duke respektuar të drejtat e pronës private.</w:t>
      </w:r>
    </w:p>
    <w:p w14:paraId="673E9C88" w14:textId="77777777" w:rsidR="00F06485" w:rsidRPr="005F3659" w:rsidRDefault="00F06485" w:rsidP="00F06485">
      <w:pPr>
        <w:spacing w:line="276" w:lineRule="auto"/>
        <w:jc w:val="both"/>
        <w:rPr>
          <w:rFonts w:ascii="Times New Roman" w:hAnsi="Times New Roman" w:cs="Times New Roman"/>
          <w:sz w:val="24"/>
          <w:szCs w:val="24"/>
          <w:lang w:val="sq-AL"/>
        </w:rPr>
      </w:pPr>
      <w:r w:rsidRPr="005F3659">
        <w:rPr>
          <w:rFonts w:ascii="Times New Roman" w:hAnsi="Times New Roman" w:cs="Times New Roman"/>
          <w:bCs/>
          <w:sz w:val="24"/>
          <w:szCs w:val="24"/>
          <w:lang w:val="sq-AL"/>
        </w:rPr>
        <w:t>Neni 33</w:t>
      </w:r>
      <w:r w:rsidRPr="005F3659">
        <w:rPr>
          <w:rFonts w:ascii="Times New Roman" w:hAnsi="Times New Roman" w:cs="Times New Roman"/>
          <w:sz w:val="24"/>
          <w:szCs w:val="24"/>
          <w:lang w:val="sq-AL"/>
        </w:rPr>
        <w:t xml:space="preserve"> përcakton procedurat për realizimin e përmirësimit, duke aplikuar rregullat procedurale të Kreut IV me disa përjashtime të nevojshme, përfshirë afatet e afishimit publik dhe mundësinë që mbledhja dhe përpunimi i të dhënave teknike të kryhet nga subjekte private të licencuara me miratimin e ASHP-së.</w:t>
      </w:r>
    </w:p>
    <w:p w14:paraId="6807F0C2" w14:textId="77777777" w:rsidR="00F06485" w:rsidRPr="005F3659" w:rsidRDefault="00F06485" w:rsidP="00F06485">
      <w:pPr>
        <w:spacing w:line="276" w:lineRule="auto"/>
        <w:jc w:val="both"/>
        <w:rPr>
          <w:rFonts w:ascii="Times New Roman" w:hAnsi="Times New Roman" w:cs="Times New Roman"/>
          <w:sz w:val="24"/>
          <w:szCs w:val="24"/>
          <w:lang w:val="sq-AL"/>
        </w:rPr>
      </w:pPr>
      <w:r w:rsidRPr="005F3659">
        <w:rPr>
          <w:rFonts w:ascii="Times New Roman" w:hAnsi="Times New Roman" w:cs="Times New Roman"/>
          <w:bCs/>
          <w:sz w:val="24"/>
          <w:szCs w:val="24"/>
          <w:lang w:val="sq-AL"/>
        </w:rPr>
        <w:t>Neni 34</w:t>
      </w:r>
      <w:r w:rsidRPr="005F3659">
        <w:rPr>
          <w:rFonts w:ascii="Times New Roman" w:hAnsi="Times New Roman" w:cs="Times New Roman"/>
          <w:sz w:val="24"/>
          <w:szCs w:val="24"/>
          <w:lang w:val="sq-AL"/>
        </w:rPr>
        <w:t xml:space="preserve"> delegon tek Këshilli i Ministrave përcaktimin e mënyrave dhe mjeteve tekniko-hartografike për realizimin e përmirësimit, duke garantuar standardizimin, profesionalizmin dhe korrektësinë teknike të procesit.</w:t>
      </w:r>
    </w:p>
    <w:p w14:paraId="13AC3D23" w14:textId="0AFA7753" w:rsidR="00F06485" w:rsidRPr="005F3659" w:rsidRDefault="00F06485" w:rsidP="00F06485">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Ky kre synon të forcojë besueshmërinë dhe saktësinë e regjistrit kadastral, të harmonizojë informacionin ligjor dhe faktik mbi pasuritë e paluajtshme dhe të mundësojë një administrim transparent dhe efikas të të dhënave të pronës, në shërbim të qytetarëve dhe institucioneve shtetërore.</w:t>
      </w:r>
    </w:p>
    <w:p w14:paraId="45C050C4" w14:textId="0400CB62" w:rsidR="00F06485" w:rsidRPr="005F3659" w:rsidRDefault="00721D9D" w:rsidP="00F06485">
      <w:pPr>
        <w:spacing w:line="276" w:lineRule="auto"/>
        <w:jc w:val="both"/>
        <w:rPr>
          <w:rFonts w:ascii="Times New Roman" w:hAnsi="Times New Roman" w:cs="Times New Roman"/>
          <w:sz w:val="24"/>
          <w:szCs w:val="24"/>
          <w:lang w:val="sq-AL"/>
        </w:rPr>
      </w:pPr>
      <w:r w:rsidRPr="005F3659">
        <w:rPr>
          <w:rFonts w:ascii="Times New Roman" w:hAnsi="Times New Roman" w:cs="Times New Roman"/>
          <w:b/>
          <w:sz w:val="24"/>
          <w:szCs w:val="24"/>
          <w:lang w:val="sq-AL"/>
        </w:rPr>
        <w:t>Kreu VI</w:t>
      </w:r>
      <w:r w:rsidRPr="005F3659">
        <w:rPr>
          <w:rFonts w:ascii="Times New Roman" w:hAnsi="Times New Roman" w:cs="Times New Roman"/>
          <w:sz w:val="24"/>
          <w:szCs w:val="24"/>
          <w:lang w:val="sq-AL"/>
        </w:rPr>
        <w:t xml:space="preserve"> i projektligjit parashikon një rregullim sistematik të regjistrimit të titujve dhe akteve të pronësisë mbi pasuritë e paluajtshme, duke konsoliduar në një kuadër të vetëm normativ procedurat, efektet juridike, </w:t>
      </w:r>
      <w:r w:rsidR="00D646E4" w:rsidRPr="005F3659">
        <w:rPr>
          <w:rFonts w:ascii="Times New Roman" w:hAnsi="Times New Roman" w:cs="Times New Roman"/>
          <w:sz w:val="24"/>
          <w:szCs w:val="24"/>
          <w:lang w:val="sq-AL"/>
        </w:rPr>
        <w:t xml:space="preserve">kufizimet, si dhe mekanizmat e garantimit të sigurisë juridike në qarkullimin civil të pasurive të paluajtshme. Ky kre përbën një nga shtyllat themelore të funksionimit të sistemit kadastral nëpërmjet Agjencisë Shtetërore të Pronës, duke synuar rritjen e transparencës, saktësisë </w:t>
      </w:r>
      <w:r w:rsidR="00815184" w:rsidRPr="005F3659">
        <w:rPr>
          <w:rFonts w:ascii="Times New Roman" w:hAnsi="Times New Roman" w:cs="Times New Roman"/>
          <w:sz w:val="24"/>
          <w:szCs w:val="24"/>
          <w:lang w:val="sq-AL"/>
        </w:rPr>
        <w:t xml:space="preserve">dhe </w:t>
      </w:r>
      <w:r w:rsidR="00D646E4" w:rsidRPr="005F3659">
        <w:rPr>
          <w:rFonts w:ascii="Times New Roman" w:hAnsi="Times New Roman" w:cs="Times New Roman"/>
          <w:sz w:val="24"/>
          <w:szCs w:val="24"/>
          <w:lang w:val="sq-AL"/>
        </w:rPr>
        <w:t>sigurisë së të dhënave mbi pronësinë.</w:t>
      </w:r>
    </w:p>
    <w:p w14:paraId="0F5DE0D5" w14:textId="6A35524C"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lastRenderedPageBreak/>
        <w:t>Neni 35 parashikon detyrimin për mbajtjen e regjistrit kadastral për çdo zonë kadastrale nga drejtoritë vendore, duke përcaktuar se në këtë regjistër pasqyrohen të dhënat e nxjerra nga dokumentet e pronësisë për të gjithë pronarët e zonës përkatëse. Gjithashtu, përcaktohet se krijimi dhe administrimi i regjistrit kadastral është kompetencë e Agjencisë Shtetërore të Pronës, duke garantuar një standard të unifikuar në administrimin e të dhënave.</w:t>
      </w:r>
      <w:r w:rsidR="00B30BD7" w:rsidRPr="005F3659">
        <w:rPr>
          <w:rFonts w:ascii="Times New Roman" w:hAnsi="Times New Roman" w:cs="Times New Roman"/>
          <w:sz w:val="24"/>
          <w:szCs w:val="24"/>
          <w:lang w:val="sq-AL"/>
        </w:rPr>
        <w:t xml:space="preserve"> </w:t>
      </w:r>
    </w:p>
    <w:p w14:paraId="1F87121D" w14:textId="5651DABE"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Neni 36 rregullon pasojat juridike të regjistrimit, duke përcaktuar kategoritë e titujve që regjistrohen nga drejtoritë vendore, si dhe duke sanksionuar se regjistrimi dhe lëshimi i certifikatës përbëjnë garanci formale të titullit të pronësisë. Me pajisjen me certifikatë, pronari fiton të drejtën për disponim të lirë të pasurisë, për aq sa nuk ekzistojnë barrë hipotekore. Dispozita përcakton gjithashtu rastet e kufizuara kur mund të ndërhyhet në përmbajtjen e regjistrit, </w:t>
      </w:r>
      <w:r w:rsidR="008C65A7" w:rsidRPr="005F3659">
        <w:rPr>
          <w:rFonts w:ascii="Times New Roman" w:hAnsi="Times New Roman" w:cs="Times New Roman"/>
          <w:sz w:val="24"/>
          <w:szCs w:val="24"/>
          <w:lang w:val="sq-AL"/>
        </w:rPr>
        <w:t>vetëm në përmbushje të kushteve ligjore</w:t>
      </w:r>
      <w:r w:rsidRPr="005F3659">
        <w:rPr>
          <w:rFonts w:ascii="Times New Roman" w:hAnsi="Times New Roman" w:cs="Times New Roman"/>
          <w:sz w:val="24"/>
          <w:szCs w:val="24"/>
          <w:lang w:val="sq-AL"/>
        </w:rPr>
        <w:t>.</w:t>
      </w:r>
    </w:p>
    <w:p w14:paraId="1BCEA7FF" w14:textId="44A49284"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37 vendos detyrimin për regjistrimin e çdo akti që krijon, ndryshon ose shuan të drejta pronësie</w:t>
      </w:r>
      <w:r w:rsidR="00DB49A0" w:rsidRPr="005F3659">
        <w:rPr>
          <w:rFonts w:ascii="Times New Roman" w:hAnsi="Times New Roman" w:cs="Times New Roman"/>
          <w:sz w:val="24"/>
          <w:szCs w:val="24"/>
          <w:lang w:val="sq-AL"/>
        </w:rPr>
        <w:t xml:space="preserve"> mbi pasuritë e paluajtshme</w:t>
      </w:r>
      <w:r w:rsidRPr="005F3659">
        <w:rPr>
          <w:rFonts w:ascii="Times New Roman" w:hAnsi="Times New Roman" w:cs="Times New Roman"/>
          <w:sz w:val="24"/>
          <w:szCs w:val="24"/>
          <w:lang w:val="sq-AL"/>
        </w:rPr>
        <w:t>, si dhe përcakton mekanizmat e njoftimit të këtyre akteve nga organet publike dhe subjektet përkatëse nëpërmjet sistemit digjital. Parashikohet gjithashtu detyrimi për depozitimin e kopjeve shkresore, si dhe rregullohen rastet e refuzimit të regjistrimit në prani të mbivendosjeve të titujve, duke synuar shmangien e konflikteve juridike dhe garantimin e vijimësisë kronologjike të të drejtave.</w:t>
      </w:r>
    </w:p>
    <w:p w14:paraId="620FA3B9" w14:textId="77777777"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38 përcakton detyrimin e subjekteve për të paraqitur kërkesën për regjistrim brenda një afati 30-ditor nga hyrja në fuqi e titullit, si dhe parashikon aplikimin e kamatëvonesave në rast të tejkalimit të këtij afati. Ky rregullim synon të nxisë disiplinën ligjore dhe formalizimin në kohë të të drejtave reale.</w:t>
      </w:r>
    </w:p>
    <w:p w14:paraId="0D08D1FE" w14:textId="77777777"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39 rregullon rastet kur regjistrimi pezullohet ose refuzohet për shkak të paqartësive në aktet e paraqitura, duke përcaktuar elementet thelbësore që duhet të përmbajë dokumentacioni për identifikimin e saktë të pasurisë dhe të subjektit. Dispozita garanton shmangien e regjistrimeve të pasakta dhe rritjen e cilësisë së të dhënave kadastrale.</w:t>
      </w:r>
    </w:p>
    <w:p w14:paraId="266CB253" w14:textId="77777777"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40 parashikon mundësinë e vendosjes së kufizimeve të përkohshme mbi veprimet kadastrale, në raste të dyshuara për mashtrim apo shkelje ligjore, duke i dhënë administratës kompetencën për të ndërhyrë në mënyrë parandaluese. Përcaktohen gjithashtu afatet, procedura dhe e drejta e ankimit ndaj këtyre masave.</w:t>
      </w:r>
    </w:p>
    <w:p w14:paraId="3301E4B5" w14:textId="77777777"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41 rregullon aksesin në ekstraktet e regjistrit kadastral, duke garantuar njëkohësisht mbrojtjen e të dhënave personale dhe sigurinë e sistemit. Parashikohet përdorimi i sistemeve digjitale dhe dhënia e aksesit të kontrolluar për individët, subjektet juridike dhe institucionet shtetërore, si dhe integrimi me portalin unik qeveritar.</w:t>
      </w:r>
    </w:p>
    <w:p w14:paraId="6AAFC353" w14:textId="77777777"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42 standardizon procedurat për paraqitjen dhe shqyrtimin e kërkesave për shërbime kadastrale, duke përcaktuar afate të qarta për trajtimin e tyre dhe detyrimin e ASHP-së për publikimin e shërbimeve dhe dokumentacionit përkatës, në funksion të transparencës dhe aksesueshmërisë.</w:t>
      </w:r>
    </w:p>
    <w:p w14:paraId="73E5439B" w14:textId="77777777"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lastRenderedPageBreak/>
        <w:t>Nenet 43 dhe 44 rregullojnë regjistrimin e kontratave të shitjes dhe dhurimit të pasurive të paluajtshme, duke theksuar domosdoshmërinë e formës noteriale dhe verifikimin e përmbajtjes së akteve, si dhe pasqyrimin e plotë të të drejtave dhe barrëve që lidhen me pasurinë.</w:t>
      </w:r>
    </w:p>
    <w:p w14:paraId="775AB070" w14:textId="77777777" w:rsidR="003F6C83"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45 trajton regjistrimin e pasurive në bashkëpronësi dhe procedurat e pjesëtimit të tyre, duke përcaktuar parimin e prezumimit të barazisë së pjesëve në mungesë të një përcaktimi të shprehur, si dhe kërkesat për dokumentacionin që duhet të shoqërojë aktet e ndarjes.</w:t>
      </w:r>
    </w:p>
    <w:p w14:paraId="14AC13CB" w14:textId="3B0DFB87"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46 rregullon bashkimin dhe ndarjen e pasurive të paluajtshme që i përkasin të njëjtit pronar, duke përcaktuar procedurat për mbylljen dhe hapjen e kartelave kadastrale, si dhe përditësimin e hartave përkatëse.</w:t>
      </w:r>
      <w:r w:rsidR="00824216" w:rsidRPr="005F3659">
        <w:rPr>
          <w:rFonts w:ascii="Times New Roman" w:hAnsi="Times New Roman" w:cs="Times New Roman"/>
          <w:sz w:val="24"/>
          <w:szCs w:val="24"/>
          <w:lang w:val="sq-AL"/>
        </w:rPr>
        <w:t xml:space="preserve"> </w:t>
      </w:r>
    </w:p>
    <w:p w14:paraId="50480D90" w14:textId="2BC4513D" w:rsidR="00CC25C0"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Neni 47 parashikon rregullat për regjistrimin e pasurisë në kuadër të bashkësisë ligjore martesore dhe rasteve të tjera të përfitimit të pronësisë me ligj, </w:t>
      </w:r>
      <w:r w:rsidR="00824216" w:rsidRPr="005F3659">
        <w:rPr>
          <w:rFonts w:ascii="Times New Roman" w:hAnsi="Times New Roman" w:cs="Times New Roman"/>
          <w:sz w:val="24"/>
          <w:szCs w:val="24"/>
          <w:lang w:val="sq-AL"/>
        </w:rPr>
        <w:t>në përputhje me</w:t>
      </w:r>
      <w:r w:rsidRPr="005F3659">
        <w:rPr>
          <w:rFonts w:ascii="Times New Roman" w:hAnsi="Times New Roman" w:cs="Times New Roman"/>
          <w:sz w:val="24"/>
          <w:szCs w:val="24"/>
          <w:lang w:val="sq-AL"/>
        </w:rPr>
        <w:t xml:space="preserve"> parimet e së drejtës familjare dhe civile.</w:t>
      </w:r>
    </w:p>
    <w:p w14:paraId="53AF1C8A" w14:textId="20FACAF0"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Nenet 48 dhe 49 rregullojnë regjistrimin e fitimit të pronësisë me parashkrim fitues, si dhe në bazë të vendimeve gjyqësore ose akteve administrative, duke përcaktuar kushtet dhe procedurat përkatëse, si dhe të drejtën e ankimit në rast refuzimi.</w:t>
      </w:r>
    </w:p>
    <w:p w14:paraId="7FE6C6ED" w14:textId="77777777"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Nenet 50 deri në 53 trajtojnë në mënyrë të detajuar regjistrimin e lejeve të ndërtimit, fazave të ndërtimit (</w:t>
      </w:r>
      <w:r w:rsidRPr="005F3659">
        <w:rPr>
          <w:rFonts w:ascii="Times New Roman" w:hAnsi="Times New Roman" w:cs="Times New Roman"/>
          <w:i/>
          <w:sz w:val="24"/>
          <w:szCs w:val="24"/>
          <w:lang w:val="sq-AL"/>
        </w:rPr>
        <w:t>karabina</w:t>
      </w:r>
      <w:r w:rsidRPr="005F3659">
        <w:rPr>
          <w:rFonts w:ascii="Times New Roman" w:hAnsi="Times New Roman" w:cs="Times New Roman"/>
          <w:sz w:val="24"/>
          <w:szCs w:val="24"/>
          <w:lang w:val="sq-AL"/>
        </w:rPr>
        <w:t>), kontratave të sipërmarrjes dhe regjistrimin përfundimtar të ndërtimeve, duke krijuar një sistem të integruar të pasqyrimit të zhvillimeve ndërtimore dhe të mbrojtjes së interesave të palëve të përfshira.</w:t>
      </w:r>
    </w:p>
    <w:p w14:paraId="536A6869" w14:textId="77777777"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Nenet 54 deri në 61 përmbajnë dispozita për regjistrimin e elementeve të veçanta të pronësisë, përfshirë mjediset e përbashkëta, pasuritë e legalizuara, heqjen dorë nga pronësia, servitutet, hipotekat, kontratat e qirasë dhe enfiteozës, të drejtën e parablerjes dhe prokurat, duke siguruar një pasqyrim të plotë të çdo të drejte reale dhe kufizimi mbi pasurinë.</w:t>
      </w:r>
    </w:p>
    <w:p w14:paraId="343456CB" w14:textId="77777777"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Nenet 62 deri në 64 rregullojnë regjistrimin e akteve të krijuara jashtë territorit të Republikës së Shqipërisë, si dhe regjistrimin e pasurive natyrore, pemëve dhe hapësirave publike, duke zgjeruar objektin e regjistrimit kadastral dhe duke e përshtatur atë me nevojat bashkëkohore të administrimit të territorit.</w:t>
      </w:r>
    </w:p>
    <w:p w14:paraId="56F26AA2" w14:textId="5EF53351" w:rsidR="00B3253C" w:rsidRPr="005F3659" w:rsidRDefault="00B3253C" w:rsidP="00B325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Në </w:t>
      </w:r>
      <w:r w:rsidR="003F6C83" w:rsidRPr="005F3659">
        <w:rPr>
          <w:rFonts w:ascii="Times New Roman" w:hAnsi="Times New Roman" w:cs="Times New Roman"/>
          <w:sz w:val="24"/>
          <w:szCs w:val="24"/>
          <w:lang w:val="sq-AL"/>
        </w:rPr>
        <w:t>tërësi</w:t>
      </w:r>
      <w:r w:rsidRPr="005F3659">
        <w:rPr>
          <w:rFonts w:ascii="Times New Roman" w:hAnsi="Times New Roman" w:cs="Times New Roman"/>
          <w:sz w:val="24"/>
          <w:szCs w:val="24"/>
          <w:lang w:val="sq-AL"/>
        </w:rPr>
        <w:t xml:space="preserve"> Kreu VI krijon një kuadër të plotë dhe të integruar ligjor për regjistrimin e të drejtave mbi pasuritë e paluajtshme, duke garantuar siguri juridike, transparencë, efikasitet administrativ dhe përputhshmëri me zhvillimet moderne të administrimit kadastral dhe të tregut të pasurive të paluajtshme.</w:t>
      </w:r>
    </w:p>
    <w:p w14:paraId="199593CF" w14:textId="23D534CB" w:rsidR="009F073C" w:rsidRPr="005F3659" w:rsidRDefault="009F073C"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b/>
          <w:sz w:val="24"/>
          <w:szCs w:val="24"/>
          <w:lang w:val="sq-AL"/>
        </w:rPr>
        <w:t>Kreu VII</w:t>
      </w:r>
      <w:r w:rsidRPr="005F3659">
        <w:rPr>
          <w:rFonts w:ascii="Times New Roman" w:hAnsi="Times New Roman" w:cs="Times New Roman"/>
          <w:sz w:val="24"/>
          <w:szCs w:val="24"/>
          <w:lang w:val="sq-AL"/>
        </w:rPr>
        <w:t xml:space="preserve"> i projektligjit rregullon në mënyrë të integruar regjimin e tarifave për shërbimet kadastrale, përgjegjësinë administrative për shkeljet në këtë fushë, si dhe mekanizmat e ankimit administrativ dhe gjyqësor ndaj veprimtarisë së Agjencisë. Ky kreu synon të garantojë funksionimin efikas, transparent dhe të përgjegjshëm të </w:t>
      </w:r>
      <w:r w:rsidR="003A35C3" w:rsidRPr="005F3659">
        <w:rPr>
          <w:rFonts w:ascii="Times New Roman" w:hAnsi="Times New Roman" w:cs="Times New Roman"/>
          <w:sz w:val="24"/>
          <w:szCs w:val="24"/>
          <w:lang w:val="sq-AL"/>
        </w:rPr>
        <w:t>ASHP</w:t>
      </w:r>
      <w:r w:rsidRPr="005F3659">
        <w:rPr>
          <w:rFonts w:ascii="Times New Roman" w:hAnsi="Times New Roman" w:cs="Times New Roman"/>
          <w:sz w:val="24"/>
          <w:szCs w:val="24"/>
          <w:lang w:val="sq-AL"/>
        </w:rPr>
        <w:t>, duke vendosur një balancë të drejtë midis ofrimit të shërbimeve publike dhe përgjegjësisë institucionale.</w:t>
      </w:r>
      <w:r w:rsidR="009C3A8D" w:rsidRPr="005F3659">
        <w:rPr>
          <w:rFonts w:ascii="Times New Roman" w:hAnsi="Times New Roman" w:cs="Times New Roman"/>
          <w:sz w:val="24"/>
          <w:szCs w:val="24"/>
          <w:lang w:val="sq-AL"/>
        </w:rPr>
        <w:t xml:space="preserve"> </w:t>
      </w:r>
      <w:r w:rsidRPr="005F3659">
        <w:rPr>
          <w:rFonts w:ascii="Times New Roman" w:hAnsi="Times New Roman" w:cs="Times New Roman"/>
          <w:sz w:val="24"/>
          <w:szCs w:val="24"/>
          <w:lang w:val="sq-AL"/>
        </w:rPr>
        <w:t xml:space="preserve">Në këtë kuadër, përcaktohen </w:t>
      </w:r>
      <w:r w:rsidRPr="005F3659">
        <w:rPr>
          <w:rFonts w:ascii="Times New Roman" w:hAnsi="Times New Roman" w:cs="Times New Roman"/>
          <w:sz w:val="24"/>
          <w:szCs w:val="24"/>
          <w:lang w:val="sq-AL"/>
        </w:rPr>
        <w:lastRenderedPageBreak/>
        <w:t>rregulla të qarta për tarifimin e shërbimeve, kategorizimin dhe ndëshkimin e shkeljeve administrative, si dhe për garantimin e të drejtës së ankimit dhe të mbrojtjes gjyqësore për subjektet e interesuara.</w:t>
      </w:r>
    </w:p>
    <w:p w14:paraId="1A543170" w14:textId="77777777" w:rsidR="009F073C" w:rsidRPr="005F3659" w:rsidRDefault="009F073C"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65 rregullon regjimin e tarifave për shërbimet kadastrale, duke vendosur parimin e përgjithshëm të tarifimit të çdo shërbimi të ofruar nga Agjencia, përveç rasteve të përjashtimit të parashikuara shprehimisht në ligj ose në aktet nënligjore përkatëse. Dispozita përcakton gjithashtu përjashtimin nga tarifimi për regjistrimin e pasurive të paluajtshme shtetërore, duke bërë dallimin për njësitë e qeverisjes vendore dhe shoqëritë tregtare me kapital shtetëror, të cilat përfitojnë tarifa të reduktuara. Njëkohësisht, sanksionohet kompetenca e Këshillit të Ministrave për përcaktimin e listës së shërbimeve dhe nivelit të tarifave, si dhe për rimbursimin e tarifave në rastet e përjashtimeve, duke garantuar mbulimin financiar nga buxheti i shtetit.</w:t>
      </w:r>
    </w:p>
    <w:p w14:paraId="2AF942DF" w14:textId="3ED5C9B8" w:rsidR="009F073C" w:rsidRPr="005F3659" w:rsidRDefault="009F073C"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66 përcakton kundërvajtjet administrative, duke përfshirë çdo shkelje të dispozitave të ligjit që nuk përbën vepër penale, si dhe shkelje konkrete</w:t>
      </w:r>
      <w:r w:rsidR="009C3A8D" w:rsidRPr="005F3659">
        <w:rPr>
          <w:rFonts w:ascii="Times New Roman" w:hAnsi="Times New Roman" w:cs="Times New Roman"/>
          <w:sz w:val="24"/>
          <w:szCs w:val="24"/>
          <w:lang w:val="sq-AL"/>
        </w:rPr>
        <w:t>,</w:t>
      </w:r>
      <w:r w:rsidRPr="005F3659">
        <w:rPr>
          <w:rFonts w:ascii="Times New Roman" w:hAnsi="Times New Roman" w:cs="Times New Roman"/>
          <w:sz w:val="24"/>
          <w:szCs w:val="24"/>
          <w:lang w:val="sq-AL"/>
        </w:rPr>
        <w:t xml:space="preserve"> si </w:t>
      </w:r>
      <w:r w:rsidR="009C3A8D" w:rsidRPr="005F3659">
        <w:rPr>
          <w:rFonts w:ascii="Times New Roman" w:hAnsi="Times New Roman" w:cs="Times New Roman"/>
          <w:sz w:val="24"/>
          <w:szCs w:val="24"/>
          <w:lang w:val="sq-AL"/>
        </w:rPr>
        <w:t xml:space="preserve">p.sh.: </w:t>
      </w:r>
      <w:r w:rsidRPr="005F3659">
        <w:rPr>
          <w:rFonts w:ascii="Times New Roman" w:hAnsi="Times New Roman" w:cs="Times New Roman"/>
          <w:sz w:val="24"/>
          <w:szCs w:val="24"/>
          <w:lang w:val="sq-AL"/>
        </w:rPr>
        <w:t>vonesat në trajtimin e kërkesave, tejkalimi i afateve të regjistrimit, humbja e dokumentacionit dhe ndërhyrjet e paautorizuara në regjistrat kadastralë, përfshirë ata elektronikë. Dispozita parashikon vendosjen e gjobave administrative në një interval të përcaktuar, në varësi të natyrës së shkeljes dhe pasojave të saj, si dhe garanton të drejtën e punonjësit për të kundërshtuar vendimin e dënimit në gjykatën administrative, brenda një afati të shkurtër, duke respektuar parimet e procesit të rregullt ligjor.</w:t>
      </w:r>
    </w:p>
    <w:p w14:paraId="37872CCB" w14:textId="77777777" w:rsidR="009F073C" w:rsidRPr="005F3659" w:rsidRDefault="009F073C"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67 rregullon mekanizmat e ankimit ndaj akteve dhe mosveprimeve të Agjencisë, duke parashikuar mundësinë e ankimit administrativ pranë strukturës përgjegjëse për trajtimin e ankesave, në përputhje me rregullat e Kodit të Procedurave Administrative. Njëkohësisht, dispozita garanton të drejtën e subjekteve të interesuara për t’iu drejtuar drejtpërdrejt gjykatës kompetente, pavarësisht nga ndjekja ose jo e rrugës administrative, duke forcuar aksesin në drejtësi dhe mbrojtjen efektive të të drejtave.</w:t>
      </w:r>
    </w:p>
    <w:p w14:paraId="57CE4209" w14:textId="16852A95" w:rsidR="009F073C" w:rsidRPr="005F3659" w:rsidRDefault="009F073C"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Neni 68 përcakton pjesëmarrjen e detyrueshme të Agjencisë Shtetërore të Pronës në proceset gjyqësore civile që kanë si objekt elemente thelbësore të identifikimit të pasurive të paluajtshme, si kufijtë, sipërfaqja dhe të dhënat identifikuese. Kjo dispozitë synon të sigurojë një përfaqësim institucional dhe teknik të specializuar në procese të tilla, duke kontribuar në saktësinë dhe drejtësinë e vendimmarrjes gjyqësore. Gjithashtu, parashikohet </w:t>
      </w:r>
      <w:r w:rsidR="006F02AA" w:rsidRPr="005F3659">
        <w:rPr>
          <w:rFonts w:ascii="Times New Roman" w:hAnsi="Times New Roman" w:cs="Times New Roman"/>
          <w:sz w:val="24"/>
          <w:szCs w:val="24"/>
          <w:lang w:val="sq-AL"/>
        </w:rPr>
        <w:t>që</w:t>
      </w:r>
      <w:r w:rsidRPr="005F3659">
        <w:rPr>
          <w:rFonts w:ascii="Times New Roman" w:hAnsi="Times New Roman" w:cs="Times New Roman"/>
          <w:sz w:val="24"/>
          <w:szCs w:val="24"/>
          <w:lang w:val="sq-AL"/>
        </w:rPr>
        <w:t xml:space="preserve"> </w:t>
      </w:r>
      <w:r w:rsidR="006F02AA" w:rsidRPr="005F3659">
        <w:rPr>
          <w:rFonts w:ascii="Times New Roman" w:hAnsi="Times New Roman" w:cs="Times New Roman"/>
          <w:sz w:val="24"/>
          <w:szCs w:val="24"/>
          <w:lang w:val="sq-AL"/>
        </w:rPr>
        <w:t>kur dokumentacioni kadastral është i nevojshëm për shqyrtimin e çështjeve gjyqësore, Gjykata të bëjë kërkesën përkatëse në strukturat e Agjencisë</w:t>
      </w:r>
      <w:r w:rsidRPr="005F3659">
        <w:rPr>
          <w:rFonts w:ascii="Times New Roman" w:hAnsi="Times New Roman" w:cs="Times New Roman"/>
          <w:sz w:val="24"/>
          <w:szCs w:val="24"/>
          <w:lang w:val="sq-AL"/>
        </w:rPr>
        <w:t>. Në rastet kur objekt i procesit gjyqësor janë pasuri shtetërore, vendoset detyrimi i Avokaturës së Shtetit për të njoftuar Agjencinë në kohë të shpejtë, duke garantuar përditësimin e inventarit të pronave shtetërore dhe të regjistrit kadastral, si dhe koordinimin institucional në mbrojtje të interesit publik.</w:t>
      </w:r>
    </w:p>
    <w:p w14:paraId="1EC82864" w14:textId="17ED14BE" w:rsidR="009F073C" w:rsidRPr="005F3659" w:rsidRDefault="009F073C"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tërësi  Kreu VII krijon një kuadër të qartë dhe funksional për tarifimin e shërbimeve kadastrale, për përgjegjësinë administrative dhe për garantimin e mjeteve efektive të ankimit dhe mbrojtjes gjyqësore, duke kontribuar në rritjen e transparencës, llogaridhënies dhe besimit të publikut ndaj veprimtarisë së Agjencisë Shtetërore të Pronës.</w:t>
      </w:r>
    </w:p>
    <w:p w14:paraId="5DB12BD7" w14:textId="63709020" w:rsidR="009F073C" w:rsidRPr="005F3659" w:rsidRDefault="009F073C"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b/>
          <w:sz w:val="24"/>
          <w:szCs w:val="24"/>
          <w:lang w:val="sq-AL"/>
        </w:rPr>
        <w:lastRenderedPageBreak/>
        <w:t>Kreu VIII</w:t>
      </w:r>
      <w:r w:rsidRPr="005F3659">
        <w:rPr>
          <w:rFonts w:ascii="Times New Roman" w:hAnsi="Times New Roman" w:cs="Times New Roman"/>
          <w:sz w:val="24"/>
          <w:szCs w:val="24"/>
          <w:lang w:val="sq-AL"/>
        </w:rPr>
        <w:t xml:space="preserve"> i projektligjit përmban dispozitat kalimtare dhe përfundimtare që rregullojnë procesin e krijimit, organizimit dhe fillimit të funksionimit të Agjencisë së re, si dhe garantojnë vijimësinë institucionale, administrative dhe financiare të funksioneve ekzistuese në fushën e pronësisë. Këto dispozita synojnë të sigurojnë një tranzicion të rregullt dhe të kontrolluar nga strukturat aktuale drejt strukturës së re të integruar, duke shmangur ndërprerjet në ofrimin e shërbimeve dhe duke ruajtur stabilitetin juridik të proceseve në vijim.</w:t>
      </w:r>
    </w:p>
    <w:p w14:paraId="70EBD20F" w14:textId="77777777" w:rsidR="009F073C" w:rsidRPr="005F3659" w:rsidRDefault="009F073C"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69 rregullon krijimin e Agjencisë Shtetërore të Pronës si rezultat i bashkimit dhe riorganizimit të Agjencisë Shtetërore të Kadastrës dhe Agjencisë së Trajtimit të Pronës, duke përcaktuar afatin brenda të cilit kjo agjenci duhet të ngrihet dhe të fillojë ushtrimin e veprimtarisë së saj. Dispozita garanton gjithashtu vijimësinë e ushtrimit të kompetencave nga institucionet ekzistuese deri në momentin e funksionalizimit të plotë të ASHP-së, për aq sa këto kompetenca nuk bien në kundërshtim me ligjin e ri, duke shmangur vakumin institucional dhe juridik.</w:t>
      </w:r>
    </w:p>
    <w:p w14:paraId="21E68C6D" w14:textId="77777777" w:rsidR="009F073C" w:rsidRPr="005F3659" w:rsidRDefault="009F073C"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70 parashikon detyrimin për bashkëpunim ndërinstitucional të ASHP-së me institucione të tjera shtetërore dhe struktura të lidhura me çështjet e pronësisë, duke përfshirë Avokaturën e Shtetit, autoritetet përgjegjëse për informacionin gjeohapësinor, arkivat shtetërore dhe organet e vetëqeverisjes vendore. Dispozita vendos gjithashtu detyrimin për çdo institucion publik apo ent tjetër që të ofrojë informacionin e nevojshëm pa pagesë, në funksion të realizimit të proceseve të parashikuara nga ligji, duke forcuar koordinimin dhe shkëmbimin institucional të të dhënave.</w:t>
      </w:r>
    </w:p>
    <w:p w14:paraId="24A5F88F" w14:textId="77777777" w:rsidR="009F073C" w:rsidRPr="005F3659" w:rsidRDefault="009F073C"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71 përmban dispozita të detajuara kalimtare që lidhen me transferimin dhe integrimin e aseteve materiale dhe jomateriale të institucioneve ekzistuese në strukturën e re të ASHP-së, përfshirë arkivat, sistemet digjitale, logjistikën dhe bazën materiale. Parashikohet gjithashtu kalimi i të ardhurave dhe fondeve buxhetore në administrim të ASHP-së, duke respektuar destinacionin e tyre, si dhe transferimi i fondeve të papërdorura të Agjencisë së Trajtimit të Pronës në funksion të vijimit të veprimtarisë së saj në kuadër të strukturës së re. Dispozita rregullon në mënyrë të posaçme procedurat për emërimin e organeve të para drejtuese dhe fillimin e funksionimit të Agjencisë, duke përcaktuar afate konkrete për përbërjen e Këshillit Drejtues, emërimin e Drejtorit të Përgjithshëm dhe miratimin e strukturës organizative dhe nivelit të pagave. Gjithashtu, garantohet vijimësia e marrëdhënieve të punës për punonjësit ekzistues gjatë një periudhe kalimtare, në përputhje me kriteret e kualifikimit dhe ristrukturimit, si dhe vijimi normal i ofrimit të shërbimeve nga institucionet aktuale deri në krijimin efektiv të ASHP-së.</w:t>
      </w:r>
    </w:p>
    <w:p w14:paraId="0E3D39F4" w14:textId="77777777" w:rsidR="009F073C" w:rsidRPr="005F3659" w:rsidRDefault="009F073C"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72 përcakton detyrimin e Këshillit të Ministrave për miratimin e akteve nënligjore të nevojshme për zbatimin e ligjit, brenda një afati të caktuar nga hyrja në fuqi e tij, duke garantuar plotësimin e kuadrit rregullator dhe operacionalizimin e dispozitave ligjore.</w:t>
      </w:r>
    </w:p>
    <w:p w14:paraId="5DE4FB5D" w14:textId="77777777" w:rsidR="009F073C" w:rsidRPr="005F3659" w:rsidRDefault="009F073C"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Neni 73 rregullon shfuqizimin e legjislacionit ekzistues që bie në kundërshtim me ligjin e ri, duke përcaktuar në mënyrë të shprehur shfuqizimin e ligjit për kadastrën dhe çdo dispozite tjetër të papajtueshme. Njëkohësisht, parashikohet që aktet nënligjore ekzistuese të vijojnë të zbatohen për aq kohë sa nuk bien në kundërshtim me ligjin e ri, deri në miratimin e akteve të reja, duke siguruar vazhdimësinë normative.</w:t>
      </w:r>
    </w:p>
    <w:p w14:paraId="348C01B1" w14:textId="0188A503" w:rsidR="009F073C" w:rsidRPr="005F3659" w:rsidRDefault="009F073C"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lastRenderedPageBreak/>
        <w:t>Neni 74 përcakton hyrjen në fuqi të ligjit</w:t>
      </w:r>
      <w:r w:rsidR="009A6D49" w:rsidRPr="005F3659">
        <w:rPr>
          <w:rFonts w:ascii="Times New Roman" w:hAnsi="Times New Roman" w:cs="Times New Roman"/>
          <w:sz w:val="24"/>
          <w:szCs w:val="24"/>
          <w:lang w:val="sq-AL"/>
        </w:rPr>
        <w:t xml:space="preserve"> </w:t>
      </w:r>
      <w:r w:rsidRPr="005F3659">
        <w:rPr>
          <w:rFonts w:ascii="Times New Roman" w:hAnsi="Times New Roman" w:cs="Times New Roman"/>
          <w:sz w:val="24"/>
          <w:szCs w:val="24"/>
          <w:lang w:val="sq-AL"/>
        </w:rPr>
        <w:t>pas botimit në Fletoren Zyrtare, me qëllim njohjen dhe përgatitjen e subjekteve për zbatimin e tij.</w:t>
      </w:r>
    </w:p>
    <w:p w14:paraId="60F2852D" w14:textId="7FE2F709" w:rsidR="009F073C" w:rsidRPr="005F3659" w:rsidRDefault="009F073C" w:rsidP="004D2CA5">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tërësi Kreu VIII siguron bazën ligjore për një tranzicion të rregullt, të qëndrueshëm dhe funksional drejt Agjencisë Shtetërore të Pronës, duke garantuar vijimësinë e shërbimeve, integrimin e burimeve njerëzore dhe materiale, si dhe harmonizimin e kuadrit ligjor dhe institucional në fushën e administrimit të pronës.</w:t>
      </w:r>
    </w:p>
    <w:p w14:paraId="412C0D6E" w14:textId="77777777" w:rsidR="00CC25C0" w:rsidRPr="00C00658" w:rsidRDefault="00CC25C0" w:rsidP="004D2CA5">
      <w:pPr>
        <w:spacing w:line="276" w:lineRule="auto"/>
        <w:jc w:val="both"/>
        <w:rPr>
          <w:rFonts w:ascii="Times New Roman" w:hAnsi="Times New Roman" w:cs="Times New Roman"/>
          <w:sz w:val="24"/>
          <w:szCs w:val="24"/>
          <w:lang w:val="sq-AL"/>
        </w:rPr>
      </w:pPr>
    </w:p>
    <w:p w14:paraId="22A4C078" w14:textId="06B17B93" w:rsidR="009F073C" w:rsidRPr="005F3659" w:rsidRDefault="00A0457B" w:rsidP="009F073C">
      <w:pPr>
        <w:pStyle w:val="ListParagraph"/>
        <w:numPr>
          <w:ilvl w:val="0"/>
          <w:numId w:val="2"/>
        </w:numPr>
        <w:spacing w:line="276" w:lineRule="auto"/>
        <w:jc w:val="both"/>
        <w:rPr>
          <w:rFonts w:ascii="Times New Roman" w:hAnsi="Times New Roman" w:cs="Times New Roman"/>
          <w:b/>
          <w:sz w:val="24"/>
          <w:szCs w:val="24"/>
          <w:lang w:val="sq-AL"/>
        </w:rPr>
      </w:pPr>
      <w:bookmarkStart w:id="13" w:name="_Hlk225852239"/>
      <w:r w:rsidRPr="005F3659">
        <w:rPr>
          <w:rFonts w:ascii="Times New Roman" w:hAnsi="Times New Roman" w:cs="Times New Roman"/>
          <w:b/>
          <w:sz w:val="24"/>
          <w:szCs w:val="24"/>
          <w:lang w:val="sq-AL"/>
        </w:rPr>
        <w:t>MINISTRITË, INSTITUCIONET DHE SUBJEKTET E TJERA QË KANË KONTRIBUAR NË HARTIMIN E PROJEKTAKTIT</w:t>
      </w:r>
    </w:p>
    <w:bookmarkEnd w:id="13"/>
    <w:p w14:paraId="2978E25D" w14:textId="5C73704F" w:rsidR="000B1A24" w:rsidRDefault="004A1814" w:rsidP="000B1A2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Hartimi i projektligjit është realizuar në kuadër të një procesi të strukturuar dhe gjithëpërfshirës ndërinstitucional, i cili është zhvilluar mbi bazën e analizës së kuadrit ligjor ekzistues, praktikave administrative dhe nevojave për reformim në fushën e administrimit të pronës në Republikën e Shqipërisë. Ky projektakt është hartuar nga Grupi Ndërinstitucional i Punës, i ngritur me Urdhrin e Kryeministrit nr. 190, datë 16.10.2025, “</w:t>
      </w:r>
      <w:r w:rsidRPr="005F3659">
        <w:rPr>
          <w:rFonts w:ascii="Times New Roman" w:hAnsi="Times New Roman" w:cs="Times New Roman"/>
          <w:i/>
          <w:sz w:val="24"/>
          <w:szCs w:val="24"/>
          <w:lang w:val="sq-AL"/>
        </w:rPr>
        <w:t>Për ngritjen e grupit ndërinstitucional të punës për kryerjen e analizës dhe hartimit të politikës për krijimin e Agjencisë Shtetërore të Pronës</w:t>
      </w:r>
      <w:r w:rsidRPr="005F3659">
        <w:rPr>
          <w:rFonts w:ascii="Times New Roman" w:hAnsi="Times New Roman" w:cs="Times New Roman"/>
          <w:sz w:val="24"/>
          <w:szCs w:val="24"/>
          <w:lang w:val="sq-AL"/>
        </w:rPr>
        <w:t xml:space="preserve">”. Ky grup pune ka funksionuar si struktura kryesore teknike dhe koordinuese për përgatitjen e projektligjit, duke siguruar një qasje të integruar dhe të harmonizuar ndërmjet institucioneve përgjegjëse. </w:t>
      </w:r>
      <w:r w:rsidR="005C753B" w:rsidRPr="005F3659">
        <w:rPr>
          <w:rFonts w:ascii="Times New Roman" w:hAnsi="Times New Roman" w:cs="Times New Roman"/>
          <w:sz w:val="24"/>
          <w:szCs w:val="24"/>
          <w:lang w:val="sq-AL"/>
        </w:rPr>
        <w:t>Për sa më sipër</w:t>
      </w:r>
      <w:r w:rsidRPr="005F3659">
        <w:rPr>
          <w:rFonts w:ascii="Times New Roman" w:hAnsi="Times New Roman" w:cs="Times New Roman"/>
          <w:sz w:val="24"/>
          <w:szCs w:val="24"/>
          <w:lang w:val="sq-AL"/>
        </w:rPr>
        <w:t xml:space="preserve">, projektligji paraqet produktin e një pune të koordinuar ndërinstitucionale, të mbështetur në ekspertizë teknike dhe juridike, e cila synon të sigurojë një reformim efikas të sistemit të administrimit të pronës </w:t>
      </w:r>
      <w:r w:rsidR="003876AA" w:rsidRPr="005F3659">
        <w:rPr>
          <w:rFonts w:ascii="Times New Roman" w:hAnsi="Times New Roman" w:cs="Times New Roman"/>
          <w:sz w:val="24"/>
          <w:szCs w:val="24"/>
          <w:lang w:val="sq-AL"/>
        </w:rPr>
        <w:t xml:space="preserve">së paluajtshme </w:t>
      </w:r>
      <w:r w:rsidRPr="005F3659">
        <w:rPr>
          <w:rFonts w:ascii="Times New Roman" w:hAnsi="Times New Roman" w:cs="Times New Roman"/>
          <w:sz w:val="24"/>
          <w:szCs w:val="24"/>
          <w:lang w:val="sq-AL"/>
        </w:rPr>
        <w:t>në Republikën e Shqipërisë.</w:t>
      </w:r>
    </w:p>
    <w:p w14:paraId="53A865A2" w14:textId="77777777" w:rsidR="000318FB" w:rsidRPr="00C00658" w:rsidRDefault="000318FB" w:rsidP="000B1A24">
      <w:pPr>
        <w:spacing w:line="276" w:lineRule="auto"/>
        <w:jc w:val="both"/>
        <w:rPr>
          <w:rFonts w:ascii="Times New Roman" w:hAnsi="Times New Roman" w:cs="Times New Roman"/>
          <w:sz w:val="24"/>
          <w:szCs w:val="24"/>
          <w:lang w:val="sq-AL"/>
        </w:rPr>
      </w:pPr>
    </w:p>
    <w:p w14:paraId="30BD7A36" w14:textId="3056D9C8" w:rsidR="009F073C" w:rsidRPr="005F3659" w:rsidRDefault="00A0457B" w:rsidP="009F073C">
      <w:pPr>
        <w:pStyle w:val="ListParagraph"/>
        <w:numPr>
          <w:ilvl w:val="0"/>
          <w:numId w:val="2"/>
        </w:numPr>
        <w:spacing w:line="276" w:lineRule="auto"/>
        <w:jc w:val="both"/>
        <w:rPr>
          <w:rFonts w:ascii="Times New Roman" w:hAnsi="Times New Roman" w:cs="Times New Roman"/>
          <w:b/>
          <w:sz w:val="24"/>
          <w:szCs w:val="24"/>
          <w:lang w:val="sq-AL"/>
        </w:rPr>
      </w:pPr>
      <w:bookmarkStart w:id="14" w:name="_Hlk225852641"/>
      <w:r w:rsidRPr="005F3659">
        <w:rPr>
          <w:rFonts w:ascii="Times New Roman" w:hAnsi="Times New Roman" w:cs="Times New Roman"/>
          <w:b/>
          <w:sz w:val="24"/>
          <w:szCs w:val="24"/>
          <w:lang w:val="sq-AL"/>
        </w:rPr>
        <w:t>INSTITUCIONET DHE ORGANET QË NGARKOHEN PËR ZBATIMIN E AKTIT</w:t>
      </w:r>
      <w:bookmarkEnd w:id="14"/>
    </w:p>
    <w:p w14:paraId="2D5402A1" w14:textId="629390B5" w:rsidR="004A1814" w:rsidRPr="005F3659" w:rsidRDefault="004A1814" w:rsidP="004A1814">
      <w:pPr>
        <w:spacing w:line="276" w:lineRule="auto"/>
        <w:jc w:val="both"/>
        <w:rPr>
          <w:rFonts w:ascii="Times New Roman" w:hAnsi="Times New Roman" w:cs="Times New Roman"/>
          <w:sz w:val="24"/>
          <w:szCs w:val="24"/>
          <w:lang w:val="sq-AL"/>
        </w:rPr>
      </w:pPr>
      <w:bookmarkStart w:id="15" w:name="_Hlk225852662"/>
      <w:r w:rsidRPr="005F3659">
        <w:rPr>
          <w:rFonts w:ascii="Times New Roman" w:hAnsi="Times New Roman" w:cs="Times New Roman"/>
          <w:sz w:val="24"/>
          <w:szCs w:val="24"/>
          <w:lang w:val="sq-AL"/>
        </w:rPr>
        <w:t>Zbatimi i projektligjit “</w:t>
      </w:r>
      <w:r w:rsidRPr="005F3659">
        <w:rPr>
          <w:rFonts w:ascii="Times New Roman" w:hAnsi="Times New Roman" w:cs="Times New Roman"/>
          <w:i/>
          <w:sz w:val="24"/>
          <w:szCs w:val="24"/>
          <w:lang w:val="sq-AL"/>
        </w:rPr>
        <w:t>Për Agjencinë Shtetërore të Pronës (ASHP)</w:t>
      </w:r>
      <w:r w:rsidRPr="005F3659">
        <w:rPr>
          <w:rFonts w:ascii="Times New Roman" w:hAnsi="Times New Roman" w:cs="Times New Roman"/>
          <w:sz w:val="24"/>
          <w:szCs w:val="24"/>
          <w:lang w:val="sq-AL"/>
        </w:rPr>
        <w:t>” mbështetet mbi një strukturë institucionale, e cila garanton realizimin efektiv të funksioneve, kompetencave dhe procedurave të parashikuara në këtë akt, në përputhje me parimet e ligjshmërisë, koordinimit ndërinstitucional dhe eficiencës administrative.</w:t>
      </w:r>
      <w:r w:rsidR="001241F3" w:rsidRPr="005F3659">
        <w:rPr>
          <w:rFonts w:ascii="Times New Roman" w:hAnsi="Times New Roman" w:cs="Times New Roman"/>
          <w:sz w:val="24"/>
          <w:szCs w:val="24"/>
          <w:lang w:val="sq-AL"/>
        </w:rPr>
        <w:t xml:space="preserve"> </w:t>
      </w:r>
      <w:r w:rsidRPr="005F3659">
        <w:rPr>
          <w:rFonts w:ascii="Times New Roman" w:hAnsi="Times New Roman" w:cs="Times New Roman"/>
          <w:sz w:val="24"/>
          <w:szCs w:val="24"/>
          <w:lang w:val="sq-AL"/>
        </w:rPr>
        <w:t>Në këtë kuadër, Këshilli i Ministrave ngarkohet me përgjegjësinë për miratimin e akteve nënligjore në zbatim të këtij ligji, për çështje specifike që kërkojnë rregullim të detajuar, duke përfshirë përcaktimin e rregullave, procedurave, kritereve dhe afateve që do të ndiqen në ushtrimin e veprimtarive të parashikuara nga projektligji. Gjithashtu, Këshilli i Ministrave ushtron funksionin e mbikëqyrjes së përgjithshme mbi veprimtarinë e Agjencisë Shtetërore të Pronës, në funksion të garantimit të zbatimit të drejtë dhe të njëtrajtshëm të kuadrit ligjor dhe të politikave shtetërore në fushën e administrimit të pronës.</w:t>
      </w:r>
    </w:p>
    <w:p w14:paraId="0AAFDEC2" w14:textId="1E5802C4" w:rsidR="004A1814" w:rsidRPr="005F3659" w:rsidRDefault="004A1814" w:rsidP="004A181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Agjencia Shtetërore e Pronës përbën institucionin kryesor përgjegjës për zbatimin e këtij ligji, duke ushtruar në mënyrë të drejtpërdrejtë të gjitha funksionet dhe kompetencat e përcaktuara në projektakt. Në këtë cilësi, ASHP-ja është përgjegjëse për administrimin e regjistrit kadastral, për regjistrimin e të drejtave mbi pasuritë e paluajtshme</w:t>
      </w:r>
      <w:r w:rsidR="001059F0" w:rsidRPr="005F3659">
        <w:rPr>
          <w:rFonts w:ascii="Times New Roman" w:hAnsi="Times New Roman" w:cs="Times New Roman"/>
          <w:sz w:val="24"/>
          <w:szCs w:val="24"/>
          <w:lang w:val="sq-AL"/>
        </w:rPr>
        <w:t xml:space="preserve"> shtetërore dhe private</w:t>
      </w:r>
      <w:r w:rsidRPr="005F3659">
        <w:rPr>
          <w:rFonts w:ascii="Times New Roman" w:hAnsi="Times New Roman" w:cs="Times New Roman"/>
          <w:sz w:val="24"/>
          <w:szCs w:val="24"/>
          <w:lang w:val="sq-AL"/>
        </w:rPr>
        <w:t xml:space="preserve">, për përditësimin dhe </w:t>
      </w:r>
      <w:r w:rsidRPr="005F3659">
        <w:rPr>
          <w:rFonts w:ascii="Times New Roman" w:hAnsi="Times New Roman" w:cs="Times New Roman"/>
          <w:sz w:val="24"/>
          <w:szCs w:val="24"/>
          <w:lang w:val="sq-AL"/>
        </w:rPr>
        <w:lastRenderedPageBreak/>
        <w:t>inventarizimin e pronave shtetërore, si dhe për ushtrimin e kompetencave që lidhen me administrimin e këtyre pasurive, në përputhje me dispozitat ligjore dhe aktet nënligjore në zbatim të tyre. Agjencia siguron gjithashtu funksionimin e sistemeve digjitale, ofrimin e shërbimeve ndaj subjekteve të interesuara dhe garantimin e sigurisë juridike në qarkullimin e të drejtave reale.</w:t>
      </w:r>
    </w:p>
    <w:p w14:paraId="0988E1F6" w14:textId="607490AC" w:rsidR="004A1814" w:rsidRPr="005F3659" w:rsidRDefault="004A1814" w:rsidP="004A1814">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Përveç institucioneve të sipërpërmendura, zbatimi i këtij ligji kërkon bashkëpunimin e vazhdueshëm dhe të detyrueshëm të çdo institucioni tjetër publik, organi të vetëqeverisjes vendore apo subjekti tjetër që, në bazë të legjislacionit </w:t>
      </w:r>
      <w:r w:rsidR="000E5BB0">
        <w:rPr>
          <w:rFonts w:ascii="Times New Roman" w:hAnsi="Times New Roman" w:cs="Times New Roman"/>
          <w:sz w:val="24"/>
          <w:szCs w:val="24"/>
          <w:lang w:val="sq-AL"/>
        </w:rPr>
        <w:t>të posaçëm</w:t>
      </w:r>
      <w:r w:rsidRPr="005F3659">
        <w:rPr>
          <w:rFonts w:ascii="Times New Roman" w:hAnsi="Times New Roman" w:cs="Times New Roman"/>
          <w:sz w:val="24"/>
          <w:szCs w:val="24"/>
          <w:lang w:val="sq-AL"/>
        </w:rPr>
        <w:t>, ka kompetenca ose përgjegjësi që lidhen me çështjet e pronësisë, zhvillimit të territorit, informacionit gjeohapësinor apo administrimit të pasurive publike. Këto institucione janë të detyruara të bashkëpunojnë me ASHP-në, duke shkëmbyer informacionin e nevojshëm dhe duke kontribuar në realizimin e procedurave të parashikuara nga ky ligj, në funksion të garantimit të një sistemi të integruar dhe funksional të administrimit të pronës.</w:t>
      </w:r>
    </w:p>
    <w:p w14:paraId="55916609" w14:textId="3978D5A9" w:rsidR="000318FB" w:rsidRDefault="004A1814" w:rsidP="009F073C">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Për sa më sipër, përcaktimi i qartë i institucioneve përgjegjëse dhe i rolit të tyre në zbatimin e këtij projektligji krijon bazën për një funksionim të koordinuar dhe efikas të sistemit të ri institucional, duke garantuar realizimin e objektivave të reformës në fushën e administrimit të pronës dhe forcimin e sigurisë juridike në këtë sektor.</w:t>
      </w:r>
      <w:bookmarkEnd w:id="15"/>
    </w:p>
    <w:p w14:paraId="6BA984DD" w14:textId="77777777" w:rsidR="000318FB" w:rsidRPr="00C00658" w:rsidRDefault="000318FB" w:rsidP="009F073C">
      <w:pPr>
        <w:spacing w:line="276" w:lineRule="auto"/>
        <w:jc w:val="both"/>
        <w:rPr>
          <w:rFonts w:ascii="Times New Roman" w:hAnsi="Times New Roman" w:cs="Times New Roman"/>
          <w:sz w:val="24"/>
          <w:szCs w:val="24"/>
          <w:lang w:val="sq-AL"/>
        </w:rPr>
      </w:pPr>
    </w:p>
    <w:p w14:paraId="67D9B98F" w14:textId="0AD446DD" w:rsidR="005F3659" w:rsidRPr="000318FB" w:rsidRDefault="00A0457B" w:rsidP="00DA2A9B">
      <w:pPr>
        <w:pStyle w:val="ListParagraph"/>
        <w:numPr>
          <w:ilvl w:val="0"/>
          <w:numId w:val="2"/>
        </w:numPr>
        <w:spacing w:line="276" w:lineRule="auto"/>
        <w:jc w:val="both"/>
        <w:rPr>
          <w:rFonts w:ascii="Times New Roman" w:hAnsi="Times New Roman" w:cs="Times New Roman"/>
          <w:b/>
          <w:sz w:val="24"/>
          <w:szCs w:val="24"/>
          <w:lang w:val="sq-AL"/>
        </w:rPr>
      </w:pPr>
      <w:bookmarkStart w:id="16" w:name="_Hlk225852979"/>
      <w:bookmarkStart w:id="17" w:name="_Hlk227578270"/>
      <w:bookmarkStart w:id="18" w:name="_Hlk226014432"/>
      <w:r w:rsidRPr="005F3659">
        <w:rPr>
          <w:rFonts w:ascii="Times New Roman" w:hAnsi="Times New Roman" w:cs="Times New Roman"/>
          <w:b/>
          <w:sz w:val="24"/>
          <w:szCs w:val="24"/>
          <w:lang w:val="sq-AL"/>
        </w:rPr>
        <w:t>RAPORTI I VLERËSIMIT TË TË ARDHURAVE DHE SHPENZIMEVE BUXHETOR</w:t>
      </w:r>
      <w:bookmarkEnd w:id="16"/>
      <w:r w:rsidRPr="005F3659">
        <w:rPr>
          <w:rFonts w:ascii="Times New Roman" w:hAnsi="Times New Roman" w:cs="Times New Roman"/>
          <w:b/>
          <w:sz w:val="24"/>
          <w:szCs w:val="24"/>
          <w:lang w:val="sq-AL"/>
        </w:rPr>
        <w:t>E</w:t>
      </w:r>
      <w:bookmarkEnd w:id="17"/>
    </w:p>
    <w:p w14:paraId="1A9DE5BE" w14:textId="642A5D78" w:rsidR="005F3659" w:rsidRPr="005F3659" w:rsidRDefault="005F3659" w:rsidP="005F3659">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kuadër të hartimit të projektligjit për krijimin e Agjencisë Shtetërore të Pronës (ASHP), si institucion pasardhës dhe i konsoliduar i funksioneve aktuale të Agjencisë Shtetërore të Kadastrës (ASHK) dhe Agjencisë së Trajtimit të Pronës (ATP), është kryer një analizë e kapaciteteve financiare, burimeve të të ardhurave dhe strukturës së shpenzimeve të të dy institucioneve, me qëllim garantimin e qëndrueshmërisë buxhetore dhe funksionimit efektiv të institucionit të ri.</w:t>
      </w:r>
    </w:p>
    <w:p w14:paraId="368375ED" w14:textId="77777777" w:rsidR="005F3659" w:rsidRPr="005F3659" w:rsidRDefault="005F3659" w:rsidP="005F3659">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Nga analiza e buxhetit të miratuar për vitin 2026 për ASHK-në, rezulton se të ardhurat totale të planifikuara arrijnë në 4,807,245,000 lekë, nga të cilat 3,800,000,000 lekë parashikohen të realizohen nga ofrimi i shërbimeve kadastrale dhe proceset kalimtare të pronësisë, ndërsa 1,007,245,000 lekë përbëjnë financim nga buxheti i shtetit. Në të njëjtën kohë, totali i shpenzimeve dhe investimeve të planifikuara për këtë institucion arrin në 5,083,891,000 lekë, duke reflektuar një balancë negative ndërmjet të ardhurave dhe shpenzimeve operative dhe kapitale.</w:t>
      </w:r>
    </w:p>
    <w:p w14:paraId="6C4FDF02" w14:textId="12FCD351" w:rsidR="005F3659" w:rsidRPr="005F3659" w:rsidRDefault="005F3659" w:rsidP="005F3659">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Struktura e shpenzimeve të ASHK-së dominohet nga shpenzimet për personelin, të cilat përbëjnë një peshë të konsiderueshme në buxhet (</w:t>
      </w:r>
      <w:r w:rsidRPr="00CA430E">
        <w:rPr>
          <w:rFonts w:ascii="Times New Roman" w:hAnsi="Times New Roman" w:cs="Times New Roman"/>
          <w:i/>
          <w:sz w:val="24"/>
          <w:szCs w:val="24"/>
          <w:lang w:val="sq-AL"/>
        </w:rPr>
        <w:t>rreth 2,976,212,000 lekë</w:t>
      </w:r>
      <w:r w:rsidRPr="005F3659">
        <w:rPr>
          <w:rFonts w:ascii="Times New Roman" w:hAnsi="Times New Roman" w:cs="Times New Roman"/>
          <w:sz w:val="24"/>
          <w:szCs w:val="24"/>
          <w:lang w:val="sq-AL"/>
        </w:rPr>
        <w:t>), të ndjekura nga shpenzimet kapitale për investime në projekte strategjike, si regjistrimi fillestar i zonave kadastrale dhe digjitalizimi i të dhënave të pasurive të paluajtshme. Këto projekte financohen pjesërisht edhe nga fonde të trashëguara nga vitet e mëparshme, në veçanti nga fondi prej 1,577,400,000 lekë i vënë në dispozicion nga Ministria e Financave, nga i cili një pjesë është ende në përdorim për vitin 2026.</w:t>
      </w:r>
    </w:p>
    <w:p w14:paraId="4F2B4EBB" w14:textId="77777777" w:rsidR="005F3659" w:rsidRPr="005F3659" w:rsidRDefault="005F3659" w:rsidP="005F3659">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lastRenderedPageBreak/>
        <w:t>Nga ana tjetër, buxheti i ATP-së për vitin 2026 është në vlerën 331,406,000 lekë dhe mbulon kryesisht shpenzimet për personelin (</w:t>
      </w:r>
      <w:r w:rsidRPr="00CA430E">
        <w:rPr>
          <w:rFonts w:ascii="Times New Roman" w:hAnsi="Times New Roman" w:cs="Times New Roman"/>
          <w:i/>
          <w:sz w:val="24"/>
          <w:szCs w:val="24"/>
          <w:lang w:val="sq-AL"/>
        </w:rPr>
        <w:t>163 punonjës gjithsej</w:t>
      </w:r>
      <w:r w:rsidRPr="005F3659">
        <w:rPr>
          <w:rFonts w:ascii="Times New Roman" w:hAnsi="Times New Roman" w:cs="Times New Roman"/>
          <w:sz w:val="24"/>
          <w:szCs w:val="24"/>
          <w:lang w:val="sq-AL"/>
        </w:rPr>
        <w:t>), sigurimet shoqërore, si dhe shpenzimet operative dhe investimet minimale të nevojshme për ushtrimin e funksioneve të saj ligjore.</w:t>
      </w:r>
    </w:p>
    <w:p w14:paraId="4B783147" w14:textId="77777777" w:rsidR="005F3659" w:rsidRPr="005F3659" w:rsidRDefault="005F3659" w:rsidP="005F3659">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analizë të përbashkët të këtyre treguesve financiarë, rezulton se kapaciteti vetëfinancues i ASHK-së, megjithëse i konsiderueshëm, nuk është i mjaftueshëm për të përballuar shtesën e menjëhershme të kostove që do të rridhnin nga integrimi i plotë i funksioneve dhe strukturave të ATP-së në institucionin e ri ASHP. Edhe pse ASHK disponon një tepricë të ardhurash të trashëguara nga vitet e mëparshme në vlerën 3,243,337,540 lekë, kjo shumë nuk përbën një burim të qëndrueshëm financiar, pasi është e destinuar për përballimin e nevojave të brendshme në rast të mosrealizimit të të ardhurave në periudhat buxhetore pasardhëse dhe për mbështetjen e projekteve strategjike në vijim.</w:t>
      </w:r>
    </w:p>
    <w:p w14:paraId="5D07465C" w14:textId="77777777" w:rsidR="005F3659" w:rsidRPr="005F3659" w:rsidRDefault="005F3659" w:rsidP="005F3659">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Në këto kushte, për të garantuar një tranzicion të qëndrueshëm dhe funksionim normal të ASHP-së, propozohet që funksionet dhe detyrimet aktuale të ATP-së të vijojnë të financohen nga buxheti i shtetit përmes një linje të dedikuar financimi, e cila do t’i vihet në dispozicion institucionit të ri. Ky mekanizëm synon të shmangë ndikimin negativ në cilësinë dhe vazhdimësinë e shërbimeve kadastrale dhe proceseve kalimtare të pronësisë, si dhe të sigurojë vijimësinë e trajtimit të çështjeve të pronës pa ndërprerje.</w:t>
      </w:r>
    </w:p>
    <w:p w14:paraId="7B2321E4" w14:textId="113A6AC3" w:rsidR="005F3659" w:rsidRPr="005F3659" w:rsidRDefault="005F3659" w:rsidP="005F3659">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 xml:space="preserve">Një element me ndikim të lartë në analizën financiare përbën edhe niveli i detyrimeve të trashëguara të ATP-së, të cilat burojnë kryesisht nga vendime gjyqësore të formës së prerë dhe procese gjyqësore në vijim. Aktualisht, këto detyrime përfshijnë 96 vendime gjyqësore, nga të cilat 15 janë përfundimtare me një vlerë prej 1,192,069,877 lekë, ndërsa 81 vendime janë në shqyrtim me një ekspozim potencial financiar prej 2,950,565,510.21 lekë. Gjithashtu, </w:t>
      </w:r>
      <w:r w:rsidR="00BA27E1">
        <w:rPr>
          <w:rFonts w:ascii="Times New Roman" w:hAnsi="Times New Roman" w:cs="Times New Roman"/>
          <w:sz w:val="24"/>
          <w:szCs w:val="24"/>
          <w:lang w:val="sq-AL"/>
        </w:rPr>
        <w:t>janë në fuqi</w:t>
      </w:r>
      <w:r w:rsidRPr="005F3659">
        <w:rPr>
          <w:rFonts w:ascii="Times New Roman" w:hAnsi="Times New Roman" w:cs="Times New Roman"/>
          <w:sz w:val="24"/>
          <w:szCs w:val="24"/>
          <w:lang w:val="sq-AL"/>
        </w:rPr>
        <w:t xml:space="preserve"> masa përmbarimore të vendosura mbi llogaritë buxhetore të ATP-së, të cilat kanë sjellë bllokime të pjesshme të fondeve dhe kanë ndikuar në likuiditetin e institucionit.</w:t>
      </w:r>
    </w:p>
    <w:p w14:paraId="65AC9DBE" w14:textId="77777777" w:rsidR="00CA430E" w:rsidRDefault="005F3659" w:rsidP="00CA430E">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t>Transferimi i këtyre detyrimeve në mënyrë të drejtpërdrejtë në bilancin e ASHP-së do të krijonte një barrë të konsiderueshme financiare dhe do të rrezikonte seriozisht stabilitetin buxhetor të institucionit të ri. Për këtë arsye, vlerësohet e domosdoshme që këto detyrime të trajtohen si një komponent i veçantë financiar dhe të administrohen në mënyrë të dedikuar nga struktura përkatëse e ATP-së, e cila do të funksionojë si Drejtori e Posaçme brenda ASHP-së.</w:t>
      </w:r>
      <w:r w:rsidR="00CA430E">
        <w:rPr>
          <w:rFonts w:ascii="Times New Roman" w:hAnsi="Times New Roman" w:cs="Times New Roman"/>
          <w:sz w:val="24"/>
          <w:szCs w:val="24"/>
          <w:lang w:val="sq-AL"/>
        </w:rPr>
        <w:t xml:space="preserve"> Në këto kushte projektligji propozon si më poshtë vijon</w:t>
      </w:r>
      <w:r w:rsidRPr="005F3659">
        <w:rPr>
          <w:rFonts w:ascii="Times New Roman" w:hAnsi="Times New Roman" w:cs="Times New Roman"/>
          <w:sz w:val="24"/>
          <w:szCs w:val="24"/>
          <w:lang w:val="sq-AL"/>
        </w:rPr>
        <w:t>:</w:t>
      </w:r>
    </w:p>
    <w:p w14:paraId="1BE2D95D" w14:textId="6550CE6C" w:rsidR="00CA430E" w:rsidRDefault="00CA430E" w:rsidP="00CA430E">
      <w:pPr>
        <w:pStyle w:val="ListParagraph"/>
        <w:numPr>
          <w:ilvl w:val="0"/>
          <w:numId w:val="46"/>
        </w:numPr>
        <w:spacing w:line="276" w:lineRule="auto"/>
        <w:jc w:val="both"/>
        <w:rPr>
          <w:rFonts w:ascii="Times New Roman" w:hAnsi="Times New Roman" w:cs="Times New Roman"/>
          <w:sz w:val="24"/>
          <w:szCs w:val="24"/>
          <w:lang w:val="sq-AL"/>
        </w:rPr>
      </w:pPr>
      <w:r w:rsidRPr="00CA430E">
        <w:rPr>
          <w:rFonts w:ascii="Times New Roman" w:hAnsi="Times New Roman" w:cs="Times New Roman"/>
          <w:sz w:val="24"/>
          <w:szCs w:val="24"/>
          <w:lang w:val="sq-AL"/>
        </w:rPr>
        <w:t xml:space="preserve">Ndjekja, administrimi dhe ekzekutimi i detyrimeve të kompensimit mbetet funksion i strukturës së </w:t>
      </w:r>
      <w:r>
        <w:rPr>
          <w:rFonts w:ascii="Times New Roman" w:hAnsi="Times New Roman" w:cs="Times New Roman"/>
          <w:sz w:val="24"/>
          <w:szCs w:val="24"/>
          <w:lang w:val="sq-AL"/>
        </w:rPr>
        <w:t>Drejtorisë së Posaçme të Trajtimit të Pronës (</w:t>
      </w:r>
      <w:r w:rsidRPr="00CA430E">
        <w:rPr>
          <w:rFonts w:ascii="Times New Roman" w:hAnsi="Times New Roman" w:cs="Times New Roman"/>
          <w:i/>
          <w:sz w:val="24"/>
          <w:szCs w:val="24"/>
          <w:lang w:val="sq-AL"/>
        </w:rPr>
        <w:t>aktualisht ATP</w:t>
      </w:r>
      <w:r>
        <w:rPr>
          <w:rFonts w:ascii="Times New Roman" w:hAnsi="Times New Roman" w:cs="Times New Roman"/>
          <w:sz w:val="24"/>
          <w:szCs w:val="24"/>
          <w:lang w:val="sq-AL"/>
        </w:rPr>
        <w:t>)</w:t>
      </w:r>
      <w:r w:rsidR="00BA27E1">
        <w:rPr>
          <w:rFonts w:ascii="Times New Roman" w:hAnsi="Times New Roman" w:cs="Times New Roman"/>
          <w:sz w:val="24"/>
          <w:szCs w:val="24"/>
          <w:lang w:val="sq-AL"/>
        </w:rPr>
        <w:t>.</w:t>
      </w:r>
    </w:p>
    <w:p w14:paraId="5DFDFFCA" w14:textId="29F558E2" w:rsidR="00CA430E" w:rsidRPr="00CA430E" w:rsidRDefault="00CA430E" w:rsidP="00CA430E">
      <w:pPr>
        <w:pStyle w:val="ListParagraph"/>
        <w:numPr>
          <w:ilvl w:val="0"/>
          <w:numId w:val="46"/>
        </w:num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Duke qenë se intitucioni i ri ASHP kalon në </w:t>
      </w:r>
      <w:r w:rsidRPr="00CA430E">
        <w:rPr>
          <w:rFonts w:ascii="Times New Roman" w:hAnsi="Times New Roman" w:cs="Times New Roman"/>
          <w:sz w:val="24"/>
          <w:szCs w:val="24"/>
          <w:lang w:val="sq-AL"/>
        </w:rPr>
        <w:t>menaxhimi</w:t>
      </w:r>
      <w:r>
        <w:rPr>
          <w:rFonts w:ascii="Times New Roman" w:hAnsi="Times New Roman" w:cs="Times New Roman"/>
          <w:sz w:val="24"/>
          <w:szCs w:val="24"/>
          <w:lang w:val="sq-AL"/>
        </w:rPr>
        <w:t>m</w:t>
      </w:r>
      <w:r w:rsidRPr="00CA430E">
        <w:rPr>
          <w:rFonts w:ascii="Times New Roman" w:hAnsi="Times New Roman" w:cs="Times New Roman"/>
          <w:sz w:val="24"/>
          <w:szCs w:val="24"/>
          <w:lang w:val="sq-AL"/>
        </w:rPr>
        <w:t xml:space="preserve"> financiar </w:t>
      </w:r>
      <w:r>
        <w:rPr>
          <w:rFonts w:ascii="Times New Roman" w:hAnsi="Times New Roman" w:cs="Times New Roman"/>
          <w:sz w:val="24"/>
          <w:szCs w:val="24"/>
          <w:lang w:val="sq-AL"/>
        </w:rPr>
        <w:t>me</w:t>
      </w:r>
      <w:r w:rsidRPr="00CA430E">
        <w:rPr>
          <w:rFonts w:ascii="Times New Roman" w:hAnsi="Times New Roman" w:cs="Times New Roman"/>
          <w:sz w:val="24"/>
          <w:szCs w:val="24"/>
          <w:lang w:val="sq-AL"/>
        </w:rPr>
        <w:t xml:space="preserve"> sistemin e Thesarit të Shtetit, masat përmbarimore dhe bllokimet përkatëse do të reflektohen në llogaritë buxhetore të </w:t>
      </w:r>
      <w:r>
        <w:rPr>
          <w:rFonts w:ascii="Times New Roman" w:hAnsi="Times New Roman" w:cs="Times New Roman"/>
          <w:sz w:val="24"/>
          <w:szCs w:val="24"/>
          <w:lang w:val="sq-AL"/>
        </w:rPr>
        <w:t xml:space="preserve">Agjencisë, pranddaj është parashikuar që </w:t>
      </w:r>
      <w:r w:rsidRPr="00CA430E">
        <w:rPr>
          <w:rFonts w:ascii="Times New Roman" w:hAnsi="Times New Roman" w:cs="Times New Roman"/>
          <w:sz w:val="24"/>
          <w:szCs w:val="24"/>
          <w:lang w:val="sq-AL"/>
        </w:rPr>
        <w:t xml:space="preserve">ASHP </w:t>
      </w:r>
      <w:r>
        <w:rPr>
          <w:rFonts w:ascii="Times New Roman" w:hAnsi="Times New Roman" w:cs="Times New Roman"/>
          <w:sz w:val="24"/>
          <w:szCs w:val="24"/>
          <w:lang w:val="sq-AL"/>
        </w:rPr>
        <w:t>të ketë</w:t>
      </w:r>
      <w:r w:rsidRPr="00CA430E">
        <w:rPr>
          <w:rFonts w:ascii="Times New Roman" w:hAnsi="Times New Roman" w:cs="Times New Roman"/>
          <w:sz w:val="24"/>
          <w:szCs w:val="24"/>
          <w:lang w:val="sq-AL"/>
        </w:rPr>
        <w:t xml:space="preserve"> ndarje funksionale dhe financiare ndërmjet aktivitetit vetëfinancues dhe detyrimeve që burojnë nga proceset e kompensimit të pronave. </w:t>
      </w:r>
    </w:p>
    <w:p w14:paraId="3A3C39D5" w14:textId="77777777" w:rsidR="005F3659" w:rsidRPr="005F3659" w:rsidRDefault="005F3659" w:rsidP="005F3659">
      <w:pPr>
        <w:spacing w:line="276" w:lineRule="auto"/>
        <w:jc w:val="both"/>
        <w:rPr>
          <w:rFonts w:ascii="Times New Roman" w:hAnsi="Times New Roman" w:cs="Times New Roman"/>
          <w:sz w:val="24"/>
          <w:szCs w:val="24"/>
          <w:lang w:val="sq-AL"/>
        </w:rPr>
      </w:pPr>
      <w:r w:rsidRPr="005F3659">
        <w:rPr>
          <w:rFonts w:ascii="Times New Roman" w:hAnsi="Times New Roman" w:cs="Times New Roman"/>
          <w:sz w:val="24"/>
          <w:szCs w:val="24"/>
          <w:lang w:val="sq-AL"/>
        </w:rPr>
        <w:lastRenderedPageBreak/>
        <w:t>Në përfundim, projektligji nuk parashikon rritje të menjëhershme të barrës së përgjithshme buxhetore, por kërkon ristrukturim dhe rialokim të burimeve ekzistuese financiare, duke garantuar njëkohësisht qëndrueshmërinë fiskale, vijimësinë e shërbimeve publike dhe përmbushjen e detyrimeve ligjore që lidhen me trajtimin e pronës.</w:t>
      </w:r>
    </w:p>
    <w:bookmarkEnd w:id="18"/>
    <w:p w14:paraId="0E565890" w14:textId="0424F336" w:rsidR="00CA430E" w:rsidRDefault="00CA430E" w:rsidP="00DA2A9B">
      <w:pPr>
        <w:spacing w:line="276" w:lineRule="auto"/>
        <w:jc w:val="both"/>
        <w:rPr>
          <w:rFonts w:ascii="Times New Roman" w:hAnsi="Times New Roman" w:cs="Times New Roman"/>
          <w:sz w:val="24"/>
          <w:szCs w:val="24"/>
          <w:lang w:val="sq-AL"/>
        </w:rPr>
      </w:pPr>
    </w:p>
    <w:sectPr w:rsidR="00CA430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82F9B" w14:textId="77777777" w:rsidR="00A05E1B" w:rsidRDefault="00A05E1B" w:rsidP="00DD2004">
      <w:pPr>
        <w:spacing w:after="0" w:line="240" w:lineRule="auto"/>
      </w:pPr>
      <w:r>
        <w:separator/>
      </w:r>
    </w:p>
  </w:endnote>
  <w:endnote w:type="continuationSeparator" w:id="0">
    <w:p w14:paraId="0F2EDB06" w14:textId="77777777" w:rsidR="00A05E1B" w:rsidRDefault="00A05E1B" w:rsidP="00DD2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048048"/>
      <w:docPartObj>
        <w:docPartGallery w:val="Page Numbers (Bottom of Page)"/>
        <w:docPartUnique/>
      </w:docPartObj>
    </w:sdtPr>
    <w:sdtEndPr>
      <w:rPr>
        <w:noProof/>
      </w:rPr>
    </w:sdtEndPr>
    <w:sdtContent>
      <w:p w14:paraId="63061963" w14:textId="448A1DAD" w:rsidR="004B4091" w:rsidRDefault="004B4091">
        <w:pPr>
          <w:pStyle w:val="Footer"/>
          <w:jc w:val="center"/>
        </w:pPr>
        <w:r>
          <w:fldChar w:fldCharType="begin"/>
        </w:r>
        <w:r>
          <w:instrText xml:space="preserve"> PAGE   \* MERGEFORMAT </w:instrText>
        </w:r>
        <w:r>
          <w:fldChar w:fldCharType="separate"/>
        </w:r>
        <w:r w:rsidR="008774C6">
          <w:rPr>
            <w:noProof/>
          </w:rPr>
          <w:t>20</w:t>
        </w:r>
        <w:r>
          <w:rPr>
            <w:noProof/>
          </w:rPr>
          <w:fldChar w:fldCharType="end"/>
        </w:r>
      </w:p>
    </w:sdtContent>
  </w:sdt>
  <w:p w14:paraId="0160B18B" w14:textId="77777777" w:rsidR="004B4091" w:rsidRDefault="004B4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C065D" w14:textId="77777777" w:rsidR="00A05E1B" w:rsidRDefault="00A05E1B" w:rsidP="00DD2004">
      <w:pPr>
        <w:spacing w:after="0" w:line="240" w:lineRule="auto"/>
      </w:pPr>
      <w:r>
        <w:separator/>
      </w:r>
    </w:p>
  </w:footnote>
  <w:footnote w:type="continuationSeparator" w:id="0">
    <w:p w14:paraId="52F85B2C" w14:textId="77777777" w:rsidR="00A05E1B" w:rsidRDefault="00A05E1B" w:rsidP="00DD20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7999"/>
    <w:multiLevelType w:val="hybridMultilevel"/>
    <w:tmpl w:val="63A2B5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F5A77"/>
    <w:multiLevelType w:val="multilevel"/>
    <w:tmpl w:val="D220BC5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E40E5"/>
    <w:multiLevelType w:val="hybridMultilevel"/>
    <w:tmpl w:val="B3C88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D5BB8"/>
    <w:multiLevelType w:val="hybridMultilevel"/>
    <w:tmpl w:val="D3002F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C4E1F"/>
    <w:multiLevelType w:val="hybridMultilevel"/>
    <w:tmpl w:val="AFF6EF94"/>
    <w:lvl w:ilvl="0" w:tplc="0A7EE7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B50F7F"/>
    <w:multiLevelType w:val="hybridMultilevel"/>
    <w:tmpl w:val="BA76E082"/>
    <w:lvl w:ilvl="0" w:tplc="2FF888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9B208D"/>
    <w:multiLevelType w:val="hybridMultilevel"/>
    <w:tmpl w:val="021085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950F2"/>
    <w:multiLevelType w:val="multilevel"/>
    <w:tmpl w:val="21C27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1424AE"/>
    <w:multiLevelType w:val="hybridMultilevel"/>
    <w:tmpl w:val="AA0AD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4161C"/>
    <w:multiLevelType w:val="hybridMultilevel"/>
    <w:tmpl w:val="E2EE4B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6087B"/>
    <w:multiLevelType w:val="hybridMultilevel"/>
    <w:tmpl w:val="FDCC11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E7493A"/>
    <w:multiLevelType w:val="multilevel"/>
    <w:tmpl w:val="EDBA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DC5133"/>
    <w:multiLevelType w:val="multilevel"/>
    <w:tmpl w:val="CBCE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4F6132"/>
    <w:multiLevelType w:val="multilevel"/>
    <w:tmpl w:val="FAE26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BD6C09"/>
    <w:multiLevelType w:val="hybridMultilevel"/>
    <w:tmpl w:val="C07CF0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887100"/>
    <w:multiLevelType w:val="hybridMultilevel"/>
    <w:tmpl w:val="A3E4C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0D5280"/>
    <w:multiLevelType w:val="hybridMultilevel"/>
    <w:tmpl w:val="9A52D2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764452"/>
    <w:multiLevelType w:val="multilevel"/>
    <w:tmpl w:val="7BC8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F47AB7"/>
    <w:multiLevelType w:val="multilevel"/>
    <w:tmpl w:val="3992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2E19BA"/>
    <w:multiLevelType w:val="hybridMultilevel"/>
    <w:tmpl w:val="6EF659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B358FD"/>
    <w:multiLevelType w:val="multilevel"/>
    <w:tmpl w:val="76AE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1607E7"/>
    <w:multiLevelType w:val="multilevel"/>
    <w:tmpl w:val="A072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927F26"/>
    <w:multiLevelType w:val="hybridMultilevel"/>
    <w:tmpl w:val="2DC8B7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F70104"/>
    <w:multiLevelType w:val="hybridMultilevel"/>
    <w:tmpl w:val="8C4A92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C336CC"/>
    <w:multiLevelType w:val="multilevel"/>
    <w:tmpl w:val="DBF2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ED1AE8"/>
    <w:multiLevelType w:val="hybridMultilevel"/>
    <w:tmpl w:val="C4929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1C48E4"/>
    <w:multiLevelType w:val="hybridMultilevel"/>
    <w:tmpl w:val="3F70382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4E257C"/>
    <w:multiLevelType w:val="multilevel"/>
    <w:tmpl w:val="9EDA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7A5811"/>
    <w:multiLevelType w:val="multilevel"/>
    <w:tmpl w:val="83C2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F1736D"/>
    <w:multiLevelType w:val="multilevel"/>
    <w:tmpl w:val="BA32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3A5FF8"/>
    <w:multiLevelType w:val="multilevel"/>
    <w:tmpl w:val="0CAA2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EE2D19"/>
    <w:multiLevelType w:val="hybridMultilevel"/>
    <w:tmpl w:val="A28E9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24678F"/>
    <w:multiLevelType w:val="hybridMultilevel"/>
    <w:tmpl w:val="326497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6A5CF1"/>
    <w:multiLevelType w:val="hybridMultilevel"/>
    <w:tmpl w:val="C354F9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56028F"/>
    <w:multiLevelType w:val="hybridMultilevel"/>
    <w:tmpl w:val="CC2652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BC66DE"/>
    <w:multiLevelType w:val="multilevel"/>
    <w:tmpl w:val="5A5E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DC2313"/>
    <w:multiLevelType w:val="hybridMultilevel"/>
    <w:tmpl w:val="A33E08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0F3E44"/>
    <w:multiLevelType w:val="multilevel"/>
    <w:tmpl w:val="0FD4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F3615D"/>
    <w:multiLevelType w:val="hybridMultilevel"/>
    <w:tmpl w:val="D8C6BD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7853F6"/>
    <w:multiLevelType w:val="hybridMultilevel"/>
    <w:tmpl w:val="8C0632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D4B1FB0"/>
    <w:multiLevelType w:val="multilevel"/>
    <w:tmpl w:val="BAD8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AF3682"/>
    <w:multiLevelType w:val="multilevel"/>
    <w:tmpl w:val="AF78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3A0CB1"/>
    <w:multiLevelType w:val="hybridMultilevel"/>
    <w:tmpl w:val="38349D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3C27F3"/>
    <w:multiLevelType w:val="hybridMultilevel"/>
    <w:tmpl w:val="8F762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1D00D7"/>
    <w:multiLevelType w:val="multilevel"/>
    <w:tmpl w:val="D618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2152F5"/>
    <w:multiLevelType w:val="multilevel"/>
    <w:tmpl w:val="87D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830B12"/>
    <w:multiLevelType w:val="hybridMultilevel"/>
    <w:tmpl w:val="BCDA6F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9"/>
  </w:num>
  <w:num w:numId="3">
    <w:abstractNumId w:val="8"/>
  </w:num>
  <w:num w:numId="4">
    <w:abstractNumId w:val="43"/>
  </w:num>
  <w:num w:numId="5">
    <w:abstractNumId w:val="36"/>
  </w:num>
  <w:num w:numId="6">
    <w:abstractNumId w:val="16"/>
  </w:num>
  <w:num w:numId="7">
    <w:abstractNumId w:val="4"/>
  </w:num>
  <w:num w:numId="8">
    <w:abstractNumId w:val="33"/>
  </w:num>
  <w:num w:numId="9">
    <w:abstractNumId w:val="10"/>
  </w:num>
  <w:num w:numId="10">
    <w:abstractNumId w:val="14"/>
  </w:num>
  <w:num w:numId="11">
    <w:abstractNumId w:val="19"/>
  </w:num>
  <w:num w:numId="12">
    <w:abstractNumId w:val="23"/>
  </w:num>
  <w:num w:numId="13">
    <w:abstractNumId w:val="12"/>
  </w:num>
  <w:num w:numId="14">
    <w:abstractNumId w:val="24"/>
  </w:num>
  <w:num w:numId="15">
    <w:abstractNumId w:val="21"/>
  </w:num>
  <w:num w:numId="16">
    <w:abstractNumId w:val="3"/>
  </w:num>
  <w:num w:numId="17">
    <w:abstractNumId w:val="42"/>
  </w:num>
  <w:num w:numId="18">
    <w:abstractNumId w:val="32"/>
  </w:num>
  <w:num w:numId="19">
    <w:abstractNumId w:val="20"/>
  </w:num>
  <w:num w:numId="20">
    <w:abstractNumId w:val="38"/>
  </w:num>
  <w:num w:numId="21">
    <w:abstractNumId w:val="28"/>
  </w:num>
  <w:num w:numId="22">
    <w:abstractNumId w:val="41"/>
  </w:num>
  <w:num w:numId="23">
    <w:abstractNumId w:val="35"/>
  </w:num>
  <w:num w:numId="24">
    <w:abstractNumId w:val="11"/>
  </w:num>
  <w:num w:numId="25">
    <w:abstractNumId w:val="18"/>
  </w:num>
  <w:num w:numId="26">
    <w:abstractNumId w:val="44"/>
  </w:num>
  <w:num w:numId="27">
    <w:abstractNumId w:val="31"/>
  </w:num>
  <w:num w:numId="28">
    <w:abstractNumId w:val="5"/>
  </w:num>
  <w:num w:numId="29">
    <w:abstractNumId w:val="7"/>
  </w:num>
  <w:num w:numId="30">
    <w:abstractNumId w:val="13"/>
  </w:num>
  <w:num w:numId="31">
    <w:abstractNumId w:val="2"/>
  </w:num>
  <w:num w:numId="32">
    <w:abstractNumId w:val="15"/>
  </w:num>
  <w:num w:numId="33">
    <w:abstractNumId w:val="25"/>
  </w:num>
  <w:num w:numId="34">
    <w:abstractNumId w:val="40"/>
  </w:num>
  <w:num w:numId="35">
    <w:abstractNumId w:val="17"/>
  </w:num>
  <w:num w:numId="36">
    <w:abstractNumId w:val="6"/>
  </w:num>
  <w:num w:numId="37">
    <w:abstractNumId w:val="39"/>
  </w:num>
  <w:num w:numId="38">
    <w:abstractNumId w:val="37"/>
  </w:num>
  <w:num w:numId="39">
    <w:abstractNumId w:val="30"/>
  </w:num>
  <w:num w:numId="40">
    <w:abstractNumId w:val="29"/>
  </w:num>
  <w:num w:numId="41">
    <w:abstractNumId w:val="27"/>
  </w:num>
  <w:num w:numId="42">
    <w:abstractNumId w:val="0"/>
  </w:num>
  <w:num w:numId="43">
    <w:abstractNumId w:val="22"/>
  </w:num>
  <w:num w:numId="44">
    <w:abstractNumId w:val="45"/>
  </w:num>
  <w:num w:numId="45">
    <w:abstractNumId w:val="1"/>
  </w:num>
  <w:num w:numId="46">
    <w:abstractNumId w:val="34"/>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59E"/>
    <w:rsid w:val="000318FB"/>
    <w:rsid w:val="00031A2A"/>
    <w:rsid w:val="00097FC5"/>
    <w:rsid w:val="000B1A24"/>
    <w:rsid w:val="000E5BB0"/>
    <w:rsid w:val="00104A2E"/>
    <w:rsid w:val="001059F0"/>
    <w:rsid w:val="001241F3"/>
    <w:rsid w:val="00130C1C"/>
    <w:rsid w:val="001757A8"/>
    <w:rsid w:val="0018095B"/>
    <w:rsid w:val="001929D8"/>
    <w:rsid w:val="001A08E1"/>
    <w:rsid w:val="001B742A"/>
    <w:rsid w:val="001F0CE1"/>
    <w:rsid w:val="0020491F"/>
    <w:rsid w:val="00233137"/>
    <w:rsid w:val="00261474"/>
    <w:rsid w:val="0027593C"/>
    <w:rsid w:val="00283660"/>
    <w:rsid w:val="002A47BB"/>
    <w:rsid w:val="002C4C89"/>
    <w:rsid w:val="002F6B0D"/>
    <w:rsid w:val="00310233"/>
    <w:rsid w:val="003510D9"/>
    <w:rsid w:val="00361CA3"/>
    <w:rsid w:val="00371AE2"/>
    <w:rsid w:val="003876AA"/>
    <w:rsid w:val="003A35C3"/>
    <w:rsid w:val="003D1F65"/>
    <w:rsid w:val="003F6C83"/>
    <w:rsid w:val="00400066"/>
    <w:rsid w:val="00402BA5"/>
    <w:rsid w:val="004A1814"/>
    <w:rsid w:val="004B02D9"/>
    <w:rsid w:val="004B330A"/>
    <w:rsid w:val="004B4091"/>
    <w:rsid w:val="004D2CA5"/>
    <w:rsid w:val="005134E8"/>
    <w:rsid w:val="00517A2F"/>
    <w:rsid w:val="00520823"/>
    <w:rsid w:val="0053095F"/>
    <w:rsid w:val="005B1ABF"/>
    <w:rsid w:val="005C286D"/>
    <w:rsid w:val="005C3A62"/>
    <w:rsid w:val="005C753B"/>
    <w:rsid w:val="005D2A90"/>
    <w:rsid w:val="005D4387"/>
    <w:rsid w:val="005E5709"/>
    <w:rsid w:val="005F3659"/>
    <w:rsid w:val="005F4500"/>
    <w:rsid w:val="00612454"/>
    <w:rsid w:val="006368AE"/>
    <w:rsid w:val="00661143"/>
    <w:rsid w:val="00667134"/>
    <w:rsid w:val="0069097E"/>
    <w:rsid w:val="006B1D99"/>
    <w:rsid w:val="006B636C"/>
    <w:rsid w:val="006C088D"/>
    <w:rsid w:val="006C259E"/>
    <w:rsid w:val="006C37C3"/>
    <w:rsid w:val="006C7BEA"/>
    <w:rsid w:val="006E680D"/>
    <w:rsid w:val="006F02AA"/>
    <w:rsid w:val="00717C15"/>
    <w:rsid w:val="00721D9D"/>
    <w:rsid w:val="00776C12"/>
    <w:rsid w:val="00776C15"/>
    <w:rsid w:val="007C1D03"/>
    <w:rsid w:val="007F06DD"/>
    <w:rsid w:val="007F23A6"/>
    <w:rsid w:val="00815184"/>
    <w:rsid w:val="00824216"/>
    <w:rsid w:val="008405D9"/>
    <w:rsid w:val="008774C6"/>
    <w:rsid w:val="008A002B"/>
    <w:rsid w:val="008C65A7"/>
    <w:rsid w:val="00913A5D"/>
    <w:rsid w:val="009172AF"/>
    <w:rsid w:val="00934EC7"/>
    <w:rsid w:val="009456B5"/>
    <w:rsid w:val="00997A3A"/>
    <w:rsid w:val="009A6D49"/>
    <w:rsid w:val="009B5428"/>
    <w:rsid w:val="009C2F29"/>
    <w:rsid w:val="009C3A8D"/>
    <w:rsid w:val="009C46A0"/>
    <w:rsid w:val="009D2B70"/>
    <w:rsid w:val="009F073C"/>
    <w:rsid w:val="00A0457B"/>
    <w:rsid w:val="00A05E1B"/>
    <w:rsid w:val="00A5181D"/>
    <w:rsid w:val="00A86833"/>
    <w:rsid w:val="00AA51D3"/>
    <w:rsid w:val="00AF2021"/>
    <w:rsid w:val="00B062D6"/>
    <w:rsid w:val="00B30BD7"/>
    <w:rsid w:val="00B3253C"/>
    <w:rsid w:val="00B80ED9"/>
    <w:rsid w:val="00B972C3"/>
    <w:rsid w:val="00BA27E1"/>
    <w:rsid w:val="00BD63BB"/>
    <w:rsid w:val="00C00658"/>
    <w:rsid w:val="00C36600"/>
    <w:rsid w:val="00C3707D"/>
    <w:rsid w:val="00C8602B"/>
    <w:rsid w:val="00CA1F21"/>
    <w:rsid w:val="00CA430E"/>
    <w:rsid w:val="00CC25C0"/>
    <w:rsid w:val="00CE6BB5"/>
    <w:rsid w:val="00D04AA2"/>
    <w:rsid w:val="00D646E4"/>
    <w:rsid w:val="00D733CE"/>
    <w:rsid w:val="00D853E4"/>
    <w:rsid w:val="00DA2A9B"/>
    <w:rsid w:val="00DA3CB5"/>
    <w:rsid w:val="00DB49A0"/>
    <w:rsid w:val="00DD2004"/>
    <w:rsid w:val="00DF08AC"/>
    <w:rsid w:val="00E13732"/>
    <w:rsid w:val="00E45A9F"/>
    <w:rsid w:val="00E65665"/>
    <w:rsid w:val="00EA465C"/>
    <w:rsid w:val="00F06485"/>
    <w:rsid w:val="00F26398"/>
    <w:rsid w:val="00F3645D"/>
    <w:rsid w:val="00F47841"/>
    <w:rsid w:val="00F73C2A"/>
    <w:rsid w:val="00F836DD"/>
    <w:rsid w:val="00F908AD"/>
    <w:rsid w:val="00FD1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84C84"/>
  <w15:chartTrackingRefBased/>
  <w15:docId w15:val="{2BF5D186-2DB8-41C3-A380-CF52284E7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43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57B"/>
    <w:pPr>
      <w:ind w:left="720"/>
      <w:contextualSpacing/>
    </w:pPr>
  </w:style>
  <w:style w:type="paragraph" w:styleId="Header">
    <w:name w:val="header"/>
    <w:basedOn w:val="Normal"/>
    <w:link w:val="HeaderChar"/>
    <w:uiPriority w:val="99"/>
    <w:unhideWhenUsed/>
    <w:rsid w:val="00DD20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004"/>
  </w:style>
  <w:style w:type="paragraph" w:styleId="Footer">
    <w:name w:val="footer"/>
    <w:basedOn w:val="Normal"/>
    <w:link w:val="FooterChar"/>
    <w:uiPriority w:val="99"/>
    <w:unhideWhenUsed/>
    <w:rsid w:val="00DD20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004"/>
  </w:style>
  <w:style w:type="paragraph" w:styleId="NormalWeb">
    <w:name w:val="Normal (Web)"/>
    <w:basedOn w:val="Normal"/>
    <w:uiPriority w:val="99"/>
    <w:semiHidden/>
    <w:unhideWhenUsed/>
    <w:rsid w:val="00E65665"/>
    <w:rPr>
      <w:rFonts w:ascii="Times New Roman" w:hAnsi="Times New Roman" w:cs="Times New Roman"/>
      <w:sz w:val="24"/>
      <w:szCs w:val="24"/>
    </w:rPr>
  </w:style>
  <w:style w:type="character" w:customStyle="1" w:styleId="whitespace-normal">
    <w:name w:val="whitespace-normal"/>
    <w:basedOn w:val="DefaultParagraphFont"/>
    <w:rsid w:val="00D733CE"/>
  </w:style>
  <w:style w:type="paragraph" w:styleId="BalloonText">
    <w:name w:val="Balloon Text"/>
    <w:basedOn w:val="Normal"/>
    <w:link w:val="BalloonTextChar"/>
    <w:uiPriority w:val="99"/>
    <w:semiHidden/>
    <w:unhideWhenUsed/>
    <w:rsid w:val="00CA4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3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11550">
      <w:bodyDiv w:val="1"/>
      <w:marLeft w:val="0"/>
      <w:marRight w:val="0"/>
      <w:marTop w:val="0"/>
      <w:marBottom w:val="0"/>
      <w:divBdr>
        <w:top w:val="none" w:sz="0" w:space="0" w:color="auto"/>
        <w:left w:val="none" w:sz="0" w:space="0" w:color="auto"/>
        <w:bottom w:val="none" w:sz="0" w:space="0" w:color="auto"/>
        <w:right w:val="none" w:sz="0" w:space="0" w:color="auto"/>
      </w:divBdr>
    </w:div>
    <w:div w:id="86073838">
      <w:bodyDiv w:val="1"/>
      <w:marLeft w:val="0"/>
      <w:marRight w:val="0"/>
      <w:marTop w:val="0"/>
      <w:marBottom w:val="0"/>
      <w:divBdr>
        <w:top w:val="none" w:sz="0" w:space="0" w:color="auto"/>
        <w:left w:val="none" w:sz="0" w:space="0" w:color="auto"/>
        <w:bottom w:val="none" w:sz="0" w:space="0" w:color="auto"/>
        <w:right w:val="none" w:sz="0" w:space="0" w:color="auto"/>
      </w:divBdr>
    </w:div>
    <w:div w:id="188183925">
      <w:bodyDiv w:val="1"/>
      <w:marLeft w:val="0"/>
      <w:marRight w:val="0"/>
      <w:marTop w:val="0"/>
      <w:marBottom w:val="0"/>
      <w:divBdr>
        <w:top w:val="none" w:sz="0" w:space="0" w:color="auto"/>
        <w:left w:val="none" w:sz="0" w:space="0" w:color="auto"/>
        <w:bottom w:val="none" w:sz="0" w:space="0" w:color="auto"/>
        <w:right w:val="none" w:sz="0" w:space="0" w:color="auto"/>
      </w:divBdr>
    </w:div>
    <w:div w:id="188615251">
      <w:bodyDiv w:val="1"/>
      <w:marLeft w:val="0"/>
      <w:marRight w:val="0"/>
      <w:marTop w:val="0"/>
      <w:marBottom w:val="0"/>
      <w:divBdr>
        <w:top w:val="none" w:sz="0" w:space="0" w:color="auto"/>
        <w:left w:val="none" w:sz="0" w:space="0" w:color="auto"/>
        <w:bottom w:val="none" w:sz="0" w:space="0" w:color="auto"/>
        <w:right w:val="none" w:sz="0" w:space="0" w:color="auto"/>
      </w:divBdr>
    </w:div>
    <w:div w:id="308704417">
      <w:bodyDiv w:val="1"/>
      <w:marLeft w:val="0"/>
      <w:marRight w:val="0"/>
      <w:marTop w:val="0"/>
      <w:marBottom w:val="0"/>
      <w:divBdr>
        <w:top w:val="none" w:sz="0" w:space="0" w:color="auto"/>
        <w:left w:val="none" w:sz="0" w:space="0" w:color="auto"/>
        <w:bottom w:val="none" w:sz="0" w:space="0" w:color="auto"/>
        <w:right w:val="none" w:sz="0" w:space="0" w:color="auto"/>
      </w:divBdr>
    </w:div>
    <w:div w:id="613941670">
      <w:bodyDiv w:val="1"/>
      <w:marLeft w:val="0"/>
      <w:marRight w:val="0"/>
      <w:marTop w:val="0"/>
      <w:marBottom w:val="0"/>
      <w:divBdr>
        <w:top w:val="none" w:sz="0" w:space="0" w:color="auto"/>
        <w:left w:val="none" w:sz="0" w:space="0" w:color="auto"/>
        <w:bottom w:val="none" w:sz="0" w:space="0" w:color="auto"/>
        <w:right w:val="none" w:sz="0" w:space="0" w:color="auto"/>
      </w:divBdr>
    </w:div>
    <w:div w:id="682783001">
      <w:bodyDiv w:val="1"/>
      <w:marLeft w:val="0"/>
      <w:marRight w:val="0"/>
      <w:marTop w:val="0"/>
      <w:marBottom w:val="0"/>
      <w:divBdr>
        <w:top w:val="none" w:sz="0" w:space="0" w:color="auto"/>
        <w:left w:val="none" w:sz="0" w:space="0" w:color="auto"/>
        <w:bottom w:val="none" w:sz="0" w:space="0" w:color="auto"/>
        <w:right w:val="none" w:sz="0" w:space="0" w:color="auto"/>
      </w:divBdr>
    </w:div>
    <w:div w:id="760490380">
      <w:bodyDiv w:val="1"/>
      <w:marLeft w:val="0"/>
      <w:marRight w:val="0"/>
      <w:marTop w:val="0"/>
      <w:marBottom w:val="0"/>
      <w:divBdr>
        <w:top w:val="none" w:sz="0" w:space="0" w:color="auto"/>
        <w:left w:val="none" w:sz="0" w:space="0" w:color="auto"/>
        <w:bottom w:val="none" w:sz="0" w:space="0" w:color="auto"/>
        <w:right w:val="none" w:sz="0" w:space="0" w:color="auto"/>
      </w:divBdr>
      <w:divsChild>
        <w:div w:id="656227717">
          <w:marLeft w:val="0"/>
          <w:marRight w:val="0"/>
          <w:marTop w:val="0"/>
          <w:marBottom w:val="0"/>
          <w:divBdr>
            <w:top w:val="none" w:sz="0" w:space="0" w:color="auto"/>
            <w:left w:val="none" w:sz="0" w:space="0" w:color="auto"/>
            <w:bottom w:val="none" w:sz="0" w:space="0" w:color="auto"/>
            <w:right w:val="none" w:sz="0" w:space="0" w:color="auto"/>
          </w:divBdr>
          <w:divsChild>
            <w:div w:id="1493905846">
              <w:marLeft w:val="0"/>
              <w:marRight w:val="0"/>
              <w:marTop w:val="0"/>
              <w:marBottom w:val="0"/>
              <w:divBdr>
                <w:top w:val="none" w:sz="0" w:space="0" w:color="auto"/>
                <w:left w:val="none" w:sz="0" w:space="0" w:color="auto"/>
                <w:bottom w:val="none" w:sz="0" w:space="0" w:color="auto"/>
                <w:right w:val="none" w:sz="0" w:space="0" w:color="auto"/>
              </w:divBdr>
              <w:divsChild>
                <w:div w:id="1585335777">
                  <w:marLeft w:val="0"/>
                  <w:marRight w:val="0"/>
                  <w:marTop w:val="0"/>
                  <w:marBottom w:val="0"/>
                  <w:divBdr>
                    <w:top w:val="none" w:sz="0" w:space="0" w:color="auto"/>
                    <w:left w:val="none" w:sz="0" w:space="0" w:color="auto"/>
                    <w:bottom w:val="none" w:sz="0" w:space="0" w:color="auto"/>
                    <w:right w:val="none" w:sz="0" w:space="0" w:color="auto"/>
                  </w:divBdr>
                  <w:divsChild>
                    <w:div w:id="1959798616">
                      <w:marLeft w:val="0"/>
                      <w:marRight w:val="0"/>
                      <w:marTop w:val="0"/>
                      <w:marBottom w:val="0"/>
                      <w:divBdr>
                        <w:top w:val="none" w:sz="0" w:space="0" w:color="auto"/>
                        <w:left w:val="none" w:sz="0" w:space="0" w:color="auto"/>
                        <w:bottom w:val="none" w:sz="0" w:space="0" w:color="auto"/>
                        <w:right w:val="none" w:sz="0" w:space="0" w:color="auto"/>
                      </w:divBdr>
                      <w:divsChild>
                        <w:div w:id="576286974">
                          <w:marLeft w:val="0"/>
                          <w:marRight w:val="0"/>
                          <w:marTop w:val="0"/>
                          <w:marBottom w:val="0"/>
                          <w:divBdr>
                            <w:top w:val="none" w:sz="0" w:space="0" w:color="auto"/>
                            <w:left w:val="none" w:sz="0" w:space="0" w:color="auto"/>
                            <w:bottom w:val="none" w:sz="0" w:space="0" w:color="auto"/>
                            <w:right w:val="none" w:sz="0" w:space="0" w:color="auto"/>
                          </w:divBdr>
                          <w:divsChild>
                            <w:div w:id="1103191104">
                              <w:marLeft w:val="0"/>
                              <w:marRight w:val="0"/>
                              <w:marTop w:val="0"/>
                              <w:marBottom w:val="0"/>
                              <w:divBdr>
                                <w:top w:val="none" w:sz="0" w:space="0" w:color="auto"/>
                                <w:left w:val="none" w:sz="0" w:space="0" w:color="auto"/>
                                <w:bottom w:val="none" w:sz="0" w:space="0" w:color="auto"/>
                                <w:right w:val="none" w:sz="0" w:space="0" w:color="auto"/>
                              </w:divBdr>
                              <w:divsChild>
                                <w:div w:id="29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617879">
      <w:bodyDiv w:val="1"/>
      <w:marLeft w:val="0"/>
      <w:marRight w:val="0"/>
      <w:marTop w:val="0"/>
      <w:marBottom w:val="0"/>
      <w:divBdr>
        <w:top w:val="none" w:sz="0" w:space="0" w:color="auto"/>
        <w:left w:val="none" w:sz="0" w:space="0" w:color="auto"/>
        <w:bottom w:val="none" w:sz="0" w:space="0" w:color="auto"/>
        <w:right w:val="none" w:sz="0" w:space="0" w:color="auto"/>
      </w:divBdr>
    </w:div>
    <w:div w:id="899631516">
      <w:bodyDiv w:val="1"/>
      <w:marLeft w:val="0"/>
      <w:marRight w:val="0"/>
      <w:marTop w:val="0"/>
      <w:marBottom w:val="0"/>
      <w:divBdr>
        <w:top w:val="none" w:sz="0" w:space="0" w:color="auto"/>
        <w:left w:val="none" w:sz="0" w:space="0" w:color="auto"/>
        <w:bottom w:val="none" w:sz="0" w:space="0" w:color="auto"/>
        <w:right w:val="none" w:sz="0" w:space="0" w:color="auto"/>
      </w:divBdr>
    </w:div>
    <w:div w:id="1114324748">
      <w:bodyDiv w:val="1"/>
      <w:marLeft w:val="0"/>
      <w:marRight w:val="0"/>
      <w:marTop w:val="0"/>
      <w:marBottom w:val="0"/>
      <w:divBdr>
        <w:top w:val="none" w:sz="0" w:space="0" w:color="auto"/>
        <w:left w:val="none" w:sz="0" w:space="0" w:color="auto"/>
        <w:bottom w:val="none" w:sz="0" w:space="0" w:color="auto"/>
        <w:right w:val="none" w:sz="0" w:space="0" w:color="auto"/>
      </w:divBdr>
    </w:div>
    <w:div w:id="1301574301">
      <w:bodyDiv w:val="1"/>
      <w:marLeft w:val="0"/>
      <w:marRight w:val="0"/>
      <w:marTop w:val="0"/>
      <w:marBottom w:val="0"/>
      <w:divBdr>
        <w:top w:val="none" w:sz="0" w:space="0" w:color="auto"/>
        <w:left w:val="none" w:sz="0" w:space="0" w:color="auto"/>
        <w:bottom w:val="none" w:sz="0" w:space="0" w:color="auto"/>
        <w:right w:val="none" w:sz="0" w:space="0" w:color="auto"/>
      </w:divBdr>
    </w:div>
    <w:div w:id="1382904375">
      <w:bodyDiv w:val="1"/>
      <w:marLeft w:val="0"/>
      <w:marRight w:val="0"/>
      <w:marTop w:val="0"/>
      <w:marBottom w:val="0"/>
      <w:divBdr>
        <w:top w:val="none" w:sz="0" w:space="0" w:color="auto"/>
        <w:left w:val="none" w:sz="0" w:space="0" w:color="auto"/>
        <w:bottom w:val="none" w:sz="0" w:space="0" w:color="auto"/>
        <w:right w:val="none" w:sz="0" w:space="0" w:color="auto"/>
      </w:divBdr>
      <w:divsChild>
        <w:div w:id="2098597387">
          <w:marLeft w:val="0"/>
          <w:marRight w:val="0"/>
          <w:marTop w:val="0"/>
          <w:marBottom w:val="0"/>
          <w:divBdr>
            <w:top w:val="none" w:sz="0" w:space="0" w:color="auto"/>
            <w:left w:val="none" w:sz="0" w:space="0" w:color="auto"/>
            <w:bottom w:val="none" w:sz="0" w:space="0" w:color="auto"/>
            <w:right w:val="none" w:sz="0" w:space="0" w:color="auto"/>
          </w:divBdr>
          <w:divsChild>
            <w:div w:id="2054770717">
              <w:marLeft w:val="0"/>
              <w:marRight w:val="0"/>
              <w:marTop w:val="0"/>
              <w:marBottom w:val="0"/>
              <w:divBdr>
                <w:top w:val="none" w:sz="0" w:space="0" w:color="auto"/>
                <w:left w:val="none" w:sz="0" w:space="0" w:color="auto"/>
                <w:bottom w:val="none" w:sz="0" w:space="0" w:color="auto"/>
                <w:right w:val="none" w:sz="0" w:space="0" w:color="auto"/>
              </w:divBdr>
              <w:divsChild>
                <w:div w:id="480587552">
                  <w:marLeft w:val="0"/>
                  <w:marRight w:val="0"/>
                  <w:marTop w:val="0"/>
                  <w:marBottom w:val="0"/>
                  <w:divBdr>
                    <w:top w:val="none" w:sz="0" w:space="0" w:color="auto"/>
                    <w:left w:val="none" w:sz="0" w:space="0" w:color="auto"/>
                    <w:bottom w:val="none" w:sz="0" w:space="0" w:color="auto"/>
                    <w:right w:val="none" w:sz="0" w:space="0" w:color="auto"/>
                  </w:divBdr>
                  <w:divsChild>
                    <w:div w:id="1410613090">
                      <w:marLeft w:val="0"/>
                      <w:marRight w:val="0"/>
                      <w:marTop w:val="0"/>
                      <w:marBottom w:val="0"/>
                      <w:divBdr>
                        <w:top w:val="none" w:sz="0" w:space="0" w:color="auto"/>
                        <w:left w:val="none" w:sz="0" w:space="0" w:color="auto"/>
                        <w:bottom w:val="none" w:sz="0" w:space="0" w:color="auto"/>
                        <w:right w:val="none" w:sz="0" w:space="0" w:color="auto"/>
                      </w:divBdr>
                      <w:divsChild>
                        <w:div w:id="1003702342">
                          <w:marLeft w:val="0"/>
                          <w:marRight w:val="0"/>
                          <w:marTop w:val="0"/>
                          <w:marBottom w:val="0"/>
                          <w:divBdr>
                            <w:top w:val="none" w:sz="0" w:space="0" w:color="auto"/>
                            <w:left w:val="none" w:sz="0" w:space="0" w:color="auto"/>
                            <w:bottom w:val="none" w:sz="0" w:space="0" w:color="auto"/>
                            <w:right w:val="none" w:sz="0" w:space="0" w:color="auto"/>
                          </w:divBdr>
                          <w:divsChild>
                            <w:div w:id="1482384563">
                              <w:marLeft w:val="0"/>
                              <w:marRight w:val="0"/>
                              <w:marTop w:val="0"/>
                              <w:marBottom w:val="0"/>
                              <w:divBdr>
                                <w:top w:val="none" w:sz="0" w:space="0" w:color="auto"/>
                                <w:left w:val="none" w:sz="0" w:space="0" w:color="auto"/>
                                <w:bottom w:val="none" w:sz="0" w:space="0" w:color="auto"/>
                                <w:right w:val="none" w:sz="0" w:space="0" w:color="auto"/>
                              </w:divBdr>
                              <w:divsChild>
                                <w:div w:id="19249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1875468">
      <w:bodyDiv w:val="1"/>
      <w:marLeft w:val="0"/>
      <w:marRight w:val="0"/>
      <w:marTop w:val="0"/>
      <w:marBottom w:val="0"/>
      <w:divBdr>
        <w:top w:val="none" w:sz="0" w:space="0" w:color="auto"/>
        <w:left w:val="none" w:sz="0" w:space="0" w:color="auto"/>
        <w:bottom w:val="none" w:sz="0" w:space="0" w:color="auto"/>
        <w:right w:val="none" w:sz="0" w:space="0" w:color="auto"/>
      </w:divBdr>
    </w:div>
    <w:div w:id="1445925702">
      <w:bodyDiv w:val="1"/>
      <w:marLeft w:val="0"/>
      <w:marRight w:val="0"/>
      <w:marTop w:val="0"/>
      <w:marBottom w:val="0"/>
      <w:divBdr>
        <w:top w:val="none" w:sz="0" w:space="0" w:color="auto"/>
        <w:left w:val="none" w:sz="0" w:space="0" w:color="auto"/>
        <w:bottom w:val="none" w:sz="0" w:space="0" w:color="auto"/>
        <w:right w:val="none" w:sz="0" w:space="0" w:color="auto"/>
      </w:divBdr>
    </w:div>
    <w:div w:id="1647856093">
      <w:bodyDiv w:val="1"/>
      <w:marLeft w:val="0"/>
      <w:marRight w:val="0"/>
      <w:marTop w:val="0"/>
      <w:marBottom w:val="0"/>
      <w:divBdr>
        <w:top w:val="none" w:sz="0" w:space="0" w:color="auto"/>
        <w:left w:val="none" w:sz="0" w:space="0" w:color="auto"/>
        <w:bottom w:val="none" w:sz="0" w:space="0" w:color="auto"/>
        <w:right w:val="none" w:sz="0" w:space="0" w:color="auto"/>
      </w:divBdr>
      <w:divsChild>
        <w:div w:id="1554197730">
          <w:marLeft w:val="0"/>
          <w:marRight w:val="0"/>
          <w:marTop w:val="0"/>
          <w:marBottom w:val="0"/>
          <w:divBdr>
            <w:top w:val="none" w:sz="0" w:space="0" w:color="auto"/>
            <w:left w:val="none" w:sz="0" w:space="0" w:color="auto"/>
            <w:bottom w:val="none" w:sz="0" w:space="0" w:color="auto"/>
            <w:right w:val="none" w:sz="0" w:space="0" w:color="auto"/>
          </w:divBdr>
          <w:divsChild>
            <w:div w:id="1356804092">
              <w:marLeft w:val="0"/>
              <w:marRight w:val="0"/>
              <w:marTop w:val="0"/>
              <w:marBottom w:val="0"/>
              <w:divBdr>
                <w:top w:val="none" w:sz="0" w:space="0" w:color="auto"/>
                <w:left w:val="none" w:sz="0" w:space="0" w:color="auto"/>
                <w:bottom w:val="none" w:sz="0" w:space="0" w:color="auto"/>
                <w:right w:val="none" w:sz="0" w:space="0" w:color="auto"/>
              </w:divBdr>
              <w:divsChild>
                <w:div w:id="595602988">
                  <w:marLeft w:val="0"/>
                  <w:marRight w:val="0"/>
                  <w:marTop w:val="0"/>
                  <w:marBottom w:val="0"/>
                  <w:divBdr>
                    <w:top w:val="none" w:sz="0" w:space="0" w:color="auto"/>
                    <w:left w:val="none" w:sz="0" w:space="0" w:color="auto"/>
                    <w:bottom w:val="none" w:sz="0" w:space="0" w:color="auto"/>
                    <w:right w:val="none" w:sz="0" w:space="0" w:color="auto"/>
                  </w:divBdr>
                  <w:divsChild>
                    <w:div w:id="2117283941">
                      <w:marLeft w:val="0"/>
                      <w:marRight w:val="0"/>
                      <w:marTop w:val="0"/>
                      <w:marBottom w:val="0"/>
                      <w:divBdr>
                        <w:top w:val="none" w:sz="0" w:space="0" w:color="auto"/>
                        <w:left w:val="none" w:sz="0" w:space="0" w:color="auto"/>
                        <w:bottom w:val="none" w:sz="0" w:space="0" w:color="auto"/>
                        <w:right w:val="none" w:sz="0" w:space="0" w:color="auto"/>
                      </w:divBdr>
                      <w:divsChild>
                        <w:div w:id="681512444">
                          <w:marLeft w:val="0"/>
                          <w:marRight w:val="0"/>
                          <w:marTop w:val="0"/>
                          <w:marBottom w:val="0"/>
                          <w:divBdr>
                            <w:top w:val="none" w:sz="0" w:space="0" w:color="auto"/>
                            <w:left w:val="none" w:sz="0" w:space="0" w:color="auto"/>
                            <w:bottom w:val="none" w:sz="0" w:space="0" w:color="auto"/>
                            <w:right w:val="none" w:sz="0" w:space="0" w:color="auto"/>
                          </w:divBdr>
                          <w:divsChild>
                            <w:div w:id="1862205895">
                              <w:marLeft w:val="0"/>
                              <w:marRight w:val="0"/>
                              <w:marTop w:val="0"/>
                              <w:marBottom w:val="0"/>
                              <w:divBdr>
                                <w:top w:val="none" w:sz="0" w:space="0" w:color="auto"/>
                                <w:left w:val="none" w:sz="0" w:space="0" w:color="auto"/>
                                <w:bottom w:val="none" w:sz="0" w:space="0" w:color="auto"/>
                                <w:right w:val="none" w:sz="0" w:space="0" w:color="auto"/>
                              </w:divBdr>
                              <w:divsChild>
                                <w:div w:id="172309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716072">
      <w:bodyDiv w:val="1"/>
      <w:marLeft w:val="0"/>
      <w:marRight w:val="0"/>
      <w:marTop w:val="0"/>
      <w:marBottom w:val="0"/>
      <w:divBdr>
        <w:top w:val="none" w:sz="0" w:space="0" w:color="auto"/>
        <w:left w:val="none" w:sz="0" w:space="0" w:color="auto"/>
        <w:bottom w:val="none" w:sz="0" w:space="0" w:color="auto"/>
        <w:right w:val="none" w:sz="0" w:space="0" w:color="auto"/>
      </w:divBdr>
    </w:div>
    <w:div w:id="1657489909">
      <w:bodyDiv w:val="1"/>
      <w:marLeft w:val="0"/>
      <w:marRight w:val="0"/>
      <w:marTop w:val="0"/>
      <w:marBottom w:val="0"/>
      <w:divBdr>
        <w:top w:val="none" w:sz="0" w:space="0" w:color="auto"/>
        <w:left w:val="none" w:sz="0" w:space="0" w:color="auto"/>
        <w:bottom w:val="none" w:sz="0" w:space="0" w:color="auto"/>
        <w:right w:val="none" w:sz="0" w:space="0" w:color="auto"/>
      </w:divBdr>
      <w:divsChild>
        <w:div w:id="1153640687">
          <w:marLeft w:val="0"/>
          <w:marRight w:val="0"/>
          <w:marTop w:val="0"/>
          <w:marBottom w:val="0"/>
          <w:divBdr>
            <w:top w:val="none" w:sz="0" w:space="0" w:color="auto"/>
            <w:left w:val="none" w:sz="0" w:space="0" w:color="auto"/>
            <w:bottom w:val="none" w:sz="0" w:space="0" w:color="auto"/>
            <w:right w:val="none" w:sz="0" w:space="0" w:color="auto"/>
          </w:divBdr>
        </w:div>
        <w:div w:id="1549954878">
          <w:marLeft w:val="0"/>
          <w:marRight w:val="0"/>
          <w:marTop w:val="0"/>
          <w:marBottom w:val="0"/>
          <w:divBdr>
            <w:top w:val="none" w:sz="0" w:space="0" w:color="auto"/>
            <w:left w:val="none" w:sz="0" w:space="0" w:color="auto"/>
            <w:bottom w:val="none" w:sz="0" w:space="0" w:color="auto"/>
            <w:right w:val="none" w:sz="0" w:space="0" w:color="auto"/>
          </w:divBdr>
        </w:div>
        <w:div w:id="1481731516">
          <w:marLeft w:val="0"/>
          <w:marRight w:val="0"/>
          <w:marTop w:val="0"/>
          <w:marBottom w:val="0"/>
          <w:divBdr>
            <w:top w:val="none" w:sz="0" w:space="0" w:color="auto"/>
            <w:left w:val="none" w:sz="0" w:space="0" w:color="auto"/>
            <w:bottom w:val="none" w:sz="0" w:space="0" w:color="auto"/>
            <w:right w:val="none" w:sz="0" w:space="0" w:color="auto"/>
          </w:divBdr>
        </w:div>
      </w:divsChild>
    </w:div>
    <w:div w:id="1815217841">
      <w:bodyDiv w:val="1"/>
      <w:marLeft w:val="0"/>
      <w:marRight w:val="0"/>
      <w:marTop w:val="0"/>
      <w:marBottom w:val="0"/>
      <w:divBdr>
        <w:top w:val="none" w:sz="0" w:space="0" w:color="auto"/>
        <w:left w:val="none" w:sz="0" w:space="0" w:color="auto"/>
        <w:bottom w:val="none" w:sz="0" w:space="0" w:color="auto"/>
        <w:right w:val="none" w:sz="0" w:space="0" w:color="auto"/>
      </w:divBdr>
    </w:div>
    <w:div w:id="210364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8495</Words>
  <Characters>48425</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Greis Como</dc:creator>
  <cp:keywords/>
  <dc:description/>
  <cp:lastModifiedBy>Greis Como</cp:lastModifiedBy>
  <cp:revision>2</cp:revision>
  <cp:lastPrinted>2026-04-20T09:51:00Z</cp:lastPrinted>
  <dcterms:created xsi:type="dcterms:W3CDTF">2026-09-09T10:22:00Z</dcterms:created>
  <dcterms:modified xsi:type="dcterms:W3CDTF">2026-09-09T10:22:00Z</dcterms:modified>
</cp:coreProperties>
</file>