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1FD5A" w14:textId="77777777" w:rsidR="001226EB" w:rsidRPr="007A737A" w:rsidRDefault="001226EB">
      <w:pPr>
        <w:widowControl w:val="0"/>
        <w:pBdr>
          <w:top w:val="nil"/>
          <w:left w:val="nil"/>
          <w:bottom w:val="nil"/>
          <w:right w:val="nil"/>
          <w:between w:val="nil"/>
        </w:pBdr>
        <w:spacing w:line="276" w:lineRule="auto"/>
        <w:rPr>
          <w:rFonts w:ascii="Arial" w:eastAsia="Arial" w:hAnsi="Arial" w:cs="Arial"/>
          <w:color w:val="000000"/>
          <w:sz w:val="22"/>
          <w:szCs w:val="22"/>
          <w:lang w:val="sq-AL"/>
        </w:rPr>
      </w:pPr>
    </w:p>
    <w:tbl>
      <w:tblPr>
        <w:tblStyle w:val="a"/>
        <w:tblpPr w:leftFromText="187" w:rightFromText="187" w:vertAnchor="page" w:horzAnchor="margin" w:tblpY="1758"/>
        <w:tblW w:w="9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70"/>
        <w:gridCol w:w="4645"/>
      </w:tblGrid>
      <w:tr w:rsidR="001226EB" w:rsidRPr="00A645CD" w14:paraId="58AA8C29" w14:textId="77777777" w:rsidTr="10652A40">
        <w:tc>
          <w:tcPr>
            <w:tcW w:w="97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7B6123E2" w14:textId="77777777" w:rsidR="001226EB" w:rsidRPr="00BE190B" w:rsidRDefault="004F6C9E">
            <w:pPr>
              <w:spacing w:line="276" w:lineRule="auto"/>
              <w:rPr>
                <w:b/>
                <w:lang w:val="sq-AL"/>
              </w:rPr>
            </w:pPr>
            <w:r w:rsidRPr="00BE190B">
              <w:rPr>
                <w:b/>
                <w:lang w:val="sq-AL"/>
              </w:rPr>
              <w:t>RAPORTI I VLERËSIMIT TË NDIKIMIT</w:t>
            </w:r>
          </w:p>
        </w:tc>
      </w:tr>
      <w:tr w:rsidR="007A737A" w:rsidRPr="007A737A" w14:paraId="69594746" w14:textId="77777777" w:rsidTr="10652A40">
        <w:tc>
          <w:tcPr>
            <w:tcW w:w="50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21CFF2DD" w14:textId="77777777" w:rsidR="001226EB" w:rsidRPr="00BE190B" w:rsidRDefault="004F6C9E">
            <w:pPr>
              <w:spacing w:line="276" w:lineRule="auto"/>
              <w:rPr>
                <w:b/>
                <w:lang w:val="sq-AL"/>
              </w:rPr>
            </w:pPr>
            <w:r w:rsidRPr="00BE190B">
              <w:rPr>
                <w:b/>
                <w:lang w:val="sq-AL"/>
              </w:rPr>
              <w:t xml:space="preserve">EMËRTIMI I PROPOZIMIT TË POLITIKËS </w:t>
            </w:r>
          </w:p>
        </w:tc>
        <w:tc>
          <w:tcPr>
            <w:tcW w:w="4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1A4C653" w14:textId="45018515" w:rsidR="001226EB" w:rsidRPr="007A737A" w:rsidRDefault="00BE190B" w:rsidP="10652A40">
            <w:pPr>
              <w:spacing w:line="276" w:lineRule="auto"/>
              <w:rPr>
                <w:lang w:val="sq-AL"/>
              </w:rPr>
            </w:pPr>
            <w:r w:rsidRPr="10652A40">
              <w:rPr>
                <w:lang w:val="sq-AL"/>
              </w:rPr>
              <w:t xml:space="preserve">Projektligj “Për </w:t>
            </w:r>
            <w:r w:rsidR="395A5256" w:rsidRPr="10652A40">
              <w:rPr>
                <w:lang w:val="sq-AL"/>
              </w:rPr>
              <w:t>disa shtesa dhe ndryshime në ligjin 76/2023 “Për fondet e pensionit privat”</w:t>
            </w:r>
          </w:p>
        </w:tc>
      </w:tr>
      <w:tr w:rsidR="007A737A" w:rsidRPr="00A645CD" w14:paraId="47D3ACED" w14:textId="77777777" w:rsidTr="10652A40">
        <w:tc>
          <w:tcPr>
            <w:tcW w:w="50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21104291" w14:textId="77777777" w:rsidR="001226EB" w:rsidRPr="007A737A" w:rsidRDefault="004F6C9E">
            <w:pPr>
              <w:spacing w:line="276" w:lineRule="auto"/>
              <w:rPr>
                <w:b/>
                <w:bCs/>
                <w:lang w:val="sq-AL"/>
              </w:rPr>
            </w:pPr>
            <w:r w:rsidRPr="007A737A">
              <w:rPr>
                <w:b/>
                <w:bCs/>
                <w:lang w:val="sq-AL"/>
              </w:rPr>
              <w:t xml:space="preserve">MINISTRIA UDHËHEQËSE  </w:t>
            </w:r>
          </w:p>
        </w:tc>
        <w:tc>
          <w:tcPr>
            <w:tcW w:w="4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7D66B01" w14:textId="56D96B54" w:rsidR="001226EB" w:rsidRPr="00BE190B" w:rsidRDefault="004F6C9E">
            <w:pPr>
              <w:spacing w:line="276" w:lineRule="auto"/>
              <w:rPr>
                <w:lang w:val="sq-AL"/>
              </w:rPr>
            </w:pPr>
            <w:r w:rsidRPr="10652A40">
              <w:rPr>
                <w:lang w:val="sq-AL"/>
              </w:rPr>
              <w:t xml:space="preserve">Ministria e </w:t>
            </w:r>
            <w:r w:rsidR="76579E86" w:rsidRPr="10652A40">
              <w:rPr>
                <w:lang w:val="sq-AL"/>
              </w:rPr>
              <w:t xml:space="preserve">Financave </w:t>
            </w:r>
            <w:r w:rsidRPr="10652A40">
              <w:rPr>
                <w:lang w:val="sq-AL"/>
              </w:rPr>
              <w:t xml:space="preserve">Ekonomisë </w:t>
            </w:r>
            <w:bookmarkStart w:id="0" w:name="bookmark=id.ddf9m4lu75n2"/>
            <w:bookmarkEnd w:id="0"/>
            <w:r w:rsidRPr="10652A40">
              <w:rPr>
                <w:lang w:val="sq-AL"/>
              </w:rPr>
              <w:t xml:space="preserve"> </w:t>
            </w:r>
          </w:p>
        </w:tc>
      </w:tr>
      <w:tr w:rsidR="007A737A" w:rsidRPr="007A737A" w14:paraId="0686FF90" w14:textId="77777777" w:rsidTr="10652A40">
        <w:tc>
          <w:tcPr>
            <w:tcW w:w="50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1E9DD658" w14:textId="77777777" w:rsidR="001226EB" w:rsidRPr="00BE190B" w:rsidRDefault="004F6C9E">
            <w:pPr>
              <w:spacing w:line="276" w:lineRule="auto"/>
              <w:rPr>
                <w:b/>
                <w:lang w:val="sq-AL"/>
              </w:rPr>
            </w:pPr>
            <w:r w:rsidRPr="00BE190B">
              <w:rPr>
                <w:b/>
                <w:lang w:val="sq-AL"/>
              </w:rPr>
              <w:t>FAZA E POLITIKËS/VLERËSIMIT TË NDIKIMIT</w:t>
            </w:r>
          </w:p>
        </w:tc>
        <w:tc>
          <w:tcPr>
            <w:tcW w:w="4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834A412" w14:textId="2D1A9959" w:rsidR="001226EB" w:rsidRPr="007A737A" w:rsidRDefault="004F6C9E">
            <w:pPr>
              <w:spacing w:line="276" w:lineRule="auto"/>
              <w:rPr>
                <w:lang w:val="sq-AL"/>
              </w:rPr>
            </w:pPr>
            <w:r w:rsidRPr="10652A40">
              <w:rPr>
                <w:color w:val="000000" w:themeColor="text1"/>
                <w:lang w:val="sq-AL"/>
              </w:rPr>
              <w:t>Konsultim</w:t>
            </w:r>
          </w:p>
        </w:tc>
      </w:tr>
      <w:tr w:rsidR="007A737A" w:rsidRPr="00A645CD" w14:paraId="1F7E6CAF" w14:textId="77777777" w:rsidTr="10652A40">
        <w:tc>
          <w:tcPr>
            <w:tcW w:w="5070" w:type="dxa"/>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0406F38F" w14:textId="09EAC019" w:rsidR="001226EB" w:rsidRPr="00BE190B" w:rsidRDefault="004F6C9E">
            <w:pPr>
              <w:spacing w:line="276" w:lineRule="auto"/>
              <w:rPr>
                <w:b/>
                <w:lang w:val="sq-AL"/>
              </w:rPr>
            </w:pPr>
            <w:r w:rsidRPr="00BE190B">
              <w:rPr>
                <w:b/>
                <w:lang w:val="sq-AL"/>
              </w:rPr>
              <w:t>BURIMI I PROPOZIMIT TË POLITIKËS</w:t>
            </w:r>
          </w:p>
        </w:tc>
        <w:tc>
          <w:tcPr>
            <w:tcW w:w="4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9BA69ED" w14:textId="6B6ED9DA" w:rsidR="001226EB" w:rsidRPr="00BE190B" w:rsidRDefault="00BE190B" w:rsidP="10652A40">
            <w:pPr>
              <w:spacing w:line="276" w:lineRule="auto"/>
              <w:jc w:val="both"/>
              <w:rPr>
                <w:lang w:val="sq-AL"/>
              </w:rPr>
            </w:pPr>
            <w:r w:rsidRPr="10652A40">
              <w:rPr>
                <w:lang w:val="sq-AL"/>
              </w:rPr>
              <w:t xml:space="preserve">Transpozim i acquis të BE në fushën e </w:t>
            </w:r>
            <w:r w:rsidR="1FDE1CC9" w:rsidRPr="10652A40">
              <w:rPr>
                <w:lang w:val="sq-AL"/>
              </w:rPr>
              <w:t>institucioneve të pensionit profesional</w:t>
            </w:r>
          </w:p>
        </w:tc>
      </w:tr>
      <w:tr w:rsidR="007A737A" w:rsidRPr="007A737A" w14:paraId="62B1E80B" w14:textId="77777777" w:rsidTr="10652A40">
        <w:trPr>
          <w:trHeight w:val="557"/>
        </w:trPr>
        <w:tc>
          <w:tcPr>
            <w:tcW w:w="5070" w:type="dxa"/>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501C4945" w14:textId="77777777" w:rsidR="001226EB" w:rsidRPr="007A737A" w:rsidRDefault="004F6C9E">
            <w:pPr>
              <w:spacing w:line="276" w:lineRule="auto"/>
              <w:rPr>
                <w:b/>
                <w:bCs/>
                <w:lang w:val="sq-AL"/>
              </w:rPr>
            </w:pPr>
            <w:r w:rsidRPr="007A737A">
              <w:rPr>
                <w:b/>
                <w:bCs/>
                <w:lang w:val="sq-AL"/>
              </w:rPr>
              <w:t xml:space="preserve">DIREKTIVË/RREGULLORE E BE-së </w:t>
            </w:r>
          </w:p>
        </w:tc>
        <w:tc>
          <w:tcPr>
            <w:tcW w:w="4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833B1C8" w14:textId="601EC65C" w:rsidR="001226EB" w:rsidRPr="007A737A" w:rsidRDefault="004F6C9E" w:rsidP="10652A40">
            <w:pPr>
              <w:spacing w:line="276" w:lineRule="auto"/>
              <w:rPr>
                <w:lang w:val="en-US"/>
              </w:rPr>
            </w:pPr>
            <w:r w:rsidRPr="10652A40">
              <w:rPr>
                <w:color w:val="000000" w:themeColor="text1"/>
                <w:lang w:val="sq-AL"/>
              </w:rPr>
              <w:t xml:space="preserve">Transpozimi i plotë me </w:t>
            </w:r>
            <w:r w:rsidR="6AE0CDA3" w:rsidRPr="10652A40">
              <w:rPr>
                <w:color w:val="000000" w:themeColor="text1"/>
                <w:lang w:val="sq-AL"/>
              </w:rPr>
              <w:t>Direktiv</w:t>
            </w:r>
            <w:r w:rsidR="6AE0CDA3" w:rsidRPr="10652A40">
              <w:rPr>
                <w:lang w:val="sq-AL"/>
              </w:rPr>
              <w:t>ën</w:t>
            </w:r>
            <w:r w:rsidR="279C61F5" w:rsidRPr="10652A40">
              <w:rPr>
                <w:lang w:val="en-US"/>
              </w:rPr>
              <w:t xml:space="preserve"> (BE) 2016/2341 e Parlamentit Evropian dhe e Këshillit, datë 14 dhjetor 2016, “Për veprimtaritë dhe mbikëqyrjen e institucioneve të pensionit profesional”</w:t>
            </w:r>
          </w:p>
          <w:p w14:paraId="22383E11" w14:textId="77777777" w:rsidR="001226EB" w:rsidRPr="007A737A" w:rsidRDefault="004F6C9E">
            <w:pPr>
              <w:spacing w:line="276" w:lineRule="auto"/>
              <w:rPr>
                <w:b/>
                <w:bCs/>
                <w:lang w:val="sq-AL"/>
              </w:rPr>
            </w:pPr>
            <w:r w:rsidRPr="007A737A">
              <w:rPr>
                <w:lang w:val="sq-AL"/>
              </w:rPr>
              <w:t>     </w:t>
            </w:r>
            <w:r w:rsidRPr="007A737A">
              <w:rPr>
                <w:color w:val="000000"/>
                <w:lang w:val="sq-AL"/>
              </w:rPr>
              <w:t xml:space="preserve">  </w:t>
            </w:r>
          </w:p>
        </w:tc>
      </w:tr>
      <w:tr w:rsidR="007A737A" w:rsidRPr="00A645CD" w14:paraId="4C895CEE" w14:textId="77777777" w:rsidTr="10652A40">
        <w:trPr>
          <w:trHeight w:val="980"/>
        </w:trPr>
        <w:tc>
          <w:tcPr>
            <w:tcW w:w="5070" w:type="dxa"/>
            <w:tcBorders>
              <w:top w:val="single" w:sz="4" w:space="0" w:color="000000" w:themeColor="text1"/>
              <w:left w:val="single" w:sz="4" w:space="0" w:color="000000" w:themeColor="text1"/>
              <w:right w:val="single" w:sz="4" w:space="0" w:color="000000" w:themeColor="text1"/>
            </w:tcBorders>
            <w:shd w:val="clear" w:color="auto" w:fill="D9D9D9" w:themeFill="background1" w:themeFillShade="D9"/>
            <w:vAlign w:val="center"/>
          </w:tcPr>
          <w:p w14:paraId="5E1FCDFA" w14:textId="77777777" w:rsidR="001226EB" w:rsidRPr="007A737A" w:rsidRDefault="004F6C9E">
            <w:pPr>
              <w:spacing w:line="276" w:lineRule="auto"/>
              <w:rPr>
                <w:b/>
                <w:bCs/>
                <w:lang w:val="sq-AL"/>
              </w:rPr>
            </w:pPr>
            <w:r w:rsidRPr="007A737A">
              <w:rPr>
                <w:b/>
                <w:bCs/>
                <w:lang w:val="sq-AL"/>
              </w:rPr>
              <w:t>PUBLIKIMET DHE STRATEGJITË E LIDHURA</w:t>
            </w:r>
          </w:p>
        </w:tc>
        <w:tc>
          <w:tcPr>
            <w:tcW w:w="4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52DE3D0" w14:textId="77777777" w:rsidR="001226EB" w:rsidRPr="00BE190B" w:rsidRDefault="004F6C9E">
            <w:pPr>
              <w:spacing w:line="276" w:lineRule="auto"/>
              <w:jc w:val="both"/>
              <w:rPr>
                <w:lang w:val="sq-AL"/>
              </w:rPr>
            </w:pPr>
            <w:r w:rsidRPr="00BE190B">
              <w:rPr>
                <w:lang w:val="sq-AL"/>
              </w:rPr>
              <w:t>Strategjia e Autoritetit të Mbikëqyrjes Financiare 2023–2027, e miratuar më 27 prill 2023, me Vendimin nr. 266 të Këshillit të Ministrave</w:t>
            </w:r>
          </w:p>
        </w:tc>
      </w:tr>
      <w:tr w:rsidR="007A737A" w:rsidRPr="007A737A" w14:paraId="31BE8C73" w14:textId="77777777" w:rsidTr="10652A40">
        <w:tc>
          <w:tcPr>
            <w:tcW w:w="5070" w:type="dxa"/>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4CBF0368" w14:textId="77777777" w:rsidR="001226EB" w:rsidRPr="007A737A" w:rsidRDefault="004F6C9E">
            <w:pPr>
              <w:spacing w:line="276" w:lineRule="auto"/>
              <w:rPr>
                <w:b/>
                <w:bCs/>
                <w:lang w:val="sq-AL"/>
              </w:rPr>
            </w:pPr>
            <w:r w:rsidRPr="007A737A">
              <w:rPr>
                <w:b/>
                <w:bCs/>
                <w:lang w:val="sq-AL"/>
              </w:rPr>
              <w:t>DATA E KONSULTIMIT PUBLIK</w:t>
            </w:r>
          </w:p>
        </w:tc>
        <w:tc>
          <w:tcPr>
            <w:tcW w:w="4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6F28AAA" w14:textId="40394124" w:rsidR="001226EB" w:rsidRPr="00DF0005" w:rsidRDefault="00F54162" w:rsidP="10652A40">
            <w:pPr>
              <w:spacing w:line="276" w:lineRule="auto"/>
              <w:rPr>
                <w:lang w:val="sq-AL"/>
              </w:rPr>
            </w:pPr>
            <w:r w:rsidRPr="00DF0005">
              <w:rPr>
                <w:lang w:val="sq-AL"/>
              </w:rPr>
              <w:t>___________</w:t>
            </w:r>
          </w:p>
        </w:tc>
      </w:tr>
      <w:tr w:rsidR="007A737A" w:rsidRPr="007A737A" w14:paraId="21CB9D96" w14:textId="77777777" w:rsidTr="10652A40">
        <w:tc>
          <w:tcPr>
            <w:tcW w:w="5070" w:type="dxa"/>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761EF8CE" w14:textId="77777777" w:rsidR="001226EB" w:rsidRPr="00BE190B" w:rsidRDefault="004F6C9E">
            <w:pPr>
              <w:spacing w:line="276" w:lineRule="auto"/>
              <w:rPr>
                <w:b/>
                <w:lang w:val="sq-AL"/>
              </w:rPr>
            </w:pPr>
            <w:r w:rsidRPr="00BE190B">
              <w:rPr>
                <w:b/>
                <w:lang w:val="sq-AL"/>
              </w:rPr>
              <w:t xml:space="preserve">DATA E VLERËSIMIT TË NDIKIMIT </w:t>
            </w:r>
          </w:p>
        </w:tc>
        <w:tc>
          <w:tcPr>
            <w:tcW w:w="4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D3BFFA8" w14:textId="13476188" w:rsidR="001226EB" w:rsidRPr="00DF0005" w:rsidRDefault="0116E647">
            <w:pPr>
              <w:spacing w:line="276" w:lineRule="auto"/>
              <w:jc w:val="both"/>
            </w:pPr>
            <w:r w:rsidRPr="00DF0005">
              <w:rPr>
                <w:lang w:val="sq-AL"/>
              </w:rPr>
              <w:t>___________</w:t>
            </w:r>
          </w:p>
        </w:tc>
      </w:tr>
      <w:tr w:rsidR="007A737A" w:rsidRPr="00A645CD" w14:paraId="6AB71FDF" w14:textId="77777777" w:rsidTr="10652A40">
        <w:tc>
          <w:tcPr>
            <w:tcW w:w="5070" w:type="dxa"/>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1B6936E5" w14:textId="77777777" w:rsidR="001226EB" w:rsidRPr="00BE190B" w:rsidRDefault="004F6C9E">
            <w:pPr>
              <w:spacing w:line="276" w:lineRule="auto"/>
              <w:rPr>
                <w:b/>
                <w:lang w:val="sq-AL"/>
              </w:rPr>
            </w:pPr>
            <w:r w:rsidRPr="00BE190B">
              <w:rPr>
                <w:b/>
                <w:lang w:val="sq-AL"/>
              </w:rPr>
              <w:t xml:space="preserve">A E KA SHQYRTUAR KRYEMINISTRIA VLERËSIMIN E NDIKIMIT? </w:t>
            </w:r>
          </w:p>
          <w:p w14:paraId="2E6BB9E5" w14:textId="77777777" w:rsidR="001226EB" w:rsidRPr="00BE190B" w:rsidRDefault="004F6C9E">
            <w:pPr>
              <w:spacing w:line="276" w:lineRule="auto"/>
              <w:rPr>
                <w:b/>
                <w:lang w:val="sq-AL"/>
              </w:rPr>
            </w:pPr>
            <w:r w:rsidRPr="00BE190B">
              <w:rPr>
                <w:b/>
                <w:lang w:val="sq-AL"/>
              </w:rPr>
              <w:t>NËSE PO, JEPNI DATËN E SHQYRTIMIT</w:t>
            </w:r>
          </w:p>
        </w:tc>
        <w:tc>
          <w:tcPr>
            <w:tcW w:w="4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5C763B3" w14:textId="77777777" w:rsidR="001226EB" w:rsidRPr="00DF0005" w:rsidRDefault="001226EB">
            <w:pPr>
              <w:spacing w:line="276" w:lineRule="auto"/>
              <w:rPr>
                <w:color w:val="000000"/>
                <w:lang w:val="sq-AL"/>
              </w:rPr>
            </w:pPr>
            <w:bookmarkStart w:id="1" w:name="bookmark=id.z4yqzghea35i" w:colFirst="0" w:colLast="0"/>
            <w:bookmarkEnd w:id="1"/>
          </w:p>
          <w:p w14:paraId="7D48BE3D" w14:textId="1090B4B6" w:rsidR="001226EB" w:rsidRPr="00DF0005" w:rsidRDefault="26B7732E" w:rsidP="10652A40">
            <w:pPr>
              <w:tabs>
                <w:tab w:val="left" w:pos="795"/>
              </w:tabs>
              <w:spacing w:line="276" w:lineRule="auto"/>
              <w:jc w:val="both"/>
              <w:rPr>
                <w:lang w:val="sq-AL"/>
              </w:rPr>
            </w:pPr>
            <w:r w:rsidRPr="00DF0005">
              <w:rPr>
                <w:lang w:val="sq-AL"/>
              </w:rPr>
              <w:t>___________</w:t>
            </w:r>
          </w:p>
        </w:tc>
      </w:tr>
      <w:tr w:rsidR="007A737A" w:rsidRPr="007A737A" w14:paraId="6C0B44EB" w14:textId="77777777" w:rsidTr="10652A40">
        <w:tc>
          <w:tcPr>
            <w:tcW w:w="50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0E4E95A4" w14:textId="77777777" w:rsidR="001226EB" w:rsidRPr="007A737A" w:rsidRDefault="004F6C9E">
            <w:pPr>
              <w:spacing w:line="276" w:lineRule="auto"/>
              <w:rPr>
                <w:b/>
                <w:bCs/>
                <w:lang w:val="sq-AL"/>
              </w:rPr>
            </w:pPr>
            <w:r w:rsidRPr="007A737A">
              <w:rPr>
                <w:b/>
                <w:bCs/>
                <w:lang w:val="sq-AL"/>
              </w:rPr>
              <w:t>NUMRI I VLERËSIMIT TË NDIKIMIT</w:t>
            </w:r>
          </w:p>
        </w:tc>
        <w:tc>
          <w:tcPr>
            <w:tcW w:w="4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7CF7011" w14:textId="11455A3F" w:rsidR="001226EB" w:rsidRPr="00DF0005" w:rsidRDefault="006D0490">
            <w:pPr>
              <w:spacing w:line="276" w:lineRule="auto"/>
              <w:rPr>
                <w:lang w:val="sq-AL"/>
              </w:rPr>
            </w:pPr>
            <w:r w:rsidRPr="00DF0005">
              <w:rPr>
                <w:lang w:val="sq-AL"/>
              </w:rPr>
              <w:t>Viti 202</w:t>
            </w:r>
            <w:r w:rsidR="5895F816" w:rsidRPr="00DF0005">
              <w:rPr>
                <w:lang w:val="sq-AL"/>
              </w:rPr>
              <w:t>6</w:t>
            </w:r>
            <w:r w:rsidRPr="00DF0005">
              <w:rPr>
                <w:lang w:val="sq-AL"/>
              </w:rPr>
              <w:t xml:space="preserve"> ML</w:t>
            </w:r>
            <w:r w:rsidRPr="00DF0005">
              <w:rPr>
                <w:color w:val="000000" w:themeColor="text1"/>
                <w:lang w:val="sq-AL"/>
              </w:rPr>
              <w:t xml:space="preserve">  </w:t>
            </w:r>
            <w:r w:rsidRPr="00DF0005">
              <w:rPr>
                <w:lang w:val="sq-AL"/>
              </w:rPr>
              <w:t>–  Nr. VN</w:t>
            </w:r>
            <w:r w:rsidRPr="00DF0005">
              <w:rPr>
                <w:color w:val="000000" w:themeColor="text1"/>
                <w:lang w:val="sq-AL"/>
              </w:rPr>
              <w:t xml:space="preserve">  </w:t>
            </w:r>
          </w:p>
        </w:tc>
      </w:tr>
      <w:tr w:rsidR="007A737A" w:rsidRPr="00A645CD" w14:paraId="167F20B8" w14:textId="77777777" w:rsidTr="10652A40">
        <w:tc>
          <w:tcPr>
            <w:tcW w:w="50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075FD83F" w14:textId="77777777" w:rsidR="001226EB" w:rsidRPr="00BE190B" w:rsidRDefault="004F6C9E">
            <w:pPr>
              <w:spacing w:line="276" w:lineRule="auto"/>
              <w:rPr>
                <w:b/>
                <w:lang w:val="sq-AL"/>
              </w:rPr>
            </w:pPr>
            <w:r w:rsidRPr="00BE190B">
              <w:rPr>
                <w:b/>
                <w:lang w:val="sq-AL"/>
              </w:rPr>
              <w:t xml:space="preserve">TE DHËNA KONTAKTI </w:t>
            </w:r>
          </w:p>
          <w:p w14:paraId="02F79985" w14:textId="77777777" w:rsidR="001226EB" w:rsidRPr="00BE190B" w:rsidRDefault="004F6C9E">
            <w:pPr>
              <w:spacing w:line="276" w:lineRule="auto"/>
              <w:rPr>
                <w:b/>
                <w:lang w:val="sq-AL"/>
              </w:rPr>
            </w:pPr>
            <w:r w:rsidRPr="00BE190B">
              <w:rPr>
                <w:b/>
                <w:lang w:val="sq-AL"/>
              </w:rPr>
              <w:t>(EMRI, E-MAIL, NUMRI I TELEFONIT TË PERSONIT TË KONTAKTIT)</w:t>
            </w:r>
          </w:p>
        </w:tc>
        <w:tc>
          <w:tcPr>
            <w:tcW w:w="4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FC9325E" w14:textId="77777777" w:rsidR="001226EB" w:rsidRPr="00DF0005" w:rsidRDefault="001226EB">
            <w:pPr>
              <w:spacing w:line="276" w:lineRule="auto"/>
              <w:jc w:val="both"/>
              <w:rPr>
                <w:lang w:val="sq-AL"/>
              </w:rPr>
            </w:pPr>
          </w:p>
          <w:p w14:paraId="3EFD17DF" w14:textId="3CA112E5" w:rsidR="001226EB" w:rsidRPr="00DF0005" w:rsidRDefault="004F6C9E">
            <w:pPr>
              <w:spacing w:line="276" w:lineRule="auto"/>
              <w:jc w:val="both"/>
              <w:rPr>
                <w:lang w:val="sq-AL"/>
              </w:rPr>
            </w:pPr>
            <w:r w:rsidRPr="00DF0005">
              <w:rPr>
                <w:lang w:val="sq-AL"/>
              </w:rPr>
              <w:t xml:space="preserve"> </w:t>
            </w:r>
            <w:r w:rsidR="6A7EFEAF" w:rsidRPr="00DF0005">
              <w:rPr>
                <w:lang w:val="sq-AL"/>
              </w:rPr>
              <w:t>__________</w:t>
            </w:r>
          </w:p>
          <w:p w14:paraId="149E430E" w14:textId="409ED87B" w:rsidR="00EA160A" w:rsidRPr="00DF0005" w:rsidRDefault="00EA160A">
            <w:pPr>
              <w:spacing w:line="276" w:lineRule="auto"/>
              <w:jc w:val="both"/>
              <w:rPr>
                <w:lang w:val="sq-AL"/>
              </w:rPr>
            </w:pPr>
          </w:p>
        </w:tc>
      </w:tr>
      <w:tr w:rsidR="001226EB" w:rsidRPr="00A645CD" w14:paraId="56E51117" w14:textId="77777777" w:rsidTr="10652A40">
        <w:trPr>
          <w:trHeight w:val="162"/>
        </w:trPr>
        <w:tc>
          <w:tcPr>
            <w:tcW w:w="97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16E1E7" w14:textId="77777777" w:rsidR="001226EB" w:rsidRPr="00BE190B" w:rsidRDefault="001226EB">
            <w:pPr>
              <w:spacing w:line="276" w:lineRule="auto"/>
              <w:jc w:val="both"/>
              <w:rPr>
                <w:b/>
                <w:lang w:val="sq-AL"/>
              </w:rPr>
            </w:pPr>
          </w:p>
        </w:tc>
      </w:tr>
      <w:tr w:rsidR="001226EB" w:rsidRPr="00A645CD" w14:paraId="638F4F3D" w14:textId="77777777" w:rsidTr="10652A40">
        <w:trPr>
          <w:trHeight w:val="353"/>
        </w:trPr>
        <w:tc>
          <w:tcPr>
            <w:tcW w:w="97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CCD85B6" w14:textId="61BED045" w:rsidR="001226EB" w:rsidRPr="00BE190B" w:rsidRDefault="004F6C9E">
            <w:pPr>
              <w:spacing w:line="276" w:lineRule="auto"/>
              <w:jc w:val="both"/>
              <w:rPr>
                <w:b/>
                <w:lang w:val="sq-AL"/>
              </w:rPr>
            </w:pPr>
            <w:r w:rsidRPr="00BE190B">
              <w:rPr>
                <w:b/>
                <w:lang w:val="sq-AL"/>
              </w:rPr>
              <w:t>PJESA 1: PËRMBLEDHJE EKZEKUTIVE (maksimumi 2 faqe)</w:t>
            </w:r>
          </w:p>
        </w:tc>
      </w:tr>
      <w:tr w:rsidR="001226EB" w:rsidRPr="00A645CD" w14:paraId="2F70957C" w14:textId="77777777" w:rsidTr="10652A40">
        <w:trPr>
          <w:trHeight w:val="552"/>
        </w:trPr>
        <w:tc>
          <w:tcPr>
            <w:tcW w:w="97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DFB2E0" w14:textId="77777777" w:rsidR="001226EB" w:rsidRPr="00BE190B" w:rsidRDefault="004F6C9E">
            <w:pPr>
              <w:spacing w:line="276" w:lineRule="auto"/>
              <w:jc w:val="both"/>
              <w:rPr>
                <w:b/>
                <w:lang w:val="sq-AL"/>
              </w:rPr>
            </w:pPr>
            <w:r w:rsidRPr="00BE190B">
              <w:rPr>
                <w:b/>
                <w:lang w:val="sq-AL"/>
              </w:rPr>
              <w:t>PËRKUFIZIMI I PROBLEMIT</w:t>
            </w:r>
          </w:p>
          <w:p w14:paraId="1FDDFB71" w14:textId="77777777" w:rsidR="001226EB" w:rsidRPr="000263FE" w:rsidRDefault="001226EB">
            <w:pPr>
              <w:spacing w:line="276" w:lineRule="auto"/>
              <w:rPr>
                <w:sz w:val="8"/>
                <w:szCs w:val="8"/>
                <w:lang w:val="sq-AL"/>
              </w:rPr>
            </w:pPr>
          </w:p>
          <w:p w14:paraId="13596258" w14:textId="02479AF1" w:rsidR="001226EB" w:rsidRPr="00BE190B" w:rsidRDefault="54A4ED0F" w:rsidP="10652A40">
            <w:pPr>
              <w:spacing w:before="240" w:after="240" w:line="276" w:lineRule="auto"/>
              <w:jc w:val="both"/>
            </w:pPr>
            <w:r w:rsidRPr="10652A40">
              <w:rPr>
                <w:lang w:val="sq-AL"/>
              </w:rPr>
              <w:t>Në kuadër të negociatave për anëtarësimin në Bashkimin Evropian dhe hapjes së Grupkapitullit 2 “Tregu i Brendshëm”, Shqipëria duhet të sigurojë përafrimin e plotë të legjislacionit në fushën e pensioneve private dhe profesionale me Direktivën (BE) 2016/2341 (IORP II). Ligji nr. 76/2023, “Për fondet e pensionit privat”, ka reformuar ndjeshëm kuadrin vendas dhe ka vendosur kërkesa për licencimin, qeverisjen, administrimin e rrezikut, investimet, informimin dhe mbikëqyrjen, por e përafron direktivën vetëm pjesërisht.</w:t>
            </w:r>
          </w:p>
          <w:p w14:paraId="73CA8BCF" w14:textId="0F5DD0B6" w:rsidR="001226EB" w:rsidRPr="00BE190B" w:rsidRDefault="54A4ED0F" w:rsidP="10652A40">
            <w:pPr>
              <w:spacing w:before="240" w:after="240" w:line="276" w:lineRule="auto"/>
              <w:jc w:val="both"/>
              <w:rPr>
                <w:lang w:val="sq-AL"/>
              </w:rPr>
            </w:pPr>
            <w:r w:rsidRPr="10652A40">
              <w:rPr>
                <w:lang w:val="sq-AL"/>
              </w:rPr>
              <w:t xml:space="preserve">Analiza e përputhshmërisë ka identifikuar nevojën për plotësimin e dispozitave që lidhen me sistemin e qeverisjes dhe funksionet kryesore, vetëvlerësimin e rrezikut, administrimin e investimeve, informacionin për anëtarët dhe përfituesit, mbikëqyrjen me qasje perspektive dhe me bazë rreziku, si dhe veprimtarinë dhe transferimet ndërkufitare. Kuadri aktual nuk përmban </w:t>
            </w:r>
            <w:r w:rsidR="73CD8FD6" w:rsidRPr="10652A40">
              <w:rPr>
                <w:lang w:val="sq-AL"/>
              </w:rPr>
              <w:lastRenderedPageBreak/>
              <w:t>dispozita t ë plota</w:t>
            </w:r>
            <w:r w:rsidRPr="10652A40">
              <w:rPr>
                <w:lang w:val="sq-AL"/>
              </w:rPr>
              <w:t xml:space="preserve"> për bashkëpunimin dhe shkëmbimin e informacionit me autoritetet e shteteve anëtare dhe me EIOPA-n pas anëtarësimit.</w:t>
            </w:r>
          </w:p>
          <w:p w14:paraId="0E82151C" w14:textId="73C3B24F" w:rsidR="001226EB" w:rsidRPr="00BE190B" w:rsidRDefault="54A4ED0F" w:rsidP="10652A40">
            <w:pPr>
              <w:spacing w:before="240" w:after="240" w:line="276" w:lineRule="auto"/>
              <w:jc w:val="both"/>
            </w:pPr>
            <w:r w:rsidRPr="10652A40">
              <w:rPr>
                <w:lang w:val="sq-AL"/>
              </w:rPr>
              <w:t xml:space="preserve">Problemi prek drejtpërdrejt anëtarët dhe përfituesit, shoqëritë administruese, depozitarët, ofruesit e funksioneve të deleguara, punëdhënësit kontribues dhe Autoritetin e Mbikëqyrjes Financiare. Më 31.12.2025, katër shoqëri administruese administronin shtatë fonde me pjesëmarrje të hapur, me 49 218 anëtarë dhe aktive neto rreth 9,86 miliardë lekë. Rritja e tregut dhe natyra afatgjatë e kursimeve për pension e bëjnë të nevojshme plotësimin e kuadrit përpara zgjerimit të mëtejshëm të ekspozimit të anëtarëve. Problemi nuk mund të trajtohet vetëm me udhëzime ose masa administrative, pasi transpozimi i plotë, krijimi i detyrimeve dhe kompetencave mbikëqyrëse dhe rregullimi i veprimtarisë ndërkufitare kërkojnë ndërhyrje në ligj. </w:t>
            </w:r>
          </w:p>
        </w:tc>
      </w:tr>
      <w:tr w:rsidR="001226EB" w:rsidRPr="00A645CD" w14:paraId="502D790C" w14:textId="77777777" w:rsidTr="10652A40">
        <w:trPr>
          <w:trHeight w:val="543"/>
        </w:trPr>
        <w:tc>
          <w:tcPr>
            <w:tcW w:w="97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2391E0" w14:textId="77777777" w:rsidR="001226EB" w:rsidRPr="00B84EF7" w:rsidRDefault="004F6C9E">
            <w:pPr>
              <w:spacing w:line="276" w:lineRule="auto"/>
              <w:jc w:val="both"/>
              <w:rPr>
                <w:b/>
                <w:i/>
                <w:lang w:val="sq-AL"/>
              </w:rPr>
            </w:pPr>
            <w:r w:rsidRPr="00B84EF7">
              <w:rPr>
                <w:b/>
                <w:lang w:val="sq-AL"/>
              </w:rPr>
              <w:lastRenderedPageBreak/>
              <w:t>OBJEKTIVAT</w:t>
            </w:r>
          </w:p>
          <w:p w14:paraId="289FF5B6" w14:textId="77777777" w:rsidR="001226EB" w:rsidRPr="000263FE" w:rsidRDefault="001226EB">
            <w:pPr>
              <w:spacing w:line="276" w:lineRule="auto"/>
              <w:jc w:val="both"/>
              <w:rPr>
                <w:sz w:val="12"/>
                <w:szCs w:val="12"/>
                <w:lang w:val="sq-AL"/>
              </w:rPr>
            </w:pPr>
          </w:p>
          <w:p w14:paraId="2D7DB08E" w14:textId="3CF65D9B" w:rsidR="001226EB" w:rsidRPr="007A737A" w:rsidRDefault="57076DA4" w:rsidP="10652A40">
            <w:pPr>
              <w:spacing w:before="240" w:after="240" w:line="276" w:lineRule="auto"/>
              <w:jc w:val="both"/>
            </w:pPr>
            <w:r w:rsidRPr="10652A40">
              <w:rPr>
                <w:lang w:val="sq-AL"/>
              </w:rPr>
              <w:t>Objektivi i përgjithshëm i politikës është krijimi i një kuadri ligjor dhe mbikëqyrës të plotë, të zbatueshëm dhe të përafruar plotësisht me Direktivën IORP II, me qëllim forcimin e mbrojtjes së anëtarëve dhe përfituesve, përmirësimin e qeverisjes dhe administrimit të rrezikut, rritjen e cilësisë së informacionit dhe përgatitjen e tregut vendas për pjesëmarrjen në tregun e brendshëm të Bashkimit Evropian.</w:t>
            </w:r>
          </w:p>
          <w:p w14:paraId="3B5893DE" w14:textId="7DF501A8" w:rsidR="001226EB" w:rsidRPr="007A737A" w:rsidRDefault="57076DA4" w:rsidP="10652A40">
            <w:pPr>
              <w:spacing w:before="240" w:after="240" w:line="276" w:lineRule="auto"/>
              <w:jc w:val="both"/>
            </w:pPr>
            <w:r w:rsidRPr="10652A40">
              <w:rPr>
                <w:lang w:val="sq-AL"/>
              </w:rPr>
              <w:t>Objektivat specifikë janë: transpozimi i plotë i dispozitave të IORP II në kuadrin ligjor shqiptar,; përshtatja e sistemit të qeverisjes, funksioneve kryesore, politikave dhe vetëvlerësimit të rrezikut nga të gjitha shoqëritë administruese; forcimi i administrimit të investimeve sipas parimit të personit të kujdesshëm dhe përshtatja me kërkesat e reja brenda afateve ligjore; sigurimi që të gjithë anëtarët të marrin çdo vit informacion të standardizuar, të saktë dhe të kuptueshëm për kontributet, kostot, aktivet dhe përfitimet e pritshme; konsolidimi i mbikëqyrjes me qasje perspektive dhe me bazë rreziku; si dhe krijimi, deri në datën e anëtarësimit, i procedurave dhe kapaciteteve për veprimtarinë ndërkufitare, bashkëpunimin me autoritetet evropiane dhe shkëmbimin e informacionit.</w:t>
            </w:r>
          </w:p>
        </w:tc>
      </w:tr>
      <w:tr w:rsidR="001226EB" w:rsidRPr="00A645CD" w14:paraId="7061B85D" w14:textId="77777777" w:rsidTr="10652A40">
        <w:tc>
          <w:tcPr>
            <w:tcW w:w="97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89B38C" w14:textId="77777777" w:rsidR="001226EB" w:rsidRPr="00B84EF7" w:rsidRDefault="004F6C9E">
            <w:pPr>
              <w:spacing w:line="276" w:lineRule="auto"/>
              <w:jc w:val="both"/>
              <w:rPr>
                <w:b/>
                <w:lang w:val="sq-AL"/>
              </w:rPr>
            </w:pPr>
            <w:r w:rsidRPr="00B84EF7">
              <w:rPr>
                <w:b/>
                <w:lang w:val="sq-AL"/>
              </w:rPr>
              <w:t>OPSIONET E POLITIKAVE</w:t>
            </w:r>
          </w:p>
          <w:p w14:paraId="6CB9FB2A" w14:textId="77777777" w:rsidR="001226EB" w:rsidRPr="000263FE" w:rsidRDefault="001226EB">
            <w:pPr>
              <w:spacing w:line="276" w:lineRule="auto"/>
              <w:jc w:val="both"/>
              <w:rPr>
                <w:b/>
                <w:sz w:val="16"/>
                <w:szCs w:val="16"/>
                <w:lang w:val="sq-AL"/>
              </w:rPr>
            </w:pPr>
          </w:p>
          <w:p w14:paraId="56E30B8E" w14:textId="77EF02FF" w:rsidR="001226EB" w:rsidRPr="000263FE" w:rsidRDefault="6B20CD89" w:rsidP="10652A40">
            <w:pPr>
              <w:spacing w:before="240" w:after="240" w:line="276" w:lineRule="auto"/>
              <w:jc w:val="both"/>
            </w:pPr>
            <w:r w:rsidRPr="10652A40">
              <w:rPr>
                <w:lang w:val="sq-AL"/>
              </w:rPr>
              <w:t>Për trajtimin e problemit u shqyrtuan katër opsione:</w:t>
            </w:r>
          </w:p>
          <w:p w14:paraId="2EC89D17" w14:textId="6A2CF71E" w:rsidR="001226EB" w:rsidRPr="000263FE" w:rsidRDefault="6B20CD89" w:rsidP="10652A40">
            <w:pPr>
              <w:spacing w:before="240" w:after="240" w:line="276" w:lineRule="auto"/>
              <w:jc w:val="both"/>
            </w:pPr>
            <w:r w:rsidRPr="10652A40">
              <w:rPr>
                <w:b/>
                <w:bCs/>
                <w:lang w:val="sq-AL"/>
              </w:rPr>
              <w:t>Opsioni 0 – Status quo:</w:t>
            </w:r>
            <w:r w:rsidRPr="10652A40">
              <w:rPr>
                <w:lang w:val="sq-AL"/>
              </w:rPr>
              <w:t xml:space="preserve"> ruajtja e kuadrit ligjor dhe mbikëqyrës ekzistues, pa ndërhyrje ligjore. Ky opsion nuk sjell kosto shtesë, por nuk eliminon boshllëqet e transpozimit duke mos  siguruar përafrimin e plotë me Direktivën IORP II.</w:t>
            </w:r>
          </w:p>
          <w:p w14:paraId="4F368021" w14:textId="73A5907E" w:rsidR="001226EB" w:rsidRPr="000263FE" w:rsidRDefault="6B20CD89" w:rsidP="10652A40">
            <w:pPr>
              <w:spacing w:before="240" w:after="240" w:line="276" w:lineRule="auto"/>
              <w:jc w:val="both"/>
            </w:pPr>
            <w:r w:rsidRPr="10652A40">
              <w:rPr>
                <w:b/>
                <w:bCs/>
                <w:lang w:val="sq-AL"/>
              </w:rPr>
              <w:t>Opsioni jorregullator:</w:t>
            </w:r>
            <w:r w:rsidRPr="10652A40">
              <w:rPr>
                <w:lang w:val="sq-AL"/>
              </w:rPr>
              <w:t xml:space="preserve"> përdorimi i udhëzimeve, rekomandimeve, trajnimeve dhe masave të tjera administrative për të përmirësuar praktikat e subjekteve. Ky opsion mund të sjellë përmirësime të pjesshme, por nuk krijon detyrime të reja ligjore, kompetenca shtesë mbikëqyrëse ose bazën juridike për veprimtarinë ndërkufitare.</w:t>
            </w:r>
          </w:p>
          <w:p w14:paraId="378FC809" w14:textId="1AA12BF1" w:rsidR="001226EB" w:rsidRPr="000263FE" w:rsidRDefault="6B20CD89" w:rsidP="10652A40">
            <w:pPr>
              <w:spacing w:before="240" w:after="240" w:line="276" w:lineRule="auto"/>
              <w:jc w:val="both"/>
            </w:pPr>
            <w:r w:rsidRPr="10652A40">
              <w:rPr>
                <w:b/>
                <w:bCs/>
                <w:lang w:val="sq-AL"/>
              </w:rPr>
              <w:t>Opsioni 1 – Ndryshimi dhe plotësimi i ligjit nr. 76/2023:</w:t>
            </w:r>
            <w:r w:rsidRPr="10652A40">
              <w:rPr>
                <w:lang w:val="sq-AL"/>
              </w:rPr>
              <w:t xml:space="preserve"> plotësimi i kuadrit ekzistues me dispozitat e nevojshme për transpozimin e plotë të Direktivës IORP II, duke ruajtur strukturën bazë të ligjit në fuqi. Ky opsion adreson boshllëqet e identifikuara dhe kufizon ndërhyrjen në dispozitat që kërkojnë ndryshim ose plotësim.</w:t>
            </w:r>
          </w:p>
          <w:p w14:paraId="66D736F0" w14:textId="0015A1EC" w:rsidR="001226EB" w:rsidRPr="000263FE" w:rsidRDefault="6B20CD89" w:rsidP="10652A40">
            <w:pPr>
              <w:spacing w:before="240" w:after="240" w:line="276" w:lineRule="auto"/>
              <w:jc w:val="both"/>
            </w:pPr>
            <w:r w:rsidRPr="10652A40">
              <w:rPr>
                <w:b/>
                <w:bCs/>
                <w:lang w:val="sq-AL"/>
              </w:rPr>
              <w:lastRenderedPageBreak/>
              <w:t>Opsioni 2 – Shfuqizimi i ligjit nr. 76/2023 dhe miratimi i një ligji të ri:</w:t>
            </w:r>
            <w:r w:rsidRPr="10652A40">
              <w:rPr>
                <w:lang w:val="sq-AL"/>
              </w:rPr>
              <w:t xml:space="preserve"> rimiratimi i të gjithë kuadrit ligjor, duke përfshirë kërkesat ekzistuese dhe dispozitat shtesë të Direktivës IORP II. Ky opsion realizon të njëjtat objektiva materiale si Opsioni 1, por kërkon një proces më të gjerë legjislativ dhe krijon kosto dhe ngarkesë kalimtare më të lartë.</w:t>
            </w:r>
          </w:p>
          <w:p w14:paraId="7BF490BE" w14:textId="39FF9653" w:rsidR="001226EB" w:rsidRPr="000263FE" w:rsidRDefault="001226EB" w:rsidP="10652A40">
            <w:pPr>
              <w:spacing w:line="276" w:lineRule="auto"/>
              <w:jc w:val="both"/>
              <w:rPr>
                <w:b/>
                <w:bCs/>
                <w:lang w:val="sq-AL"/>
              </w:rPr>
            </w:pPr>
          </w:p>
        </w:tc>
      </w:tr>
      <w:tr w:rsidR="001226EB" w:rsidRPr="007A737A" w14:paraId="49835948" w14:textId="77777777" w:rsidTr="10652A40">
        <w:tc>
          <w:tcPr>
            <w:tcW w:w="97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EAC4FD" w14:textId="77777777" w:rsidR="001226EB" w:rsidRPr="007A737A" w:rsidRDefault="004F6C9E">
            <w:pPr>
              <w:spacing w:line="276" w:lineRule="auto"/>
              <w:rPr>
                <w:b/>
                <w:bCs/>
                <w:lang w:val="sq-AL"/>
              </w:rPr>
            </w:pPr>
            <w:r w:rsidRPr="10652A40">
              <w:rPr>
                <w:b/>
                <w:bCs/>
                <w:lang w:val="sq-AL"/>
              </w:rPr>
              <w:lastRenderedPageBreak/>
              <w:t>ANALIZA E NDIKIMEVE</w:t>
            </w:r>
          </w:p>
          <w:p w14:paraId="70ADE837" w14:textId="4EF3B277" w:rsidR="001226EB" w:rsidRPr="00B5070F" w:rsidRDefault="03E5F87A" w:rsidP="10652A40">
            <w:pPr>
              <w:spacing w:before="240" w:after="240" w:line="276" w:lineRule="auto"/>
              <w:jc w:val="both"/>
              <w:rPr>
                <w:lang w:val="sq-AL"/>
              </w:rPr>
            </w:pPr>
            <w:r w:rsidRPr="10652A40">
              <w:rPr>
                <w:lang w:val="sq-AL"/>
              </w:rPr>
              <w:t>Opsioni 0 nuk krijon kosto shtesë kundrejt status quo-së, por nuk realizon përafrimin e plotë me Direktivën IORP II dhe lë të patrajtuara mangësitë e identifikuara. Opsioni jorregullator mund të sjellë përmirësime të kufizuara përmes udhëzimeve dhe trajnimeve, por ndikimet e tij varen nga zbatimi vullnetar dhe nuk janë monetarizuar.</w:t>
            </w:r>
          </w:p>
          <w:p w14:paraId="7D7C6D8F" w14:textId="2E984D0B" w:rsidR="001226EB" w:rsidRPr="00B5070F" w:rsidRDefault="03E5F87A" w:rsidP="10652A40">
            <w:pPr>
              <w:spacing w:before="240" w:after="240" w:line="276" w:lineRule="auto"/>
              <w:jc w:val="both"/>
              <w:rPr>
                <w:lang w:val="sq-AL"/>
              </w:rPr>
            </w:pPr>
            <w:r w:rsidRPr="10652A40">
              <w:rPr>
                <w:lang w:val="sq-AL"/>
              </w:rPr>
              <w:t>Opsioni 1 krijon kosto pajtueshmërie për shoqëritë administruese, me vlerë aktuale rreth 13 milionë lekë, ndërsa përfitimet e monetarizuara vlerësohen në rreth 85,7 milionë lekë. Vlera aktuale neto është, për rrjedhojë, rreth 72,7 milionë lekë. Përfitimet lidhen me përmirësimin e mundshëm të administrimit të aktiveve për llogari të anëtarëve, rritjen e besimit dhe zhvillimin e tregut, krahas përfitimeve të pamonetarizuara nga forcimi i qeverisjes, administrimit të rrezikut, informimit dhe mbikëqyrjes.</w:t>
            </w:r>
          </w:p>
          <w:p w14:paraId="644920C4" w14:textId="657F6B2A" w:rsidR="001226EB" w:rsidRPr="00B5070F" w:rsidRDefault="03E5F87A" w:rsidP="10652A40">
            <w:pPr>
              <w:spacing w:before="240" w:after="240" w:line="276" w:lineRule="auto"/>
              <w:jc w:val="both"/>
              <w:rPr>
                <w:lang w:val="sq-AL"/>
              </w:rPr>
            </w:pPr>
            <w:r w:rsidRPr="10652A40">
              <w:rPr>
                <w:lang w:val="sq-AL"/>
              </w:rPr>
              <w:t xml:space="preserve">Opsioni 2 sjell të njëjtat përfitime materiale, por krijon kosto pak më të larta për shkak të shfuqizimit të ligjit në fuqi dhe kalimit në një bazë të re ligjore. Vlera aktuale e kostove vlerësohet në rreth 14 milionë lekë, ndërsa vlera aktuale neto në rreth 71,7 milionë lekë. Nuk janë identifikuar kosto të drejtpërdrejta shtesë për buxhetin e shtetit për asnjërin nga dy opsionet rregullatore. </w:t>
            </w:r>
          </w:p>
          <w:p w14:paraId="140972BC" w14:textId="5A34EBA8" w:rsidR="001226EB" w:rsidRPr="00B5070F" w:rsidRDefault="004F6C9E" w:rsidP="00B5070F">
            <w:pPr>
              <w:spacing w:after="240" w:line="276" w:lineRule="auto"/>
              <w:jc w:val="both"/>
              <w:rPr>
                <w:lang w:val="sq-AL"/>
              </w:rPr>
            </w:pPr>
            <w:r w:rsidRPr="10652A40">
              <w:rPr>
                <w:i/>
                <w:iCs/>
                <w:lang w:val="sq-AL"/>
              </w:rPr>
              <w:t>    </w:t>
            </w:r>
          </w:p>
        </w:tc>
      </w:tr>
      <w:tr w:rsidR="001226EB" w:rsidRPr="00A645CD" w14:paraId="388C928D" w14:textId="77777777" w:rsidTr="10652A40">
        <w:tc>
          <w:tcPr>
            <w:tcW w:w="97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0A46B5" w14:textId="1D1072F7" w:rsidR="001226EB" w:rsidRPr="007A737A" w:rsidRDefault="004F6C9E" w:rsidP="10652A40">
            <w:pPr>
              <w:spacing w:line="276" w:lineRule="auto"/>
              <w:jc w:val="both"/>
              <w:rPr>
                <w:b/>
                <w:bCs/>
                <w:lang w:val="sq-AL"/>
              </w:rPr>
            </w:pPr>
            <w:r w:rsidRPr="10652A40">
              <w:rPr>
                <w:b/>
                <w:bCs/>
                <w:lang w:val="sq-AL"/>
              </w:rPr>
              <w:t xml:space="preserve">ARSYETIMI I OPSIONIT TË PREFERUAR </w:t>
            </w:r>
          </w:p>
          <w:p w14:paraId="321954DF" w14:textId="3BA6FEBD" w:rsidR="001226EB" w:rsidRPr="00B5070F" w:rsidRDefault="77D70B37" w:rsidP="10652A40">
            <w:pPr>
              <w:spacing w:before="240" w:after="240" w:line="276" w:lineRule="auto"/>
              <w:jc w:val="both"/>
            </w:pPr>
            <w:r w:rsidRPr="10652A40">
              <w:rPr>
                <w:lang w:val="sq-AL"/>
              </w:rPr>
              <w:t>Opsioni 1, ndryshimi dhe plotësimi i ligjit nr. 76/2023, përzgjidhet si opsioni i preferuar. Ai realizon përafrimin e plotë me Direktivën IORP II, forcon mbrojtjen e anëtarëve dhe përfituesve dhe adreson në mënyrë të drejtpërdrejtë mangësitë e identifikuara në qeverisje, administrimin e rrezikut, informim dhe mbikëqyrje.</w:t>
            </w:r>
          </w:p>
          <w:p w14:paraId="33394EB0" w14:textId="10EB4145" w:rsidR="001226EB" w:rsidRPr="00B5070F" w:rsidRDefault="77D70B37" w:rsidP="10652A40">
            <w:pPr>
              <w:spacing w:before="240" w:after="240" w:line="276" w:lineRule="auto"/>
              <w:jc w:val="both"/>
            </w:pPr>
            <w:r w:rsidRPr="10652A40">
              <w:rPr>
                <w:lang w:val="sq-AL"/>
              </w:rPr>
              <w:t xml:space="preserve">Ky opsion paraqet gjithashtu raportin më të favorshëm ndërmjet kostove dhe përfitimeve, me vlerë aktuale neto rreth </w:t>
            </w:r>
            <w:r w:rsidRPr="10652A40">
              <w:rPr>
                <w:b/>
                <w:bCs/>
                <w:lang w:val="sq-AL"/>
              </w:rPr>
              <w:t>72,7 milionë lekë</w:t>
            </w:r>
            <w:r w:rsidRPr="10652A40">
              <w:rPr>
                <w:lang w:val="sq-AL"/>
              </w:rPr>
              <w:t>. Krahasuar me miratimin e një ligji të ri, ai arrin të njëjtat rezultate materiale me kosto më të ulët dhe pa ngarkesën shtesë që do të sillte shfuqizimi dhe zëvendësimi i kuadrit ekzistues. Për këto arsye, Opsioni 1 vlerësohet si ndërhyrja më efektive dhe proporcionale.</w:t>
            </w:r>
          </w:p>
        </w:tc>
      </w:tr>
      <w:tr w:rsidR="001226EB" w:rsidRPr="00A645CD" w14:paraId="528DE1D1" w14:textId="77777777" w:rsidTr="10652A40">
        <w:tc>
          <w:tcPr>
            <w:tcW w:w="97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DEF22F" w14:textId="322315B2" w:rsidR="001226EB" w:rsidRPr="007A737A" w:rsidRDefault="004F6C9E">
            <w:pPr>
              <w:spacing w:line="276" w:lineRule="auto"/>
              <w:jc w:val="both"/>
              <w:rPr>
                <w:b/>
                <w:bCs/>
                <w:lang w:val="sq-AL"/>
              </w:rPr>
            </w:pPr>
            <w:r w:rsidRPr="007A737A">
              <w:rPr>
                <w:b/>
                <w:bCs/>
                <w:lang w:val="sq-AL"/>
              </w:rPr>
              <w:t>KONSULTIMI</w:t>
            </w:r>
          </w:p>
          <w:p w14:paraId="1AFDA914" w14:textId="77777777" w:rsidR="001226EB" w:rsidRPr="007A737A" w:rsidRDefault="004F6C9E">
            <w:pPr>
              <w:spacing w:line="276" w:lineRule="auto"/>
              <w:jc w:val="both"/>
              <w:rPr>
                <w:i/>
                <w:iCs/>
                <w:lang w:val="sq-AL"/>
              </w:rPr>
            </w:pPr>
            <w:r w:rsidRPr="007A737A">
              <w:rPr>
                <w:i/>
                <w:iCs/>
                <w:lang w:val="sq-AL"/>
              </w:rPr>
              <w:t>Jepni një përmbledhje të çdo konsultimi të kryer (me kë dhe si jeni konsultuar? (jo më shumë se 5 rreshta)</w:t>
            </w:r>
          </w:p>
          <w:p w14:paraId="622DBB65" w14:textId="6EB4C352" w:rsidR="00DD7F96" w:rsidRPr="007A737A" w:rsidRDefault="00DD7F96">
            <w:pPr>
              <w:spacing w:line="276" w:lineRule="auto"/>
              <w:jc w:val="both"/>
              <w:rPr>
                <w:i/>
                <w:iCs/>
                <w:lang w:val="sq-AL"/>
              </w:rPr>
            </w:pPr>
          </w:p>
          <w:p w14:paraId="104C19FE" w14:textId="1AE165BC" w:rsidR="001226EB" w:rsidRPr="007A737A" w:rsidRDefault="001226EB">
            <w:pPr>
              <w:spacing w:line="276" w:lineRule="auto"/>
              <w:jc w:val="both"/>
              <w:rPr>
                <w:i/>
                <w:iCs/>
                <w:lang w:val="sq-AL"/>
              </w:rPr>
            </w:pPr>
          </w:p>
        </w:tc>
      </w:tr>
      <w:tr w:rsidR="001226EB" w:rsidRPr="007A737A" w14:paraId="325D4F2C" w14:textId="77777777" w:rsidTr="10652A40">
        <w:tc>
          <w:tcPr>
            <w:tcW w:w="97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1CDFC6" w14:textId="77777777" w:rsidR="001226EB" w:rsidRPr="007A737A" w:rsidRDefault="004F6C9E">
            <w:pPr>
              <w:spacing w:line="276" w:lineRule="auto"/>
              <w:jc w:val="both"/>
              <w:rPr>
                <w:b/>
                <w:bCs/>
                <w:lang w:val="sq-AL"/>
              </w:rPr>
            </w:pPr>
            <w:r w:rsidRPr="10652A40">
              <w:rPr>
                <w:b/>
                <w:bCs/>
                <w:lang w:val="sq-AL"/>
              </w:rPr>
              <w:t>ZBATIMI DHE MONITORIMI</w:t>
            </w:r>
          </w:p>
          <w:p w14:paraId="43C3B997" w14:textId="175963A7" w:rsidR="00739EAE" w:rsidRDefault="00739EAE" w:rsidP="10652A40">
            <w:pPr>
              <w:spacing w:before="240" w:after="240" w:line="259" w:lineRule="auto"/>
              <w:jc w:val="both"/>
            </w:pPr>
            <w:r w:rsidRPr="10652A40">
              <w:rPr>
                <w:lang w:val="sq-AL"/>
              </w:rPr>
              <w:t xml:space="preserve">Autoriteti i Mbikëqyrjes Financiare do të jetë përgjegjës për zbatimin dhe mbikëqyrjen e ndryshimeve ligjore, përfshirë miratimin e akteve nënligjore brenda 12 muajve, përshtatjen e metodologjive mbikëqyrëse dhe verifikimin e përmbushjes së kërkesave të reja. Shoqëritë </w:t>
            </w:r>
            <w:r w:rsidRPr="10652A40">
              <w:rPr>
                <w:lang w:val="sq-AL"/>
              </w:rPr>
              <w:lastRenderedPageBreak/>
              <w:t>administruese do të përshtatin brenda 18-muajve sistemet e qeverisjes, funksionet kryesore, politikat e administrimit të rrezikut, investimet dhe informacionin për anëtarët. Dispozitat ndërkufitare do të zbatohen nga data e anëtarësimit të Shqipërisë në Bashkimin Evropian.</w:t>
            </w:r>
          </w:p>
          <w:p w14:paraId="4E4B01FF" w14:textId="41C911C3" w:rsidR="00739EAE" w:rsidRDefault="00739EAE" w:rsidP="10652A40">
            <w:pPr>
              <w:spacing w:before="240" w:after="240"/>
              <w:jc w:val="both"/>
            </w:pPr>
            <w:r w:rsidRPr="10652A40">
              <w:rPr>
                <w:lang w:val="sq-AL"/>
              </w:rPr>
              <w:t>Monitorimi do të kryhet si pjesë e veprimtarisë së zakonshme mbikeqyrese të Autoritetit, nëpërmjet raportimeve periodike, mbikëqyrjes në distancë, inspektimeve në vend dhe ndjekjes së masave korrigjuese. Treguesit kryesorë do të jenë miratimi në kohë i akteve nënligjore, shkalla e përshtatjes së shoqërive administruese, cilësia e vetëvlerësimit të rrezikut, përqindja e anëtarëve që marrin informacionin vjetor të standardizuar dhe zbatimi në kohë i masave korrigjuese. Vlerësimi i parë i plotë i rezultateve rekomandohet pas vitit të tretë të zbatimit.</w:t>
            </w:r>
          </w:p>
          <w:p w14:paraId="799A5FE2" w14:textId="77777777" w:rsidR="001226EB" w:rsidRPr="007A737A" w:rsidRDefault="004F6C9E">
            <w:pPr>
              <w:spacing w:line="276" w:lineRule="auto"/>
              <w:jc w:val="both"/>
              <w:rPr>
                <w:i/>
                <w:iCs/>
                <w:lang w:val="sq-AL"/>
              </w:rPr>
            </w:pPr>
            <w:r w:rsidRPr="007A737A">
              <w:rPr>
                <w:i/>
                <w:iCs/>
                <w:lang w:val="sq-AL"/>
              </w:rPr>
              <w:t>     </w:t>
            </w:r>
          </w:p>
        </w:tc>
      </w:tr>
    </w:tbl>
    <w:p w14:paraId="54705759" w14:textId="77777777" w:rsidR="001226EB" w:rsidRDefault="001226EB">
      <w:pPr>
        <w:rPr>
          <w:lang w:val="sq-AL"/>
        </w:rPr>
      </w:pPr>
      <w:bookmarkStart w:id="2" w:name="_heading=h.aeiykfyb2win" w:colFirst="0" w:colLast="0"/>
      <w:bookmarkEnd w:id="2"/>
    </w:p>
    <w:p w14:paraId="3BC5F971" w14:textId="77777777" w:rsidR="00B77E6B" w:rsidRPr="007A737A" w:rsidRDefault="00B77E6B">
      <w:pPr>
        <w:rPr>
          <w:lang w:val="sq-AL"/>
        </w:rPr>
      </w:pPr>
    </w:p>
    <w:p w14:paraId="74D3D8BB" w14:textId="77777777" w:rsidR="001226EB" w:rsidRPr="007A737A" w:rsidRDefault="001226EB">
      <w:pPr>
        <w:rPr>
          <w:lang w:val="sq-AL"/>
        </w:rPr>
      </w:pPr>
    </w:p>
    <w:p w14:paraId="656A67F8" w14:textId="77777777" w:rsidR="001226EB" w:rsidRPr="007A737A" w:rsidRDefault="001226EB">
      <w:pPr>
        <w:rPr>
          <w:lang w:val="sq-AL"/>
        </w:rPr>
      </w:pPr>
    </w:p>
    <w:tbl>
      <w:tblPr>
        <w:tblStyle w:val="a0"/>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42"/>
      </w:tblGrid>
      <w:tr w:rsidR="001226EB" w:rsidRPr="00A645CD" w14:paraId="71830B90" w14:textId="77777777" w:rsidTr="00BE190B">
        <w:trPr>
          <w:trHeight w:val="353"/>
        </w:trPr>
        <w:tc>
          <w:tcPr>
            <w:tcW w:w="9242" w:type="dxa"/>
            <w:tcBorders>
              <w:top w:val="single" w:sz="4" w:space="0" w:color="000000"/>
              <w:left w:val="single" w:sz="4" w:space="0" w:color="000000"/>
              <w:bottom w:val="single" w:sz="4" w:space="0" w:color="000000"/>
              <w:right w:val="single" w:sz="4" w:space="0" w:color="000000"/>
            </w:tcBorders>
            <w:shd w:val="clear" w:color="auto" w:fill="D9D9D9"/>
          </w:tcPr>
          <w:p w14:paraId="3E23766D" w14:textId="77777777" w:rsidR="001226EB" w:rsidRPr="00BE190B" w:rsidRDefault="004F6C9E">
            <w:pPr>
              <w:jc w:val="both"/>
              <w:rPr>
                <w:b/>
                <w:lang w:val="sq-AL"/>
              </w:rPr>
            </w:pPr>
            <w:r w:rsidRPr="00BE190B">
              <w:rPr>
                <w:b/>
                <w:lang w:val="sq-AL"/>
              </w:rPr>
              <w:t xml:space="preserve">PJESA 2: BAZA KRYESORE E ANALIZËS DHE E PROVAVE </w:t>
            </w:r>
          </w:p>
        </w:tc>
      </w:tr>
    </w:tbl>
    <w:p w14:paraId="4B5F7698" w14:textId="77777777" w:rsidR="001226EB" w:rsidRPr="00BE190B" w:rsidRDefault="001226EB">
      <w:pPr>
        <w:rPr>
          <w:lang w:val="sq-AL"/>
        </w:rPr>
      </w:pPr>
    </w:p>
    <w:p w14:paraId="2855729F" w14:textId="1D53C6FF" w:rsidR="001226EB" w:rsidRPr="00BE190B" w:rsidRDefault="004F6C9E">
      <w:pPr>
        <w:pStyle w:val="Heading1"/>
        <w:spacing w:line="276" w:lineRule="auto"/>
        <w:rPr>
          <w:rFonts w:ascii="Times New Roman" w:hAnsi="Times New Roman"/>
          <w:sz w:val="24"/>
          <w:lang w:val="sq-AL"/>
        </w:rPr>
      </w:pPr>
      <w:r w:rsidRPr="00BE190B">
        <w:rPr>
          <w:rFonts w:ascii="Times New Roman" w:hAnsi="Times New Roman"/>
          <w:sz w:val="24"/>
          <w:lang w:val="sq-AL"/>
        </w:rPr>
        <w:t>Historik</w:t>
      </w:r>
    </w:p>
    <w:p w14:paraId="711B0996" w14:textId="77777777" w:rsidR="001226EB" w:rsidRPr="00BE190B" w:rsidRDefault="004F6C9E">
      <w:pPr>
        <w:spacing w:line="276" w:lineRule="auto"/>
        <w:rPr>
          <w:i/>
          <w:lang w:val="sq-AL"/>
        </w:rPr>
      </w:pPr>
      <w:r w:rsidRPr="00BE190B">
        <w:rPr>
          <w:i/>
          <w:lang w:val="sq-AL"/>
        </w:rPr>
        <w:t>Jepni kontekstin e politikës.</w:t>
      </w:r>
    </w:p>
    <w:p w14:paraId="49976FF3" w14:textId="48C26027" w:rsidR="0021469F" w:rsidRPr="0021469F" w:rsidRDefault="0021469F" w:rsidP="0021469F">
      <w:pPr>
        <w:spacing w:before="240"/>
        <w:jc w:val="both"/>
        <w:rPr>
          <w:lang w:val="en-US"/>
        </w:rPr>
      </w:pPr>
      <w:r w:rsidRPr="0021469F">
        <w:rPr>
          <w:lang w:val="en-US"/>
        </w:rPr>
        <w:t xml:space="preserve">Kuadri ligjor për organizimin dhe funksionimin e </w:t>
      </w:r>
      <w:r w:rsidR="00FC2147">
        <w:rPr>
          <w:lang w:val="en-US"/>
        </w:rPr>
        <w:t>fondeve</w:t>
      </w:r>
      <w:r w:rsidRPr="0021469F">
        <w:rPr>
          <w:lang w:val="en-US"/>
        </w:rPr>
        <w:t xml:space="preserve"> të pensionit</w:t>
      </w:r>
      <w:r w:rsidR="00FC2147">
        <w:rPr>
          <w:lang w:val="en-US"/>
        </w:rPr>
        <w:t xml:space="preserve"> privat</w:t>
      </w:r>
      <w:r w:rsidRPr="0021469F">
        <w:rPr>
          <w:lang w:val="en-US"/>
        </w:rPr>
        <w:t xml:space="preserve"> në Republikën e Shqipërisë u vendos fillimisht me ligjin nr. 7943, datë 1.6.1995, “Për pensionet suplementare dhe institutet private të pensioneve”, të ndryshuar. Ky ligj krijoi bazën për zhvillimin e pensioneve private vullnetare si një shtyllë plotësuese e sistemit publik të pensioneve.</w:t>
      </w:r>
    </w:p>
    <w:p w14:paraId="51AEA5CD" w14:textId="77777777" w:rsidR="0021469F" w:rsidRPr="0021469F" w:rsidRDefault="0021469F" w:rsidP="0021469F">
      <w:pPr>
        <w:spacing w:before="240"/>
        <w:jc w:val="both"/>
        <w:rPr>
          <w:lang w:val="en-US"/>
        </w:rPr>
      </w:pPr>
      <w:r w:rsidRPr="0021469F">
        <w:rPr>
          <w:lang w:val="en-US"/>
        </w:rPr>
        <w:t>Në vitin 2006, me miratimin e ligjit nr. 9572, datë 3.7.2006, “Për Autoritetin e Mbikëqyrjes Financiare”, të ndryshuar, përgjegjësia për rregullimin dhe mbikëqyrjen e tregut të pensioneve private iu ngarkua Autoritetit të Mbikëqyrjes Financiare. Krijimi i një autoriteti të specializuar mbikëqyrës synoi forcimin e standardeve të licencimit, kontrollit dhe mbrojtjes së interesave të anëtarëve të fondeve të pensionit.</w:t>
      </w:r>
    </w:p>
    <w:p w14:paraId="341B9239" w14:textId="77777777" w:rsidR="0021469F" w:rsidRPr="0021469F" w:rsidRDefault="0021469F" w:rsidP="0021469F">
      <w:pPr>
        <w:spacing w:before="240"/>
        <w:jc w:val="both"/>
        <w:rPr>
          <w:lang w:val="en-US"/>
        </w:rPr>
      </w:pPr>
      <w:r w:rsidRPr="0021469F">
        <w:rPr>
          <w:lang w:val="en-US"/>
        </w:rPr>
        <w:t>Kuadri ligjor u zhvillua më tej me ligjin nr. 10 197, datë 10.12.2009, “Për fondet e pensionit vullnetar”. Ky ligj përcaktoi rregulla më të plota për krijimin, administrimin dhe mbikëqyrjen e fondeve të pensionit vullnetar, veprimtarinë e shoqërive administruese dhe të depozitarëve, investimin e aktiveve dhe informimin e anëtarëve.</w:t>
      </w:r>
    </w:p>
    <w:p w14:paraId="20C56C00" w14:textId="77777777" w:rsidR="0021469F" w:rsidRPr="0021469F" w:rsidRDefault="0021469F" w:rsidP="0021469F">
      <w:pPr>
        <w:spacing w:before="240"/>
        <w:jc w:val="both"/>
        <w:rPr>
          <w:lang w:val="en-US"/>
        </w:rPr>
      </w:pPr>
      <w:r w:rsidRPr="0021469F">
        <w:rPr>
          <w:lang w:val="en-US"/>
        </w:rPr>
        <w:t>Në vijim të zhvillimit të tregut, të nevojës për modernizimin e kuadrit rregullator dhe të procesit të përafrimit me acquis të Bashkimit Evropian, në vitin 2023 u miratua ligji nr. 76/2023, datë 21.9.2023, “Për fondet e pensionit privat”. Me hyrjen në fuqi të këtij ligji u shfuqizua ligji nr. 10 197, datë 10.12.2009, “Për fondet e pensionit vullnetar”.</w:t>
      </w:r>
    </w:p>
    <w:p w14:paraId="50CD06ED" w14:textId="77777777" w:rsidR="0021469F" w:rsidRPr="0021469F" w:rsidRDefault="0021469F" w:rsidP="0021469F">
      <w:pPr>
        <w:spacing w:before="240"/>
        <w:jc w:val="both"/>
        <w:rPr>
          <w:lang w:val="en-US"/>
        </w:rPr>
      </w:pPr>
      <w:r w:rsidRPr="0021469F">
        <w:rPr>
          <w:lang w:val="en-US"/>
        </w:rPr>
        <w:t>Ligji nr. 76/2023 përbën kuadrin ligjor bazë në fuqi për krijimin, licencimin, administrimin, funksionimin dhe mbikëqyrjen e fondeve të pensionit privat në Republikën e Shqipërisë. Ai rregullon fondet e pensionit privat me pjesëmarrje të hapur dhe me pjesëmarrje të mbyllur, veprimtarinë e shoqërive administruese dhe të depozitarëve, administrimin dhe ruajtjen e aktiveve, kërkesat për qeverisjen dhe administrimin e rrezikut, si dhe mekanizmat për mbrojtjen dhe informimin e anëtarëve.</w:t>
      </w:r>
    </w:p>
    <w:p w14:paraId="648FA483" w14:textId="77777777" w:rsidR="0021469F" w:rsidRPr="0021469F" w:rsidRDefault="0021469F" w:rsidP="0021469F">
      <w:pPr>
        <w:spacing w:before="240"/>
        <w:jc w:val="both"/>
        <w:rPr>
          <w:lang w:val="en-US"/>
        </w:rPr>
      </w:pPr>
      <w:r w:rsidRPr="0021469F">
        <w:rPr>
          <w:lang w:val="en-US"/>
        </w:rPr>
        <w:t>Ligji nr. 76/2023 parashikoi një periudhë 18-mujore për përshtatjen e shoqërive administruese, fondeve të pensionit dhe depozitarëve të licencuar sipas legjislacionit të mëparshëm. Ai parashikoi gjithashtu që dispozitat që lidhen me ushtrimin e veprimtarisë ndërkufitare të zbatohen nga data e anëtarësimit të Republikës së Shqipërisë në Bashkimin Evropian.</w:t>
      </w:r>
    </w:p>
    <w:p w14:paraId="75A71D70" w14:textId="77777777" w:rsidR="0021469F" w:rsidRPr="0021469F" w:rsidRDefault="0021469F" w:rsidP="0021469F">
      <w:pPr>
        <w:spacing w:before="240"/>
        <w:jc w:val="both"/>
        <w:rPr>
          <w:lang w:val="en-US"/>
        </w:rPr>
      </w:pPr>
      <w:r w:rsidRPr="0021469F">
        <w:rPr>
          <w:lang w:val="en-US"/>
        </w:rPr>
        <w:t>Në nivel të Bashkimit Evropian, kuadri fillestar për institucionet e pensionit profesional u vendos me Direktivën 2003/41/KE të Parlamentit Evropian dhe të Këshillit, datë 3 qershor 2003, “Për veprimtaritë dhe mbikëqyrjen e institucioneve të pensionit profesional”, e njohur si Direktiva IORP I. Kjo direktivë përbënte hapin e parë drejt krijimit të një tregu të brendshëm për pensionet profesionale dhe vendosjes së standardeve të përbashkëta prudenciale dhe mbikëqyrëse.</w:t>
      </w:r>
    </w:p>
    <w:p w14:paraId="27214873" w14:textId="77777777" w:rsidR="0021469F" w:rsidRPr="0021469F" w:rsidRDefault="0021469F" w:rsidP="0021469F">
      <w:pPr>
        <w:spacing w:before="240"/>
        <w:jc w:val="both"/>
        <w:rPr>
          <w:lang w:val="en-US"/>
        </w:rPr>
      </w:pPr>
      <w:r w:rsidRPr="0021469F">
        <w:rPr>
          <w:lang w:val="en-US"/>
        </w:rPr>
        <w:t>Zhvillimet në tregjet e pensioneve profesionale, rritja e rëndësisë së qeverisjes dhe administrimit të rrezikut, si dhe nevoja për mbrojtje dhe informim më të mirë të anëtarëve dhe përfituesve, sollën rishikimin e këtij kuadri. Për këtë qëllim u miratua Direktiva (BE) 2016/2341 e Parlamentit Evropian dhe e Këshillit, datë 14 dhjetor 2016, “Për veprimtaritë dhe mbikëqyrjen e institucioneve të pensionit profesional”, e njohur si Direktiva IORP II. Kjo direktivë riformuloi dhe zëvendësoi Direktivën 2003/41/KE.</w:t>
      </w:r>
    </w:p>
    <w:p w14:paraId="42E539DF" w14:textId="77777777" w:rsidR="0021469F" w:rsidRPr="0021469F" w:rsidRDefault="0021469F" w:rsidP="0021469F">
      <w:pPr>
        <w:spacing w:before="240"/>
        <w:jc w:val="both"/>
        <w:rPr>
          <w:lang w:val="en-US"/>
        </w:rPr>
      </w:pPr>
      <w:r w:rsidRPr="0021469F">
        <w:rPr>
          <w:lang w:val="en-US"/>
        </w:rPr>
        <w:t>Direktiva IORP II synon të sigurojë qeverisje të shëndoshë, administrim efektiv të rrezikut, transparencë dhe siguri më të lartë në ofrimin e pensioneve profesionale. Ajo vendos kërkesa të përforcuara për sistemin e qeverisjes, funksionet kryesore, vlerësimin e brendshëm të rrezikut, politikat e shpërblimit, administrimin e investimeve, informimin e anëtarëve dhe përfituesve, mbikëqyrjen me qasje perspektive dhe me bazë rreziku, si dhe për ushtrimin e veprimtarisë dhe transferimin e skemave të pensionit në nivel ndërkufitar.</w:t>
      </w:r>
    </w:p>
    <w:p w14:paraId="6EE9EE89" w14:textId="590BC232" w:rsidR="0021469F" w:rsidRPr="0021469F" w:rsidRDefault="0021469F" w:rsidP="0021469F">
      <w:pPr>
        <w:spacing w:before="240"/>
        <w:jc w:val="both"/>
        <w:rPr>
          <w:lang w:val="en-US"/>
        </w:rPr>
      </w:pPr>
      <w:r w:rsidRPr="0021469F">
        <w:rPr>
          <w:lang w:val="en-US"/>
        </w:rPr>
        <w:t xml:space="preserve">Gjatë reformimit të kuadrit ligjor në vitin 2023, një pjesë e kërkesave të Direktivës IORP II u </w:t>
      </w:r>
      <w:r w:rsidR="00FC2E92">
        <w:rPr>
          <w:lang w:val="en-US"/>
        </w:rPr>
        <w:t>transpozua edhe</w:t>
      </w:r>
      <w:r w:rsidRPr="0021469F">
        <w:rPr>
          <w:lang w:val="en-US"/>
        </w:rPr>
        <w:t xml:space="preserve"> në legjislacionin shqiptar. Në veçanti, ligji nr. 76/2023 përmban rregulla për përdorimin e depozitarit dhe veçimin e aktiveve të anëtarëve, qeverisjen e shoqërive administruese, administrimin e rrezikut, kontrollin e brendshëm, kufizimin dhe mbikëqyrjen e funksioneve të deleguara, informimin e anëtarëve dhe disa elemente të veprimtarisë ndërkufitare.</w:t>
      </w:r>
    </w:p>
    <w:p w14:paraId="1F70E566" w14:textId="77777777" w:rsidR="0021469F" w:rsidRPr="0021469F" w:rsidRDefault="0021469F" w:rsidP="0021469F">
      <w:pPr>
        <w:spacing w:before="240"/>
        <w:jc w:val="both"/>
        <w:rPr>
          <w:lang w:val="en-US"/>
        </w:rPr>
      </w:pPr>
      <w:r w:rsidRPr="0021469F">
        <w:rPr>
          <w:lang w:val="en-US"/>
        </w:rPr>
        <w:t>Kuadri mbikëqyrës është zhvilluar gjithashtu në drejtim të një qasjeje me bazë rreziku. Në këtë proces, Autoriteti i Mbikëqyrjes Financiare ka përfituar mbështetje teknike nga Banka Botërore, përfshirë mbështetjen e dhënë pas rekomandimeve të Programit të Vlerësimit të Sektorit Financiar të vitit 2014. Këto zhvillime kanë ndihmuar në forcimin e mbikëqyrjes së qeverisjes, administrimit të rrezikut dhe veprimtarisë së subjekteve të tregut.</w:t>
      </w:r>
    </w:p>
    <w:p w14:paraId="491D359F" w14:textId="77777777" w:rsidR="0021469F" w:rsidRPr="0021469F" w:rsidRDefault="0021469F" w:rsidP="0021469F">
      <w:pPr>
        <w:spacing w:before="240"/>
        <w:jc w:val="both"/>
        <w:rPr>
          <w:lang w:val="en-US"/>
        </w:rPr>
      </w:pPr>
      <w:r w:rsidRPr="0021469F">
        <w:rPr>
          <w:lang w:val="en-US"/>
        </w:rPr>
        <w:t>Megjithatë, ligji nr. 76/2023 e përafron vetëm pjesërisht legjislacionin shqiptar me Direktivën IORP II. Në kuadër të procesit të anëtarësimit në Bashkimin Evropian dhe të detyrimit për përafrimin e plotë të legjislacionit në fushën e shërbimeve financiare, u vlerësua e nevojshme kryerja e një analize të plotë krahasuese ndërmjet ligjit në fuqi dhe dispozitave të Direktivës IORP II.</w:t>
      </w:r>
    </w:p>
    <w:p w14:paraId="009EFE1D" w14:textId="77777777" w:rsidR="0021469F" w:rsidRPr="0021469F" w:rsidRDefault="0021469F" w:rsidP="0021469F">
      <w:pPr>
        <w:spacing w:before="240"/>
        <w:jc w:val="both"/>
        <w:rPr>
          <w:lang w:val="en-US"/>
        </w:rPr>
      </w:pPr>
      <w:r w:rsidRPr="0021469F">
        <w:rPr>
          <w:lang w:val="en-US"/>
        </w:rPr>
        <w:t>Për këtë qëllim, Autoriteti i Mbikëqyrjes Financiare, me mbështetjen teknike të Bankës Botërore në kuadër të Projektit të Zhvillimit Rregullator Financiar të Shqipërisë, kreu analizën e përputhshmërisë së dispozitave të ligjit nr. 76/2023 me Direktivën IORP II. Nëpërmjet tabelës së përputhshmërisë u identifikuan dispozitat e transpozuara, dispozitat e transpozuara pjesërisht dhe kërkesat e direktivës që nuk ishin pasqyruar ende në legjislacionin shqiptar.</w:t>
      </w:r>
    </w:p>
    <w:p w14:paraId="6E8760D8" w14:textId="77777777" w:rsidR="0021469F" w:rsidRPr="0021469F" w:rsidRDefault="0021469F" w:rsidP="0021469F">
      <w:pPr>
        <w:spacing w:before="240"/>
        <w:jc w:val="both"/>
        <w:rPr>
          <w:lang w:val="en-US"/>
        </w:rPr>
      </w:pPr>
      <w:r w:rsidRPr="0021469F">
        <w:rPr>
          <w:lang w:val="en-US"/>
        </w:rPr>
        <w:t>Analiza u shoqërua me shqyrtimin e praktikave dhe të legjislacionit të shteteve anëtare të Bashkimit Evropian me sisteme të ndryshme të pensioneve profesionale. Në përfundim të këtij procesi u vlerësua se përafrimi i plotë me Direktivën IORP II mund të realizohet në mënyrë më të përshtatshme nëpërmjet shtesave dhe ndryshimeve në ligjin nr. 76/2023, duke ruajtur strukturën e kuadrit ligjor ekzistues dhe duke kufizuar ndërhyrjen në ato fusha ku janë identifikuar mangësi ose mospërputhje.</w:t>
      </w:r>
    </w:p>
    <w:p w14:paraId="2CCDFEBB" w14:textId="77777777" w:rsidR="00447441" w:rsidRPr="00EA160A" w:rsidRDefault="00447441" w:rsidP="00447441">
      <w:pPr>
        <w:spacing w:before="240"/>
        <w:rPr>
          <w:lang w:val="sq-AL"/>
        </w:rPr>
      </w:pPr>
    </w:p>
    <w:p w14:paraId="24FAA151" w14:textId="0818ECBE" w:rsidR="001226EB" w:rsidRPr="007A737A" w:rsidRDefault="004F6C9E">
      <w:pPr>
        <w:pStyle w:val="Heading1"/>
        <w:spacing w:line="276" w:lineRule="auto"/>
        <w:rPr>
          <w:rFonts w:ascii="Times New Roman" w:eastAsia="Times New Roman" w:hAnsi="Times New Roman" w:cs="Times New Roman"/>
          <w:sz w:val="24"/>
          <w:szCs w:val="24"/>
          <w:lang w:val="sq-AL"/>
        </w:rPr>
      </w:pPr>
      <w:r w:rsidRPr="007A737A">
        <w:rPr>
          <w:rFonts w:ascii="Times New Roman" w:eastAsia="Times New Roman" w:hAnsi="Times New Roman" w:cs="Times New Roman"/>
          <w:sz w:val="24"/>
          <w:szCs w:val="24"/>
          <w:lang w:val="sq-AL"/>
        </w:rPr>
        <w:t>Problemi në shqyrtim</w:t>
      </w:r>
    </w:p>
    <w:p w14:paraId="3E0B5759" w14:textId="77777777" w:rsidR="001226EB" w:rsidRPr="007A737A" w:rsidRDefault="004F6C9E" w:rsidP="008E4E22">
      <w:pPr>
        <w:numPr>
          <w:ilvl w:val="0"/>
          <w:numId w:val="10"/>
        </w:numPr>
        <w:pBdr>
          <w:top w:val="nil"/>
          <w:left w:val="nil"/>
          <w:bottom w:val="nil"/>
          <w:right w:val="nil"/>
          <w:between w:val="nil"/>
        </w:pBdr>
        <w:tabs>
          <w:tab w:val="left" w:pos="567"/>
        </w:tabs>
        <w:spacing w:line="276" w:lineRule="auto"/>
        <w:jc w:val="both"/>
        <w:rPr>
          <w:i/>
          <w:iCs/>
          <w:color w:val="000000"/>
          <w:lang w:val="sq-AL"/>
        </w:rPr>
      </w:pPr>
      <w:bookmarkStart w:id="3" w:name="_heading=h.9v4bvdpvdhpw" w:colFirst="0" w:colLast="0"/>
      <w:bookmarkEnd w:id="3"/>
      <w:r w:rsidRPr="007A737A">
        <w:rPr>
          <w:i/>
          <w:iCs/>
          <w:color w:val="000000"/>
          <w:lang w:val="sq-AL"/>
        </w:rPr>
        <w:t>Përshkruani natyrën e problemit.</w:t>
      </w:r>
    </w:p>
    <w:p w14:paraId="5422D0A4" w14:textId="77777777" w:rsidR="001226EB" w:rsidRPr="007A737A" w:rsidRDefault="004F6C9E" w:rsidP="008E4E22">
      <w:pPr>
        <w:numPr>
          <w:ilvl w:val="0"/>
          <w:numId w:val="10"/>
        </w:numPr>
        <w:pBdr>
          <w:top w:val="nil"/>
          <w:left w:val="nil"/>
          <w:bottom w:val="nil"/>
          <w:right w:val="nil"/>
          <w:between w:val="nil"/>
        </w:pBdr>
        <w:tabs>
          <w:tab w:val="left" w:pos="567"/>
        </w:tabs>
        <w:spacing w:line="276" w:lineRule="auto"/>
        <w:jc w:val="both"/>
        <w:rPr>
          <w:i/>
          <w:iCs/>
          <w:color w:val="000000"/>
          <w:lang w:val="sq-AL"/>
        </w:rPr>
      </w:pPr>
      <w:r w:rsidRPr="007A737A">
        <w:rPr>
          <w:i/>
          <w:iCs/>
          <w:color w:val="000000"/>
          <w:lang w:val="sq-AL"/>
        </w:rPr>
        <w:t>Identifikoni shkaqet e problemit.</w:t>
      </w:r>
    </w:p>
    <w:p w14:paraId="56AAFF37" w14:textId="77777777" w:rsidR="001226EB" w:rsidRPr="007A737A" w:rsidRDefault="004F6C9E" w:rsidP="008E4E22">
      <w:pPr>
        <w:numPr>
          <w:ilvl w:val="0"/>
          <w:numId w:val="10"/>
        </w:numPr>
        <w:pBdr>
          <w:top w:val="nil"/>
          <w:left w:val="nil"/>
          <w:bottom w:val="nil"/>
          <w:right w:val="nil"/>
          <w:between w:val="nil"/>
        </w:pBdr>
        <w:tabs>
          <w:tab w:val="left" w:pos="567"/>
        </w:tabs>
        <w:spacing w:line="276" w:lineRule="auto"/>
        <w:jc w:val="both"/>
        <w:rPr>
          <w:i/>
          <w:iCs/>
          <w:color w:val="000000"/>
          <w:lang w:val="sq-AL"/>
        </w:rPr>
      </w:pPr>
      <w:r w:rsidRPr="007A737A">
        <w:rPr>
          <w:i/>
          <w:iCs/>
          <w:color w:val="000000"/>
          <w:lang w:val="sq-AL"/>
        </w:rPr>
        <w:t>Përshkruani shtrirjen e problemit.</w:t>
      </w:r>
    </w:p>
    <w:p w14:paraId="790DC070" w14:textId="77777777" w:rsidR="001226EB" w:rsidRPr="00E43F62" w:rsidRDefault="004F6C9E" w:rsidP="008E4E22">
      <w:pPr>
        <w:numPr>
          <w:ilvl w:val="0"/>
          <w:numId w:val="10"/>
        </w:numPr>
        <w:pBdr>
          <w:top w:val="nil"/>
          <w:left w:val="nil"/>
          <w:bottom w:val="nil"/>
          <w:right w:val="nil"/>
          <w:between w:val="nil"/>
        </w:pBdr>
        <w:tabs>
          <w:tab w:val="left" w:pos="567"/>
        </w:tabs>
        <w:spacing w:line="276" w:lineRule="auto"/>
        <w:jc w:val="both"/>
        <w:rPr>
          <w:i/>
          <w:color w:val="000000"/>
          <w:lang w:val="sq-AL"/>
        </w:rPr>
      </w:pPr>
      <w:r w:rsidRPr="00E43F62">
        <w:rPr>
          <w:i/>
          <w:color w:val="000000"/>
          <w:lang w:val="sq-AL"/>
        </w:rPr>
        <w:t>Identifikoni grupet e prekura nga ky problem - qeveria / biznesi / shoqëria civile / qytetarët.</w:t>
      </w:r>
    </w:p>
    <w:p w14:paraId="1F9C7244" w14:textId="77777777" w:rsidR="001226EB" w:rsidRPr="00E43F62" w:rsidRDefault="004F6C9E" w:rsidP="008E4E22">
      <w:pPr>
        <w:numPr>
          <w:ilvl w:val="0"/>
          <w:numId w:val="10"/>
        </w:numPr>
        <w:pBdr>
          <w:top w:val="nil"/>
          <w:left w:val="nil"/>
          <w:bottom w:val="nil"/>
          <w:right w:val="nil"/>
          <w:between w:val="nil"/>
        </w:pBdr>
        <w:tabs>
          <w:tab w:val="left" w:pos="567"/>
        </w:tabs>
        <w:spacing w:line="276" w:lineRule="auto"/>
        <w:jc w:val="both"/>
        <w:rPr>
          <w:i/>
          <w:color w:val="000000"/>
          <w:lang w:val="sq-AL"/>
        </w:rPr>
      </w:pPr>
      <w:r w:rsidRPr="00E43F62">
        <w:rPr>
          <w:i/>
          <w:color w:val="000000"/>
          <w:lang w:val="sq-AL"/>
        </w:rPr>
        <w:t>Vlerësoni nëse problemi mund të trajtohet ose jo përmes një ndryshimi të politikave.</w:t>
      </w:r>
    </w:p>
    <w:p w14:paraId="24365CE8" w14:textId="77777777" w:rsidR="001D1C49" w:rsidRPr="001D1C49" w:rsidRDefault="001D1C49" w:rsidP="001D1C49">
      <w:pPr>
        <w:spacing w:before="240"/>
        <w:rPr>
          <w:b/>
          <w:bCs/>
          <w:lang w:val="en-US"/>
        </w:rPr>
      </w:pPr>
      <w:r w:rsidRPr="001D1C49">
        <w:rPr>
          <w:b/>
          <w:bCs/>
          <w:lang w:val="en-US"/>
        </w:rPr>
        <w:t>PROBLEMI NË SHQYRTIM</w:t>
      </w:r>
    </w:p>
    <w:p w14:paraId="5496E9E6" w14:textId="4C9EA9B6" w:rsidR="001D1C49" w:rsidRPr="001D1C49" w:rsidRDefault="001D1C49" w:rsidP="001D1C49">
      <w:pPr>
        <w:spacing w:before="240"/>
        <w:rPr>
          <w:i/>
          <w:iCs/>
          <w:lang w:val="en-US"/>
        </w:rPr>
      </w:pPr>
      <w:r w:rsidRPr="001D1C49">
        <w:rPr>
          <w:i/>
          <w:iCs/>
          <w:lang w:val="en-US"/>
        </w:rPr>
        <w:t xml:space="preserve">Konteksti </w:t>
      </w:r>
    </w:p>
    <w:p w14:paraId="3C98108B" w14:textId="77777777" w:rsidR="001D1C49" w:rsidRPr="001D1C49" w:rsidRDefault="001D1C49" w:rsidP="001D1C49">
      <w:pPr>
        <w:spacing w:before="240"/>
        <w:jc w:val="both"/>
        <w:rPr>
          <w:lang w:val="en-US"/>
        </w:rPr>
      </w:pPr>
      <w:r w:rsidRPr="001D1C49">
        <w:rPr>
          <w:lang w:val="en-US"/>
        </w:rPr>
        <w:t>Në muajin prill 2025, Shqipëria hapi zyrtarisht Grupkapitullin 2 “Tregu i Brendshëm”, një nga grupimet tematike të kapitujve negociues në procesin e anëtarësimit në Bashkimin Evropian. Ky grupkapitull përfshin kapitujt që lidhen me funksionimin e tregut të brendshëm të Bashkimit Evropian, ndër të cilët edhe Kapitullin 9, “Shërbimet financiare”, për të cilin Autoriteti i Mbikëqyrjes Financiare është institucioni përgjegjës për drejtimin e procesit të negociatave në fushat që mbulon.</w:t>
      </w:r>
    </w:p>
    <w:p w14:paraId="30BF853B" w14:textId="656FC81B" w:rsidR="001D1C49" w:rsidRPr="001D1C49" w:rsidRDefault="001D1C49" w:rsidP="001D1C49">
      <w:pPr>
        <w:spacing w:before="240"/>
        <w:jc w:val="both"/>
        <w:rPr>
          <w:lang w:val="en-US"/>
        </w:rPr>
      </w:pPr>
      <w:r w:rsidRPr="001D1C49">
        <w:rPr>
          <w:lang w:val="en-US"/>
        </w:rPr>
        <w:t>Ndër piketat mbyllëse të Grupkapitullit 2</w:t>
      </w:r>
      <w:r w:rsidR="005D2212">
        <w:rPr>
          <w:lang w:val="en-US"/>
        </w:rPr>
        <w:t xml:space="preserve">, </w:t>
      </w:r>
      <w:r w:rsidRPr="001D1C49">
        <w:rPr>
          <w:lang w:val="en-US"/>
        </w:rPr>
        <w:t xml:space="preserve"> parashikohet edhe përafrimi i plotë i legjislacionit shqiptar me acquis të Bashkimit Evropian në fushën e pensioneve private dhe profesionale. Për rrjedhojë, transpozimi i plotë i Direktivës (BE) 2016/2341 të Parlamentit Evropian dhe të Këshillit, datë 14 dhjetor 2016, “Për veprimtaritë dhe mbikëqyrjen e institucioneve të pensionit profesional”, e njohur si Direktiva IORP II, përbën një nga detyrimet që duhet të përmbushen në kuadër të procesit të anëtarësimit.</w:t>
      </w:r>
    </w:p>
    <w:p w14:paraId="3E66EF04" w14:textId="77777777" w:rsidR="001D1C49" w:rsidRPr="001D1C49" w:rsidRDefault="001D1C49" w:rsidP="001D1C49">
      <w:pPr>
        <w:spacing w:before="240"/>
        <w:jc w:val="both"/>
        <w:rPr>
          <w:lang w:val="en-US"/>
        </w:rPr>
      </w:pPr>
      <w:r w:rsidRPr="001D1C49">
        <w:rPr>
          <w:lang w:val="en-US"/>
        </w:rPr>
        <w:t>Ky proces nuk kufizohet vetëm në përmbushjen formale të një detyrimi për përafrimin e legjislacionit. Transpozimi i Direktivës IORP II synon njëkohësisht forcimin e kuadrit kombëtar për qeverisjen, administrimin e rrezikut, transparencën, informimin e anëtarëve dhe përfituesve, si dhe mbikëqyrjen e tregut të fondeve të pensionit privat. Në këtë kuptim, procesi i integrimit evropian shërben edhe si nxitës për modernizimin e mëtejshëm të sistemit vendas të pensioneve private dhe për rritjen e qëndrueshmërisë dhe besueshmërisë së tij.</w:t>
      </w:r>
    </w:p>
    <w:p w14:paraId="0DEC4A57" w14:textId="77777777" w:rsidR="001D1C49" w:rsidRPr="001D1C49" w:rsidRDefault="001D1C49" w:rsidP="001D1C49">
      <w:pPr>
        <w:spacing w:before="240"/>
        <w:rPr>
          <w:i/>
          <w:iCs/>
          <w:lang w:val="en-US"/>
        </w:rPr>
      </w:pPr>
      <w:r w:rsidRPr="001D1C49">
        <w:rPr>
          <w:i/>
          <w:iCs/>
          <w:lang w:val="en-US"/>
        </w:rPr>
        <w:t>Natyra e problemit</w:t>
      </w:r>
    </w:p>
    <w:p w14:paraId="3CECB5EF" w14:textId="6639698C" w:rsidR="001D1C49" w:rsidRPr="001D1C49" w:rsidRDefault="001D1C49" w:rsidP="00DF2D58">
      <w:pPr>
        <w:spacing w:before="240"/>
        <w:jc w:val="both"/>
        <w:rPr>
          <w:lang w:val="en-US"/>
        </w:rPr>
      </w:pPr>
      <w:r w:rsidRPr="001D1C49">
        <w:rPr>
          <w:lang w:val="en-US"/>
        </w:rPr>
        <w:t xml:space="preserve">Problemi në shqyrtim lidhet me faktin se kuadri ligjor në fuqi për fondet e pensionit privat, megjithëse është reformuar në mënyrë të konsiderueshme </w:t>
      </w:r>
      <w:r w:rsidR="005D2212">
        <w:rPr>
          <w:lang w:val="en-US"/>
        </w:rPr>
        <w:t>për</w:t>
      </w:r>
      <w:r w:rsidRPr="001D1C49">
        <w:rPr>
          <w:lang w:val="en-US"/>
        </w:rPr>
        <w:t>me</w:t>
      </w:r>
      <w:r w:rsidR="005D2212">
        <w:rPr>
          <w:lang w:val="en-US"/>
        </w:rPr>
        <w:t>s</w:t>
      </w:r>
      <w:r w:rsidRPr="001D1C49">
        <w:rPr>
          <w:lang w:val="en-US"/>
        </w:rPr>
        <w:t xml:space="preserve"> miratimi</w:t>
      </w:r>
      <w:r w:rsidR="005D2212">
        <w:rPr>
          <w:lang w:val="en-US"/>
        </w:rPr>
        <w:t>t të</w:t>
      </w:r>
      <w:r w:rsidRPr="001D1C49">
        <w:rPr>
          <w:lang w:val="en-US"/>
        </w:rPr>
        <w:t xml:space="preserve"> ligjit nr. 76/2023, datë 21.9.2023, “Për fondet e pensionit privat”, nuk përmban ende një rregullim plotë</w:t>
      </w:r>
      <w:r w:rsidR="005D2212">
        <w:rPr>
          <w:lang w:val="en-US"/>
        </w:rPr>
        <w:t>sisht</w:t>
      </w:r>
      <w:r w:rsidRPr="001D1C49">
        <w:rPr>
          <w:lang w:val="en-US"/>
        </w:rPr>
        <w:t xml:space="preserve"> të harmonizuar të të gjitha elementeve të veprimtarisë dhe mbikëqyrjes së institucioneve të pensionit profesional, </w:t>
      </w:r>
      <w:r w:rsidR="005D2212">
        <w:rPr>
          <w:lang w:val="en-US"/>
        </w:rPr>
        <w:t>me</w:t>
      </w:r>
      <w:r w:rsidRPr="001D1C49">
        <w:rPr>
          <w:lang w:val="en-US"/>
        </w:rPr>
        <w:t xml:space="preserve"> kërkesa</w:t>
      </w:r>
      <w:r w:rsidR="005D2212">
        <w:rPr>
          <w:lang w:val="en-US"/>
        </w:rPr>
        <w:t>t e</w:t>
      </w:r>
      <w:r w:rsidRPr="001D1C49">
        <w:rPr>
          <w:lang w:val="en-US"/>
        </w:rPr>
        <w:t xml:space="preserve"> Direktivës IORP II.</w:t>
      </w:r>
    </w:p>
    <w:p w14:paraId="600C72DB" w14:textId="77777777" w:rsidR="001D1C49" w:rsidRPr="001D1C49" w:rsidRDefault="001D1C49" w:rsidP="00DF2D58">
      <w:pPr>
        <w:spacing w:before="240"/>
        <w:jc w:val="both"/>
        <w:rPr>
          <w:lang w:val="en-US"/>
        </w:rPr>
      </w:pPr>
      <w:r w:rsidRPr="001D1C49">
        <w:rPr>
          <w:lang w:val="en-US"/>
        </w:rPr>
        <w:t>Ligji nr. 76/2023 ka vendosur kërkesa të rëndësishme për licencimin dhe veprimtarinë e shoqërive administruese, krijimin dhe administrimin e fondeve të pensionit privat, ruajtjen e aktiveve, investimet, qeverisjen, administrimin e rrezikut, informimin e anëtarëve dhe mbikëqyrjen e tregut. Për rrjedhojë, problemi nuk qëndron në mungesën e një kuadri rregullator ose të mekanizmave bazë të mbrojtjes. Problemi lidhet me faktin se disa elemente të kuadrit ekzistues janë ende të paplota, nuk janë të ndërlidhura në mënyrë të mjaftueshme ose nuk pasqyrojnë tërësisht standardet e Direktivës IORP II. Vetë ligji në fuqi përcakton se ai e përafron vetëm pjesërisht këtë direktivë.</w:t>
      </w:r>
    </w:p>
    <w:p w14:paraId="589F1E03" w14:textId="77777777" w:rsidR="001D1C49" w:rsidRPr="001D1C49" w:rsidRDefault="001D1C49" w:rsidP="00DF2D58">
      <w:pPr>
        <w:spacing w:before="240"/>
        <w:jc w:val="both"/>
        <w:rPr>
          <w:lang w:val="en-US"/>
        </w:rPr>
      </w:pPr>
      <w:r w:rsidRPr="001D1C49">
        <w:rPr>
          <w:lang w:val="en-US"/>
        </w:rPr>
        <w:t>Analiza krahasuese e ligjit nr. 76/2023 me Direktivën IORP II ka evidentuar boshllëqe ose nevojë për plotësim, veçanërisht në këto fusha:</w:t>
      </w:r>
    </w:p>
    <w:p w14:paraId="6B4F4CDA" w14:textId="77777777" w:rsidR="001D1C49" w:rsidRPr="001D1C49" w:rsidRDefault="001D1C49" w:rsidP="008E4E22">
      <w:pPr>
        <w:numPr>
          <w:ilvl w:val="0"/>
          <w:numId w:val="17"/>
        </w:numPr>
        <w:spacing w:before="240"/>
        <w:jc w:val="both"/>
        <w:rPr>
          <w:lang w:val="en-US"/>
        </w:rPr>
      </w:pPr>
      <w:r w:rsidRPr="001D1C49">
        <w:rPr>
          <w:lang w:val="en-US"/>
        </w:rPr>
        <w:t>objekti, fusha e zbatimit dhe përjashtimet nga zbatimi i ligjit;</w:t>
      </w:r>
    </w:p>
    <w:p w14:paraId="5C443962" w14:textId="77777777" w:rsidR="001D1C49" w:rsidRPr="001D1C49" w:rsidRDefault="001D1C49" w:rsidP="008E4E22">
      <w:pPr>
        <w:numPr>
          <w:ilvl w:val="0"/>
          <w:numId w:val="17"/>
        </w:numPr>
        <w:spacing w:before="240"/>
        <w:jc w:val="both"/>
        <w:rPr>
          <w:lang w:val="en-US"/>
        </w:rPr>
      </w:pPr>
      <w:r w:rsidRPr="001D1C49">
        <w:rPr>
          <w:lang w:val="en-US"/>
        </w:rPr>
        <w:t>plotësimi dhe saktësimi i përkufizimeve të nevojshme për zbatimin e njëtrajtshëm të tij;</w:t>
      </w:r>
    </w:p>
    <w:p w14:paraId="405A5DE9" w14:textId="77777777" w:rsidR="001D1C49" w:rsidRPr="001D1C49" w:rsidRDefault="001D1C49" w:rsidP="008E4E22">
      <w:pPr>
        <w:numPr>
          <w:ilvl w:val="0"/>
          <w:numId w:val="17"/>
        </w:numPr>
        <w:spacing w:before="240"/>
        <w:jc w:val="both"/>
        <w:rPr>
          <w:lang w:val="en-US"/>
        </w:rPr>
      </w:pPr>
      <w:r w:rsidRPr="001D1C49">
        <w:rPr>
          <w:lang w:val="en-US"/>
        </w:rPr>
        <w:t>sistemi i qeverisjes dhe ndarja e përgjegjësive ndërmjet organit drejtues, administratorëve dhe personave që ushtrojnë funksione kryesore;</w:t>
      </w:r>
    </w:p>
    <w:p w14:paraId="65D19067" w14:textId="77777777" w:rsidR="001D1C49" w:rsidRPr="001D1C49" w:rsidRDefault="001D1C49" w:rsidP="008E4E22">
      <w:pPr>
        <w:numPr>
          <w:ilvl w:val="0"/>
          <w:numId w:val="17"/>
        </w:numPr>
        <w:spacing w:before="240"/>
        <w:jc w:val="both"/>
        <w:rPr>
          <w:lang w:val="en-US"/>
        </w:rPr>
      </w:pPr>
      <w:r w:rsidRPr="001D1C49">
        <w:rPr>
          <w:lang w:val="en-US"/>
        </w:rPr>
        <w:t>kërkesat për aftësinë, përshtatshmërinë, pavarësinë dhe përgjegjshmërinë e personave që ushtrojnë funksionin e administrimit të rrezikut, funksionin e auditimit të brendshëm dhe funksionin aktuarial, në rastet kur është i zbatueshëm;</w:t>
      </w:r>
    </w:p>
    <w:p w14:paraId="339DBAAD" w14:textId="77777777" w:rsidR="001D1C49" w:rsidRPr="001D1C49" w:rsidRDefault="001D1C49" w:rsidP="008E4E22">
      <w:pPr>
        <w:numPr>
          <w:ilvl w:val="0"/>
          <w:numId w:val="17"/>
        </w:numPr>
        <w:spacing w:before="240"/>
        <w:jc w:val="both"/>
        <w:rPr>
          <w:lang w:val="en-US"/>
        </w:rPr>
      </w:pPr>
      <w:r w:rsidRPr="001D1C49">
        <w:rPr>
          <w:lang w:val="en-US"/>
        </w:rPr>
        <w:t>vlerësimi i brendshëm i rreziqeve, përfshirë rreziqet financiare, operacionale dhe biometrike, si dhe faktorët mjedisorë, socialë dhe të qeverisjes;</w:t>
      </w:r>
    </w:p>
    <w:p w14:paraId="450F50F8" w14:textId="77777777" w:rsidR="001D1C49" w:rsidRPr="001D1C49" w:rsidRDefault="001D1C49" w:rsidP="008E4E22">
      <w:pPr>
        <w:numPr>
          <w:ilvl w:val="0"/>
          <w:numId w:val="17"/>
        </w:numPr>
        <w:spacing w:before="240"/>
        <w:jc w:val="both"/>
        <w:rPr>
          <w:lang w:val="en-US"/>
        </w:rPr>
      </w:pPr>
      <w:r w:rsidRPr="001D1C49">
        <w:rPr>
          <w:lang w:val="en-US"/>
        </w:rPr>
        <w:t>zbatimi i parimit të personit të kujdesshëm dhe rregullat për administrimin dhe investimin e aktiveve;</w:t>
      </w:r>
    </w:p>
    <w:p w14:paraId="77A216ED" w14:textId="77777777" w:rsidR="001D1C49" w:rsidRPr="001D1C49" w:rsidRDefault="001D1C49" w:rsidP="008E4E22">
      <w:pPr>
        <w:numPr>
          <w:ilvl w:val="0"/>
          <w:numId w:val="17"/>
        </w:numPr>
        <w:spacing w:before="240"/>
        <w:jc w:val="both"/>
        <w:rPr>
          <w:lang w:val="en-US"/>
        </w:rPr>
      </w:pPr>
      <w:r w:rsidRPr="001D1C49">
        <w:rPr>
          <w:lang w:val="en-US"/>
        </w:rPr>
        <w:t>kërkesat për skemat me përfitime të përcaktuara, provigjonet teknike, financimin dhe aftësinë paguese, në rastet e veprimtarisë ndërkufitare;</w:t>
      </w:r>
    </w:p>
    <w:p w14:paraId="20568453" w14:textId="77777777" w:rsidR="001D1C49" w:rsidRPr="001D1C49" w:rsidRDefault="001D1C49" w:rsidP="008E4E22">
      <w:pPr>
        <w:numPr>
          <w:ilvl w:val="0"/>
          <w:numId w:val="17"/>
        </w:numPr>
        <w:spacing w:before="240"/>
        <w:jc w:val="both"/>
        <w:rPr>
          <w:lang w:val="en-US"/>
        </w:rPr>
      </w:pPr>
      <w:r w:rsidRPr="001D1C49">
        <w:rPr>
          <w:lang w:val="en-US"/>
        </w:rPr>
        <w:t>përmbajtja dhe standardizimi i informacionit që u jepet anëtarëve dhe përfituesve, përfshirë dokumentin për gjendjen e llogarisë së përfitimeve të pensionit;</w:t>
      </w:r>
    </w:p>
    <w:p w14:paraId="321F324E" w14:textId="77777777" w:rsidR="001D1C49" w:rsidRPr="001D1C49" w:rsidRDefault="001D1C49" w:rsidP="008E4E22">
      <w:pPr>
        <w:numPr>
          <w:ilvl w:val="0"/>
          <w:numId w:val="17"/>
        </w:numPr>
        <w:spacing w:before="240"/>
        <w:jc w:val="both"/>
        <w:rPr>
          <w:lang w:val="en-US"/>
        </w:rPr>
      </w:pPr>
      <w:r w:rsidRPr="001D1C49">
        <w:rPr>
          <w:lang w:val="en-US"/>
        </w:rPr>
        <w:t>procedurat për veprimtarinë ndërkufitare dhe transferimin ndërkufitar të skemave të pensionit;</w:t>
      </w:r>
    </w:p>
    <w:p w14:paraId="71D99F1E" w14:textId="77777777" w:rsidR="001D1C49" w:rsidRPr="001D1C49" w:rsidRDefault="001D1C49" w:rsidP="008E4E22">
      <w:pPr>
        <w:numPr>
          <w:ilvl w:val="0"/>
          <w:numId w:val="17"/>
        </w:numPr>
        <w:spacing w:before="240"/>
        <w:jc w:val="both"/>
        <w:rPr>
          <w:lang w:val="en-US"/>
        </w:rPr>
      </w:pPr>
      <w:r w:rsidRPr="001D1C49">
        <w:rPr>
          <w:lang w:val="en-US"/>
        </w:rPr>
        <w:t>ruajtja e sekretit profesional, shkëmbimi i informacionit dhe bashkëpunimi me autoritetet mbikëqyrëse të shteteve anëtare;</w:t>
      </w:r>
    </w:p>
    <w:p w14:paraId="44BA385C" w14:textId="77777777" w:rsidR="001D1C49" w:rsidRPr="001D1C49" w:rsidRDefault="001D1C49" w:rsidP="008E4E22">
      <w:pPr>
        <w:numPr>
          <w:ilvl w:val="0"/>
          <w:numId w:val="17"/>
        </w:numPr>
        <w:spacing w:before="240"/>
        <w:jc w:val="both"/>
        <w:rPr>
          <w:lang w:val="en-US"/>
        </w:rPr>
      </w:pPr>
      <w:r w:rsidRPr="001D1C49">
        <w:rPr>
          <w:lang w:val="en-US"/>
        </w:rPr>
        <w:t>forcimi i mbikëqyrjes me qasje perspektive, proporcionale dhe me bazë rreziku.</w:t>
      </w:r>
      <w:r w:rsidRPr="001D1C49">
        <w:rPr>
          <w:lang w:val="en-US"/>
        </w:rPr>
        <w:br/>
        <w:t>Këto mangësi nuk nënkuptojnë se shoqëritë administruese ose fondet e pensionit privat veprojnë pa kërkesa për qeverisjen, kontrollin e brendshëm apo administrimin e rrezikut. Ligji në fuqi dhe aktet nënligjore përmbajnë një pjesë të konsiderueshme të këtyre kërkesave dhe Autoriteti i Mbikëqyrjes Financiare zbaton një metodologji të mbikëqyrjes me bazë rreziku. Megjithatë, kuadri ekzistues nuk siguron ende nivelin e plotësisë, qartësisë dhe koherencës që kërkohet nga Direktiva IORP II.</w:t>
      </w:r>
    </w:p>
    <w:p w14:paraId="37110201" w14:textId="1319C3C3" w:rsidR="001D1C49" w:rsidRPr="001D1C49" w:rsidRDefault="00F47973" w:rsidP="001D1C49">
      <w:pPr>
        <w:spacing w:before="240"/>
        <w:rPr>
          <w:lang w:val="en-US"/>
        </w:rPr>
      </w:pPr>
      <w:r>
        <w:rPr>
          <w:lang w:val="en-US"/>
        </w:rPr>
        <w:t>Nisur nga sa më sipër, n</w:t>
      </w:r>
      <w:r w:rsidR="001D1C49" w:rsidRPr="001D1C49">
        <w:rPr>
          <w:lang w:val="en-US"/>
        </w:rPr>
        <w:t>atyra e problemit është njëkohësisht:</w:t>
      </w:r>
    </w:p>
    <w:p w14:paraId="266885A4" w14:textId="268AB9EE" w:rsidR="001D1C49" w:rsidRPr="001D1C49" w:rsidRDefault="001D1C49" w:rsidP="008E4E22">
      <w:pPr>
        <w:numPr>
          <w:ilvl w:val="0"/>
          <w:numId w:val="18"/>
        </w:numPr>
        <w:spacing w:before="240"/>
        <w:rPr>
          <w:lang w:val="en-US"/>
        </w:rPr>
      </w:pPr>
      <w:r w:rsidRPr="001D1C49">
        <w:rPr>
          <w:b/>
          <w:bCs/>
          <w:lang w:val="en-US"/>
        </w:rPr>
        <w:t>juridike</w:t>
      </w:r>
      <w:r w:rsidR="001B784B">
        <w:rPr>
          <w:b/>
          <w:bCs/>
          <w:lang w:val="en-US"/>
        </w:rPr>
        <w:t xml:space="preserve"> dhe rregullatore</w:t>
      </w:r>
      <w:r w:rsidRPr="001D1C49">
        <w:rPr>
          <w:lang w:val="en-US"/>
        </w:rPr>
        <w:t>, për shkak të përafrimit të pjesshëm dhe mungesës së disa dispozitave të nevojshme për transpozimin e plotë të Direktivës IORP II</w:t>
      </w:r>
      <w:r w:rsidR="001B784B">
        <w:rPr>
          <w:lang w:val="en-US"/>
        </w:rPr>
        <w:t xml:space="preserve">, </w:t>
      </w:r>
      <w:r w:rsidR="001B784B" w:rsidRPr="001B784B">
        <w:rPr>
          <w:lang w:val="en-US"/>
        </w:rPr>
        <w:t>dhe</w:t>
      </w:r>
      <w:r w:rsidRPr="001D1C49">
        <w:rPr>
          <w:lang w:val="en-US"/>
        </w:rPr>
        <w:t xml:space="preserve"> nevojës për të plotësuar dhe qartësuar kërkesat që zbatohen ndaj subjekteve</w:t>
      </w:r>
      <w:r w:rsidR="00F47973" w:rsidRPr="001B784B">
        <w:rPr>
          <w:lang w:val="en-US"/>
        </w:rPr>
        <w:t xml:space="preserve"> të mbikëqyrura</w:t>
      </w:r>
      <w:r w:rsidRPr="001D1C49">
        <w:rPr>
          <w:lang w:val="en-US"/>
        </w:rPr>
        <w:t>;</w:t>
      </w:r>
    </w:p>
    <w:p w14:paraId="12DBAE29" w14:textId="77777777" w:rsidR="001D1C49" w:rsidRPr="001D1C49" w:rsidRDefault="001D1C49" w:rsidP="008E4E22">
      <w:pPr>
        <w:numPr>
          <w:ilvl w:val="0"/>
          <w:numId w:val="18"/>
        </w:numPr>
        <w:spacing w:before="240"/>
        <w:rPr>
          <w:lang w:val="en-US"/>
        </w:rPr>
      </w:pPr>
      <w:r w:rsidRPr="001D1C49">
        <w:rPr>
          <w:b/>
          <w:bCs/>
          <w:lang w:val="en-US"/>
        </w:rPr>
        <w:t>mbikëqyrëse</w:t>
      </w:r>
      <w:r w:rsidRPr="001D1C49">
        <w:rPr>
          <w:lang w:val="en-US"/>
        </w:rPr>
        <w:t>, për shkak të nevojës për një bazë ligjore më të plotë për ushtrimin e mbikëqyrjes perspektive, proporcionale dhe me bazë rreziku;</w:t>
      </w:r>
    </w:p>
    <w:p w14:paraId="10B51C9C" w14:textId="77777777" w:rsidR="001D1C49" w:rsidRPr="001D1C49" w:rsidRDefault="001D1C49" w:rsidP="008E4E22">
      <w:pPr>
        <w:numPr>
          <w:ilvl w:val="0"/>
          <w:numId w:val="18"/>
        </w:numPr>
        <w:spacing w:before="240"/>
        <w:rPr>
          <w:lang w:val="en-US"/>
        </w:rPr>
      </w:pPr>
      <w:r w:rsidRPr="001D1C49">
        <w:rPr>
          <w:b/>
          <w:bCs/>
          <w:lang w:val="en-US"/>
        </w:rPr>
        <w:t>funksionale</w:t>
      </w:r>
      <w:r w:rsidRPr="001D1C49">
        <w:rPr>
          <w:lang w:val="en-US"/>
        </w:rPr>
        <w:t>, për shkak të nevojës për të përcaktuar më qartë përgjegjësitë, funksionet kryesore dhe proceset e administrimit të rrezikut;</w:t>
      </w:r>
    </w:p>
    <w:p w14:paraId="0F174B9D" w14:textId="77777777" w:rsidR="001D1C49" w:rsidRPr="001D1C49" w:rsidRDefault="001D1C49" w:rsidP="008E4E22">
      <w:pPr>
        <w:numPr>
          <w:ilvl w:val="0"/>
          <w:numId w:val="18"/>
        </w:numPr>
        <w:spacing w:before="240"/>
        <w:rPr>
          <w:lang w:val="en-US"/>
        </w:rPr>
      </w:pPr>
      <w:r w:rsidRPr="001D1C49">
        <w:rPr>
          <w:b/>
          <w:bCs/>
          <w:lang w:val="en-US"/>
        </w:rPr>
        <w:t>integruese</w:t>
      </w:r>
      <w:r w:rsidRPr="001D1C49">
        <w:rPr>
          <w:lang w:val="en-US"/>
        </w:rPr>
        <w:t>, për shkak se kuadri aktual nuk përmbush ende plotësisht detyrimet që rrjedhin nga përafrimi me acquis të Bashkimit Evropian.</w:t>
      </w:r>
    </w:p>
    <w:p w14:paraId="0BBC8FB1" w14:textId="77777777" w:rsidR="001D1C49" w:rsidRPr="001D1C49" w:rsidRDefault="001D1C49" w:rsidP="001D1C49">
      <w:pPr>
        <w:spacing w:before="240"/>
        <w:rPr>
          <w:i/>
          <w:iCs/>
          <w:lang w:val="en-US"/>
        </w:rPr>
      </w:pPr>
      <w:r w:rsidRPr="001D1C49">
        <w:rPr>
          <w:i/>
          <w:iCs/>
          <w:lang w:val="en-US"/>
        </w:rPr>
        <w:t>Shkaqet e problemit</w:t>
      </w:r>
    </w:p>
    <w:p w14:paraId="5BE141FB" w14:textId="5619236F" w:rsidR="001D1C49" w:rsidRPr="001D1C49" w:rsidRDefault="001D1C49" w:rsidP="00B50D7A">
      <w:pPr>
        <w:spacing w:before="240"/>
        <w:jc w:val="both"/>
        <w:rPr>
          <w:lang w:val="en-US"/>
        </w:rPr>
      </w:pPr>
      <w:r w:rsidRPr="001D1C49">
        <w:rPr>
          <w:lang w:val="en-US"/>
        </w:rPr>
        <w:t xml:space="preserve">Shkaku i drejtpërdrejtë i problemit është se ligji nr. 76/2023 ka transpozuar vetëm </w:t>
      </w:r>
      <w:r w:rsidR="00460A6E">
        <w:rPr>
          <w:lang w:val="en-US"/>
        </w:rPr>
        <w:t xml:space="preserve">pjesërisht </w:t>
      </w:r>
      <w:r w:rsidRPr="001D1C49">
        <w:rPr>
          <w:lang w:val="en-US"/>
        </w:rPr>
        <w:t>kërkesa</w:t>
      </w:r>
      <w:r w:rsidR="00460A6E">
        <w:rPr>
          <w:lang w:val="en-US"/>
        </w:rPr>
        <w:t>t e</w:t>
      </w:r>
      <w:r w:rsidRPr="001D1C49">
        <w:rPr>
          <w:lang w:val="en-US"/>
        </w:rPr>
        <w:t xml:space="preserve"> Direktivës IORP II. Ligji i vitit 2023 përbë</w:t>
      </w:r>
      <w:r w:rsidR="00460A6E">
        <w:rPr>
          <w:lang w:val="en-US"/>
        </w:rPr>
        <w:t>n</w:t>
      </w:r>
      <w:r w:rsidRPr="001D1C49">
        <w:rPr>
          <w:lang w:val="en-US"/>
        </w:rPr>
        <w:t xml:space="preserve"> një reformim të rëndësishëm të kuadrit të mëparshëm dhe përfshiu shumë nga standardet e direktivës, por nuk pasqyroi të gjitha dispozitat e saj.</w:t>
      </w:r>
    </w:p>
    <w:p w14:paraId="6BAD1B5D" w14:textId="1B0D235F" w:rsidR="001D1C49" w:rsidRPr="001D1C49" w:rsidRDefault="001D1C49" w:rsidP="00B50D7A">
      <w:pPr>
        <w:spacing w:before="240"/>
        <w:jc w:val="both"/>
        <w:rPr>
          <w:lang w:val="en-US"/>
        </w:rPr>
      </w:pPr>
      <w:r w:rsidRPr="001D1C49">
        <w:rPr>
          <w:lang w:val="en-US"/>
        </w:rPr>
        <w:t xml:space="preserve">Një nga shkaqet strukturore lidhet me modelin mbi të cilin është zhvilluar tregu shqiptar. Kuadri </w:t>
      </w:r>
      <w:r w:rsidR="00555232">
        <w:rPr>
          <w:lang w:val="en-US"/>
        </w:rPr>
        <w:t xml:space="preserve">ligjor </w:t>
      </w:r>
      <w:r w:rsidRPr="001D1C49">
        <w:rPr>
          <w:lang w:val="en-US"/>
        </w:rPr>
        <w:t>vendas është ndërtuar kryesisht për fondet e pensionit privat me kontribute të përcaktuara, të administruara nga shoqëri administruese dhe të organizuara si grupe të veçuara aktivesh pa personalitet juridik. Ndërkohë, Direktiva IORP II rregullon një gamë më të gjerë institucionesh dhe skemash të pensionit profesional, përfshirë skemat me përfitime të përcaktuara dhe veprimtaritë ndërkufitare.</w:t>
      </w:r>
    </w:p>
    <w:p w14:paraId="6AFFAF2D" w14:textId="77777777" w:rsidR="001D1C49" w:rsidRPr="001D1C49" w:rsidRDefault="001D1C49" w:rsidP="001F42E0">
      <w:pPr>
        <w:spacing w:before="240"/>
        <w:jc w:val="both"/>
        <w:rPr>
          <w:lang w:val="en-US"/>
        </w:rPr>
      </w:pPr>
      <w:r w:rsidRPr="001D1C49">
        <w:rPr>
          <w:lang w:val="en-US"/>
        </w:rPr>
        <w:t>Për këtë arsye, një pjesë e dispozitave të direktivës, veçanërisht ato për provigjonet teknike, funksionin aktuarial, financimin e skemave me përfitime të përcaktuara, transferimet ndërkufitare dhe bashkëpunimin ndërmjet autoriteteve, nuk kanë pasur zbatim të drejtpërdrejtë në kushtet aktuale të tregut vendas. Megjithatë, këto dispozita duhet të përfshihen në legjislacionin shqiptar për të krijuar bazën juridike të nevojshme për funksionimin e tregut pas anëtarësimit të Shqipërisë në Bashkimin Evropian.</w:t>
      </w:r>
    </w:p>
    <w:p w14:paraId="6DF03CDE" w14:textId="77777777" w:rsidR="001D1C49" w:rsidRPr="001D1C49" w:rsidRDefault="001D1C49" w:rsidP="001F42E0">
      <w:pPr>
        <w:spacing w:before="240"/>
        <w:jc w:val="both"/>
        <w:rPr>
          <w:lang w:val="en-US"/>
        </w:rPr>
      </w:pPr>
      <w:r w:rsidRPr="001D1C49">
        <w:rPr>
          <w:lang w:val="en-US"/>
        </w:rPr>
        <w:t>Problemi lidhet gjithashtu me zhvillimin e vazhdueshëm të standardeve prudenciale për institucionet e pensionit profesional. Direktiva IORP II nuk kufizohet në respektimin formal të kufijve të investimit dhe të detyrimeve të raportimit. Ajo kërkon një sistem të integruar qeverisjeje, funksione kryesore të organizuara në mënyrë efektive, politika të shkruara dhe mekanizma për identifikimin, vlerësimin, monitorimin dhe administrimin e rreziqeve.</w:t>
      </w:r>
    </w:p>
    <w:p w14:paraId="345C03AA" w14:textId="77777777" w:rsidR="001D1C49" w:rsidRPr="001D1C49" w:rsidRDefault="001D1C49" w:rsidP="001F42E0">
      <w:pPr>
        <w:spacing w:before="240"/>
        <w:jc w:val="both"/>
        <w:rPr>
          <w:lang w:val="en-US"/>
        </w:rPr>
      </w:pPr>
      <w:r w:rsidRPr="001D1C49">
        <w:rPr>
          <w:lang w:val="en-US"/>
        </w:rPr>
        <w:t>Ligji nr. 76/2023 përmban elemente të këtij sistemi, por disa prej tyre duhet të plotësohen dhe të lidhen në mënyrë më të qartë me përgjegjësinë e organit drejtues, funksionet kryesore dhe zbatimin e parimit të proporcionalitetit.</w:t>
      </w:r>
    </w:p>
    <w:p w14:paraId="490563B4" w14:textId="15FB80F2" w:rsidR="001D1C49" w:rsidRPr="001D1C49" w:rsidRDefault="001D1C49" w:rsidP="001F42E0">
      <w:pPr>
        <w:spacing w:before="240"/>
        <w:jc w:val="both"/>
        <w:rPr>
          <w:lang w:val="en-US"/>
        </w:rPr>
      </w:pPr>
      <w:r w:rsidRPr="001D1C49">
        <w:rPr>
          <w:lang w:val="en-US"/>
        </w:rPr>
        <w:t>Një shkak tjetër lidhet me fazën aktuale të procesit të integrimit evropian. Në fazën e përafrimit të plotë nuk mjafton që kuadri kombëtar të ndjekë vetëm në parim objektivat e direktivës</w:t>
      </w:r>
      <w:r w:rsidR="001F42E0">
        <w:rPr>
          <w:lang w:val="en-US"/>
        </w:rPr>
        <w:t xml:space="preserve">, por </w:t>
      </w:r>
      <w:r w:rsidRPr="001D1C49">
        <w:rPr>
          <w:lang w:val="en-US"/>
        </w:rPr>
        <w:t xml:space="preserve"> </w:t>
      </w:r>
      <w:r w:rsidR="001F42E0">
        <w:rPr>
          <w:lang w:val="en-US"/>
        </w:rPr>
        <w:t>kërkon që</w:t>
      </w:r>
      <w:r w:rsidRPr="001D1C49">
        <w:rPr>
          <w:lang w:val="en-US"/>
        </w:rPr>
        <w:t xml:space="preserve"> të garantohet që kërkesat e saj të jenë pasqyruar në mënyrë të qartë, të detyrueshme dhe të zbatueshme në legjislacionin kombëtar.</w:t>
      </w:r>
    </w:p>
    <w:p w14:paraId="6ECECD26" w14:textId="77777777" w:rsidR="001D1C49" w:rsidRPr="001D1C49" w:rsidRDefault="001D1C49" w:rsidP="001F42E0">
      <w:pPr>
        <w:spacing w:before="240"/>
        <w:jc w:val="both"/>
        <w:rPr>
          <w:lang w:val="en-US"/>
        </w:rPr>
      </w:pPr>
      <w:r w:rsidRPr="001D1C49">
        <w:rPr>
          <w:lang w:val="en-US"/>
        </w:rPr>
        <w:t>Për këtë qëllim, Autoriteti i Mbikëqyrjes Financiare, me mbështetjen teknike të Bankës Botërore, ka kryer analizën e përputhshmërisë së ligjit nr. 76/2023 me Direktivën IORP II, duke identifikuar dispozitat e transpozuara plotësisht, ato të transpozuara pjesërisht dhe kërkesat që duhet të pasqyrohen më tej në legjislacionin shqiptar.</w:t>
      </w:r>
    </w:p>
    <w:p w14:paraId="0EA12611" w14:textId="77777777" w:rsidR="001D1C49" w:rsidRPr="001D1C49" w:rsidRDefault="001D1C49" w:rsidP="001F42E0">
      <w:pPr>
        <w:spacing w:before="240"/>
        <w:jc w:val="both"/>
        <w:rPr>
          <w:i/>
          <w:iCs/>
          <w:lang w:val="en-US"/>
        </w:rPr>
      </w:pPr>
      <w:r w:rsidRPr="001D1C49">
        <w:rPr>
          <w:i/>
          <w:iCs/>
          <w:lang w:val="en-US"/>
        </w:rPr>
        <w:t>Shtrirja e problemit</w:t>
      </w:r>
    </w:p>
    <w:p w14:paraId="573E0602" w14:textId="3A846C13" w:rsidR="001D1C49" w:rsidRPr="001D1C49" w:rsidRDefault="001D1C49" w:rsidP="00EE55DD">
      <w:pPr>
        <w:spacing w:before="240"/>
        <w:jc w:val="both"/>
        <w:rPr>
          <w:lang w:val="en-US"/>
        </w:rPr>
      </w:pPr>
      <w:r w:rsidRPr="001D1C49">
        <w:rPr>
          <w:lang w:val="en-US"/>
        </w:rPr>
        <w:t>Problem</w:t>
      </w:r>
      <w:r w:rsidR="00B1226E">
        <w:rPr>
          <w:lang w:val="en-US"/>
        </w:rPr>
        <w:t>atika e identifikuar</w:t>
      </w:r>
      <w:r w:rsidRPr="001D1C49">
        <w:rPr>
          <w:lang w:val="en-US"/>
        </w:rPr>
        <w:t xml:space="preserve"> </w:t>
      </w:r>
      <w:r w:rsidR="00B1226E">
        <w:rPr>
          <w:lang w:val="en-US"/>
        </w:rPr>
        <w:t>ndikon në</w:t>
      </w:r>
      <w:r w:rsidRPr="001D1C49">
        <w:rPr>
          <w:lang w:val="en-US"/>
        </w:rPr>
        <w:t xml:space="preserve"> të gjithë kuadrin e pensioneve private, megjithëse intensiteti dhe koha e shfaqjes së ndikimeve ndryshojnë sipas fushës së rregullimit.</w:t>
      </w:r>
    </w:p>
    <w:p w14:paraId="01795E89" w14:textId="0C683A56" w:rsidR="001D1C49" w:rsidRDefault="001D1C49" w:rsidP="00EE55DD">
      <w:pPr>
        <w:spacing w:before="240"/>
        <w:jc w:val="both"/>
        <w:rPr>
          <w:lang w:val="en-US"/>
        </w:rPr>
      </w:pPr>
      <w:r w:rsidRPr="001D1C49">
        <w:rPr>
          <w:lang w:val="en-US"/>
        </w:rPr>
        <w:t>Sipas të dhënave të audituara për gjendjen e tregut në datën 31.12.2025, në tregun e fondeve të pensionit privat ushtro</w:t>
      </w:r>
      <w:r w:rsidR="00B72C30">
        <w:rPr>
          <w:lang w:val="en-US"/>
        </w:rPr>
        <w:t>jnë</w:t>
      </w:r>
      <w:r w:rsidRPr="001D1C49">
        <w:rPr>
          <w:lang w:val="en-US"/>
        </w:rPr>
        <w:t xml:space="preserve"> veprimtari katër shoqëri administruese, të cilat administronin gjithsej shtatë fonde pensioni privat me pjesëmarrje të hapur. Numri i përgjithshëm i anëtarëve arriti në 49 218, duke u rritur me 11,19</w:t>
      </w:r>
      <w:r w:rsidR="00EE55DD">
        <w:rPr>
          <w:lang w:val="en-US"/>
        </w:rPr>
        <w:t>%</w:t>
      </w:r>
      <w:r w:rsidRPr="001D1C49">
        <w:rPr>
          <w:lang w:val="en-US"/>
        </w:rPr>
        <w:t xml:space="preserve"> në krahasim me fundin e vitit 2024.</w:t>
      </w:r>
    </w:p>
    <w:p w14:paraId="00BF9354" w14:textId="5083A42E" w:rsidR="003C1499" w:rsidRPr="001D1C49" w:rsidRDefault="003C1499" w:rsidP="00EE55DD">
      <w:pPr>
        <w:spacing w:before="240"/>
        <w:jc w:val="both"/>
        <w:rPr>
          <w:lang w:val="en-US"/>
        </w:rPr>
      </w:pPr>
      <w:r>
        <w:rPr>
          <w:rFonts w:eastAsia="Calibri"/>
          <w:noProof/>
          <w:szCs w:val="22"/>
        </w:rPr>
        <w:drawing>
          <wp:inline distT="0" distB="0" distL="0" distR="0" wp14:anchorId="653E480F" wp14:editId="215F5A77">
            <wp:extent cx="4019550" cy="2009775"/>
            <wp:effectExtent l="0" t="0" r="0" b="9525"/>
            <wp:docPr id="160322765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31557" cy="2015779"/>
                    </a:xfrm>
                    <a:prstGeom prst="rect">
                      <a:avLst/>
                    </a:prstGeom>
                    <a:noFill/>
                  </pic:spPr>
                </pic:pic>
              </a:graphicData>
            </a:graphic>
          </wp:inline>
        </w:drawing>
      </w:r>
    </w:p>
    <w:p w14:paraId="282C5F26" w14:textId="77777777" w:rsidR="001D1C49" w:rsidRPr="001D1C49" w:rsidRDefault="001D1C49" w:rsidP="00EE55DD">
      <w:pPr>
        <w:spacing w:before="240"/>
        <w:jc w:val="both"/>
        <w:rPr>
          <w:lang w:val="en-US"/>
        </w:rPr>
      </w:pPr>
      <w:r w:rsidRPr="001D1C49">
        <w:rPr>
          <w:lang w:val="en-US"/>
        </w:rPr>
        <w:t>Nga numri i përgjithshëm i anëtarëve:</w:t>
      </w:r>
    </w:p>
    <w:p w14:paraId="494B032E" w14:textId="77777777" w:rsidR="001D1C49" w:rsidRPr="001D1C49" w:rsidRDefault="001D1C49" w:rsidP="008E4E22">
      <w:pPr>
        <w:numPr>
          <w:ilvl w:val="0"/>
          <w:numId w:val="19"/>
        </w:numPr>
        <w:spacing w:before="240"/>
        <w:jc w:val="both"/>
        <w:rPr>
          <w:lang w:val="en-US"/>
        </w:rPr>
      </w:pPr>
      <w:r w:rsidRPr="001D1C49">
        <w:rPr>
          <w:lang w:val="en-US"/>
        </w:rPr>
        <w:t>26 240 anëtarë, ose 53,31 për qind, kishin lidhur kontratë individuale me shoqërinë administruese;</w:t>
      </w:r>
    </w:p>
    <w:p w14:paraId="5DC5E0E6" w14:textId="77777777" w:rsidR="001D1C49" w:rsidRPr="001D1C49" w:rsidRDefault="001D1C49" w:rsidP="008E4E22">
      <w:pPr>
        <w:numPr>
          <w:ilvl w:val="0"/>
          <w:numId w:val="19"/>
        </w:numPr>
        <w:spacing w:before="240"/>
        <w:jc w:val="both"/>
        <w:rPr>
          <w:lang w:val="en-US"/>
        </w:rPr>
      </w:pPr>
      <w:r w:rsidRPr="001D1C49">
        <w:rPr>
          <w:lang w:val="en-US"/>
        </w:rPr>
        <w:t>22 660 anëtarë, ose 46,04 për qind, kishin lidhur kontratë në kuadër të marrëdhënies me një punëdhënës që kontribuonte në fond;</w:t>
      </w:r>
    </w:p>
    <w:p w14:paraId="0B51D058" w14:textId="77777777" w:rsidR="001D1C49" w:rsidRPr="001D1C49" w:rsidRDefault="001D1C49" w:rsidP="008E4E22">
      <w:pPr>
        <w:numPr>
          <w:ilvl w:val="0"/>
          <w:numId w:val="19"/>
        </w:numPr>
        <w:spacing w:before="240"/>
        <w:jc w:val="both"/>
        <w:rPr>
          <w:lang w:val="en-US"/>
        </w:rPr>
      </w:pPr>
      <w:r w:rsidRPr="001D1C49">
        <w:rPr>
          <w:lang w:val="en-US"/>
        </w:rPr>
        <w:t>318 anëtarë, ose 0,65 për qind, kishin njëkohësisht kontratë individuale dhe kontratë të lidhur në cilësinë e punëmarrësit.</w:t>
      </w:r>
    </w:p>
    <w:p w14:paraId="5CB26BF3" w14:textId="77777777" w:rsidR="001D1C49" w:rsidRPr="001D1C49" w:rsidRDefault="001D1C49" w:rsidP="00EE55DD">
      <w:pPr>
        <w:spacing w:before="240"/>
        <w:jc w:val="both"/>
        <w:rPr>
          <w:lang w:val="en-US"/>
        </w:rPr>
      </w:pPr>
      <w:r w:rsidRPr="001D1C49">
        <w:rPr>
          <w:lang w:val="en-US"/>
        </w:rPr>
        <w:t>Këto të dhëna tregojnë se, krahas kontratave individuale, një pjesë e konsiderueshme e anëtarësimit lidhet me kontributet e punëdhënësve. Për rrjedhojë, cilësia e kuadrit për pensionet profesionale prek drejtpërdrejt jo vetëm individët dhe shoqëritë administruese, por edhe punëdhënësit që përdorin pensionet private si pjesë të paketës së përfitimeve për punëmarrësit.</w:t>
      </w:r>
    </w:p>
    <w:p w14:paraId="0B43795D" w14:textId="1CA89552" w:rsidR="00D12C6A" w:rsidRDefault="001D1C49" w:rsidP="00757C75">
      <w:pPr>
        <w:spacing w:before="240"/>
        <w:jc w:val="both"/>
        <w:rPr>
          <w:lang w:val="en-US"/>
        </w:rPr>
      </w:pPr>
      <w:r w:rsidRPr="001D1C49">
        <w:rPr>
          <w:lang w:val="en-US"/>
        </w:rPr>
        <w:t>Në datën 31.12.2025, aktivet neto të fondeve të pensionit privat arritën në 9 855 030 216 lekë, me një rritje prej 21,55 për qind, ose rreth 1,75 miliardë lekë, në krahasim me fundin e vitit 2024. Rritja e njëkohshme e numrit të anëtarëve dhe e aktiveve nën administrim tregon se tregu, megjithëse ende i kufizuar në raport me sistemin e përgjithshëm të pensioneve, po zgjerohet dhe po administron një vlerë gjithnjë e më të lartë kursimesh afatgjata të qytetarëve</w:t>
      </w:r>
      <w:r w:rsidR="00F97389">
        <w:rPr>
          <w:lang w:val="en-US"/>
        </w:rPr>
        <w:t>.</w:t>
      </w:r>
    </w:p>
    <w:p w14:paraId="5A64300F" w14:textId="71B1DA75" w:rsidR="00D12C6A" w:rsidRPr="001D1C49" w:rsidRDefault="00271327" w:rsidP="00757C75">
      <w:pPr>
        <w:spacing w:before="240"/>
        <w:jc w:val="both"/>
        <w:rPr>
          <w:lang w:val="en-US"/>
        </w:rPr>
      </w:pPr>
      <w:r>
        <w:rPr>
          <w:rFonts w:eastAsia="MS Mincho"/>
          <w:noProof/>
        </w:rPr>
        <w:drawing>
          <wp:inline distT="0" distB="0" distL="0" distR="0" wp14:anchorId="4F169D1C" wp14:editId="31961683">
            <wp:extent cx="6349365" cy="1757238"/>
            <wp:effectExtent l="0" t="0" r="0" b="0"/>
            <wp:docPr id="472152687" name="Picture 1" descr="A graph with numbers and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152687" name="Picture 1" descr="A graph with numbers and a line&#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66725" cy="1762043"/>
                    </a:xfrm>
                    <a:prstGeom prst="rect">
                      <a:avLst/>
                    </a:prstGeom>
                    <a:noFill/>
                  </pic:spPr>
                </pic:pic>
              </a:graphicData>
            </a:graphic>
          </wp:inline>
        </w:drawing>
      </w:r>
    </w:p>
    <w:p w14:paraId="5EEDBDDF" w14:textId="650CA25F" w:rsidR="001311D6" w:rsidRPr="001D1C49" w:rsidRDefault="001D1C49" w:rsidP="00757C75">
      <w:pPr>
        <w:spacing w:before="240"/>
        <w:jc w:val="both"/>
        <w:rPr>
          <w:lang w:val="en-US"/>
        </w:rPr>
      </w:pPr>
      <w:r w:rsidRPr="001D1C49">
        <w:rPr>
          <w:lang w:val="en-US"/>
        </w:rPr>
        <w:t>Investimet e fondeve të pensionit privat në datën 31.12.2025 arrinin në rreth 9,49 miliardë lekë dhe përfaqësonin 96,12 për qind të aktiveve të tregut. Rreth 96,02 për qind e aktiveve të përgjithshme të tregut ishin të investuara në tituj borxhi të emetuar nga Qeveria e Republikës së Shqipërisë, ndërsa vetëm 0,10 për qind ishin investuar në tituj borxhi të emetuar nga banka ose institucione financiare jobankare.</w:t>
      </w:r>
    </w:p>
    <w:p w14:paraId="4501388D" w14:textId="77777777" w:rsidR="001D1C49" w:rsidRPr="001D1C49" w:rsidRDefault="001D1C49" w:rsidP="00750641">
      <w:pPr>
        <w:spacing w:before="240"/>
        <w:jc w:val="both"/>
        <w:rPr>
          <w:lang w:val="en-US"/>
        </w:rPr>
      </w:pPr>
      <w:r w:rsidRPr="001D1C49">
        <w:rPr>
          <w:lang w:val="en-US"/>
        </w:rPr>
        <w:t>Ky përqendrim i lartë i portofolit në titujt e borxhit të qeverisë nuk përbën në vetvete pasojë të boshllëqeve të identifikuara në transpozimin e direktivës. Megjithatë, ai nënvizon rëndësinë e sistemeve të përshtatshme të qeverisjes, administrimit të rrezikut, vlerësimit të përqendrimit të investimeve dhe mbikëqyrjes perspektive, veçanërisht në kushtet e rritjes së vazhdueshme të aktiveve të tregut.</w:t>
      </w:r>
    </w:p>
    <w:p w14:paraId="5AE34BDE" w14:textId="25A14F09" w:rsidR="001D1C49" w:rsidRPr="001D1C49" w:rsidRDefault="001D1C49" w:rsidP="00750641">
      <w:pPr>
        <w:spacing w:before="240"/>
        <w:jc w:val="both"/>
        <w:rPr>
          <w:lang w:val="en-US"/>
        </w:rPr>
      </w:pPr>
      <w:r w:rsidRPr="001D1C49">
        <w:rPr>
          <w:lang w:val="en-US"/>
        </w:rPr>
        <w:t>Ndikimi i mangësive të kuadrit ligjor nuk mund të matet vetëm me numrin aktual të subjekteve ose të anëtarëve</w:t>
      </w:r>
      <w:r w:rsidR="001311D6">
        <w:rPr>
          <w:lang w:val="en-US"/>
        </w:rPr>
        <w:t xml:space="preserve"> pasi</w:t>
      </w:r>
      <w:r w:rsidRPr="001D1C49">
        <w:rPr>
          <w:lang w:val="en-US"/>
        </w:rPr>
        <w:t xml:space="preserve"> </w:t>
      </w:r>
      <w:r w:rsidR="001311D6">
        <w:rPr>
          <w:lang w:val="en-US"/>
        </w:rPr>
        <w:t>k</w:t>
      </w:r>
      <w:r w:rsidRPr="001D1C49">
        <w:rPr>
          <w:lang w:val="en-US"/>
        </w:rPr>
        <w:t xml:space="preserve">ursimet për pension administrohen për periudha të gjata dhe pasojat e dobësive në qeverisje, kontroll të brendshëm, administrim të rrezikut, investim ose informim mund të shfaqen pas disa vitesh. Për këtë arsye, edhe mangësitë që mund të duken të kufizuara në kushtet aktuale të tregut kanë rëndësi </w:t>
      </w:r>
      <w:r w:rsidR="001E69B7">
        <w:rPr>
          <w:lang w:val="en-US"/>
        </w:rPr>
        <w:t xml:space="preserve">nga pikëpamja </w:t>
      </w:r>
      <w:r w:rsidRPr="001D1C49">
        <w:rPr>
          <w:lang w:val="en-US"/>
        </w:rPr>
        <w:t>prudenciale, pasi lidhen me mbrojtjen afatgjatë të aktiveve dhe të drejtave të anëtarëve dhe përfituesve.</w:t>
      </w:r>
    </w:p>
    <w:p w14:paraId="5CE26AE6" w14:textId="77777777" w:rsidR="001D1C49" w:rsidRPr="001D1C49" w:rsidRDefault="001D1C49" w:rsidP="00750641">
      <w:pPr>
        <w:spacing w:before="240"/>
        <w:jc w:val="both"/>
        <w:rPr>
          <w:lang w:val="en-US"/>
        </w:rPr>
      </w:pPr>
      <w:r w:rsidRPr="001D1C49">
        <w:rPr>
          <w:lang w:val="en-US"/>
        </w:rPr>
        <w:t>Në periudhën afatshkurtër dhe afatmesme, problemi lidhet kryesisht me plotësimin e standardeve për qeverisjen, funksionet kryesore, administrimin e rrezikut, transparencën, informimin e anëtarëve dhe ushtrimin e mbikëqyrjes.</w:t>
      </w:r>
    </w:p>
    <w:p w14:paraId="752BDEEE" w14:textId="009D986A" w:rsidR="001D1C49" w:rsidRPr="001D1C49" w:rsidRDefault="001D1C49" w:rsidP="00750641">
      <w:pPr>
        <w:spacing w:before="240"/>
        <w:jc w:val="both"/>
        <w:rPr>
          <w:lang w:val="en-US"/>
        </w:rPr>
      </w:pPr>
      <w:r w:rsidRPr="001D1C49">
        <w:rPr>
          <w:lang w:val="en-US"/>
        </w:rPr>
        <w:t>Një pjesë tjetër e problemit ka natyrë ndërkufitare. Dispozitat për veprimtarinë ndërkufitare, transferimin e skemave, skemat me përfitime të përcaktuara dhe bashkëpunimin me autoritetet e shteteve anëtare do të bëhen veçanërisht të rëndësishme nga data e anëtarësimit të Shqipërisë në Bashkimin Evropian. Mungesa e këtyre rregullave do ta linte vendin pa bazën juridike të nevojshme për të marrë pjesë në tregun e brendshëm evropian të pensioneve profesionale.</w:t>
      </w:r>
    </w:p>
    <w:p w14:paraId="2F144773" w14:textId="2459916B" w:rsidR="001D1C49" w:rsidRPr="001D1C49" w:rsidRDefault="001D1C49" w:rsidP="00750641">
      <w:pPr>
        <w:spacing w:before="240"/>
        <w:jc w:val="both"/>
        <w:rPr>
          <w:lang w:val="en-US"/>
        </w:rPr>
      </w:pPr>
      <w:r w:rsidRPr="001D1C49">
        <w:rPr>
          <w:lang w:val="en-US"/>
        </w:rPr>
        <w:t xml:space="preserve">Shtrirja e problemit duhet, për rrjedhojë, të vlerësohet në dy </w:t>
      </w:r>
      <w:r w:rsidR="00BD154A">
        <w:rPr>
          <w:lang w:val="en-US"/>
        </w:rPr>
        <w:t>kohë</w:t>
      </w:r>
      <w:r w:rsidRPr="001D1C49">
        <w:rPr>
          <w:lang w:val="en-US"/>
        </w:rPr>
        <w:t>:</w:t>
      </w:r>
    </w:p>
    <w:p w14:paraId="3805CB56" w14:textId="77777777" w:rsidR="001D1C49" w:rsidRPr="001D1C49" w:rsidRDefault="001D1C49" w:rsidP="008E4E22">
      <w:pPr>
        <w:numPr>
          <w:ilvl w:val="0"/>
          <w:numId w:val="20"/>
        </w:numPr>
        <w:spacing w:before="240"/>
        <w:jc w:val="both"/>
        <w:rPr>
          <w:lang w:val="en-US"/>
        </w:rPr>
      </w:pPr>
      <w:r w:rsidRPr="001D1C49">
        <w:rPr>
          <w:lang w:val="en-US"/>
        </w:rPr>
        <w:t>në periudhën përpara anëtarësimit, në lidhje me standardet e qeverisjes, administrimit të rrezikut, transparencës dhe mbikëqyrjes së subjekteve që veprojnë aktualisht në treg;</w:t>
      </w:r>
    </w:p>
    <w:p w14:paraId="515683CC" w14:textId="77777777" w:rsidR="001D1C49" w:rsidRPr="001D1C49" w:rsidRDefault="001D1C49" w:rsidP="008E4E22">
      <w:pPr>
        <w:numPr>
          <w:ilvl w:val="0"/>
          <w:numId w:val="20"/>
        </w:numPr>
        <w:spacing w:before="240"/>
        <w:jc w:val="both"/>
        <w:rPr>
          <w:lang w:val="en-US"/>
        </w:rPr>
      </w:pPr>
      <w:r w:rsidRPr="001D1C49">
        <w:rPr>
          <w:lang w:val="en-US"/>
        </w:rPr>
        <w:t>nga data e anëtarësimit në Bashkimin Evropian, në lidhje me veprimtarinë ndërkufitare, transferimin e skemave dhe bashkëpunimin me autoritetet dhe institucionet evropiane.</w:t>
      </w:r>
    </w:p>
    <w:p w14:paraId="7F0B15FA" w14:textId="77777777" w:rsidR="001D1C49" w:rsidRPr="001D1C49" w:rsidRDefault="001D1C49" w:rsidP="001D1C49">
      <w:pPr>
        <w:spacing w:before="240"/>
        <w:rPr>
          <w:i/>
          <w:iCs/>
          <w:lang w:val="en-US"/>
        </w:rPr>
      </w:pPr>
      <w:r w:rsidRPr="001D1C49">
        <w:rPr>
          <w:i/>
          <w:iCs/>
          <w:lang w:val="en-US"/>
        </w:rPr>
        <w:t>Grupet e prekura</w:t>
      </w:r>
    </w:p>
    <w:p w14:paraId="67571519" w14:textId="05D4601F" w:rsidR="001D1C49" w:rsidRPr="001D1C49" w:rsidRDefault="001D1C49" w:rsidP="004734B4">
      <w:pPr>
        <w:spacing w:before="240"/>
        <w:jc w:val="both"/>
        <w:rPr>
          <w:lang w:val="en-US"/>
        </w:rPr>
      </w:pPr>
      <w:r w:rsidRPr="001D1C49">
        <w:rPr>
          <w:b/>
          <w:bCs/>
          <w:lang w:val="en-US"/>
        </w:rPr>
        <w:t>Anëtarët, përfituesit dhe anëtarët e mundshëm të fondeve të pensionit privat</w:t>
      </w:r>
      <w:r w:rsidRPr="001D1C49">
        <w:rPr>
          <w:lang w:val="en-US"/>
        </w:rPr>
        <w:t xml:space="preserve"> janë grupi që </w:t>
      </w:r>
      <w:r w:rsidR="00B77E6B">
        <w:rPr>
          <w:lang w:val="en-US"/>
        </w:rPr>
        <w:t>ndikohet në mënyrë të</w:t>
      </w:r>
      <w:r w:rsidRPr="001D1C49">
        <w:rPr>
          <w:lang w:val="en-US"/>
        </w:rPr>
        <w:t xml:space="preserve"> drejtpërdrejt</w:t>
      </w:r>
      <w:r w:rsidR="00B77E6B">
        <w:rPr>
          <w:lang w:val="en-US"/>
        </w:rPr>
        <w:t>ë</w:t>
      </w:r>
      <w:r w:rsidRPr="001D1C49">
        <w:rPr>
          <w:lang w:val="en-US"/>
        </w:rPr>
        <w:t xml:space="preserve"> nga </w:t>
      </w:r>
      <w:r w:rsidR="00AC3079">
        <w:rPr>
          <w:lang w:val="en-US"/>
        </w:rPr>
        <w:t>shtesat dhe ndryshimet e propozuara në ligjin 76/202 “Për fondet e pensionit privat”</w:t>
      </w:r>
      <w:r w:rsidRPr="001D1C49">
        <w:rPr>
          <w:lang w:val="en-US"/>
        </w:rPr>
        <w:t>. Mangësitë</w:t>
      </w:r>
      <w:r w:rsidR="007F4D04">
        <w:rPr>
          <w:lang w:val="en-US"/>
        </w:rPr>
        <w:t xml:space="preserve"> e</w:t>
      </w:r>
      <w:r w:rsidR="00AC3079">
        <w:rPr>
          <w:lang w:val="en-US"/>
        </w:rPr>
        <w:t xml:space="preserve"> identifikuara të</w:t>
      </w:r>
      <w:r w:rsidR="007F4D04">
        <w:rPr>
          <w:lang w:val="en-US"/>
        </w:rPr>
        <w:t xml:space="preserve"> legjislacionit aktual për sa i përket</w:t>
      </w:r>
      <w:r w:rsidRPr="001D1C49">
        <w:rPr>
          <w:lang w:val="en-US"/>
        </w:rPr>
        <w:t xml:space="preserve"> qeverisje</w:t>
      </w:r>
      <w:r w:rsidR="007F4D04">
        <w:rPr>
          <w:lang w:val="en-US"/>
        </w:rPr>
        <w:t>s</w:t>
      </w:r>
      <w:r w:rsidRPr="001D1C49">
        <w:rPr>
          <w:lang w:val="en-US"/>
        </w:rPr>
        <w:t>, administrimi</w:t>
      </w:r>
      <w:r w:rsidR="007F4D04">
        <w:rPr>
          <w:lang w:val="en-US"/>
        </w:rPr>
        <w:t>t</w:t>
      </w:r>
      <w:r w:rsidRPr="001D1C49">
        <w:rPr>
          <w:lang w:val="en-US"/>
        </w:rPr>
        <w:t xml:space="preserve"> </w:t>
      </w:r>
      <w:r w:rsidR="007F4D04">
        <w:rPr>
          <w:lang w:val="en-US"/>
        </w:rPr>
        <w:t>të</w:t>
      </w:r>
      <w:r w:rsidRPr="001D1C49">
        <w:rPr>
          <w:lang w:val="en-US"/>
        </w:rPr>
        <w:t xml:space="preserve"> rrezikut, kontrolli</w:t>
      </w:r>
      <w:r w:rsidR="007F4D04">
        <w:rPr>
          <w:lang w:val="en-US"/>
        </w:rPr>
        <w:t>t</w:t>
      </w:r>
      <w:r w:rsidRPr="001D1C49">
        <w:rPr>
          <w:lang w:val="en-US"/>
        </w:rPr>
        <w:t xml:space="preserve"> </w:t>
      </w:r>
      <w:r w:rsidR="007F4D04">
        <w:rPr>
          <w:lang w:val="en-US"/>
        </w:rPr>
        <w:t>të</w:t>
      </w:r>
      <w:r w:rsidRPr="001D1C49">
        <w:rPr>
          <w:lang w:val="en-US"/>
        </w:rPr>
        <w:t xml:space="preserve"> brendshëm ose informimi</w:t>
      </w:r>
      <w:r w:rsidR="007F4D04">
        <w:rPr>
          <w:lang w:val="en-US"/>
        </w:rPr>
        <w:t>t</w:t>
      </w:r>
      <w:r w:rsidRPr="001D1C49">
        <w:rPr>
          <w:lang w:val="en-US"/>
        </w:rPr>
        <w:t xml:space="preserve"> mund të ndikojnë në sigurinë e kursimeve, cilësinë e administrimit të aktiveve dhe aftësinë e individëve për të marrë vendime të informuara.</w:t>
      </w:r>
    </w:p>
    <w:p w14:paraId="12D154E6" w14:textId="59196CD4" w:rsidR="001D1C49" w:rsidRPr="001D1C49" w:rsidRDefault="004734B4" w:rsidP="0076244C">
      <w:pPr>
        <w:spacing w:before="240"/>
        <w:jc w:val="both"/>
        <w:rPr>
          <w:lang w:val="en-US"/>
        </w:rPr>
      </w:pPr>
      <w:r>
        <w:rPr>
          <w:lang w:val="en-US"/>
        </w:rPr>
        <w:t>Gjithashtu, m</w:t>
      </w:r>
      <w:r w:rsidR="001D1C49" w:rsidRPr="001D1C49">
        <w:rPr>
          <w:lang w:val="en-US"/>
        </w:rPr>
        <w:t>ungesa e informacionit të standardizuar për kostot, kontributet, parashikimet e përfitimeve dhe skenarët e mundshëm mund ta bëjë më të vështirë vlerësimin e gjendjes së kursimeve dhe planifikimin e të ardhurave në pension.</w:t>
      </w:r>
    </w:p>
    <w:p w14:paraId="03B2B5DA" w14:textId="04773AC4" w:rsidR="001D1C49" w:rsidRPr="001D1C49" w:rsidRDefault="001D1C49" w:rsidP="0076244C">
      <w:pPr>
        <w:spacing w:before="240"/>
        <w:jc w:val="both"/>
        <w:rPr>
          <w:lang w:val="en-US"/>
        </w:rPr>
      </w:pPr>
      <w:r w:rsidRPr="001D1C49">
        <w:rPr>
          <w:b/>
          <w:bCs/>
          <w:lang w:val="en-US"/>
        </w:rPr>
        <w:t>Shoqëritë administruese të fondeve të pensionit privat</w:t>
      </w:r>
      <w:r w:rsidRPr="001D1C49">
        <w:rPr>
          <w:lang w:val="en-US"/>
        </w:rPr>
        <w:t xml:space="preserve"> preken </w:t>
      </w:r>
      <w:r w:rsidR="00AC3079">
        <w:rPr>
          <w:lang w:val="en-US"/>
        </w:rPr>
        <w:t xml:space="preserve">gjithashtu në mënyrë të </w:t>
      </w:r>
      <w:r w:rsidRPr="001D1C49">
        <w:rPr>
          <w:lang w:val="en-US"/>
        </w:rPr>
        <w:t>drejtpërdrejt</w:t>
      </w:r>
      <w:r w:rsidR="00AC3079">
        <w:rPr>
          <w:lang w:val="en-US"/>
        </w:rPr>
        <w:t>ë</w:t>
      </w:r>
      <w:r w:rsidRPr="001D1C49">
        <w:rPr>
          <w:lang w:val="en-US"/>
        </w:rPr>
        <w:t>, pasi kuadri i paplotë nuk përcakton ende të gjitha kërkesat e IORP II për sistemin e qeverisjes, funksionet kryesore, politikat e shkruara, administrimin e rreziqeve dhe veprimtarinë ndërkufitare. Mungesa e kërkesave plotësisht të harmonizuara krijon gjithashtu pasiguri për kushtet në të cilat shoqëritë shqiptare mund të ofrojnë shërbime në shtetet anëtare pas anëtarësimit.</w:t>
      </w:r>
    </w:p>
    <w:p w14:paraId="79F72BCE" w14:textId="77777777" w:rsidR="001D1C49" w:rsidRPr="001D1C49" w:rsidRDefault="001D1C49" w:rsidP="0076244C">
      <w:pPr>
        <w:spacing w:before="240"/>
        <w:jc w:val="both"/>
        <w:rPr>
          <w:lang w:val="en-US"/>
        </w:rPr>
      </w:pPr>
      <w:r w:rsidRPr="001D1C49">
        <w:rPr>
          <w:b/>
          <w:bCs/>
          <w:lang w:val="en-US"/>
        </w:rPr>
        <w:t>Depozitarët, audituesit, aktuarët dhe ofruesit e funksioneve ose shërbimeve të deleguara</w:t>
      </w:r>
      <w:r w:rsidRPr="001D1C49">
        <w:rPr>
          <w:lang w:val="en-US"/>
        </w:rPr>
        <w:t xml:space="preserve"> preken në masën që kuadri i ri qartëson përgjegjësitë, standardet profesionale, shkëmbimin e informacionit dhe marrëdhëniet me shoqëritë administruese dhe Autoritetin.</w:t>
      </w:r>
    </w:p>
    <w:p w14:paraId="12F88F04" w14:textId="6493488B" w:rsidR="00EB3FF7" w:rsidRDefault="002418A9" w:rsidP="10652A40">
      <w:pPr>
        <w:spacing w:before="240"/>
        <w:jc w:val="both"/>
        <w:rPr>
          <w:b/>
          <w:bCs/>
          <w:lang w:val="en-US"/>
        </w:rPr>
      </w:pPr>
      <w:r w:rsidRPr="10652A40">
        <w:rPr>
          <w:b/>
          <w:bCs/>
          <w:lang w:val="en-US"/>
        </w:rPr>
        <w:t>Punëdhënësit që kontribuojnë në fondet e pensionit privat në emër të punëmarrësve të tyre</w:t>
      </w:r>
      <w:r w:rsidRPr="10652A40">
        <w:rPr>
          <w:lang w:val="en-US"/>
        </w:rPr>
        <w:t xml:space="preserve"> preken nga qartësia dhe cilësia e kuadrit ligjor. Më 31.12.2025, 22 660 anëtarë, ose 46,04 për qind e numrit të përgjithshëm të anëtarëve, kishin lidhur kontratë me shoqërinë administruese dhe punëdhënësin, i cili kontribuonte në fondin me pjesëmarrje të hapur, pa krijuar një fond pensioni me pjesëmarrje të mbyllur. Për rrjedhojë, standardet e qeverisjes, administrimit të rrezikut, transparencës dhe informimit kanë rëndësi të drejtpërdrejtë edhe për marrëdhënien ndërmjet punëdhënësit, punëmarrësit dhe shoqërisë administruese</w:t>
      </w:r>
      <w:r w:rsidR="00EB3FF7" w:rsidRPr="10652A40">
        <w:rPr>
          <w:lang w:val="en-US"/>
        </w:rPr>
        <w:t>.</w:t>
      </w:r>
    </w:p>
    <w:p w14:paraId="51216935" w14:textId="6E4024C3" w:rsidR="001D1C49" w:rsidRPr="001D1C49" w:rsidRDefault="001D1C49" w:rsidP="001E35E8">
      <w:pPr>
        <w:spacing w:before="240"/>
        <w:jc w:val="both"/>
        <w:rPr>
          <w:lang w:val="en-US"/>
        </w:rPr>
      </w:pPr>
      <w:r w:rsidRPr="001D1C49">
        <w:rPr>
          <w:b/>
          <w:bCs/>
          <w:lang w:val="en-US"/>
        </w:rPr>
        <w:t>Autoriteti i Mbikëqyrjes Financiare</w:t>
      </w:r>
      <w:r w:rsidRPr="001D1C49">
        <w:rPr>
          <w:lang w:val="en-US"/>
        </w:rPr>
        <w:t xml:space="preserve"> është </w:t>
      </w:r>
      <w:r w:rsidR="00AD7FBE">
        <w:rPr>
          <w:lang w:val="en-US"/>
        </w:rPr>
        <w:t xml:space="preserve">një nga </w:t>
      </w:r>
      <w:r w:rsidRPr="001D1C49">
        <w:rPr>
          <w:lang w:val="en-US"/>
        </w:rPr>
        <w:t>institucion</w:t>
      </w:r>
      <w:r w:rsidR="00AD7FBE">
        <w:rPr>
          <w:lang w:val="en-US"/>
        </w:rPr>
        <w:t>e</w:t>
      </w:r>
      <w:r w:rsidRPr="001D1C49">
        <w:rPr>
          <w:lang w:val="en-US"/>
        </w:rPr>
        <w:t xml:space="preserve"> publik</w:t>
      </w:r>
      <w:r w:rsidR="00AD7FBE">
        <w:rPr>
          <w:lang w:val="en-US"/>
        </w:rPr>
        <w:t>e</w:t>
      </w:r>
      <w:r w:rsidRPr="001D1C49">
        <w:rPr>
          <w:lang w:val="en-US"/>
        </w:rPr>
        <w:t xml:space="preserve"> i prekur</w:t>
      </w:r>
      <w:r w:rsidR="00AD7FBE">
        <w:rPr>
          <w:lang w:val="en-US"/>
        </w:rPr>
        <w:t xml:space="preserve"> në mënyrë të</w:t>
      </w:r>
      <w:r w:rsidRPr="001D1C49">
        <w:rPr>
          <w:lang w:val="en-US"/>
        </w:rPr>
        <w:t xml:space="preserve"> drejtpërdrejt</w:t>
      </w:r>
      <w:r w:rsidR="00AD7FBE">
        <w:rPr>
          <w:lang w:val="en-US"/>
        </w:rPr>
        <w:t>ë</w:t>
      </w:r>
      <w:r w:rsidRPr="001D1C49">
        <w:rPr>
          <w:lang w:val="en-US"/>
        </w:rPr>
        <w:t xml:space="preserve">. </w:t>
      </w:r>
      <w:r w:rsidR="00AD7FBE">
        <w:rPr>
          <w:lang w:val="en-US"/>
        </w:rPr>
        <w:t>Në funksion të</w:t>
      </w:r>
      <w:r w:rsidRPr="001D1C49">
        <w:rPr>
          <w:lang w:val="en-US"/>
        </w:rPr>
        <w:t xml:space="preserve"> ushtr</w:t>
      </w:r>
      <w:r w:rsidR="00AD7FBE">
        <w:rPr>
          <w:lang w:val="en-US"/>
        </w:rPr>
        <w:t xml:space="preserve">imit të një </w:t>
      </w:r>
      <w:r w:rsidRPr="001D1C49">
        <w:rPr>
          <w:lang w:val="en-US"/>
        </w:rPr>
        <w:t>mbikëqyrje efektive, Autoriteti ka nevojë për kompetenca të qarta dhe një bazë ligjore të plotë për vlerësimin e sistemit të qeverisjes, administrimit të rrezikut, funksioneve kryesore, investimeve dhe informacionit që u jepet anëtarëve. Në perspektivën e anëtarësimit, Autoriteti duhet të ketë gjithashtu bazën ligjore për bashkëpunimin dhe shkëmbimin e informacionit me autoritetet homologe dhe me Autoritetin Evropian të Sigurimeve dhe Pensioneve Profesionale.</w:t>
      </w:r>
    </w:p>
    <w:p w14:paraId="09CDFAD0" w14:textId="453457F5" w:rsidR="001D1C49" w:rsidRPr="001D1C49" w:rsidRDefault="001D1C49" w:rsidP="001E35E8">
      <w:pPr>
        <w:spacing w:before="240"/>
        <w:jc w:val="both"/>
        <w:rPr>
          <w:lang w:val="en-US"/>
        </w:rPr>
      </w:pPr>
      <w:r w:rsidRPr="001D1C49">
        <w:rPr>
          <w:b/>
          <w:bCs/>
          <w:lang w:val="en-US"/>
        </w:rPr>
        <w:t>Qeveria shqiptare</w:t>
      </w:r>
      <w:r w:rsidRPr="001D1C49">
        <w:rPr>
          <w:lang w:val="en-US"/>
        </w:rPr>
        <w:t xml:space="preserve"> preket </w:t>
      </w:r>
      <w:r w:rsidR="007449F7">
        <w:rPr>
          <w:lang w:val="en-US"/>
        </w:rPr>
        <w:t xml:space="preserve">gjithashtu </w:t>
      </w:r>
      <w:r w:rsidRPr="001D1C49">
        <w:rPr>
          <w:lang w:val="en-US"/>
        </w:rPr>
        <w:t>nëpërmjet detyrimit për përafrimin e legjislacionit me acquis të Bashkimit Evropian dhe përmbushjen e piketave të procesit të anëtarësimit në fushën e shërbimeve financiare.</w:t>
      </w:r>
    </w:p>
    <w:p w14:paraId="3E1BA7E6" w14:textId="682C6ED7" w:rsidR="001D1C49" w:rsidRPr="001D1C49" w:rsidRDefault="001D1C49" w:rsidP="001E35E8">
      <w:pPr>
        <w:spacing w:before="240"/>
        <w:jc w:val="both"/>
        <w:rPr>
          <w:lang w:val="en-US"/>
        </w:rPr>
      </w:pPr>
      <w:r w:rsidRPr="001D1C49">
        <w:rPr>
          <w:b/>
          <w:bCs/>
          <w:lang w:val="en-US"/>
        </w:rPr>
        <w:t>Shoqëria civile</w:t>
      </w:r>
      <w:r w:rsidRPr="001D1C49">
        <w:rPr>
          <w:lang w:val="en-US"/>
        </w:rPr>
        <w:t>, veçanërisht organizatat e konsumatorëve, sindikatat, organizatat e punëmarrësve dhe shoqatat profesionale, preke</w:t>
      </w:r>
      <w:r w:rsidR="007449F7">
        <w:rPr>
          <w:lang w:val="en-US"/>
        </w:rPr>
        <w:t>n potencialisht</w:t>
      </w:r>
      <w:r w:rsidRPr="001D1C49">
        <w:rPr>
          <w:lang w:val="en-US"/>
        </w:rPr>
        <w:t xml:space="preserve"> si përfaqësuese </w:t>
      </w:r>
      <w:r w:rsidR="007449F7">
        <w:rPr>
          <w:lang w:val="en-US"/>
        </w:rPr>
        <w:t>të</w:t>
      </w:r>
      <w:r w:rsidRPr="001D1C49">
        <w:rPr>
          <w:lang w:val="en-US"/>
        </w:rPr>
        <w:t xml:space="preserve"> interesave të anëtarëve, përfituesve dhe punëmarrësve. Këto organizata kanë interes në garantimin e transparencës, mbrojtjen e të drejtave të pensionit dhe krijimin e skemave të besueshme të lidhura me marrëdhëniet e punës.</w:t>
      </w:r>
    </w:p>
    <w:p w14:paraId="4604EE15" w14:textId="77777777" w:rsidR="001D1C49" w:rsidRPr="001D1C49" w:rsidRDefault="001D1C49" w:rsidP="001E35E8">
      <w:pPr>
        <w:spacing w:before="240"/>
        <w:jc w:val="both"/>
        <w:rPr>
          <w:lang w:val="en-US"/>
        </w:rPr>
      </w:pPr>
      <w:r w:rsidRPr="001D1C49">
        <w:rPr>
          <w:lang w:val="en-US"/>
        </w:rPr>
        <w:t>Në mënyrë të tërthortë, problemi prek edhe zhvillimin e tregut financiar dhe të ekonomisë. Fondet e pensionit janë investitorë institucionalë afatgjatë dhe zhvillimi i tyre mund të mbështesë rritjen e kursimit afatgjatë, thellimin e tregjeve të kapitalit dhe diversifikimin e burimeve të financimit. Megjithatë, këto efekte janë më të gjera dhe nuk duhet të konsiderohen si pasoja të drejtpërdrejta ose automatikisht të matshme të ndryshimeve ligjore.</w:t>
      </w:r>
    </w:p>
    <w:p w14:paraId="462E7910" w14:textId="77777777" w:rsidR="001D1C49" w:rsidRPr="001D1C49" w:rsidRDefault="001D1C49" w:rsidP="001D1C49">
      <w:pPr>
        <w:spacing w:before="240"/>
        <w:rPr>
          <w:i/>
          <w:iCs/>
          <w:lang w:val="en-US"/>
        </w:rPr>
      </w:pPr>
      <w:r w:rsidRPr="001D1C49">
        <w:rPr>
          <w:i/>
          <w:iCs/>
          <w:lang w:val="en-US"/>
        </w:rPr>
        <w:t>Mundësia e trajtimit të problemit përmes ndryshimit të politikave</w:t>
      </w:r>
    </w:p>
    <w:p w14:paraId="7FE7480E" w14:textId="7A180EEE" w:rsidR="001D1C49" w:rsidRPr="001D1C49" w:rsidRDefault="001D1C49" w:rsidP="00F51984">
      <w:pPr>
        <w:spacing w:before="240"/>
        <w:jc w:val="both"/>
        <w:rPr>
          <w:lang w:val="en-US"/>
        </w:rPr>
      </w:pPr>
      <w:r w:rsidRPr="001D1C49">
        <w:rPr>
          <w:lang w:val="en-US"/>
        </w:rPr>
        <w:t>Problemi mund të trajtohet përmes ndryshimit të politikës publike, por natyra e tij kërkon ndërhyr</w:t>
      </w:r>
      <w:r w:rsidR="001E35E8">
        <w:rPr>
          <w:lang w:val="en-US"/>
        </w:rPr>
        <w:t>je legjislative</w:t>
      </w:r>
      <w:r w:rsidRPr="001D1C49">
        <w:rPr>
          <w:lang w:val="en-US"/>
        </w:rPr>
        <w:t>, të shoqëruar me akte nënligjore dhe masa administrative, organizative dhe mbikëqyrëse.</w:t>
      </w:r>
    </w:p>
    <w:p w14:paraId="66C43AD8" w14:textId="046AC875" w:rsidR="001D1C49" w:rsidRPr="001D1C49" w:rsidRDefault="001D1C49" w:rsidP="00F51984">
      <w:pPr>
        <w:spacing w:before="240"/>
        <w:jc w:val="both"/>
        <w:rPr>
          <w:lang w:val="en-US"/>
        </w:rPr>
      </w:pPr>
      <w:r w:rsidRPr="001D1C49">
        <w:rPr>
          <w:lang w:val="en-US"/>
        </w:rPr>
        <w:t>Përmirësimi i praktikave të mbikëqyrjes, nxjerrja e udhëzimeve, trajnimi i subjekteve dhe informimi i anëtarëve ndihmojnë në forcimin e qeverisjes dhe administrimit të rrezikut. Këto masa mund të shërbejnë si instrumente mbështetëse dhe të lehtësojnë zbatimin e kërkesave të reja. Megjithatë, ato nuk mund të zëvendësojnë dispozitat ligjore që:</w:t>
      </w:r>
    </w:p>
    <w:p w14:paraId="111250C1" w14:textId="77777777" w:rsidR="001D1C49" w:rsidRPr="001D1C49" w:rsidRDefault="001D1C49" w:rsidP="008E4E22">
      <w:pPr>
        <w:numPr>
          <w:ilvl w:val="0"/>
          <w:numId w:val="21"/>
        </w:numPr>
        <w:spacing w:before="240"/>
        <w:rPr>
          <w:lang w:val="en-US"/>
        </w:rPr>
      </w:pPr>
      <w:r w:rsidRPr="001D1C49">
        <w:rPr>
          <w:lang w:val="en-US"/>
        </w:rPr>
        <w:t>përcaktojnë fushën e zbatimit dhe subjektet që i nënshtrohen ligjit;</w:t>
      </w:r>
    </w:p>
    <w:p w14:paraId="06B0BF41" w14:textId="77777777" w:rsidR="001D1C49" w:rsidRPr="001D1C49" w:rsidRDefault="001D1C49" w:rsidP="008E4E22">
      <w:pPr>
        <w:numPr>
          <w:ilvl w:val="0"/>
          <w:numId w:val="21"/>
        </w:numPr>
        <w:spacing w:before="240"/>
        <w:rPr>
          <w:lang w:val="en-US"/>
        </w:rPr>
      </w:pPr>
      <w:r w:rsidRPr="001D1C49">
        <w:rPr>
          <w:lang w:val="en-US"/>
        </w:rPr>
        <w:t>krijojnë të drejta dhe detyrime për subjektet, anëtarët dhe përfituesit;</w:t>
      </w:r>
    </w:p>
    <w:p w14:paraId="45A5CA80" w14:textId="77777777" w:rsidR="001D1C49" w:rsidRPr="001D1C49" w:rsidRDefault="001D1C49" w:rsidP="008E4E22">
      <w:pPr>
        <w:numPr>
          <w:ilvl w:val="0"/>
          <w:numId w:val="21"/>
        </w:numPr>
        <w:spacing w:before="240"/>
        <w:rPr>
          <w:lang w:val="en-US"/>
        </w:rPr>
      </w:pPr>
      <w:r w:rsidRPr="001D1C49">
        <w:rPr>
          <w:lang w:val="en-US"/>
        </w:rPr>
        <w:t>përcaktojnë kompetencat mbikëqyrëse të Autoritetit;</w:t>
      </w:r>
    </w:p>
    <w:p w14:paraId="04565896" w14:textId="77777777" w:rsidR="001D1C49" w:rsidRPr="001D1C49" w:rsidRDefault="001D1C49" w:rsidP="008E4E22">
      <w:pPr>
        <w:numPr>
          <w:ilvl w:val="0"/>
          <w:numId w:val="21"/>
        </w:numPr>
        <w:spacing w:before="240"/>
        <w:rPr>
          <w:lang w:val="en-US"/>
        </w:rPr>
      </w:pPr>
      <w:r w:rsidRPr="001D1C49">
        <w:rPr>
          <w:lang w:val="en-US"/>
        </w:rPr>
        <w:t>rregullojnë veprimtarinë dhe transferimet ndërkufitare;</w:t>
      </w:r>
    </w:p>
    <w:p w14:paraId="7F911BED" w14:textId="77777777" w:rsidR="001D1C49" w:rsidRPr="001D1C49" w:rsidRDefault="001D1C49" w:rsidP="008E4E22">
      <w:pPr>
        <w:numPr>
          <w:ilvl w:val="0"/>
          <w:numId w:val="21"/>
        </w:numPr>
        <w:spacing w:before="240"/>
        <w:rPr>
          <w:lang w:val="en-US"/>
        </w:rPr>
      </w:pPr>
      <w:r w:rsidRPr="001D1C49">
        <w:rPr>
          <w:lang w:val="en-US"/>
        </w:rPr>
        <w:t>përcaktojnë kërkesat prudenciale për skemat me përfitime të përcaktuara;</w:t>
      </w:r>
    </w:p>
    <w:p w14:paraId="7CE93E18" w14:textId="77777777" w:rsidR="001D1C49" w:rsidRPr="001D1C49" w:rsidRDefault="001D1C49" w:rsidP="008E4E22">
      <w:pPr>
        <w:numPr>
          <w:ilvl w:val="0"/>
          <w:numId w:val="21"/>
        </w:numPr>
        <w:spacing w:before="240"/>
        <w:rPr>
          <w:lang w:val="en-US"/>
        </w:rPr>
      </w:pPr>
      <w:r w:rsidRPr="001D1C49">
        <w:rPr>
          <w:lang w:val="en-US"/>
        </w:rPr>
        <w:t>krijojnë bazën për shkëmbimin ndërkufitar të informacionit;</w:t>
      </w:r>
    </w:p>
    <w:p w14:paraId="1B00073F" w14:textId="77777777" w:rsidR="001D1C49" w:rsidRPr="001D1C49" w:rsidRDefault="001D1C49" w:rsidP="008E4E22">
      <w:pPr>
        <w:numPr>
          <w:ilvl w:val="0"/>
          <w:numId w:val="21"/>
        </w:numPr>
        <w:spacing w:before="240"/>
        <w:rPr>
          <w:lang w:val="en-US"/>
        </w:rPr>
      </w:pPr>
      <w:r w:rsidRPr="001D1C49">
        <w:rPr>
          <w:lang w:val="en-US"/>
        </w:rPr>
        <w:t>autorizojnë nxjerrjen e akteve nënligjore;</w:t>
      </w:r>
    </w:p>
    <w:p w14:paraId="6B22BE59" w14:textId="77777777" w:rsidR="001D1C49" w:rsidRPr="001D1C49" w:rsidRDefault="001D1C49" w:rsidP="008E4E22">
      <w:pPr>
        <w:numPr>
          <w:ilvl w:val="0"/>
          <w:numId w:val="21"/>
        </w:numPr>
        <w:spacing w:before="240"/>
        <w:rPr>
          <w:lang w:val="en-US"/>
        </w:rPr>
      </w:pPr>
      <w:r w:rsidRPr="001D1C49">
        <w:rPr>
          <w:lang w:val="en-US"/>
        </w:rPr>
        <w:t>sigurojnë transpozimin e plotë dhe të verifikueshëm të Direktivës IORP II.</w:t>
      </w:r>
    </w:p>
    <w:p w14:paraId="2EED3A98" w14:textId="77777777" w:rsidR="001D1C49" w:rsidRPr="001D1C49" w:rsidRDefault="001D1C49" w:rsidP="00F51984">
      <w:pPr>
        <w:spacing w:before="240"/>
        <w:jc w:val="both"/>
        <w:rPr>
          <w:lang w:val="en-US"/>
        </w:rPr>
      </w:pPr>
      <w:r w:rsidRPr="001D1C49">
        <w:rPr>
          <w:lang w:val="en-US"/>
        </w:rPr>
        <w:t>Mbajtja në fuqi e kuadrit aktual do të ruante standardet dhe mekanizmat ekzistues, por nuk do të eliminonte boshllëqet e identifikuara dhe nuk do të realizonte përafrimin e plotë me acquis. Po kështu, përdorimi vetëm i udhëzimeve ose rekomandimeve të Autoritetit mund të ndikonte pozitivisht në praktikat e subjekteve, por nuk do të kishte forcën detyruese të ligjit, nuk do të garantonte zbatim të njëtrajtshëm dhe nuk do të krijonte bazën juridike për veprimtarinë ndërkufitare dhe bashkëpunimin me autoritetet evropiane.</w:t>
      </w:r>
    </w:p>
    <w:p w14:paraId="5DEDA02D" w14:textId="77777777" w:rsidR="001D1C49" w:rsidRPr="001D1C49" w:rsidRDefault="001D1C49" w:rsidP="00F51984">
      <w:pPr>
        <w:spacing w:before="240"/>
        <w:jc w:val="both"/>
        <w:rPr>
          <w:lang w:val="en-US"/>
        </w:rPr>
      </w:pPr>
      <w:r w:rsidRPr="001D1C49">
        <w:rPr>
          <w:lang w:val="en-US"/>
        </w:rPr>
        <w:t>Për rrjedhojë, instrumenti kryesor për trajtimin e problemit duhet të jetë ndryshimi dhe plotësimi i ligjit nr. 76/2023. Aktet nënligjore, përshtatja e metodologjive mbikëqyrëse, ngritja e kapaciteteve dhe komunikimi me subjektet e tregut duhet ta plotësojnë ndërhyrjen ligjore në fazën e zbatimit, por nuk mund ta zëvendësojnë atë.</w:t>
      </w:r>
    </w:p>
    <w:p w14:paraId="4FD84BA1" w14:textId="6CA236DB" w:rsidR="001226EB" w:rsidRPr="007A737A" w:rsidRDefault="001226EB">
      <w:pPr>
        <w:spacing w:before="240"/>
        <w:rPr>
          <w:lang w:val="sq-AL"/>
        </w:rPr>
      </w:pPr>
    </w:p>
    <w:p w14:paraId="37DA50C8" w14:textId="77777777" w:rsidR="001226EB" w:rsidRPr="007A737A" w:rsidRDefault="004F6C9E">
      <w:pPr>
        <w:pStyle w:val="Heading1"/>
        <w:spacing w:line="276" w:lineRule="auto"/>
        <w:rPr>
          <w:rFonts w:ascii="Times New Roman" w:eastAsia="Times New Roman" w:hAnsi="Times New Roman" w:cs="Times New Roman"/>
          <w:sz w:val="24"/>
          <w:szCs w:val="24"/>
          <w:lang w:val="sq-AL"/>
        </w:rPr>
      </w:pPr>
      <w:r w:rsidRPr="007A737A">
        <w:rPr>
          <w:rFonts w:ascii="Times New Roman" w:eastAsia="Times New Roman" w:hAnsi="Times New Roman" w:cs="Times New Roman"/>
          <w:sz w:val="24"/>
          <w:szCs w:val="24"/>
          <w:lang w:val="sq-AL"/>
        </w:rPr>
        <w:t xml:space="preserve">Arsyeja e ndërhyrjes </w:t>
      </w:r>
    </w:p>
    <w:p w14:paraId="4D59D4B5" w14:textId="77777777" w:rsidR="001226EB" w:rsidRPr="007A737A" w:rsidRDefault="004F6C9E" w:rsidP="008E4E22">
      <w:pPr>
        <w:numPr>
          <w:ilvl w:val="0"/>
          <w:numId w:val="10"/>
        </w:numPr>
        <w:pBdr>
          <w:top w:val="nil"/>
          <w:left w:val="nil"/>
          <w:bottom w:val="nil"/>
          <w:right w:val="nil"/>
          <w:between w:val="nil"/>
        </w:pBdr>
        <w:tabs>
          <w:tab w:val="left" w:pos="567"/>
        </w:tabs>
        <w:spacing w:line="276" w:lineRule="auto"/>
        <w:jc w:val="both"/>
        <w:rPr>
          <w:i/>
          <w:iCs/>
          <w:color w:val="000000"/>
          <w:lang w:val="sq-AL"/>
        </w:rPr>
      </w:pPr>
      <w:r w:rsidRPr="007A737A">
        <w:rPr>
          <w:i/>
          <w:iCs/>
          <w:color w:val="000000"/>
          <w:lang w:val="sq-AL"/>
        </w:rPr>
        <w:t>Shpjegoni pse qeveria e sheh të nevojshme të ndërhyjë.</w:t>
      </w:r>
    </w:p>
    <w:p w14:paraId="0A420B9C" w14:textId="77777777" w:rsidR="001226EB" w:rsidRPr="007A737A" w:rsidRDefault="004F6C9E" w:rsidP="008E4E22">
      <w:pPr>
        <w:numPr>
          <w:ilvl w:val="0"/>
          <w:numId w:val="10"/>
        </w:numPr>
        <w:pBdr>
          <w:top w:val="nil"/>
          <w:left w:val="nil"/>
          <w:bottom w:val="nil"/>
          <w:right w:val="nil"/>
          <w:between w:val="nil"/>
        </w:pBdr>
        <w:tabs>
          <w:tab w:val="left" w:pos="567"/>
        </w:tabs>
        <w:spacing w:line="276" w:lineRule="auto"/>
        <w:jc w:val="both"/>
        <w:rPr>
          <w:i/>
          <w:iCs/>
          <w:color w:val="000000"/>
          <w:lang w:val="sq-AL"/>
        </w:rPr>
      </w:pPr>
      <w:r w:rsidRPr="007A737A">
        <w:rPr>
          <w:i/>
          <w:iCs/>
          <w:color w:val="000000"/>
          <w:lang w:val="sq-AL"/>
        </w:rPr>
        <w:t>Shpjegoni se çfarë shpreson të trajtojë qeveria nëpërmjet kësaj ndërhyrjeje.</w:t>
      </w:r>
    </w:p>
    <w:p w14:paraId="22C409B5" w14:textId="5FD69489" w:rsidR="001226EB" w:rsidRPr="007A737A" w:rsidRDefault="004F6C9E" w:rsidP="008E4E22">
      <w:pPr>
        <w:numPr>
          <w:ilvl w:val="0"/>
          <w:numId w:val="10"/>
        </w:numPr>
        <w:pBdr>
          <w:top w:val="nil"/>
          <w:left w:val="nil"/>
          <w:bottom w:val="nil"/>
          <w:right w:val="nil"/>
          <w:between w:val="nil"/>
        </w:pBdr>
        <w:tabs>
          <w:tab w:val="left" w:pos="567"/>
        </w:tabs>
        <w:spacing w:line="276" w:lineRule="auto"/>
        <w:jc w:val="both"/>
        <w:rPr>
          <w:i/>
          <w:iCs/>
          <w:color w:val="000000"/>
          <w:lang w:val="sq-AL"/>
        </w:rPr>
      </w:pPr>
      <w:r w:rsidRPr="007A737A">
        <w:rPr>
          <w:i/>
          <w:iCs/>
          <w:color w:val="000000"/>
          <w:lang w:val="sq-AL"/>
        </w:rPr>
        <w:t>Shpjegoni se si i mbështet kjo ndërhyrje objektivat e nivelit të lartë të qeverisë.</w:t>
      </w:r>
    </w:p>
    <w:p w14:paraId="71D93F5A" w14:textId="23814697" w:rsidR="00447441" w:rsidRPr="008E590F" w:rsidRDefault="004F6C9E" w:rsidP="008E4E22">
      <w:pPr>
        <w:numPr>
          <w:ilvl w:val="0"/>
          <w:numId w:val="10"/>
        </w:numPr>
        <w:pBdr>
          <w:top w:val="nil"/>
          <w:left w:val="nil"/>
          <w:bottom w:val="nil"/>
          <w:right w:val="nil"/>
          <w:between w:val="nil"/>
        </w:pBdr>
        <w:tabs>
          <w:tab w:val="left" w:pos="567"/>
        </w:tabs>
        <w:spacing w:line="276" w:lineRule="auto"/>
        <w:jc w:val="both"/>
        <w:rPr>
          <w:i/>
          <w:iCs/>
          <w:color w:val="000000"/>
          <w:lang w:val="sq-AL"/>
        </w:rPr>
      </w:pPr>
      <w:r w:rsidRPr="007A737A">
        <w:rPr>
          <w:i/>
          <w:iCs/>
          <w:color w:val="000000"/>
          <w:lang w:val="sq-AL"/>
        </w:rPr>
        <w:t>Rendisni punën ekzistuese që është realizuar tashmë.</w:t>
      </w:r>
    </w:p>
    <w:p w14:paraId="124690ED" w14:textId="77777777" w:rsidR="007A2D55" w:rsidRPr="007A2D55" w:rsidRDefault="007A2D55" w:rsidP="007A2D55">
      <w:pPr>
        <w:spacing w:before="240"/>
        <w:ind w:left="360"/>
        <w:jc w:val="both"/>
        <w:rPr>
          <w:i/>
          <w:iCs/>
          <w:lang w:val="en-US"/>
        </w:rPr>
      </w:pPr>
      <w:r w:rsidRPr="007A2D55">
        <w:rPr>
          <w:i/>
          <w:iCs/>
          <w:lang w:val="en-US"/>
        </w:rPr>
        <w:t>Nevoja për ndërhyrje</w:t>
      </w:r>
    </w:p>
    <w:p w14:paraId="3832968F" w14:textId="098CA151" w:rsidR="007A2D55" w:rsidRPr="007A2D55" w:rsidRDefault="007A2D55" w:rsidP="007A2D55">
      <w:pPr>
        <w:spacing w:before="240"/>
        <w:ind w:left="360"/>
        <w:jc w:val="both"/>
        <w:rPr>
          <w:lang w:val="en-US"/>
        </w:rPr>
      </w:pPr>
      <w:r w:rsidRPr="007A2D55">
        <w:rPr>
          <w:lang w:val="en-US"/>
        </w:rPr>
        <w:t>Ndërhyrja</w:t>
      </w:r>
      <w:r w:rsidR="00D0088D">
        <w:rPr>
          <w:lang w:val="en-US"/>
        </w:rPr>
        <w:t xml:space="preserve"> legjislative përmes amendimit të ligjit 76/202 “Për fondet e pensionit privat”</w:t>
      </w:r>
      <w:r w:rsidRPr="007A2D55">
        <w:rPr>
          <w:lang w:val="en-US"/>
        </w:rPr>
        <w:t xml:space="preserve"> është e nevojshme, së pari, për të përmbushur detyrimet e Republikës së Shqipërisë në kuadër të procesit të anëtarësimit në Bashkimin Evropian. Pas hapjes së Grupkapitullit 2 “Tregu i Brendshëm”, përafrimi i plotë i legjislacionit shqiptar me acquis në fushën e shërbimeve financiare, përfshirë pensionet profesionale, përbën pjesë të detyrimeve që lidhen me Kapitullin 9 “Shërbimet financiare”. Ligji nr. 76/2023 e përafron vetëm pjesërisht Direktivën (BE) 2016/2341, ndërsa në këtë fazë të negociatave kërkohet që dispozitat e saj të transpozohen në mënyrë të plotë, të qartë dhe të verifikueshme në legjislacionin kombëtar. </w:t>
      </w:r>
    </w:p>
    <w:p w14:paraId="07C6CA36" w14:textId="2D0A3125" w:rsidR="007A2D55" w:rsidRPr="007A2D55" w:rsidRDefault="00E5560F" w:rsidP="007A2D55">
      <w:pPr>
        <w:spacing w:before="240"/>
        <w:ind w:left="360"/>
        <w:jc w:val="both"/>
        <w:rPr>
          <w:lang w:val="en-US"/>
        </w:rPr>
      </w:pPr>
      <w:r>
        <w:rPr>
          <w:lang w:val="en-US"/>
        </w:rPr>
        <w:t>Megjithatë, n</w:t>
      </w:r>
      <w:r w:rsidR="007A2D55" w:rsidRPr="007A2D55">
        <w:rPr>
          <w:lang w:val="en-US"/>
        </w:rPr>
        <w:t>evoja për ndërhyrje nuk lidhet vetëm me transpozimin formal të Direktivës IORP II. Zhvillimi i tregut të pensioneve private dhe rritja e vazhdueshme e numrit të anëtarëve dhe e aktiveve nën administrim kërkojnë që kuadri ligjor të sigurojë standarde të plota dhe të qëndrueshme për qeverisjen, administrimin e rrezikut, kontrollin e brendshëm, informimin e anëtarëve dhe mbikëqyrjen. Kursimet e pensionit administrohen për periudha afatgjata dhe dobësitë në këto fusha mund të ndikojnë në interesat e anëtarëve dhe përfituesve edhe kur pasojat e tyre nuk shfaqen menjëherë.</w:t>
      </w:r>
    </w:p>
    <w:p w14:paraId="7048406C" w14:textId="77777777" w:rsidR="007A2D55" w:rsidRPr="007A2D55" w:rsidRDefault="007A2D55" w:rsidP="007A2D55">
      <w:pPr>
        <w:spacing w:before="240"/>
        <w:ind w:left="360"/>
        <w:jc w:val="both"/>
        <w:rPr>
          <w:lang w:val="en-US"/>
        </w:rPr>
      </w:pPr>
      <w:r w:rsidRPr="007A2D55">
        <w:rPr>
          <w:lang w:val="en-US"/>
        </w:rPr>
        <w:t xml:space="preserve">Kuadri ekzistues përmban mekanizmat bazë të rregullimit dhe mbikëqyrjes së tregut, por analiza e përputhshmërisë ka evidentuar se ai duhet të plotësohet në fusha që lidhen me funksionet kryesore, vlerësimin e brendshëm të rrezikut, kërkesat aktuariale në rastet kur janë të zbatueshme, standardizimin e informacionit për anëtarët dhe përfituesit, mbikëqyrjen perspektive dhe me bazë rreziku, veprimtarinë dhe transferimet ndërkufitare, si dhe bashkëpunimin me autoritetet mbikëqyrëse të shteteve anëtare dhe EIOPA-n. </w:t>
      </w:r>
    </w:p>
    <w:p w14:paraId="1EDC6207" w14:textId="77777777" w:rsidR="007A2D55" w:rsidRDefault="007A2D55" w:rsidP="007A2D55">
      <w:pPr>
        <w:spacing w:before="240"/>
        <w:ind w:left="360"/>
        <w:jc w:val="both"/>
        <w:rPr>
          <w:lang w:val="en-US"/>
        </w:rPr>
      </w:pPr>
      <w:r w:rsidRPr="007A2D55">
        <w:rPr>
          <w:lang w:val="en-US"/>
        </w:rPr>
        <w:t>Në mungesë të ndërhyrjes, ligji nr. 76/2023 do të vijonte të ofronte mbrojtjen që garanton aktualisht, por boshllëqet e identifikuara do të mbeteshin të patrajtuara. Kjo do të ruante mospërafrimin e plotë me acquis, do të kufizonte qartësinë juridike për subjektet e tregut dhe do ta linte të paplotë bazën ligjore për funksionimin e mekanizmave ndërkufitarë pas anëtarësimit të Shqipërisë në Bashkimin Evropian.</w:t>
      </w:r>
    </w:p>
    <w:p w14:paraId="03B585F6" w14:textId="07808768" w:rsidR="00EC6575" w:rsidRPr="00EC6575" w:rsidRDefault="00EC6575" w:rsidP="00EC6575">
      <w:pPr>
        <w:spacing w:before="240"/>
        <w:ind w:left="360"/>
        <w:jc w:val="both"/>
        <w:rPr>
          <w:lang w:val="en-US"/>
        </w:rPr>
      </w:pPr>
      <w:r w:rsidRPr="00EC6575">
        <w:rPr>
          <w:lang w:val="en-US"/>
        </w:rPr>
        <w:t xml:space="preserve">Ndërhyrja justifikohet edhe nga natyra e veçantë e kursimeve për pension. Anëtarët ia besojnë administrimin afatgjatë të aktiveve të tyre shoqërisë administruese, ndërsa kanë mundësi të kufizuara për të vlerësuar në mënyrë të vazhdueshme cilësinë e qeverisjes, funksionimin e kontrolleve të brendshme, administrimin e rrezikut dhe përshtatshmërinë e strategjisë së investimit. </w:t>
      </w:r>
      <w:r w:rsidR="00884AE9">
        <w:rPr>
          <w:lang w:val="en-US"/>
        </w:rPr>
        <w:t>Rrjedhimisht, e</w:t>
      </w:r>
      <w:r w:rsidRPr="00EC6575">
        <w:rPr>
          <w:lang w:val="en-US"/>
        </w:rPr>
        <w:t>kziston një asimetri informacioni dhe ekspertize ndërmjet anëtarëve, nga njëra anë, dhe subjekteve që marrin vendime për administrimin e aktiveve, nga ana tjetër.</w:t>
      </w:r>
    </w:p>
    <w:p w14:paraId="65E0D627" w14:textId="77777777" w:rsidR="00EC6575" w:rsidRPr="00EC6575" w:rsidRDefault="00EC6575" w:rsidP="00EC6575">
      <w:pPr>
        <w:spacing w:before="240"/>
        <w:ind w:left="360"/>
        <w:jc w:val="both"/>
        <w:rPr>
          <w:lang w:val="en-US"/>
        </w:rPr>
      </w:pPr>
      <w:r w:rsidRPr="00EC6575">
        <w:rPr>
          <w:lang w:val="en-US"/>
        </w:rPr>
        <w:t>Kjo asimetri nuk mund të trajtohet vetëm nëpërmjet kushteve kontraktore ose publikimit të informacionit të përgjithshëm. Pasojat e mangësive në qeverisje, investime ose administrimin e rrezikut mund të shfaqen pas një periudhe të gjatë, në një moment kur mundësia për korrigjimin e tyre është e kufizuar. Anëtarët mund ta kenë gjithashtu të vështirë të krahasojnë kostot, performancën, rreziqet dhe parashikimet e përfitimeve ndërmjet fondeve. Për këtë arsye, mbrojtja e tyre kërkon standarde detyruese parandaluese për qeverisjen, përgjegjshmërinë, transparencën dhe mbikëqyrjen.</w:t>
      </w:r>
    </w:p>
    <w:p w14:paraId="5F61D086" w14:textId="24791A82" w:rsidR="00EC6575" w:rsidRPr="00EC6575" w:rsidRDefault="00EC6575" w:rsidP="00CF78E4">
      <w:pPr>
        <w:spacing w:before="240"/>
        <w:ind w:left="360"/>
        <w:jc w:val="both"/>
        <w:rPr>
          <w:lang w:val="en-US"/>
        </w:rPr>
      </w:pPr>
      <w:r w:rsidRPr="00EC6575">
        <w:rPr>
          <w:lang w:val="en-US"/>
        </w:rPr>
        <w:t xml:space="preserve">Ndërhyrja synon të trajtojë edhe problemin e përfaqësimit që lind kur vendimet për aktivet e anëtarëve merren nga subjekte të tjera për llogari të tyre. Kërkesat për organin drejtues, funksionet kryesore, politikat </w:t>
      </w:r>
      <w:r w:rsidR="00884AE9">
        <w:rPr>
          <w:lang w:val="en-US"/>
        </w:rPr>
        <w:t>dhe procedurat</w:t>
      </w:r>
      <w:r w:rsidRPr="00EC6575">
        <w:rPr>
          <w:lang w:val="en-US"/>
        </w:rPr>
        <w:t xml:space="preserve">, delegimin e funksioneve dhe raportimin e brendshëm shërbejnë për të siguruar që vendimmarrja të mbetet në interesin më të mirë të anëtarëve dhe përfituesve dhe që përgjegjësitë të mos bëhen të paqarta ose të fragmentuara. </w:t>
      </w:r>
    </w:p>
    <w:p w14:paraId="46898543" w14:textId="77777777" w:rsidR="00EC6575" w:rsidRPr="00EC6575" w:rsidRDefault="00EC6575" w:rsidP="00EC6575">
      <w:pPr>
        <w:spacing w:before="240"/>
        <w:ind w:left="360"/>
        <w:jc w:val="both"/>
        <w:rPr>
          <w:lang w:val="en-US"/>
        </w:rPr>
      </w:pPr>
      <w:r w:rsidRPr="00EC6575">
        <w:rPr>
          <w:lang w:val="en-US"/>
        </w:rPr>
        <w:t>Ndërhyrja vlerësohet e nevojshme në këtë fazë për shkak të ndërthurjes së procesit të avancuar të integrimit evropian, përfundimit të fazës së parë të zbatimit të ligjit nr. 76/2023 dhe zhvillimit të mëtejshëm të tregut. Ligji në fuqi vendosi një kuadër të ri dhe parashikoi një periudhë përshtatjeje për subjektet ekzistuese. Pas zbatimit fillestar të këtij kuadri, është tashmë e mundur që plotësimet e nevojshme të mbështeten jo vetëm në analizën juridike të direktivës, por edhe në përvojën praktike të Autoritetit dhe të subjekteve të tregut.</w:t>
      </w:r>
    </w:p>
    <w:p w14:paraId="24CA3A5A" w14:textId="41390FA4" w:rsidR="00EC6575" w:rsidRPr="00EC6575" w:rsidRDefault="00EC6575" w:rsidP="00EC6575">
      <w:pPr>
        <w:spacing w:before="240"/>
        <w:ind w:left="360"/>
        <w:jc w:val="both"/>
        <w:rPr>
          <w:lang w:val="en-US"/>
        </w:rPr>
      </w:pPr>
      <w:r w:rsidRPr="00EC6575">
        <w:rPr>
          <w:lang w:val="en-US"/>
        </w:rPr>
        <w:t>Koha e ndërhyrjes lidhet</w:t>
      </w:r>
      <w:r w:rsidR="00562639">
        <w:rPr>
          <w:lang w:val="en-US"/>
        </w:rPr>
        <w:t xml:space="preserve"> gjithashtu</w:t>
      </w:r>
      <w:r w:rsidRPr="00EC6575">
        <w:rPr>
          <w:lang w:val="en-US"/>
        </w:rPr>
        <w:t xml:space="preserve"> edhe me rritjen e ekspozimit ekonomik dhe shoqëror të tregut. Më 31.12.2025, tregu numëronte 49 218 anëtarë dhe administronte aktive neto në vlerën 9 855 030 216 lekë. Numri i anëtarëve ishte rritur me 11,19 për qind dhe aktivet neto me 21,55 për qind në krahasim me fundin e vitit 2024. Kjo rritje e bën gjithnjë e më të rëndësishme që standardet e qeverisjes, rrezikut dhe informimit të plotësohen përpara se tregu të zgjerohet më tej. </w:t>
      </w:r>
    </w:p>
    <w:p w14:paraId="62599D11" w14:textId="5D21C4DB" w:rsidR="00EC6575" w:rsidRPr="007A2D55" w:rsidRDefault="00EC6575" w:rsidP="00116271">
      <w:pPr>
        <w:spacing w:before="240"/>
        <w:ind w:left="360"/>
        <w:jc w:val="both"/>
        <w:rPr>
          <w:lang w:val="en-US"/>
        </w:rPr>
      </w:pPr>
      <w:r w:rsidRPr="00EC6575">
        <w:rPr>
          <w:lang w:val="en-US"/>
        </w:rPr>
        <w:t>Shtyrja e ndërhyrjes do të krijonte rrezikun që subjektet të përshtatnin sistemet dhe procedurat e tyre në disa faza të shkëputura, si dhe që përgatitja e akteve nënligjore dhe e kapaciteteve mbikëqyrëse të afrohej tepër me momentin e anëtarësimit. Përfshirja paraprake në legjislacion e kërkesave që do të zbatohen pas anëtarësimit i jep Autoritetit dhe tregut kohë për të përgatitur procedurat, sistemet e raportimit dhe mekanizmat e bashkëpunimit ndërkufitar.</w:t>
      </w:r>
    </w:p>
    <w:p w14:paraId="07A96483" w14:textId="77777777" w:rsidR="007A2D55" w:rsidRPr="007A2D55" w:rsidRDefault="007A2D55" w:rsidP="007A2D55">
      <w:pPr>
        <w:spacing w:before="240"/>
        <w:ind w:left="360"/>
        <w:jc w:val="both"/>
        <w:rPr>
          <w:i/>
          <w:iCs/>
          <w:lang w:val="en-US"/>
        </w:rPr>
      </w:pPr>
      <w:r w:rsidRPr="007A2D55">
        <w:rPr>
          <w:i/>
          <w:iCs/>
          <w:lang w:val="en-US"/>
        </w:rPr>
        <w:t>Çështjet që synohen të trajtohen</w:t>
      </w:r>
    </w:p>
    <w:p w14:paraId="628168B4" w14:textId="77777777" w:rsidR="00AF4FAA" w:rsidRPr="00AF4FAA" w:rsidRDefault="00AF4FAA" w:rsidP="00AF4FAA">
      <w:pPr>
        <w:spacing w:before="240"/>
        <w:ind w:left="360"/>
        <w:jc w:val="both"/>
        <w:rPr>
          <w:lang w:val="en-US"/>
        </w:rPr>
      </w:pPr>
      <w:r w:rsidRPr="00AF4FAA">
        <w:rPr>
          <w:lang w:val="en-US"/>
        </w:rPr>
        <w:t>Nëpërmjet ndërhyrjes legjislative synohet kalimi nga përafrimi i pjesshëm në përafrimin e plotë të ligjit nr. 76/2023 me Direktivën IORP II, duke ruajtur strukturën bazë të kuadrit vendas për pensionet private me kontribute të përcaktuara dhe duke ndërhyrë vetëm në ato fusha ku janë identifikuar boshllëqe ose nevojë për qartësim të mëtejshëm.</w:t>
      </w:r>
    </w:p>
    <w:p w14:paraId="199AACFE" w14:textId="4F8505BB" w:rsidR="00AF4FAA" w:rsidRPr="00AF4FAA" w:rsidRDefault="00AF4FAA" w:rsidP="00AF4FAA">
      <w:pPr>
        <w:spacing w:before="240"/>
        <w:ind w:left="360"/>
        <w:jc w:val="both"/>
        <w:rPr>
          <w:lang w:val="en-US"/>
        </w:rPr>
      </w:pPr>
      <w:r w:rsidRPr="00AF4FAA">
        <w:rPr>
          <w:lang w:val="en-US"/>
        </w:rPr>
        <w:t xml:space="preserve">Në planin e qeverisjes, ndryshimet e propozuara synojnë të përcaktojnë më qartë përgjegjësinë </w:t>
      </w:r>
      <w:r w:rsidR="00F45823">
        <w:rPr>
          <w:lang w:val="en-US"/>
        </w:rPr>
        <w:t>fundore</w:t>
      </w:r>
      <w:r w:rsidRPr="00AF4FAA">
        <w:rPr>
          <w:lang w:val="en-US"/>
        </w:rPr>
        <w:t xml:space="preserve"> të organit drejtues ose mbikëqyrës dhe të forcojnë organizimin e funksioneve kryesore. Përcaktimi më i plotë i funksionit të administrimit të rrezikut, funksionit të auditimit të brendshëm dhe, në rastet kur është i zbatueshëm, funksionit aktuarial, synon të shmangë mbivendosjen e përgjegjësive, konfliktet e interesit dhe mosraportimin e mangësive materiale. Në këtë kuadër, parashikohen edhe detyrime të posaçme raportimi kur personat që ushtrojnë funksione kryesore konstatojnë rreziqe të rëndësishme që nuk trajtohen në kohë nga organet drejtuese.</w:t>
      </w:r>
    </w:p>
    <w:p w14:paraId="5DEB3974" w14:textId="77777777" w:rsidR="00AF4FAA" w:rsidRPr="00AF4FAA" w:rsidRDefault="00AF4FAA" w:rsidP="00AF4FAA">
      <w:pPr>
        <w:spacing w:before="240"/>
        <w:ind w:left="360"/>
        <w:jc w:val="both"/>
        <w:rPr>
          <w:lang w:val="en-US"/>
        </w:rPr>
      </w:pPr>
      <w:r w:rsidRPr="00AF4FAA">
        <w:rPr>
          <w:lang w:val="en-US"/>
        </w:rPr>
        <w:t>Një tjetër drejtim i ndërhyrjes lidhet me forcimin e qasjes parandaluese në administrimin e rrezikut. Nëpërmjet vetëvlerësimit të rrezikut, shoqëria administruese duhet të identifikojë dhe të vlerësojë rreziqet ndaj të cilave ajo dhe fondet nën administrim janë ose mund të jenë të ekspozuara, të shqyrtojë efektivitetin e sistemit të administrimit të rrezikut dhe të marrë parasysh rezultatet e këtij vlerësimi në vendimmarrjen strategjike. Kuadri në fuqi përmban tashmë elemente të këtij mekanizmi, por ndryshimet e propozuara e plotësojnë atë me kategoritë, proceset dhe kërkesat e parashikuara në Direktivën IORP II.</w:t>
      </w:r>
    </w:p>
    <w:p w14:paraId="2408054A" w14:textId="77777777" w:rsidR="00AF4FAA" w:rsidRPr="00AF4FAA" w:rsidRDefault="00AF4FAA" w:rsidP="00AF4FAA">
      <w:pPr>
        <w:spacing w:before="240"/>
        <w:ind w:left="360"/>
        <w:jc w:val="both"/>
        <w:rPr>
          <w:lang w:val="en-US"/>
        </w:rPr>
      </w:pPr>
      <w:r w:rsidRPr="00AF4FAA">
        <w:rPr>
          <w:lang w:val="en-US"/>
        </w:rPr>
        <w:t>Në fushën e investimeve, synohet një harmonizim i mëtejshëm i administrimit të aktiveve me parimin e personit të kujdesshëm. Theksi vendoset te cilësia e procesit të vendimmarrjes, diversifikimi, likuiditeti, administrimi i përqendrimit dhe identifikimi i rreziqeve që lidhen me portofolin. Ndërhyrja nuk synon t’u imponojë shoqërive administruese investimin në kategori të caktuara aktivesh, por kërkon që faktorët mjedisorë, socialë dhe të qeverisjes të merren parasysh në politikën e investimit dhe në administrimin e rrezikut, në masën që janë të rëndësishëm për natyrën e aktiveve dhe detyrimeve për pension.</w:t>
      </w:r>
    </w:p>
    <w:p w14:paraId="62BF9BCE" w14:textId="77777777" w:rsidR="00AF4FAA" w:rsidRPr="00AF4FAA" w:rsidRDefault="00AF4FAA" w:rsidP="00AF4FAA">
      <w:pPr>
        <w:spacing w:before="240"/>
        <w:ind w:left="360"/>
        <w:jc w:val="both"/>
        <w:rPr>
          <w:lang w:val="en-US"/>
        </w:rPr>
      </w:pPr>
      <w:r w:rsidRPr="00AF4FAA">
        <w:rPr>
          <w:lang w:val="en-US"/>
        </w:rPr>
        <w:t>Ndryshimet synojnë gjithashtu të përmirësojnë cilësinë dhe dobishmërinë e informacionit që u jepet anëtarëve dhe përfituesve. Informacioni duhet të jetë jo vetëm i disponueshëm, por edhe i standardizuar, i kuptueshëm dhe i përshtatshëm për vendimmarrje. Dokumenti “Gjendja e Llogarisë së Përfitimeve të Pensionit” duhet t’i mundësojë anëtarit të kuptojë kontributet e paguara, vlerën e grumbulluar, kostot, parashikimet e përfitimeve dhe skenarët përkatës. Standardizimi i këtij informacioni synon të lehtësojë krahasimin, planifikimin financiar dhe identifikimin në kohë të mospërputhjeve në llogarinë individuale.</w:t>
      </w:r>
    </w:p>
    <w:p w14:paraId="6BC92951" w14:textId="77777777" w:rsidR="00AF4FAA" w:rsidRPr="00AF4FAA" w:rsidRDefault="00AF4FAA" w:rsidP="00AF4FAA">
      <w:pPr>
        <w:spacing w:before="240"/>
        <w:ind w:left="360"/>
        <w:jc w:val="both"/>
        <w:rPr>
          <w:lang w:val="en-US"/>
        </w:rPr>
      </w:pPr>
      <w:r w:rsidRPr="00AF4FAA">
        <w:rPr>
          <w:lang w:val="en-US"/>
        </w:rPr>
        <w:t>Në funksion të anëtarësimit në Bashkimin Evropian, ndërhyrja krijon edhe bazën ligjore për ushtrimin e veprimtarisë ndërkufitare dhe transferimin ndërkufitar të skemave të pensionit. Ajo parashikon kushtet në të cilat subjektet e vendosura në Shqipëri mund të ushtrojnë veprimtari në një shtet anëtar, si dhe kushtet në të cilat institucionet e pensionit profesional të vendosura në një shtet anëtar mund të ushtrojnë veprimtari në Shqipëri. Në këtë kuadër trajtohen edhe kërkesat për skemat me përfitime të përcaktuara, vetëm në rastet kur ato administrohen në kuadër të veprimtarisë ndërkufitare. Këto dispozita nuk lidhen me një veprimtari që zhvillohet aktualisht në tregun vendas, por janë të nevojshme që kuadri ligjor të jetë funksional nga data e anëtarësimit.</w:t>
      </w:r>
    </w:p>
    <w:p w14:paraId="1F42EF74" w14:textId="77777777" w:rsidR="00AF4FAA" w:rsidRPr="00AF4FAA" w:rsidRDefault="00AF4FAA" w:rsidP="00AF4FAA">
      <w:pPr>
        <w:spacing w:before="240"/>
        <w:ind w:left="360"/>
        <w:jc w:val="both"/>
        <w:rPr>
          <w:lang w:val="en-US"/>
        </w:rPr>
      </w:pPr>
      <w:r w:rsidRPr="00AF4FAA">
        <w:rPr>
          <w:lang w:val="en-US"/>
        </w:rPr>
        <w:t>Ndërhyrja synon gjithashtu të krijojë bazën e plotë ligjore për bashkëpunimin, shkëmbimin e informacionit dhe koordinimin me autoritetet mbikëqyrëse të shteteve anëtare dhe me EIOPA-n, si dhe për raportimin e informacionit në Platformën e Vetme Evropiane të Aksesit, sipas afateve të zbatueshme.</w:t>
      </w:r>
    </w:p>
    <w:p w14:paraId="65E905B0" w14:textId="77777777" w:rsidR="00AF4FAA" w:rsidRPr="00AF4FAA" w:rsidRDefault="00AF4FAA" w:rsidP="00AF4FAA">
      <w:pPr>
        <w:spacing w:before="240"/>
        <w:ind w:left="360"/>
        <w:jc w:val="both"/>
        <w:rPr>
          <w:lang w:val="en-US"/>
        </w:rPr>
      </w:pPr>
      <w:r w:rsidRPr="00AF4FAA">
        <w:rPr>
          <w:lang w:val="en-US"/>
        </w:rPr>
        <w:t>Në planin mbikëqyrës, ndonëse Autoriteti i Mbikëqyrjes Financiare zbaton tashmë elemente të mbikëqyrjes me bazë rreziku, ndryshimet e propozuara synojnë ta konsolidojnë këtë qasje në nivel ligjor. Kjo përfshin zhvillimin e procesit të rishikimit mbikëqyrës, kombinimin e mbikëqyrjes në distancë me inspektimet në vend, përdorimin e testeve të stresit, në rastet kur është e nevojshme, dhe vlerësimin cilësor të qeverisjes, profilit të rrezikut dhe aftësisë së subjektit për administrimin e tij.</w:t>
      </w:r>
    </w:p>
    <w:p w14:paraId="3E6A30B4" w14:textId="308EB67F" w:rsidR="00C8473B" w:rsidRPr="00C8473B" w:rsidRDefault="00AF4FAA" w:rsidP="00F45823">
      <w:pPr>
        <w:spacing w:before="240"/>
        <w:ind w:left="360"/>
        <w:jc w:val="both"/>
        <w:rPr>
          <w:lang w:val="en-US"/>
        </w:rPr>
      </w:pPr>
      <w:r w:rsidRPr="00AF4FAA">
        <w:rPr>
          <w:lang w:val="en-US"/>
        </w:rPr>
        <w:t>Në këtë mënyrë, ndërhyrja nuk synon vetëm eliminimin e mospërputhjeve juridike me Direktivën IORP II, por edhe krijimin e një kuadri më koherent, të parashikueshëm dhe efektiv për shoqëritë administruese, anëtarët, përfituesit dhe Autoritetin e Mbikëqyrjes Financiare.</w:t>
      </w:r>
    </w:p>
    <w:p w14:paraId="3823F762" w14:textId="77777777" w:rsidR="007A2D55" w:rsidRPr="007A2D55" w:rsidRDefault="007A2D55" w:rsidP="007A2D55">
      <w:pPr>
        <w:spacing w:before="240"/>
        <w:ind w:left="360"/>
        <w:jc w:val="both"/>
        <w:rPr>
          <w:i/>
          <w:iCs/>
          <w:lang w:val="en-US"/>
        </w:rPr>
      </w:pPr>
      <w:r w:rsidRPr="007A2D55">
        <w:rPr>
          <w:i/>
          <w:iCs/>
          <w:lang w:val="en-US"/>
        </w:rPr>
        <w:t>Shkalla dhe instrumentet e ndërhyrjes</w:t>
      </w:r>
    </w:p>
    <w:p w14:paraId="56D6427E" w14:textId="77777777" w:rsidR="007A2D55" w:rsidRPr="007A2D55" w:rsidRDefault="007A2D55" w:rsidP="007A2D55">
      <w:pPr>
        <w:spacing w:before="240"/>
        <w:ind w:left="360"/>
        <w:jc w:val="both"/>
        <w:rPr>
          <w:lang w:val="en-US"/>
        </w:rPr>
      </w:pPr>
      <w:r w:rsidRPr="007A2D55">
        <w:rPr>
          <w:lang w:val="en-US"/>
        </w:rPr>
        <w:t>Natyra e problemeve të identifikuara kërkon ndërhyrje në ligjin nr. 76/2023. Udhëzimet, rekomandimet mbikëqyrëse ose masat administrative mund të përmirësojnë praktikat e subjekteve, por nuk mund të ndryshojnë fushën e zbatimit të ligjit, të krijojnë detyrime të reja, të përcaktojnë kompetenca mbikëqyrëse, të rregullojnë transferimet ndërkufitare ose të krijojnë bazën juridike për bashkëpunimin me autoritetet e shteteve anëtare.</w:t>
      </w:r>
    </w:p>
    <w:p w14:paraId="74C1B815" w14:textId="77777777" w:rsidR="007A2D55" w:rsidRPr="007A2D55" w:rsidRDefault="007A2D55" w:rsidP="007A2D55">
      <w:pPr>
        <w:spacing w:before="240"/>
        <w:ind w:left="360"/>
        <w:jc w:val="both"/>
        <w:rPr>
          <w:lang w:val="en-US"/>
        </w:rPr>
      </w:pPr>
      <w:r w:rsidRPr="007A2D55">
        <w:rPr>
          <w:lang w:val="en-US"/>
        </w:rPr>
        <w:t>Për këtë arsye, ndërhyrja parashikohet në dy nivele:</w:t>
      </w:r>
    </w:p>
    <w:p w14:paraId="46BFF570" w14:textId="77777777" w:rsidR="007A2D55" w:rsidRPr="007A2D55" w:rsidRDefault="007A2D55" w:rsidP="008E4E22">
      <w:pPr>
        <w:numPr>
          <w:ilvl w:val="0"/>
          <w:numId w:val="22"/>
        </w:numPr>
        <w:spacing w:before="240"/>
        <w:jc w:val="both"/>
        <w:rPr>
          <w:lang w:val="en-US"/>
        </w:rPr>
      </w:pPr>
      <w:r w:rsidRPr="007A2D55">
        <w:rPr>
          <w:lang w:val="en-US"/>
        </w:rPr>
        <w:t xml:space="preserve">Ndryshimi dhe plotësimi i legjislacionit parësor, për çështjet që lidhen me fushën e zbatimit, të drejtat, detyrimet, përgjegjësitë, kompetencat mbikëqyrëse dhe mekanizmat ndërkufitarë. </w:t>
      </w:r>
    </w:p>
    <w:p w14:paraId="4D37B49C" w14:textId="77777777" w:rsidR="007A2D55" w:rsidRPr="007A2D55" w:rsidRDefault="007A2D55" w:rsidP="008E4E22">
      <w:pPr>
        <w:numPr>
          <w:ilvl w:val="0"/>
          <w:numId w:val="22"/>
        </w:numPr>
        <w:spacing w:before="240"/>
        <w:jc w:val="both"/>
        <w:rPr>
          <w:lang w:val="en-US"/>
        </w:rPr>
      </w:pPr>
      <w:r w:rsidRPr="007A2D55">
        <w:rPr>
          <w:lang w:val="en-US"/>
        </w:rPr>
        <w:t xml:space="preserve">Miratimi ose përshtatja e akteve nënligjore dhe e praktikave mbikëqyrëse, për përcaktimin e kërkesave teknike, formateve të raportimit, metodologjive të vlerësimit të rrezikut, përmbajtjes së informacionit për anëtarët dhe procedurave të bashkëpunimit. </w:t>
      </w:r>
    </w:p>
    <w:p w14:paraId="6D18A63A" w14:textId="77777777" w:rsidR="007A2D55" w:rsidRDefault="007A2D55" w:rsidP="007A2D55">
      <w:pPr>
        <w:spacing w:before="240"/>
        <w:ind w:left="360"/>
        <w:jc w:val="both"/>
        <w:rPr>
          <w:lang w:val="en-US"/>
        </w:rPr>
      </w:pPr>
      <w:r w:rsidRPr="007A2D55">
        <w:rPr>
          <w:lang w:val="en-US"/>
        </w:rPr>
        <w:t>Dispozitat që lidhen drejtpërdrejt me ushtrimin e të drejtave dhe detyrimeve brenda tregut të Bashkimit Evropian do të zbatohen nga data e anëtarësimit të Republikës së Shqipërisë në Bashkimin Evropian. Kjo qasje shmang vendosjen e detyrimeve që nuk mund të zbatohen ende në kushtet aktuale, ndërkohë që siguron që kuadri ligjor të jetë i gatshëm në momentin e anëtarësimit.</w:t>
      </w:r>
    </w:p>
    <w:p w14:paraId="4AA1AAAE" w14:textId="77777777" w:rsidR="00A2667E" w:rsidRPr="00A2667E" w:rsidRDefault="00A2667E" w:rsidP="00A2667E">
      <w:pPr>
        <w:spacing w:before="240"/>
        <w:ind w:left="360"/>
        <w:jc w:val="both"/>
        <w:rPr>
          <w:lang w:val="en-US"/>
        </w:rPr>
      </w:pPr>
      <w:r w:rsidRPr="00A2667E">
        <w:rPr>
          <w:lang w:val="en-US"/>
        </w:rPr>
        <w:t>Ndërhyrja është konceptuar në mënyrë proporcionale me strukturën dhe nivelin e zhvillimit të tregut shqiptar. Ajo nuk ndryshon modelin vendas të fondeve të pensionit privat me kontribute të</w:t>
      </w:r>
      <w:r w:rsidRPr="00A2667E">
        <w:rPr>
          <w:b/>
          <w:bCs/>
          <w:lang w:val="en-US"/>
        </w:rPr>
        <w:t xml:space="preserve"> </w:t>
      </w:r>
      <w:r w:rsidRPr="00A2667E">
        <w:rPr>
          <w:lang w:val="en-US"/>
        </w:rPr>
        <w:t>përcaktuara</w:t>
      </w:r>
      <w:r w:rsidRPr="00A2667E">
        <w:rPr>
          <w:b/>
          <w:bCs/>
          <w:lang w:val="en-US"/>
        </w:rPr>
        <w:t xml:space="preserve"> </w:t>
      </w:r>
      <w:r w:rsidRPr="00A2667E">
        <w:rPr>
          <w:lang w:val="en-US"/>
        </w:rPr>
        <w:t>dhe nuk vendos detyrim për punëdhënësit ose individët që të krijojnë ose t’i</w:t>
      </w:r>
      <w:r w:rsidRPr="00A2667E">
        <w:rPr>
          <w:b/>
          <w:bCs/>
          <w:lang w:val="en-US"/>
        </w:rPr>
        <w:t xml:space="preserve"> </w:t>
      </w:r>
      <w:r w:rsidRPr="00A2667E">
        <w:rPr>
          <w:lang w:val="en-US"/>
        </w:rPr>
        <w:t xml:space="preserve">bashkohen një skeme pensioni privat. Skemat me përfitime të përcaktuara nuk prezantohen si produkt për tregun vendas; ato trajtohen vetëm për rastet që mund të lindin në kuadër të veprimtarisë ndërkufitare, kur lejohen nga legjislacioni i shtetit anëtar pritës. </w:t>
      </w:r>
    </w:p>
    <w:p w14:paraId="371DC1C8" w14:textId="77777777" w:rsidR="00A2667E" w:rsidRPr="00A2667E" w:rsidRDefault="00A2667E" w:rsidP="00A2667E">
      <w:pPr>
        <w:spacing w:before="240"/>
        <w:ind w:left="360"/>
        <w:jc w:val="both"/>
        <w:rPr>
          <w:lang w:val="en-US"/>
        </w:rPr>
      </w:pPr>
      <w:r w:rsidRPr="00A2667E">
        <w:rPr>
          <w:lang w:val="en-US"/>
        </w:rPr>
        <w:t xml:space="preserve">Projektligji ruan gjithashtu zbatimin e parimit të proporcionalitetit sipas madhësisë, natyrës, shkallës dhe kompleksitetit të veprimtarisë. Ky parim është veçanërisht i rëndësishëm për një treg me numër të kufizuar operatorësh, pasi kërkesat organizative dhe të kontrollit duhet të jenë efektive pa krijuar struktura të panevojshme ose barrë të pajustifikuar. Për shembull, funksioni i auditimit të brendshëm, politikat, sistemet dhe procedurat duhet të jenë të përshtatshme dhe proporcionale me profilin e subjektit. </w:t>
      </w:r>
    </w:p>
    <w:p w14:paraId="02B941ED" w14:textId="136FA86C" w:rsidR="00A2667E" w:rsidRPr="007A2D55" w:rsidRDefault="00A2667E" w:rsidP="00E731E9">
      <w:pPr>
        <w:spacing w:before="240"/>
        <w:ind w:left="360"/>
        <w:jc w:val="both"/>
        <w:rPr>
          <w:lang w:val="en-US"/>
        </w:rPr>
      </w:pPr>
      <w:r w:rsidRPr="00A2667E">
        <w:rPr>
          <w:lang w:val="en-US"/>
        </w:rPr>
        <w:t>Ndarja ndërmjet ligjit dhe akteve nënligjore ndjek të njëjtën logjikë. Çështjet që krijojnë të drejta, detyrime, kompetenca ose garanci thelbësore rregullohen në ligj, ndërsa formatet, metodologjitë, kriteret teknike dhe procedurat e hollësishme u lihen akteve nënligjore të Autoritetit. Kjo shmang ngarkimin e ligjit me hollësi teknike që mund të kërkojnë përditësim, duke ruajtur njëkohësisht sigurinë juridike për çështjet thelbësore.</w:t>
      </w:r>
    </w:p>
    <w:p w14:paraId="65ADEBF0" w14:textId="77777777" w:rsidR="007A2D55" w:rsidRPr="007A2D55" w:rsidRDefault="007A2D55" w:rsidP="007A2D55">
      <w:pPr>
        <w:spacing w:before="240"/>
        <w:ind w:left="360"/>
        <w:jc w:val="both"/>
        <w:rPr>
          <w:i/>
          <w:iCs/>
          <w:lang w:val="en-US"/>
        </w:rPr>
      </w:pPr>
      <w:r w:rsidRPr="007A2D55">
        <w:rPr>
          <w:i/>
          <w:iCs/>
          <w:lang w:val="en-US"/>
        </w:rPr>
        <w:t>Lidhja me objektivat e nivelit të lartë të qeverisë</w:t>
      </w:r>
    </w:p>
    <w:p w14:paraId="08B23537" w14:textId="77777777" w:rsidR="006106AB" w:rsidRPr="006106AB" w:rsidRDefault="006106AB" w:rsidP="006106AB">
      <w:pPr>
        <w:spacing w:before="240"/>
        <w:ind w:left="360"/>
        <w:jc w:val="both"/>
        <w:rPr>
          <w:lang w:val="en-US"/>
        </w:rPr>
      </w:pPr>
      <w:r w:rsidRPr="006106AB">
        <w:rPr>
          <w:lang w:val="en-US"/>
        </w:rPr>
        <w:t xml:space="preserve">Ndërhyrja mbështet drejtpërdrejt objektivin strategjik të anëtarësimit të Republikës së Shqipërisë në Bashkimin Evropian dhe përmbushjen e detyrimeve të përafrimit në kuadër të Grupkapitullit 2 “Tregu i Brendshëm” dhe Kapitullit 9 “Shërbimet financiare”. Plani Kombëtar për Integrimin Evropian dhe programet analitike të harmonizimit me acquis parashikojnë transpozimin e plotë të Direktivës IORP II. </w:t>
      </w:r>
    </w:p>
    <w:p w14:paraId="73BFB18A" w14:textId="77777777" w:rsidR="000C2760" w:rsidRPr="000C2760" w:rsidRDefault="000C2760" w:rsidP="000C2760">
      <w:pPr>
        <w:spacing w:before="240"/>
        <w:ind w:left="360"/>
        <w:jc w:val="both"/>
        <w:rPr>
          <w:lang w:val="en-US"/>
        </w:rPr>
      </w:pPr>
      <w:r w:rsidRPr="000C2760">
        <w:rPr>
          <w:lang w:val="en-US"/>
        </w:rPr>
        <w:t xml:space="preserve">Ndërhyrja është në përputhje me Strategjinë Kombëtare për Zhvillim dhe Integrim Evropian 2022–2030, të miratuar me vendimin nr. 88, datë 22.2.2023, të Këshillit të Ministrave. Kjo strategji përbën dokumentin kryesor kombëtar që lidh zhvillimin e qëndrueshëm ekonomik dhe shoqëror me përmbushjen e standardeve dhe përparimin në procesin e integrimit evropian. Plotësimi i kuadrit për pensionet private kontribuon në këtë drejtim nëpërmjet përafrimit ligjor, forcimit institucional dhe përgatitjes së tregut për zbatimin e rregullave të tregut të brendshëm. </w:t>
      </w:r>
    </w:p>
    <w:p w14:paraId="1C0AEA1B" w14:textId="77777777" w:rsidR="000C2760" w:rsidRPr="000C2760" w:rsidRDefault="000C2760" w:rsidP="000C2760">
      <w:pPr>
        <w:spacing w:before="240"/>
        <w:ind w:left="360"/>
        <w:jc w:val="both"/>
        <w:rPr>
          <w:lang w:val="en-US"/>
        </w:rPr>
      </w:pPr>
      <w:r w:rsidRPr="000C2760">
        <w:rPr>
          <w:lang w:val="en-US"/>
        </w:rPr>
        <w:t xml:space="preserve">Ndërhyrja lidhet edhe me Dokumentin Politik “Për krijimin e një mjedisi mundësues për zhvillimin e tregjeve të kapitalit në Shqipëri, 2023–2027”, të miratuar me vendimin nr. 266, datë 27.4.2023, të Këshillit të Ministrave. Fondet e pensionit privat janë pjesë e bazës së investitorëve institucionalë dhe administrojnë kursime afatgjata që mund të mbështesin zhvillimin e tregjeve financiare. Forcimi i qeverisjes, administrimit të rrezikut dhe transparencës krijon kushte më të qëndrueshme për zhvillimin e këtij segmenti, pa nënkuptuar se ndryshimet ligjore do të sjellin automatikisht rritje të anëtarësimit ose të investimeve. </w:t>
      </w:r>
    </w:p>
    <w:p w14:paraId="69C3C1BB" w14:textId="77777777" w:rsidR="000C2760" w:rsidRPr="000C2760" w:rsidRDefault="000C2760" w:rsidP="000C2760">
      <w:pPr>
        <w:spacing w:before="240"/>
        <w:ind w:left="360"/>
        <w:jc w:val="both"/>
        <w:rPr>
          <w:lang w:val="en-US"/>
        </w:rPr>
      </w:pPr>
      <w:r w:rsidRPr="000C2760">
        <w:rPr>
          <w:lang w:val="en-US"/>
        </w:rPr>
        <w:t xml:space="preserve">Në nivel sektorial, ndërhyrja mbështet Strategjinë e Autoritetit të Mbikëqyrjes Financiare 2023–2027, të miratuar me vendimin nr. 34, datë 31.3.2023, të Bordit të Autoritetit. Ndër prioritetet e kësaj strategjie janë forcimi i stabilitetit financiar, rritja e efektivitetit të mbikëqyrjes dhe integritetit të tregjeve, përafrimi me standardet evropiane, zhvillimi dhe modernizimi i tregjeve dhe mbrojtja e konsumatorëve dhe investitorëve. Projektligji lidhet drejtpërdrejt me këto prioritete nëpërmjet konsolidimit të mbikëqyrjes me bazë rreziku dhe forcimit të standardeve të qeverisjes dhe informimit. </w:t>
      </w:r>
    </w:p>
    <w:p w14:paraId="15EC1E6B" w14:textId="77777777" w:rsidR="000C2760" w:rsidRPr="000C2760" w:rsidRDefault="000C2760" w:rsidP="000C2760">
      <w:pPr>
        <w:spacing w:before="240"/>
        <w:ind w:left="360"/>
        <w:jc w:val="both"/>
        <w:rPr>
          <w:lang w:val="en-US"/>
        </w:rPr>
      </w:pPr>
      <w:r w:rsidRPr="000C2760">
        <w:rPr>
          <w:lang w:val="en-US"/>
        </w:rPr>
        <w:t xml:space="preserve">Projektligji mbështet gjithashtu Strategjinë e Autoritetit të Mbikëqyrjes Financiare për Edukim dhe Përfshirje Financiare 2023–2027, të miratuar me vendimin nr. 145, datë 31.8.2023, të Bordit të Autoritetit. Kërkesat për informacion të qartë, të kuptueshëm dhe të standardizuar për anëtarët dhe përfituesit lidhen me objektivat për përmirësimin e njohurive financiare, vendimmarrjes së informuar dhe besimit në produktet dhe institucionet financiare. </w:t>
      </w:r>
    </w:p>
    <w:p w14:paraId="77FC896F" w14:textId="77777777" w:rsidR="007A2D55" w:rsidRPr="007A2D55" w:rsidRDefault="007A2D55" w:rsidP="007A2D55">
      <w:pPr>
        <w:spacing w:before="240"/>
        <w:ind w:left="360"/>
        <w:jc w:val="both"/>
        <w:rPr>
          <w:i/>
          <w:iCs/>
          <w:lang w:val="en-US"/>
        </w:rPr>
      </w:pPr>
      <w:r w:rsidRPr="007A2D55">
        <w:rPr>
          <w:i/>
          <w:iCs/>
          <w:lang w:val="en-US"/>
        </w:rPr>
        <w:t>Puna e realizuar deri më tani</w:t>
      </w:r>
    </w:p>
    <w:p w14:paraId="45B4F2FC" w14:textId="77777777" w:rsidR="00932246" w:rsidRPr="00932246" w:rsidRDefault="00932246" w:rsidP="00932246">
      <w:pPr>
        <w:spacing w:before="240"/>
        <w:ind w:left="360"/>
        <w:jc w:val="both"/>
        <w:rPr>
          <w:lang w:val="en-US"/>
        </w:rPr>
      </w:pPr>
      <w:r w:rsidRPr="00932246">
        <w:rPr>
          <w:lang w:val="en-US"/>
        </w:rPr>
        <w:t>Në vitin 2023 u miratua ligji nr. 76/2023, “Për fondet e pensionit privat”, i cili reformoi kuadrin e mëparshëm, zgjeroi kërkesat për licencimin, qeverisjen, investimet, administrimin e rrezikut, depozitarin dhe informimin e anëtarëve dhe realizoi përafrimin e pjesshëm me Direktivën IORP II. Pas miratimit të ligjit, Autoriteti hartoi dhe miratoi aktet nënligjore të nevojshme për zbatimin e tij dhe zhvilloi procesin e përshtatjes së subjekteve ekzistuese.</w:t>
      </w:r>
    </w:p>
    <w:p w14:paraId="49DA8DFB" w14:textId="77777777" w:rsidR="00932246" w:rsidRPr="00932246" w:rsidRDefault="00932246" w:rsidP="00932246">
      <w:pPr>
        <w:spacing w:before="240"/>
        <w:ind w:left="360"/>
        <w:jc w:val="both"/>
        <w:rPr>
          <w:lang w:val="en-US"/>
        </w:rPr>
      </w:pPr>
      <w:r w:rsidRPr="00932246">
        <w:rPr>
          <w:lang w:val="en-US"/>
        </w:rPr>
        <w:t>Në vijim, Autoriteti ka monitoruar zbatimin e kuadrit të ri nëpërmjet raportimit, mbikëqyrjes në distancë, inspektimeve dhe vlerësimit me bazë rreziku. Kjo përvojë ka shërbyer për të dalluar çështjet që mund të trajtohen me akte nënligjore ose praktikë mbikëqyrëse nga ato që kërkojnë ndërhyrje në ligj.</w:t>
      </w:r>
    </w:p>
    <w:p w14:paraId="6085A741" w14:textId="77777777" w:rsidR="00932246" w:rsidRPr="00932246" w:rsidRDefault="00932246" w:rsidP="00932246">
      <w:pPr>
        <w:spacing w:before="240"/>
        <w:ind w:left="360"/>
        <w:jc w:val="both"/>
        <w:rPr>
          <w:lang w:val="en-US"/>
        </w:rPr>
      </w:pPr>
      <w:r w:rsidRPr="00932246">
        <w:rPr>
          <w:lang w:val="en-US"/>
        </w:rPr>
        <w:t xml:space="preserve">Autoriteti i Mbikëqyrjes Financiare, me mbështetjen e Bankës Botërore dhe ekspertizës juridike vendase, ka shqyrtuar dispozitat e Direktivës IORP II kundrejt ligjit nr. 76/2023. Në përfundim të këtij shqyrtimi është hartuar tabela e përputhshmërisë, nëpërmjet së cilës janë identifikuar dispozitat e transpozuara plotësisht, dispozitat e transpozuara pjesërisht dhe kërkesat që nuk ishin pasqyruar ende në kuadrin shqiptar. </w:t>
      </w:r>
    </w:p>
    <w:p w14:paraId="026E56FD" w14:textId="77777777" w:rsidR="00932246" w:rsidRPr="00932246" w:rsidRDefault="00932246" w:rsidP="00932246">
      <w:pPr>
        <w:spacing w:before="240"/>
        <w:ind w:left="360"/>
        <w:jc w:val="both"/>
        <w:rPr>
          <w:lang w:val="en-US"/>
        </w:rPr>
      </w:pPr>
      <w:r w:rsidRPr="00932246">
        <w:rPr>
          <w:lang w:val="en-US"/>
        </w:rPr>
        <w:t xml:space="preserve">Analiza është mbështetur edhe në shqyrtimin krahasues të mënyrës së zbatimit të IORP II në vende me modele të ndryshme pensioni, përfshirë Kroacinë, Irlandën dhe Mbretërinë e Bashkuar. Qëllimi i kësaj analize nuk ka qenë kopjimi i një modeli të huaj, por identifikimi i zgjidhjeve që mund të përshtaten me strukturën ligjore dhe institucionale të Shqipërisë. </w:t>
      </w:r>
    </w:p>
    <w:p w14:paraId="5E0BCA60" w14:textId="77777777" w:rsidR="00932246" w:rsidRPr="00932246" w:rsidRDefault="00932246" w:rsidP="00932246">
      <w:pPr>
        <w:spacing w:before="240"/>
        <w:ind w:left="360"/>
        <w:jc w:val="both"/>
        <w:rPr>
          <w:lang w:val="en-US"/>
        </w:rPr>
      </w:pPr>
      <w:r w:rsidRPr="00932246">
        <w:rPr>
          <w:lang w:val="en-US"/>
        </w:rPr>
        <w:t xml:space="preserve">Pas analizës fillestare, propozimet janë diskutuar dhe rishikuar për të përcaktuar nëse çdo ndryshim ishte i nevojshëm për transpozimin dhe nëse mund të integrohej në mënyrë koherente në ligjin ekzistues. Në këtë fazë është shqyrtuar alternativa e miratimit të një ligji të ri, por është përzgjedhur ndryshimi i ligjit nr. 76/2023 për të kufizuar kostot e përshtatjes dhe për të ruajtur vazhdimësinë e kuadrit. </w:t>
      </w:r>
    </w:p>
    <w:p w14:paraId="055FB400" w14:textId="77777777" w:rsidR="00932246" w:rsidRPr="00932246" w:rsidRDefault="00932246" w:rsidP="00932246">
      <w:pPr>
        <w:spacing w:before="240"/>
        <w:ind w:left="360"/>
        <w:jc w:val="both"/>
        <w:rPr>
          <w:lang w:val="en-US"/>
        </w:rPr>
      </w:pPr>
      <w:r w:rsidRPr="00932246">
        <w:rPr>
          <w:lang w:val="en-US"/>
        </w:rPr>
        <w:t xml:space="preserve">Mbi këtë bazë janë përgatitur projektligji, relacioni shpjegues, tabela e përputhshmërisë dhe drafti fillestar i raportit të vlerësimit të ndikimit. Projektligji është hartuar nga Autoriteti i Mbikëqyrjes Financiare me mbështetjen teknike të Bankës Botërore, në kuadër të Projektit të Zhvillimit Rregullator Financiar të Shqipërisë. </w:t>
      </w:r>
    </w:p>
    <w:p w14:paraId="4389166D" w14:textId="77777777" w:rsidR="00932246" w:rsidRPr="00932246" w:rsidRDefault="00932246" w:rsidP="00932246">
      <w:pPr>
        <w:spacing w:before="240"/>
        <w:ind w:left="360"/>
        <w:jc w:val="both"/>
        <w:rPr>
          <w:lang w:val="en-US"/>
        </w:rPr>
      </w:pPr>
      <w:r w:rsidRPr="00932246">
        <w:rPr>
          <w:lang w:val="en-US"/>
        </w:rPr>
        <w:t xml:space="preserve">Gjatë procesit të hartimit janë zhvilluar konsultime teknike me Shoqatën e Siguruesve të Jetës, Pensioneve dhe Fondeve të Investimeve të Shqipërisë dhe me shoqëritë administruese të fondeve të pensionit privat të licencuara në vend. Këto konsultime kanë shërbyer për të vlerësuar zbatueshmërinë e kërkesave, nevojat për akte nënligjore dhe çështjet që mund të kërkojnë periudhë përshtatjeje. </w:t>
      </w:r>
    </w:p>
    <w:p w14:paraId="249C857D" w14:textId="338FE3B4" w:rsidR="001226EB" w:rsidRDefault="00932246" w:rsidP="00143E77">
      <w:pPr>
        <w:spacing w:before="240"/>
        <w:ind w:left="360"/>
        <w:jc w:val="both"/>
        <w:rPr>
          <w:lang w:val="en-US"/>
        </w:rPr>
      </w:pPr>
      <w:r w:rsidRPr="00932246">
        <w:rPr>
          <w:lang w:val="en-US"/>
        </w:rPr>
        <w:t xml:space="preserve">Është kryer gjithashtu ndarja e dispozitave sipas kohës së zbatimit. Kërkesat që lidhen me përmirësimin e qeverisjes, administrimit të rrezikut, funksioneve kryesore dhe informimit trajtohen në kuadër të zbatimit të ligjit të ndryshuar, ndërsa dispozitat që varen nga pjesëmarrja në tregun e brendshëm, bashkëpunimi me EIOPA-n dhe ushtrimi i veprimtarisë ndërkufitare parashikohet të zbatohen nga data e anëtarësimit të Republikës së Shqipërisë në Bashkimin Evropian. </w:t>
      </w:r>
    </w:p>
    <w:p w14:paraId="7375A1DD" w14:textId="77777777" w:rsidR="00143E77" w:rsidRPr="00143E77" w:rsidRDefault="00143E77" w:rsidP="00143E77">
      <w:pPr>
        <w:spacing w:before="240"/>
        <w:ind w:left="360"/>
        <w:jc w:val="both"/>
        <w:rPr>
          <w:lang w:val="en-US"/>
        </w:rPr>
      </w:pPr>
    </w:p>
    <w:p w14:paraId="23B9D1CC" w14:textId="030FAE75" w:rsidR="001226EB" w:rsidRPr="007A737A" w:rsidRDefault="004F6C9E">
      <w:pPr>
        <w:pStyle w:val="Heading1"/>
        <w:spacing w:line="276" w:lineRule="auto"/>
        <w:rPr>
          <w:rFonts w:ascii="Times New Roman" w:eastAsia="Times New Roman" w:hAnsi="Times New Roman" w:cs="Times New Roman"/>
          <w:sz w:val="24"/>
          <w:szCs w:val="24"/>
          <w:lang w:val="sq-AL"/>
        </w:rPr>
      </w:pPr>
      <w:r w:rsidRPr="007A737A">
        <w:rPr>
          <w:rFonts w:ascii="Times New Roman" w:eastAsia="Times New Roman" w:hAnsi="Times New Roman" w:cs="Times New Roman"/>
          <w:sz w:val="24"/>
          <w:szCs w:val="24"/>
          <w:lang w:val="sq-AL"/>
        </w:rPr>
        <w:t>Objektivi i politikës</w:t>
      </w:r>
    </w:p>
    <w:p w14:paraId="2AB23A3B" w14:textId="77777777" w:rsidR="001226EB" w:rsidRPr="00016CAA" w:rsidRDefault="004F6C9E" w:rsidP="008E4E22">
      <w:pPr>
        <w:numPr>
          <w:ilvl w:val="0"/>
          <w:numId w:val="13"/>
        </w:numPr>
        <w:pBdr>
          <w:top w:val="nil"/>
          <w:left w:val="nil"/>
          <w:bottom w:val="nil"/>
          <w:right w:val="nil"/>
          <w:between w:val="nil"/>
        </w:pBdr>
        <w:tabs>
          <w:tab w:val="left" w:pos="567"/>
        </w:tabs>
        <w:spacing w:line="276" w:lineRule="auto"/>
        <w:rPr>
          <w:i/>
          <w:color w:val="000000"/>
          <w:lang w:val="sq-AL"/>
        </w:rPr>
      </w:pPr>
      <w:r w:rsidRPr="00016CAA">
        <w:rPr>
          <w:i/>
          <w:color w:val="000000"/>
          <w:lang w:val="sq-AL"/>
        </w:rPr>
        <w:t>Vendosni objektiva që korrespondojnë me problemin dhe shkaqet e tij.</w:t>
      </w:r>
    </w:p>
    <w:p w14:paraId="1270A8FA" w14:textId="77777777" w:rsidR="001226EB" w:rsidRPr="00016CAA" w:rsidRDefault="004F6C9E" w:rsidP="008E4E22">
      <w:pPr>
        <w:numPr>
          <w:ilvl w:val="0"/>
          <w:numId w:val="13"/>
        </w:numPr>
        <w:pBdr>
          <w:top w:val="nil"/>
          <w:left w:val="nil"/>
          <w:bottom w:val="nil"/>
          <w:right w:val="nil"/>
          <w:between w:val="nil"/>
        </w:pBdr>
        <w:tabs>
          <w:tab w:val="left" w:pos="567"/>
        </w:tabs>
        <w:spacing w:line="276" w:lineRule="auto"/>
        <w:rPr>
          <w:i/>
          <w:color w:val="000000"/>
          <w:lang w:val="sq-AL"/>
        </w:rPr>
      </w:pPr>
      <w:r w:rsidRPr="00016CAA">
        <w:rPr>
          <w:i/>
          <w:color w:val="000000"/>
          <w:lang w:val="sq-AL"/>
        </w:rPr>
        <w:t xml:space="preserve">Sigurohuni që objektivat e vendosur të korrespondojnë me ato të dhëna në përmbledhjen ekzekutive, por më të detajuara. </w:t>
      </w:r>
    </w:p>
    <w:p w14:paraId="070F3380" w14:textId="77777777" w:rsidR="001226EB" w:rsidRPr="00866EA4" w:rsidRDefault="004F6C9E" w:rsidP="008E4E22">
      <w:pPr>
        <w:numPr>
          <w:ilvl w:val="0"/>
          <w:numId w:val="13"/>
        </w:numPr>
        <w:pBdr>
          <w:top w:val="nil"/>
          <w:left w:val="nil"/>
          <w:bottom w:val="nil"/>
          <w:right w:val="nil"/>
          <w:between w:val="nil"/>
        </w:pBdr>
        <w:tabs>
          <w:tab w:val="left" w:pos="567"/>
        </w:tabs>
        <w:spacing w:line="276" w:lineRule="auto"/>
        <w:rPr>
          <w:color w:val="000000"/>
          <w:lang w:val="sq-AL"/>
        </w:rPr>
      </w:pPr>
      <w:r w:rsidRPr="00016CAA">
        <w:rPr>
          <w:i/>
          <w:color w:val="000000"/>
          <w:lang w:val="sq-AL"/>
        </w:rPr>
        <w:t>Sigurohuni që objektivat janë specifikë, të matshëm, të arritshëm, realë dhe në kohë.</w:t>
      </w:r>
    </w:p>
    <w:p w14:paraId="46F2A30F" w14:textId="77777777" w:rsidR="00866EA4" w:rsidRDefault="00866EA4" w:rsidP="00866EA4">
      <w:pPr>
        <w:pBdr>
          <w:top w:val="nil"/>
          <w:left w:val="nil"/>
          <w:bottom w:val="nil"/>
          <w:right w:val="nil"/>
          <w:between w:val="nil"/>
        </w:pBdr>
        <w:tabs>
          <w:tab w:val="left" w:pos="567"/>
        </w:tabs>
        <w:spacing w:line="276" w:lineRule="auto"/>
        <w:rPr>
          <w:i/>
          <w:color w:val="000000"/>
          <w:lang w:val="sq-AL"/>
        </w:rPr>
      </w:pPr>
    </w:p>
    <w:p w14:paraId="2689680D" w14:textId="77777777" w:rsidR="00175BA2" w:rsidRPr="00175BA2" w:rsidRDefault="00175BA2" w:rsidP="00175BA2">
      <w:pPr>
        <w:pBdr>
          <w:top w:val="nil"/>
          <w:left w:val="nil"/>
          <w:bottom w:val="nil"/>
          <w:right w:val="nil"/>
          <w:between w:val="nil"/>
        </w:pBdr>
        <w:tabs>
          <w:tab w:val="left" w:pos="567"/>
        </w:tabs>
        <w:spacing w:line="276" w:lineRule="auto"/>
        <w:ind w:left="360"/>
        <w:jc w:val="both"/>
        <w:rPr>
          <w:color w:val="000000"/>
          <w:lang w:val="en-US"/>
        </w:rPr>
      </w:pPr>
      <w:r w:rsidRPr="00175BA2">
        <w:rPr>
          <w:color w:val="000000"/>
          <w:lang w:val="en-US"/>
        </w:rPr>
        <w:t>Objektivi i përgjithshëm i politikës është krijimi i një kuadri ligjor dhe mbikëqyrës të plotë, koherent dhe të zbatueshëm për fondet e pensionit privat, të përafruar plotësisht me Direktivën (BE) 2016/2341, “Për veprimtaritë dhe mbikëqyrjen e institucioneve të pensionit profesional” (IORP II), me qëllim forcimin e mbrojtjes së anëtarëve dhe përfituesve, përmirësimin e qeverisjes dhe administrimit të rrezikut, rritjen e cilësisë së informacionit dhe përgatitjen e kuadrit vendas për pjesëmarrjen në tregun e brendshëm të Bashkimit Evropian.</w:t>
      </w:r>
    </w:p>
    <w:p w14:paraId="393E2450" w14:textId="77777777" w:rsidR="00056C59" w:rsidRDefault="00056C59" w:rsidP="00175BA2">
      <w:pPr>
        <w:pBdr>
          <w:top w:val="nil"/>
          <w:left w:val="nil"/>
          <w:bottom w:val="nil"/>
          <w:right w:val="nil"/>
          <w:between w:val="nil"/>
        </w:pBdr>
        <w:tabs>
          <w:tab w:val="left" w:pos="567"/>
        </w:tabs>
        <w:spacing w:line="276" w:lineRule="auto"/>
        <w:ind w:left="720"/>
        <w:jc w:val="both"/>
        <w:rPr>
          <w:color w:val="000000"/>
          <w:lang w:val="en-US"/>
        </w:rPr>
      </w:pPr>
    </w:p>
    <w:p w14:paraId="00698189" w14:textId="23597083" w:rsidR="00175BA2" w:rsidRPr="00175BA2" w:rsidRDefault="00175BA2" w:rsidP="00056C59">
      <w:pPr>
        <w:pBdr>
          <w:top w:val="nil"/>
          <w:left w:val="nil"/>
          <w:bottom w:val="nil"/>
          <w:right w:val="nil"/>
          <w:between w:val="nil"/>
        </w:pBdr>
        <w:tabs>
          <w:tab w:val="left" w:pos="567"/>
        </w:tabs>
        <w:spacing w:line="276" w:lineRule="auto"/>
        <w:ind w:left="360"/>
        <w:jc w:val="both"/>
        <w:rPr>
          <w:color w:val="000000"/>
          <w:lang w:val="en-US"/>
        </w:rPr>
      </w:pPr>
      <w:r w:rsidRPr="00175BA2">
        <w:rPr>
          <w:color w:val="000000"/>
          <w:lang w:val="en-US"/>
        </w:rPr>
        <w:t xml:space="preserve">Objektivi i politikës nuk kufizohet te miratimi i ndryshimeve ligjore si një veprim procedural. Rezultati i synuar është që kërkesat e reja të integrohen në organizimin dhe veprimtarinë e shoqërive administruese, në praktikat mbikëqyrëse të Autoritetit dhe në informacionin që u jepet anëtarëve dhe përfituesve. Për këtë arsye, objektivat përcaktohen në lidhje me rezultatet e pritshme dhe shoqërohen me tregues dhe afate të verifikueshme, në përputhje me kërkesat e metodologjisë së vlerësimit të ndikimit. </w:t>
      </w:r>
    </w:p>
    <w:p w14:paraId="4EA590A1" w14:textId="77777777" w:rsidR="00056C59" w:rsidRDefault="00056C59" w:rsidP="00175BA2">
      <w:pPr>
        <w:pBdr>
          <w:top w:val="nil"/>
          <w:left w:val="nil"/>
          <w:bottom w:val="nil"/>
          <w:right w:val="nil"/>
          <w:between w:val="nil"/>
        </w:pBdr>
        <w:tabs>
          <w:tab w:val="left" w:pos="567"/>
        </w:tabs>
        <w:spacing w:line="276" w:lineRule="auto"/>
        <w:ind w:left="720"/>
        <w:jc w:val="both"/>
        <w:rPr>
          <w:b/>
          <w:bCs/>
          <w:color w:val="000000"/>
          <w:lang w:val="en-US"/>
        </w:rPr>
      </w:pPr>
    </w:p>
    <w:p w14:paraId="6A9B0AD5" w14:textId="35EDEADE" w:rsidR="00175BA2" w:rsidRPr="00175BA2" w:rsidRDefault="00175BA2" w:rsidP="00056C59">
      <w:pPr>
        <w:pBdr>
          <w:top w:val="nil"/>
          <w:left w:val="nil"/>
          <w:bottom w:val="nil"/>
          <w:right w:val="nil"/>
          <w:between w:val="nil"/>
        </w:pBdr>
        <w:tabs>
          <w:tab w:val="left" w:pos="567"/>
        </w:tabs>
        <w:spacing w:line="276" w:lineRule="auto"/>
        <w:ind w:left="360"/>
        <w:jc w:val="both"/>
        <w:rPr>
          <w:b/>
          <w:bCs/>
          <w:color w:val="000000"/>
          <w:lang w:val="en-US"/>
        </w:rPr>
      </w:pPr>
      <w:r w:rsidRPr="00175BA2">
        <w:rPr>
          <w:b/>
          <w:bCs/>
          <w:color w:val="000000"/>
          <w:lang w:val="en-US"/>
        </w:rPr>
        <w:t>1</w:t>
      </w:r>
      <w:r w:rsidR="00067F0E">
        <w:rPr>
          <w:b/>
          <w:bCs/>
          <w:color w:val="000000"/>
          <w:lang w:val="en-US"/>
        </w:rPr>
        <w:t>.</w:t>
      </w:r>
      <w:r w:rsidRPr="00175BA2">
        <w:rPr>
          <w:b/>
          <w:bCs/>
          <w:color w:val="000000"/>
          <w:lang w:val="en-US"/>
        </w:rPr>
        <w:t xml:space="preserve"> Përafrimi i plotë dhe zbatueshmëria e kuadrit ligjor</w:t>
      </w:r>
    </w:p>
    <w:p w14:paraId="555A70FF" w14:textId="77777777" w:rsidR="00961B72" w:rsidRDefault="00961B72" w:rsidP="00961B72">
      <w:pPr>
        <w:pBdr>
          <w:top w:val="nil"/>
          <w:left w:val="nil"/>
          <w:bottom w:val="nil"/>
          <w:right w:val="nil"/>
          <w:between w:val="nil"/>
        </w:pBdr>
        <w:tabs>
          <w:tab w:val="left" w:pos="567"/>
        </w:tabs>
        <w:spacing w:line="276" w:lineRule="auto"/>
        <w:ind w:left="360"/>
        <w:jc w:val="both"/>
        <w:rPr>
          <w:color w:val="000000"/>
          <w:lang w:val="en-US"/>
        </w:rPr>
      </w:pPr>
    </w:p>
    <w:p w14:paraId="41461D4C" w14:textId="2005C1BF" w:rsidR="00175BA2" w:rsidRPr="00175BA2" w:rsidRDefault="00175BA2" w:rsidP="00961B72">
      <w:pPr>
        <w:pBdr>
          <w:top w:val="nil"/>
          <w:left w:val="nil"/>
          <w:bottom w:val="nil"/>
          <w:right w:val="nil"/>
          <w:between w:val="nil"/>
        </w:pBdr>
        <w:tabs>
          <w:tab w:val="left" w:pos="567"/>
        </w:tabs>
        <w:spacing w:line="276" w:lineRule="auto"/>
        <w:ind w:left="360"/>
        <w:jc w:val="both"/>
        <w:rPr>
          <w:color w:val="000000"/>
          <w:lang w:val="en-US"/>
        </w:rPr>
      </w:pPr>
      <w:r w:rsidRPr="00175BA2">
        <w:rPr>
          <w:color w:val="000000"/>
          <w:lang w:val="en-US"/>
        </w:rPr>
        <w:t>Objektivi i parë është eliminimi i boshllëqeve të identifikuara ndërmjet ligjit nr. 76/2023 dhe Direktivës IORP II, duke siguruar që të gjitha dispozitat e zbatueshme të direktivës të pasqyrohen në legjislacionin shqiptar në mënyrë të qartë, koherente dhe të detyrueshme.</w:t>
      </w:r>
      <w:r w:rsidR="00961B72">
        <w:rPr>
          <w:color w:val="000000"/>
          <w:lang w:val="en-US"/>
        </w:rPr>
        <w:t xml:space="preserve"> </w:t>
      </w:r>
      <w:r w:rsidRPr="00175BA2">
        <w:rPr>
          <w:color w:val="000000"/>
          <w:lang w:val="en-US"/>
        </w:rPr>
        <w:t>Arritja e këtij objektivi do të matet nëpërmjet:</w:t>
      </w:r>
    </w:p>
    <w:p w14:paraId="39DEBFB5" w14:textId="0B95CA2C" w:rsidR="00175BA2" w:rsidRPr="00175BA2" w:rsidRDefault="00C12B06" w:rsidP="008E4E22">
      <w:pPr>
        <w:numPr>
          <w:ilvl w:val="0"/>
          <w:numId w:val="23"/>
        </w:numPr>
        <w:pBdr>
          <w:top w:val="nil"/>
          <w:left w:val="nil"/>
          <w:bottom w:val="nil"/>
          <w:right w:val="nil"/>
          <w:between w:val="nil"/>
        </w:pBdr>
        <w:tabs>
          <w:tab w:val="left" w:pos="567"/>
        </w:tabs>
        <w:spacing w:line="276" w:lineRule="auto"/>
        <w:jc w:val="both"/>
        <w:rPr>
          <w:color w:val="000000"/>
          <w:lang w:val="en-US"/>
        </w:rPr>
      </w:pPr>
      <w:r>
        <w:rPr>
          <w:color w:val="000000"/>
          <w:lang w:val="en-US"/>
        </w:rPr>
        <w:t xml:space="preserve">  </w:t>
      </w:r>
      <w:r w:rsidR="00175BA2" w:rsidRPr="00175BA2">
        <w:rPr>
          <w:color w:val="000000"/>
          <w:lang w:val="en-US"/>
        </w:rPr>
        <w:t xml:space="preserve">pasqyrimit në ligj të të gjitha dispozitave të identifikuara në tabelën e përputhshmërisë si të patranspozuara ose të transpozuara pjesërisht; </w:t>
      </w:r>
    </w:p>
    <w:p w14:paraId="316D4717" w14:textId="213E6A8C" w:rsidR="00175BA2" w:rsidRPr="00175BA2" w:rsidRDefault="008C055C" w:rsidP="008E4E22">
      <w:pPr>
        <w:numPr>
          <w:ilvl w:val="0"/>
          <w:numId w:val="23"/>
        </w:numPr>
        <w:pBdr>
          <w:top w:val="nil"/>
          <w:left w:val="nil"/>
          <w:bottom w:val="nil"/>
          <w:right w:val="nil"/>
          <w:between w:val="nil"/>
        </w:pBdr>
        <w:tabs>
          <w:tab w:val="left" w:pos="567"/>
        </w:tabs>
        <w:spacing w:line="276" w:lineRule="auto"/>
        <w:jc w:val="both"/>
        <w:rPr>
          <w:color w:val="000000"/>
          <w:lang w:val="en-US"/>
        </w:rPr>
      </w:pPr>
      <w:r>
        <w:rPr>
          <w:color w:val="000000"/>
          <w:lang w:val="en-US"/>
        </w:rPr>
        <w:t xml:space="preserve">  </w:t>
      </w:r>
      <w:r w:rsidR="00175BA2" w:rsidRPr="00175BA2">
        <w:rPr>
          <w:color w:val="000000"/>
          <w:lang w:val="en-US"/>
        </w:rPr>
        <w:t xml:space="preserve">miratimit nga Autoriteti, brenda 12 muajve nga hyrja në fuqi e ligjit, të akteve nënligjore të nevojshme për zbatimin e tij; </w:t>
      </w:r>
    </w:p>
    <w:p w14:paraId="484D0A02" w14:textId="3BE893D8" w:rsidR="00175BA2" w:rsidRPr="00175BA2" w:rsidRDefault="008C055C" w:rsidP="008E4E22">
      <w:pPr>
        <w:numPr>
          <w:ilvl w:val="0"/>
          <w:numId w:val="23"/>
        </w:numPr>
        <w:pBdr>
          <w:top w:val="nil"/>
          <w:left w:val="nil"/>
          <w:bottom w:val="nil"/>
          <w:right w:val="nil"/>
          <w:between w:val="nil"/>
        </w:pBdr>
        <w:tabs>
          <w:tab w:val="left" w:pos="567"/>
        </w:tabs>
        <w:spacing w:line="276" w:lineRule="auto"/>
        <w:jc w:val="both"/>
        <w:rPr>
          <w:color w:val="000000"/>
          <w:lang w:val="en-US"/>
        </w:rPr>
      </w:pPr>
      <w:r>
        <w:rPr>
          <w:color w:val="000000"/>
          <w:lang w:val="en-US"/>
        </w:rPr>
        <w:t xml:space="preserve">  </w:t>
      </w:r>
      <w:r w:rsidR="00175BA2" w:rsidRPr="00175BA2">
        <w:rPr>
          <w:color w:val="000000"/>
          <w:lang w:val="en-US"/>
        </w:rPr>
        <w:t xml:space="preserve">përditësimit të tabelës së përputhshmërisë, në mënyrë që kuadri i ndryshuar të vlerësohet si plotësisht i përafruar me Direktivën IORP II; </w:t>
      </w:r>
    </w:p>
    <w:p w14:paraId="4E85C199" w14:textId="1AE477CA" w:rsidR="00175BA2" w:rsidRPr="00175BA2" w:rsidRDefault="008C055C" w:rsidP="008E4E22">
      <w:pPr>
        <w:numPr>
          <w:ilvl w:val="0"/>
          <w:numId w:val="23"/>
        </w:numPr>
        <w:pBdr>
          <w:top w:val="nil"/>
          <w:left w:val="nil"/>
          <w:bottom w:val="nil"/>
          <w:right w:val="nil"/>
          <w:between w:val="nil"/>
        </w:pBdr>
        <w:tabs>
          <w:tab w:val="left" w:pos="567"/>
        </w:tabs>
        <w:spacing w:line="276" w:lineRule="auto"/>
        <w:jc w:val="both"/>
        <w:rPr>
          <w:color w:val="000000"/>
          <w:lang w:val="en-US"/>
        </w:rPr>
      </w:pPr>
      <w:r>
        <w:rPr>
          <w:color w:val="000000"/>
          <w:lang w:val="en-US"/>
        </w:rPr>
        <w:t xml:space="preserve">  </w:t>
      </w:r>
      <w:r w:rsidR="00175BA2" w:rsidRPr="00175BA2">
        <w:rPr>
          <w:color w:val="000000"/>
          <w:lang w:val="en-US"/>
        </w:rPr>
        <w:t xml:space="preserve">hyrjes në zbatim, nga data e anëtarësimit të Republikës së Shqipërisë në Bashkimin Evropian, të dispozitave që lidhen me veprimtarinë ndërkufitare, bashkëpunimin me institucionet evropiane dhe mekanizmat e tregut të brendshëm. </w:t>
      </w:r>
    </w:p>
    <w:p w14:paraId="6E90FCAD" w14:textId="77777777" w:rsidR="008C055C" w:rsidRDefault="008C055C" w:rsidP="00175BA2">
      <w:pPr>
        <w:pBdr>
          <w:top w:val="nil"/>
          <w:left w:val="nil"/>
          <w:bottom w:val="nil"/>
          <w:right w:val="nil"/>
          <w:between w:val="nil"/>
        </w:pBdr>
        <w:tabs>
          <w:tab w:val="left" w:pos="567"/>
        </w:tabs>
        <w:spacing w:line="276" w:lineRule="auto"/>
        <w:ind w:left="720"/>
        <w:jc w:val="both"/>
        <w:rPr>
          <w:color w:val="000000"/>
          <w:lang w:val="en-US"/>
        </w:rPr>
      </w:pPr>
    </w:p>
    <w:p w14:paraId="7C60E05F" w14:textId="49D43F66" w:rsidR="00175BA2" w:rsidRPr="00175BA2" w:rsidRDefault="00175BA2" w:rsidP="00143E77">
      <w:pPr>
        <w:pBdr>
          <w:top w:val="nil"/>
          <w:left w:val="nil"/>
          <w:bottom w:val="nil"/>
          <w:right w:val="nil"/>
          <w:between w:val="nil"/>
        </w:pBdr>
        <w:tabs>
          <w:tab w:val="left" w:pos="567"/>
        </w:tabs>
        <w:spacing w:line="276" w:lineRule="auto"/>
        <w:ind w:left="360"/>
        <w:jc w:val="both"/>
        <w:rPr>
          <w:color w:val="000000"/>
          <w:lang w:val="en-US"/>
        </w:rPr>
      </w:pPr>
      <w:r w:rsidRPr="00175BA2">
        <w:rPr>
          <w:color w:val="000000"/>
          <w:lang w:val="en-US"/>
        </w:rPr>
        <w:t xml:space="preserve">Projektligji parashikon afat 12-mujor për miratimin e akteve nënligjore, ndërsa dispozitat që varen nga anëtarësimi në Bashkimin Evropian hyjnë në fuqi në datën e anëtarësimit. </w:t>
      </w:r>
    </w:p>
    <w:p w14:paraId="4E4C6ADE" w14:textId="77777777" w:rsidR="00561AA0" w:rsidRDefault="00561AA0" w:rsidP="00561AA0">
      <w:pPr>
        <w:pBdr>
          <w:top w:val="nil"/>
          <w:left w:val="nil"/>
          <w:bottom w:val="nil"/>
          <w:right w:val="nil"/>
          <w:between w:val="nil"/>
        </w:pBdr>
        <w:tabs>
          <w:tab w:val="left" w:pos="567"/>
        </w:tabs>
        <w:spacing w:line="276" w:lineRule="auto"/>
        <w:ind w:left="567"/>
        <w:jc w:val="both"/>
        <w:rPr>
          <w:b/>
          <w:bCs/>
          <w:color w:val="000000"/>
          <w:lang w:val="en-US"/>
        </w:rPr>
      </w:pPr>
    </w:p>
    <w:p w14:paraId="2B8C9BE4" w14:textId="1BF5A364" w:rsidR="00175BA2" w:rsidRPr="00175BA2" w:rsidRDefault="00175BA2" w:rsidP="00143E77">
      <w:pPr>
        <w:pBdr>
          <w:top w:val="nil"/>
          <w:left w:val="nil"/>
          <w:bottom w:val="nil"/>
          <w:right w:val="nil"/>
          <w:between w:val="nil"/>
        </w:pBdr>
        <w:tabs>
          <w:tab w:val="left" w:pos="567"/>
        </w:tabs>
        <w:spacing w:line="276" w:lineRule="auto"/>
        <w:ind w:left="360"/>
        <w:jc w:val="both"/>
        <w:rPr>
          <w:b/>
          <w:bCs/>
          <w:color w:val="000000"/>
          <w:lang w:val="en-US"/>
        </w:rPr>
      </w:pPr>
      <w:r w:rsidRPr="00175BA2">
        <w:rPr>
          <w:b/>
          <w:bCs/>
          <w:color w:val="000000"/>
          <w:lang w:val="en-US"/>
        </w:rPr>
        <w:t>2</w:t>
      </w:r>
      <w:r w:rsidR="00257169">
        <w:rPr>
          <w:b/>
          <w:bCs/>
          <w:color w:val="000000"/>
          <w:lang w:val="en-US"/>
        </w:rPr>
        <w:t>.</w:t>
      </w:r>
      <w:r w:rsidRPr="00175BA2">
        <w:rPr>
          <w:b/>
          <w:bCs/>
          <w:color w:val="000000"/>
          <w:lang w:val="en-US"/>
        </w:rPr>
        <w:t xml:space="preserve"> Forcimi i qeverisjes dhe administrimit të rrezikut</w:t>
      </w:r>
    </w:p>
    <w:p w14:paraId="6CDEA6F7" w14:textId="77777777" w:rsidR="00067F0E" w:rsidRDefault="00067F0E" w:rsidP="00CB31BF">
      <w:pPr>
        <w:pBdr>
          <w:top w:val="nil"/>
          <w:left w:val="nil"/>
          <w:bottom w:val="nil"/>
          <w:right w:val="nil"/>
          <w:between w:val="nil"/>
        </w:pBdr>
        <w:tabs>
          <w:tab w:val="left" w:pos="567"/>
        </w:tabs>
        <w:spacing w:line="276" w:lineRule="auto"/>
        <w:ind w:left="360"/>
        <w:jc w:val="both"/>
        <w:rPr>
          <w:color w:val="000000"/>
          <w:lang w:val="en-US"/>
        </w:rPr>
      </w:pPr>
    </w:p>
    <w:p w14:paraId="4C454B93" w14:textId="0DAACF48" w:rsidR="00175BA2" w:rsidRPr="00175BA2" w:rsidRDefault="00175BA2" w:rsidP="00CB31BF">
      <w:pPr>
        <w:pBdr>
          <w:top w:val="nil"/>
          <w:left w:val="nil"/>
          <w:bottom w:val="nil"/>
          <w:right w:val="nil"/>
          <w:between w:val="nil"/>
        </w:pBdr>
        <w:tabs>
          <w:tab w:val="left" w:pos="567"/>
        </w:tabs>
        <w:spacing w:line="276" w:lineRule="auto"/>
        <w:ind w:left="360"/>
        <w:jc w:val="both"/>
        <w:rPr>
          <w:color w:val="000000"/>
          <w:lang w:val="en-US"/>
        </w:rPr>
      </w:pPr>
      <w:r w:rsidRPr="00175BA2">
        <w:rPr>
          <w:color w:val="000000"/>
          <w:lang w:val="en-US"/>
        </w:rPr>
        <w:t>Objektivi i dytë është që çdo shoqëri administruese të ketë një sistem qeverisjeje efektiv, të përshtatshëm dhe proporcional me madhësinë, natyrën, shkallën dhe kompleksitetin e veprimtarisë së saj dhe të fondeve që administron.</w:t>
      </w:r>
    </w:p>
    <w:p w14:paraId="4525F80C" w14:textId="77777777" w:rsidR="00CB31BF" w:rsidRDefault="00CB31BF" w:rsidP="00561AA0">
      <w:pPr>
        <w:pBdr>
          <w:top w:val="nil"/>
          <w:left w:val="nil"/>
          <w:bottom w:val="nil"/>
          <w:right w:val="nil"/>
          <w:between w:val="nil"/>
        </w:pBdr>
        <w:tabs>
          <w:tab w:val="left" w:pos="567"/>
        </w:tabs>
        <w:spacing w:line="276" w:lineRule="auto"/>
        <w:ind w:left="567"/>
        <w:jc w:val="both"/>
        <w:rPr>
          <w:color w:val="000000"/>
          <w:lang w:val="en-US"/>
        </w:rPr>
      </w:pPr>
    </w:p>
    <w:p w14:paraId="197126C3" w14:textId="23B3D603" w:rsidR="00175BA2" w:rsidRPr="00175BA2" w:rsidRDefault="00175BA2" w:rsidP="00CB31BF">
      <w:pPr>
        <w:pBdr>
          <w:top w:val="nil"/>
          <w:left w:val="nil"/>
          <w:bottom w:val="nil"/>
          <w:right w:val="nil"/>
          <w:between w:val="nil"/>
        </w:pBdr>
        <w:tabs>
          <w:tab w:val="left" w:pos="567"/>
        </w:tabs>
        <w:spacing w:line="276" w:lineRule="auto"/>
        <w:ind w:left="360"/>
        <w:jc w:val="both"/>
        <w:rPr>
          <w:color w:val="000000"/>
          <w:lang w:val="en-US"/>
        </w:rPr>
      </w:pPr>
      <w:r w:rsidRPr="00175BA2">
        <w:rPr>
          <w:color w:val="000000"/>
          <w:lang w:val="en-US"/>
        </w:rPr>
        <w:t>Ky objektiv përfshin qartësimin e përgjegjësisë përfundimtare të organit drejtues ose mbikëqyrës, organizimin e funksioneve kryesore, miratimin e politikave të shkruara dhe forcimin e mekanizmave për identifikimin, raportimin dhe trajtimin e rreziqeve.</w:t>
      </w:r>
    </w:p>
    <w:p w14:paraId="6CBAD2D2" w14:textId="77777777" w:rsidR="00067F0E" w:rsidRDefault="00067F0E" w:rsidP="00AA37A4">
      <w:pPr>
        <w:pBdr>
          <w:top w:val="nil"/>
          <w:left w:val="nil"/>
          <w:bottom w:val="nil"/>
          <w:right w:val="nil"/>
          <w:between w:val="nil"/>
        </w:pBdr>
        <w:tabs>
          <w:tab w:val="left" w:pos="567"/>
        </w:tabs>
        <w:spacing w:line="276" w:lineRule="auto"/>
        <w:jc w:val="both"/>
        <w:rPr>
          <w:color w:val="000000"/>
          <w:lang w:val="en-US"/>
        </w:rPr>
      </w:pPr>
    </w:p>
    <w:p w14:paraId="24E8D0F2" w14:textId="14A72ECB" w:rsidR="00175BA2" w:rsidRPr="00175BA2" w:rsidRDefault="00175BA2" w:rsidP="00CB31BF">
      <w:pPr>
        <w:pBdr>
          <w:top w:val="nil"/>
          <w:left w:val="nil"/>
          <w:bottom w:val="nil"/>
          <w:right w:val="nil"/>
          <w:between w:val="nil"/>
        </w:pBdr>
        <w:tabs>
          <w:tab w:val="left" w:pos="567"/>
        </w:tabs>
        <w:spacing w:line="276" w:lineRule="auto"/>
        <w:ind w:left="360"/>
        <w:jc w:val="both"/>
        <w:rPr>
          <w:color w:val="000000"/>
          <w:lang w:val="en-US"/>
        </w:rPr>
      </w:pPr>
      <w:r w:rsidRPr="00175BA2">
        <w:rPr>
          <w:color w:val="000000"/>
          <w:lang w:val="en-US"/>
        </w:rPr>
        <w:t>Arritja e objektivit do të matet nëpërmjet verifikimit që:</w:t>
      </w:r>
    </w:p>
    <w:p w14:paraId="12A4A00B" w14:textId="77069B4A" w:rsidR="00175BA2" w:rsidRPr="00175BA2" w:rsidRDefault="00CB31BF" w:rsidP="008E4E22">
      <w:pPr>
        <w:numPr>
          <w:ilvl w:val="0"/>
          <w:numId w:val="24"/>
        </w:numPr>
        <w:pBdr>
          <w:top w:val="nil"/>
          <w:left w:val="nil"/>
          <w:bottom w:val="nil"/>
          <w:right w:val="nil"/>
          <w:between w:val="nil"/>
        </w:pBdr>
        <w:tabs>
          <w:tab w:val="left" w:pos="567"/>
        </w:tabs>
        <w:spacing w:line="276" w:lineRule="auto"/>
        <w:jc w:val="both"/>
        <w:rPr>
          <w:color w:val="000000"/>
          <w:lang w:val="en-US"/>
        </w:rPr>
      </w:pPr>
      <w:r>
        <w:rPr>
          <w:color w:val="000000"/>
          <w:lang w:val="en-US"/>
        </w:rPr>
        <w:t xml:space="preserve">  </w:t>
      </w:r>
      <w:r w:rsidR="00175BA2" w:rsidRPr="00175BA2">
        <w:rPr>
          <w:color w:val="000000"/>
          <w:lang w:val="en-US"/>
        </w:rPr>
        <w:t xml:space="preserve">të gjitha shoqëritë administruese kanë caktuar persona të aftë dhe të përshtatshëm për ushtrimin e funksioneve kryesore; </w:t>
      </w:r>
    </w:p>
    <w:p w14:paraId="509C8E73" w14:textId="68B4FEEA" w:rsidR="00175BA2" w:rsidRPr="00175BA2" w:rsidRDefault="00CB31BF" w:rsidP="008E4E22">
      <w:pPr>
        <w:numPr>
          <w:ilvl w:val="0"/>
          <w:numId w:val="24"/>
        </w:numPr>
        <w:pBdr>
          <w:top w:val="nil"/>
          <w:left w:val="nil"/>
          <w:bottom w:val="nil"/>
          <w:right w:val="nil"/>
          <w:between w:val="nil"/>
        </w:pBdr>
        <w:tabs>
          <w:tab w:val="left" w:pos="567"/>
        </w:tabs>
        <w:spacing w:line="276" w:lineRule="auto"/>
        <w:jc w:val="both"/>
        <w:rPr>
          <w:color w:val="000000"/>
          <w:lang w:val="en-US"/>
        </w:rPr>
      </w:pPr>
      <w:r>
        <w:rPr>
          <w:color w:val="000000"/>
          <w:lang w:val="en-US"/>
        </w:rPr>
        <w:t xml:space="preserve">   </w:t>
      </w:r>
      <w:r w:rsidR="00175BA2" w:rsidRPr="00175BA2">
        <w:rPr>
          <w:color w:val="000000"/>
          <w:lang w:val="en-US"/>
        </w:rPr>
        <w:t xml:space="preserve">funksioni i administrimit të rrezikut dhe funksioni i auditimit të brendshëm janë të organizuar dhe ushtrohen në përputhje me kërkesat ligjore; </w:t>
      </w:r>
    </w:p>
    <w:p w14:paraId="2111C46B" w14:textId="29340B45" w:rsidR="00175BA2" w:rsidRPr="00175BA2" w:rsidRDefault="00CB31BF" w:rsidP="008E4E22">
      <w:pPr>
        <w:numPr>
          <w:ilvl w:val="0"/>
          <w:numId w:val="24"/>
        </w:numPr>
        <w:pBdr>
          <w:top w:val="nil"/>
          <w:left w:val="nil"/>
          <w:bottom w:val="nil"/>
          <w:right w:val="nil"/>
          <w:between w:val="nil"/>
        </w:pBdr>
        <w:tabs>
          <w:tab w:val="left" w:pos="567"/>
        </w:tabs>
        <w:spacing w:line="276" w:lineRule="auto"/>
        <w:jc w:val="both"/>
        <w:rPr>
          <w:color w:val="000000"/>
          <w:lang w:val="en-US"/>
        </w:rPr>
      </w:pPr>
      <w:r>
        <w:rPr>
          <w:color w:val="000000"/>
          <w:lang w:val="en-US"/>
        </w:rPr>
        <w:t xml:space="preserve">   </w:t>
      </w:r>
      <w:r w:rsidR="00175BA2" w:rsidRPr="00175BA2">
        <w:rPr>
          <w:color w:val="000000"/>
          <w:lang w:val="en-US"/>
        </w:rPr>
        <w:t xml:space="preserve">funksioni aktuarial është vendosur në rastet kur është i zbatueshëm; </w:t>
      </w:r>
    </w:p>
    <w:p w14:paraId="41A91343" w14:textId="16544395" w:rsidR="00175BA2" w:rsidRPr="00175BA2" w:rsidRDefault="00CB31BF" w:rsidP="008E4E22">
      <w:pPr>
        <w:numPr>
          <w:ilvl w:val="0"/>
          <w:numId w:val="24"/>
        </w:numPr>
        <w:pBdr>
          <w:top w:val="nil"/>
          <w:left w:val="nil"/>
          <w:bottom w:val="nil"/>
          <w:right w:val="nil"/>
          <w:between w:val="nil"/>
        </w:pBdr>
        <w:tabs>
          <w:tab w:val="left" w:pos="567"/>
        </w:tabs>
        <w:spacing w:line="276" w:lineRule="auto"/>
        <w:jc w:val="both"/>
        <w:rPr>
          <w:color w:val="000000"/>
          <w:lang w:val="en-US"/>
        </w:rPr>
      </w:pPr>
      <w:r>
        <w:rPr>
          <w:color w:val="000000"/>
          <w:lang w:val="en-US"/>
        </w:rPr>
        <w:t xml:space="preserve">   </w:t>
      </w:r>
      <w:r w:rsidR="00175BA2" w:rsidRPr="00175BA2">
        <w:rPr>
          <w:color w:val="000000"/>
          <w:lang w:val="en-US"/>
        </w:rPr>
        <w:t xml:space="preserve">politikat e shkruara për administrimin e rrezikut, auditimin e brendshëm, funksionin aktuarial dhe veprimtaritë e deleguara janë miratuar nga organi drejtues ose mbikëqyrës dhe rishikohen të paktën një herë në tre vjet ose sa herë ndodh një ndryshim i rëndësishëm; </w:t>
      </w:r>
    </w:p>
    <w:p w14:paraId="0E54DBBE" w14:textId="647312E2" w:rsidR="00175BA2" w:rsidRPr="00175BA2" w:rsidRDefault="00CB31BF" w:rsidP="008E4E22">
      <w:pPr>
        <w:numPr>
          <w:ilvl w:val="0"/>
          <w:numId w:val="24"/>
        </w:numPr>
        <w:pBdr>
          <w:top w:val="nil"/>
          <w:left w:val="nil"/>
          <w:bottom w:val="nil"/>
          <w:right w:val="nil"/>
          <w:between w:val="nil"/>
        </w:pBdr>
        <w:tabs>
          <w:tab w:val="left" w:pos="567"/>
        </w:tabs>
        <w:spacing w:line="276" w:lineRule="auto"/>
        <w:jc w:val="both"/>
        <w:rPr>
          <w:color w:val="000000"/>
          <w:lang w:val="en-US"/>
        </w:rPr>
      </w:pPr>
      <w:r>
        <w:rPr>
          <w:color w:val="000000"/>
          <w:lang w:val="en-US"/>
        </w:rPr>
        <w:t xml:space="preserve">  </w:t>
      </w:r>
      <w:r w:rsidR="00175BA2" w:rsidRPr="00175BA2">
        <w:rPr>
          <w:color w:val="000000"/>
          <w:lang w:val="en-US"/>
        </w:rPr>
        <w:t xml:space="preserve">shoqëritë administruese kryejnë vetëvlerësimin e rrezikut dhe rezultatet e tij merren parasysh në vendimmarrjen strategjike; </w:t>
      </w:r>
    </w:p>
    <w:p w14:paraId="687EB8CD" w14:textId="2F37FB36" w:rsidR="00175BA2" w:rsidRPr="00175BA2" w:rsidRDefault="00CB31BF" w:rsidP="008E4E22">
      <w:pPr>
        <w:numPr>
          <w:ilvl w:val="0"/>
          <w:numId w:val="24"/>
        </w:numPr>
        <w:pBdr>
          <w:top w:val="nil"/>
          <w:left w:val="nil"/>
          <w:bottom w:val="nil"/>
          <w:right w:val="nil"/>
          <w:between w:val="nil"/>
        </w:pBdr>
        <w:tabs>
          <w:tab w:val="left" w:pos="567"/>
        </w:tabs>
        <w:spacing w:line="276" w:lineRule="auto"/>
        <w:jc w:val="both"/>
        <w:rPr>
          <w:color w:val="000000"/>
          <w:lang w:val="en-US"/>
        </w:rPr>
      </w:pPr>
      <w:r>
        <w:rPr>
          <w:color w:val="000000"/>
          <w:lang w:val="en-US"/>
        </w:rPr>
        <w:t xml:space="preserve">  </w:t>
      </w:r>
      <w:r w:rsidR="00175BA2" w:rsidRPr="00175BA2">
        <w:rPr>
          <w:color w:val="000000"/>
          <w:lang w:val="en-US"/>
        </w:rPr>
        <w:t xml:space="preserve">mangësitë materiale të evidentuara gjatë procesit mbikëqyrës trajtohen brenda afateve të përcaktuara nga Autoriteti. </w:t>
      </w:r>
    </w:p>
    <w:p w14:paraId="7E115458" w14:textId="77777777" w:rsidR="00257169" w:rsidRDefault="00257169" w:rsidP="00CB31BF">
      <w:pPr>
        <w:pBdr>
          <w:top w:val="nil"/>
          <w:left w:val="nil"/>
          <w:bottom w:val="nil"/>
          <w:right w:val="nil"/>
          <w:between w:val="nil"/>
        </w:pBdr>
        <w:tabs>
          <w:tab w:val="left" w:pos="567"/>
        </w:tabs>
        <w:spacing w:line="276" w:lineRule="auto"/>
        <w:ind w:left="360"/>
        <w:jc w:val="both"/>
        <w:rPr>
          <w:color w:val="000000"/>
          <w:lang w:val="en-US"/>
        </w:rPr>
      </w:pPr>
    </w:p>
    <w:p w14:paraId="608473D3" w14:textId="3989FF3B" w:rsidR="00175BA2" w:rsidRPr="00175BA2" w:rsidRDefault="00175BA2" w:rsidP="00CB31BF">
      <w:pPr>
        <w:pBdr>
          <w:top w:val="nil"/>
          <w:left w:val="nil"/>
          <w:bottom w:val="nil"/>
          <w:right w:val="nil"/>
          <w:between w:val="nil"/>
        </w:pBdr>
        <w:tabs>
          <w:tab w:val="left" w:pos="567"/>
        </w:tabs>
        <w:spacing w:line="276" w:lineRule="auto"/>
        <w:ind w:left="360"/>
        <w:jc w:val="both"/>
        <w:rPr>
          <w:color w:val="000000"/>
          <w:lang w:val="en-US"/>
        </w:rPr>
      </w:pPr>
      <w:r w:rsidRPr="00175BA2">
        <w:rPr>
          <w:color w:val="000000"/>
          <w:lang w:val="en-US"/>
        </w:rPr>
        <w:t xml:space="preserve">Pajtueshmëria me këto kërkesa synohet të verifikohet për të gjitha shoqëritë administruese brenda ciklit të parë të plotë mbikëqyrës pas hyrjes në fuqi të akteve nënligjore, por jo më vonë se 24 muaj nga miratimi i tyre. Kërkesat e propozuara për politikat e shkruara dhe përgjegjësinë e organit drejtues janë parashikuar shprehimisht në projektligj. </w:t>
      </w:r>
    </w:p>
    <w:p w14:paraId="4927CFCD" w14:textId="77777777" w:rsidR="00257169" w:rsidRDefault="00257169" w:rsidP="00257169">
      <w:pPr>
        <w:pBdr>
          <w:top w:val="nil"/>
          <w:left w:val="nil"/>
          <w:bottom w:val="nil"/>
          <w:right w:val="nil"/>
          <w:between w:val="nil"/>
        </w:pBdr>
        <w:tabs>
          <w:tab w:val="left" w:pos="567"/>
        </w:tabs>
        <w:spacing w:line="276" w:lineRule="auto"/>
        <w:ind w:left="360"/>
        <w:jc w:val="both"/>
        <w:rPr>
          <w:b/>
          <w:bCs/>
          <w:color w:val="000000"/>
          <w:lang w:val="en-US"/>
        </w:rPr>
      </w:pPr>
    </w:p>
    <w:p w14:paraId="545C604F" w14:textId="163168E6" w:rsidR="00175BA2" w:rsidRPr="00175BA2" w:rsidRDefault="00175BA2" w:rsidP="00257169">
      <w:pPr>
        <w:pBdr>
          <w:top w:val="nil"/>
          <w:left w:val="nil"/>
          <w:bottom w:val="nil"/>
          <w:right w:val="nil"/>
          <w:between w:val="nil"/>
        </w:pBdr>
        <w:tabs>
          <w:tab w:val="left" w:pos="567"/>
        </w:tabs>
        <w:spacing w:line="276" w:lineRule="auto"/>
        <w:ind w:left="360"/>
        <w:jc w:val="both"/>
        <w:rPr>
          <w:b/>
          <w:bCs/>
          <w:color w:val="000000"/>
          <w:lang w:val="en-US"/>
        </w:rPr>
      </w:pPr>
      <w:r w:rsidRPr="00175BA2">
        <w:rPr>
          <w:b/>
          <w:bCs/>
          <w:color w:val="000000"/>
          <w:lang w:val="en-US"/>
        </w:rPr>
        <w:t>3</w:t>
      </w:r>
      <w:r w:rsidR="00257169">
        <w:rPr>
          <w:b/>
          <w:bCs/>
          <w:color w:val="000000"/>
          <w:lang w:val="en-US"/>
        </w:rPr>
        <w:t>.</w:t>
      </w:r>
      <w:r w:rsidRPr="00175BA2">
        <w:rPr>
          <w:b/>
          <w:bCs/>
          <w:color w:val="000000"/>
          <w:lang w:val="en-US"/>
        </w:rPr>
        <w:t xml:space="preserve"> Përmirësimi i administrimit të investimeve</w:t>
      </w:r>
    </w:p>
    <w:p w14:paraId="360C66FA" w14:textId="77777777" w:rsidR="00257169" w:rsidRDefault="00257169" w:rsidP="00175BA2">
      <w:pPr>
        <w:pBdr>
          <w:top w:val="nil"/>
          <w:left w:val="nil"/>
          <w:bottom w:val="nil"/>
          <w:right w:val="nil"/>
          <w:between w:val="nil"/>
        </w:pBdr>
        <w:tabs>
          <w:tab w:val="left" w:pos="567"/>
        </w:tabs>
        <w:spacing w:line="276" w:lineRule="auto"/>
        <w:ind w:left="720"/>
        <w:jc w:val="both"/>
        <w:rPr>
          <w:color w:val="000000"/>
          <w:lang w:val="en-US"/>
        </w:rPr>
      </w:pPr>
    </w:p>
    <w:p w14:paraId="76E79DCC" w14:textId="175BC11E" w:rsidR="00175BA2" w:rsidRPr="00175BA2" w:rsidRDefault="00175BA2" w:rsidP="00257169">
      <w:pPr>
        <w:pBdr>
          <w:top w:val="nil"/>
          <w:left w:val="nil"/>
          <w:bottom w:val="nil"/>
          <w:right w:val="nil"/>
          <w:between w:val="nil"/>
        </w:pBdr>
        <w:tabs>
          <w:tab w:val="left" w:pos="567"/>
        </w:tabs>
        <w:spacing w:line="276" w:lineRule="auto"/>
        <w:ind w:left="360"/>
        <w:jc w:val="both"/>
        <w:rPr>
          <w:color w:val="000000"/>
          <w:lang w:val="en-US"/>
        </w:rPr>
      </w:pPr>
      <w:r w:rsidRPr="00175BA2">
        <w:rPr>
          <w:color w:val="000000"/>
          <w:lang w:val="en-US"/>
        </w:rPr>
        <w:t>Objektivi i tretë është forcimi i administrimit të aktiveve sipas parimit të personit të kujdesshëm dhe sigurimi që vendimmarrja për investimet të mbështetet në një vlerësim të përshtatshëm të rrezikut, diversifikimit, likuiditetit dhe përqendrimit të portofolit.</w:t>
      </w:r>
    </w:p>
    <w:p w14:paraId="35D57D73" w14:textId="77777777" w:rsidR="00623543" w:rsidRDefault="00623543" w:rsidP="00175BA2">
      <w:pPr>
        <w:pBdr>
          <w:top w:val="nil"/>
          <w:left w:val="nil"/>
          <w:bottom w:val="nil"/>
          <w:right w:val="nil"/>
          <w:between w:val="nil"/>
        </w:pBdr>
        <w:tabs>
          <w:tab w:val="left" w:pos="567"/>
        </w:tabs>
        <w:spacing w:line="276" w:lineRule="auto"/>
        <w:ind w:left="720"/>
        <w:jc w:val="both"/>
        <w:rPr>
          <w:color w:val="000000"/>
          <w:lang w:val="en-US"/>
        </w:rPr>
      </w:pPr>
    </w:p>
    <w:p w14:paraId="2E9D98EA" w14:textId="7F247CD2" w:rsidR="00175BA2" w:rsidRPr="00175BA2" w:rsidRDefault="00175BA2" w:rsidP="00623543">
      <w:pPr>
        <w:pBdr>
          <w:top w:val="nil"/>
          <w:left w:val="nil"/>
          <w:bottom w:val="nil"/>
          <w:right w:val="nil"/>
          <w:between w:val="nil"/>
        </w:pBdr>
        <w:tabs>
          <w:tab w:val="left" w:pos="567"/>
        </w:tabs>
        <w:spacing w:line="276" w:lineRule="auto"/>
        <w:ind w:left="360"/>
        <w:jc w:val="both"/>
        <w:rPr>
          <w:color w:val="000000"/>
          <w:lang w:val="en-US"/>
        </w:rPr>
      </w:pPr>
      <w:r w:rsidRPr="00175BA2">
        <w:rPr>
          <w:color w:val="000000"/>
          <w:lang w:val="en-US"/>
        </w:rPr>
        <w:t>Në këtë kuadër synohet që faktorët mjedisorë, klimatikë, socialë dhe të qeverisjes të përfshihen në politikën e investimeve dhe në sistemin e administrimit të rrezikut, në masën që janë materialë për natyrën e aktiveve dhe detyrimeve të fondit. Ky objektiv nuk nënkupton vendosjen e një detyrimi për investim në kategori të caktuara aktivesh ose përcaktimin paraprak të rezultateve të investimit.</w:t>
      </w:r>
    </w:p>
    <w:p w14:paraId="0F7497F5" w14:textId="77777777" w:rsidR="00623543" w:rsidRDefault="00623543" w:rsidP="00175BA2">
      <w:pPr>
        <w:pBdr>
          <w:top w:val="nil"/>
          <w:left w:val="nil"/>
          <w:bottom w:val="nil"/>
          <w:right w:val="nil"/>
          <w:between w:val="nil"/>
        </w:pBdr>
        <w:tabs>
          <w:tab w:val="left" w:pos="567"/>
        </w:tabs>
        <w:spacing w:line="276" w:lineRule="auto"/>
        <w:ind w:left="720"/>
        <w:jc w:val="both"/>
        <w:rPr>
          <w:color w:val="000000"/>
          <w:lang w:val="en-US"/>
        </w:rPr>
      </w:pPr>
    </w:p>
    <w:p w14:paraId="6F0021F2" w14:textId="5A3A73AD" w:rsidR="00175BA2" w:rsidRPr="00175BA2" w:rsidRDefault="00175BA2" w:rsidP="00623543">
      <w:pPr>
        <w:pBdr>
          <w:top w:val="nil"/>
          <w:left w:val="nil"/>
          <w:bottom w:val="nil"/>
          <w:right w:val="nil"/>
          <w:between w:val="nil"/>
        </w:pBdr>
        <w:tabs>
          <w:tab w:val="left" w:pos="567"/>
        </w:tabs>
        <w:spacing w:line="276" w:lineRule="auto"/>
        <w:ind w:left="360"/>
        <w:jc w:val="both"/>
        <w:rPr>
          <w:color w:val="000000"/>
          <w:lang w:val="en-US"/>
        </w:rPr>
      </w:pPr>
      <w:r w:rsidRPr="00175BA2">
        <w:rPr>
          <w:color w:val="000000"/>
          <w:lang w:val="en-US"/>
        </w:rPr>
        <w:t>Arritja e objektivit do të matet nëpërmjet:</w:t>
      </w:r>
    </w:p>
    <w:p w14:paraId="7323320E" w14:textId="2EF16715" w:rsidR="00175BA2" w:rsidRPr="00175BA2" w:rsidRDefault="00623543" w:rsidP="008E4E22">
      <w:pPr>
        <w:numPr>
          <w:ilvl w:val="0"/>
          <w:numId w:val="25"/>
        </w:numPr>
        <w:pBdr>
          <w:top w:val="nil"/>
          <w:left w:val="nil"/>
          <w:bottom w:val="nil"/>
          <w:right w:val="nil"/>
          <w:between w:val="nil"/>
        </w:pBdr>
        <w:tabs>
          <w:tab w:val="left" w:pos="567"/>
        </w:tabs>
        <w:spacing w:line="276" w:lineRule="auto"/>
        <w:jc w:val="both"/>
        <w:rPr>
          <w:color w:val="000000"/>
          <w:lang w:val="en-US"/>
        </w:rPr>
      </w:pPr>
      <w:r>
        <w:rPr>
          <w:color w:val="000000"/>
          <w:lang w:val="en-US"/>
        </w:rPr>
        <w:t xml:space="preserve">  </w:t>
      </w:r>
      <w:r w:rsidR="00175BA2" w:rsidRPr="00175BA2">
        <w:rPr>
          <w:color w:val="000000"/>
          <w:lang w:val="en-US"/>
        </w:rPr>
        <w:t xml:space="preserve">përshtatjes së politikave dhe strategjive të investimit me kërkesat e ndryshuara të nenit 90 të ligjit; </w:t>
      </w:r>
    </w:p>
    <w:p w14:paraId="284427B7" w14:textId="3D910CF0" w:rsidR="00175BA2" w:rsidRPr="00175BA2" w:rsidRDefault="00623543" w:rsidP="008E4E22">
      <w:pPr>
        <w:numPr>
          <w:ilvl w:val="0"/>
          <w:numId w:val="25"/>
        </w:numPr>
        <w:pBdr>
          <w:top w:val="nil"/>
          <w:left w:val="nil"/>
          <w:bottom w:val="nil"/>
          <w:right w:val="nil"/>
          <w:between w:val="nil"/>
        </w:pBdr>
        <w:tabs>
          <w:tab w:val="left" w:pos="567"/>
        </w:tabs>
        <w:spacing w:line="276" w:lineRule="auto"/>
        <w:jc w:val="both"/>
        <w:rPr>
          <w:color w:val="000000"/>
          <w:lang w:val="en-US"/>
        </w:rPr>
      </w:pPr>
      <w:r>
        <w:rPr>
          <w:color w:val="000000"/>
          <w:lang w:val="en-US"/>
        </w:rPr>
        <w:t xml:space="preserve">  </w:t>
      </w:r>
      <w:r w:rsidR="00175BA2" w:rsidRPr="00175BA2">
        <w:rPr>
          <w:color w:val="000000"/>
          <w:lang w:val="en-US"/>
        </w:rPr>
        <w:t xml:space="preserve">pasqyrimit në prospekt të mënyrës se si merren parasysh faktorët mjedisorë, klimatikë, socialë dhe të qeverisjes; </w:t>
      </w:r>
    </w:p>
    <w:p w14:paraId="59B46F38" w14:textId="1BDEB399" w:rsidR="00175BA2" w:rsidRPr="00175BA2" w:rsidRDefault="00623543" w:rsidP="008E4E22">
      <w:pPr>
        <w:numPr>
          <w:ilvl w:val="0"/>
          <w:numId w:val="25"/>
        </w:numPr>
        <w:pBdr>
          <w:top w:val="nil"/>
          <w:left w:val="nil"/>
          <w:bottom w:val="nil"/>
          <w:right w:val="nil"/>
          <w:between w:val="nil"/>
        </w:pBdr>
        <w:tabs>
          <w:tab w:val="left" w:pos="567"/>
        </w:tabs>
        <w:spacing w:line="276" w:lineRule="auto"/>
        <w:jc w:val="both"/>
        <w:rPr>
          <w:color w:val="000000"/>
          <w:lang w:val="en-US"/>
        </w:rPr>
      </w:pPr>
      <w:r>
        <w:rPr>
          <w:color w:val="000000"/>
          <w:lang w:val="en-US"/>
        </w:rPr>
        <w:t xml:space="preserve">  </w:t>
      </w:r>
      <w:r w:rsidR="00175BA2" w:rsidRPr="00175BA2">
        <w:rPr>
          <w:color w:val="000000"/>
          <w:lang w:val="en-US"/>
        </w:rPr>
        <w:t xml:space="preserve">përfshirjes së rreziqeve materiale që lidhen me këta faktorë në vetëvlerësimin e rrezikut; </w:t>
      </w:r>
    </w:p>
    <w:p w14:paraId="7A1BAC14" w14:textId="19CB65EB" w:rsidR="00175BA2" w:rsidRPr="00175BA2" w:rsidRDefault="00623543" w:rsidP="008E4E22">
      <w:pPr>
        <w:numPr>
          <w:ilvl w:val="0"/>
          <w:numId w:val="25"/>
        </w:numPr>
        <w:pBdr>
          <w:top w:val="nil"/>
          <w:left w:val="nil"/>
          <w:bottom w:val="nil"/>
          <w:right w:val="nil"/>
          <w:between w:val="nil"/>
        </w:pBdr>
        <w:tabs>
          <w:tab w:val="left" w:pos="567"/>
        </w:tabs>
        <w:spacing w:line="276" w:lineRule="auto"/>
        <w:jc w:val="both"/>
        <w:rPr>
          <w:color w:val="000000"/>
          <w:lang w:val="en-US"/>
        </w:rPr>
      </w:pPr>
      <w:r>
        <w:rPr>
          <w:color w:val="000000"/>
          <w:lang w:val="en-US"/>
        </w:rPr>
        <w:t xml:space="preserve">  </w:t>
      </w:r>
      <w:r w:rsidR="00175BA2" w:rsidRPr="00175BA2">
        <w:rPr>
          <w:color w:val="000000"/>
          <w:lang w:val="en-US"/>
        </w:rPr>
        <w:t xml:space="preserve">verifikimit nga Autoriteti të zbatimit të parimit të personit të kujdesshëm gjatë shqyrtimit mbikëqyrës. </w:t>
      </w:r>
    </w:p>
    <w:p w14:paraId="60212825" w14:textId="77777777" w:rsidR="00623543" w:rsidRDefault="00623543" w:rsidP="00175BA2">
      <w:pPr>
        <w:pBdr>
          <w:top w:val="nil"/>
          <w:left w:val="nil"/>
          <w:bottom w:val="nil"/>
          <w:right w:val="nil"/>
          <w:between w:val="nil"/>
        </w:pBdr>
        <w:tabs>
          <w:tab w:val="left" w:pos="567"/>
        </w:tabs>
        <w:spacing w:line="276" w:lineRule="auto"/>
        <w:ind w:left="720"/>
        <w:jc w:val="both"/>
        <w:rPr>
          <w:color w:val="000000"/>
          <w:lang w:val="en-US"/>
        </w:rPr>
      </w:pPr>
    </w:p>
    <w:p w14:paraId="12A57B52" w14:textId="2B11ACDB" w:rsidR="00175BA2" w:rsidRPr="00175BA2" w:rsidRDefault="00175BA2" w:rsidP="00623543">
      <w:pPr>
        <w:pBdr>
          <w:top w:val="nil"/>
          <w:left w:val="nil"/>
          <w:bottom w:val="nil"/>
          <w:right w:val="nil"/>
          <w:between w:val="nil"/>
        </w:pBdr>
        <w:tabs>
          <w:tab w:val="left" w:pos="567"/>
        </w:tabs>
        <w:spacing w:line="276" w:lineRule="auto"/>
        <w:ind w:left="360"/>
        <w:jc w:val="both"/>
        <w:rPr>
          <w:color w:val="000000"/>
          <w:lang w:val="en-US"/>
        </w:rPr>
      </w:pPr>
      <w:r w:rsidRPr="00175BA2">
        <w:rPr>
          <w:color w:val="000000"/>
          <w:lang w:val="en-US"/>
        </w:rPr>
        <w:t xml:space="preserve">Subjektet e mbikëqyrura duhet ta përshtatin veprimtarinë me kërkesat e reja të investimit brenda 18 muajve nga hyrja në fuqi e ligjit. </w:t>
      </w:r>
    </w:p>
    <w:p w14:paraId="7BCCECDD" w14:textId="77777777" w:rsidR="00623543" w:rsidRDefault="00623543" w:rsidP="00175BA2">
      <w:pPr>
        <w:pBdr>
          <w:top w:val="nil"/>
          <w:left w:val="nil"/>
          <w:bottom w:val="nil"/>
          <w:right w:val="nil"/>
          <w:between w:val="nil"/>
        </w:pBdr>
        <w:tabs>
          <w:tab w:val="left" w:pos="567"/>
        </w:tabs>
        <w:spacing w:line="276" w:lineRule="auto"/>
        <w:ind w:left="720"/>
        <w:jc w:val="both"/>
        <w:rPr>
          <w:b/>
          <w:bCs/>
          <w:color w:val="000000"/>
          <w:lang w:val="en-US"/>
        </w:rPr>
      </w:pPr>
    </w:p>
    <w:p w14:paraId="7178BC99" w14:textId="09827E29" w:rsidR="00175BA2" w:rsidRPr="00175BA2" w:rsidRDefault="00175BA2" w:rsidP="00623543">
      <w:pPr>
        <w:pBdr>
          <w:top w:val="nil"/>
          <w:left w:val="nil"/>
          <w:bottom w:val="nil"/>
          <w:right w:val="nil"/>
          <w:between w:val="nil"/>
        </w:pBdr>
        <w:tabs>
          <w:tab w:val="left" w:pos="567"/>
        </w:tabs>
        <w:spacing w:line="276" w:lineRule="auto"/>
        <w:ind w:left="360"/>
        <w:jc w:val="both"/>
        <w:rPr>
          <w:b/>
          <w:bCs/>
          <w:color w:val="000000"/>
          <w:lang w:val="en-US"/>
        </w:rPr>
      </w:pPr>
      <w:r w:rsidRPr="00175BA2">
        <w:rPr>
          <w:b/>
          <w:bCs/>
          <w:color w:val="000000"/>
          <w:lang w:val="en-US"/>
        </w:rPr>
        <w:t>4</w:t>
      </w:r>
      <w:r w:rsidR="00C12B06">
        <w:rPr>
          <w:b/>
          <w:bCs/>
          <w:color w:val="000000"/>
          <w:lang w:val="en-US"/>
        </w:rPr>
        <w:t>.</w:t>
      </w:r>
      <w:r w:rsidRPr="00175BA2">
        <w:rPr>
          <w:b/>
          <w:bCs/>
          <w:color w:val="000000"/>
          <w:lang w:val="en-US"/>
        </w:rPr>
        <w:t xml:space="preserve"> Rritja e mbrojtjes dhe informimit të anëtarëve dhe përfituesve</w:t>
      </w:r>
    </w:p>
    <w:p w14:paraId="347048FD" w14:textId="77777777" w:rsidR="00C12B06" w:rsidRDefault="00C12B06" w:rsidP="00175BA2">
      <w:pPr>
        <w:pBdr>
          <w:top w:val="nil"/>
          <w:left w:val="nil"/>
          <w:bottom w:val="nil"/>
          <w:right w:val="nil"/>
          <w:between w:val="nil"/>
        </w:pBdr>
        <w:tabs>
          <w:tab w:val="left" w:pos="567"/>
        </w:tabs>
        <w:spacing w:line="276" w:lineRule="auto"/>
        <w:ind w:left="720"/>
        <w:jc w:val="both"/>
        <w:rPr>
          <w:color w:val="000000"/>
          <w:lang w:val="en-US"/>
        </w:rPr>
      </w:pPr>
    </w:p>
    <w:p w14:paraId="3FE8222F" w14:textId="0C79B70E" w:rsidR="00175BA2" w:rsidRPr="00175BA2" w:rsidRDefault="00175BA2" w:rsidP="00C12B06">
      <w:pPr>
        <w:pBdr>
          <w:top w:val="nil"/>
          <w:left w:val="nil"/>
          <w:bottom w:val="nil"/>
          <w:right w:val="nil"/>
          <w:between w:val="nil"/>
        </w:pBdr>
        <w:tabs>
          <w:tab w:val="left" w:pos="567"/>
        </w:tabs>
        <w:spacing w:line="276" w:lineRule="auto"/>
        <w:ind w:left="360"/>
        <w:jc w:val="both"/>
        <w:rPr>
          <w:color w:val="000000"/>
          <w:lang w:val="en-US"/>
        </w:rPr>
      </w:pPr>
      <w:r w:rsidRPr="00175BA2">
        <w:rPr>
          <w:color w:val="000000"/>
          <w:lang w:val="en-US"/>
        </w:rPr>
        <w:t>Objektivi i katërt është që anëtarët dhe përfituesit të marrin informacion të saktë, të përditësuar, të kuptueshëm dhe të krahasueshëm për gjendjen e kursimeve të tyre, kostot, performancën e investimeve dhe përfitimet e mundshme të pensionit.</w:t>
      </w:r>
    </w:p>
    <w:p w14:paraId="551DDAAE" w14:textId="77777777" w:rsidR="00A62B2D" w:rsidRDefault="00A62B2D" w:rsidP="00175BA2">
      <w:pPr>
        <w:pBdr>
          <w:top w:val="nil"/>
          <w:left w:val="nil"/>
          <w:bottom w:val="nil"/>
          <w:right w:val="nil"/>
          <w:between w:val="nil"/>
        </w:pBdr>
        <w:tabs>
          <w:tab w:val="left" w:pos="567"/>
        </w:tabs>
        <w:spacing w:line="276" w:lineRule="auto"/>
        <w:ind w:left="720"/>
        <w:jc w:val="both"/>
        <w:rPr>
          <w:color w:val="000000"/>
          <w:lang w:val="en-US"/>
        </w:rPr>
      </w:pPr>
    </w:p>
    <w:p w14:paraId="47742E6E" w14:textId="1DE429A1" w:rsidR="00175BA2" w:rsidRPr="00175BA2" w:rsidRDefault="00175BA2" w:rsidP="00A62B2D">
      <w:pPr>
        <w:pBdr>
          <w:top w:val="nil"/>
          <w:left w:val="nil"/>
          <w:bottom w:val="nil"/>
          <w:right w:val="nil"/>
          <w:between w:val="nil"/>
        </w:pBdr>
        <w:tabs>
          <w:tab w:val="left" w:pos="567"/>
        </w:tabs>
        <w:spacing w:line="276" w:lineRule="auto"/>
        <w:ind w:left="360"/>
        <w:jc w:val="both"/>
        <w:rPr>
          <w:color w:val="000000"/>
          <w:lang w:val="en-US"/>
        </w:rPr>
      </w:pPr>
      <w:r w:rsidRPr="00175BA2">
        <w:rPr>
          <w:color w:val="000000"/>
          <w:lang w:val="en-US"/>
        </w:rPr>
        <w:t>Nëpërmjet dokumentit “Vërtetim për gjendjen e llogarisë së përfitimeve të pensionit” synohet që çdo anëtar të informohet të paktën një herë në vit për:</w:t>
      </w:r>
    </w:p>
    <w:p w14:paraId="4F260521" w14:textId="46C8449B" w:rsidR="00175BA2" w:rsidRPr="00175BA2" w:rsidRDefault="00A62B2D" w:rsidP="008E4E22">
      <w:pPr>
        <w:numPr>
          <w:ilvl w:val="0"/>
          <w:numId w:val="26"/>
        </w:numPr>
        <w:pBdr>
          <w:top w:val="nil"/>
          <w:left w:val="nil"/>
          <w:bottom w:val="nil"/>
          <w:right w:val="nil"/>
          <w:between w:val="nil"/>
        </w:pBdr>
        <w:tabs>
          <w:tab w:val="left" w:pos="567"/>
        </w:tabs>
        <w:spacing w:line="276" w:lineRule="auto"/>
        <w:jc w:val="both"/>
        <w:rPr>
          <w:color w:val="000000"/>
          <w:lang w:val="en-US"/>
        </w:rPr>
      </w:pPr>
      <w:r>
        <w:rPr>
          <w:color w:val="000000"/>
          <w:lang w:val="en-US"/>
        </w:rPr>
        <w:t xml:space="preserve">  </w:t>
      </w:r>
      <w:r w:rsidR="00175BA2" w:rsidRPr="00175BA2">
        <w:rPr>
          <w:color w:val="000000"/>
          <w:lang w:val="en-US"/>
        </w:rPr>
        <w:t xml:space="preserve">kontributet e paguara nga anëtari ose punëdhënësi; </w:t>
      </w:r>
    </w:p>
    <w:p w14:paraId="009FB4A9" w14:textId="7C212544" w:rsidR="00175BA2" w:rsidRPr="00175BA2" w:rsidRDefault="00A62B2D" w:rsidP="008E4E22">
      <w:pPr>
        <w:numPr>
          <w:ilvl w:val="0"/>
          <w:numId w:val="26"/>
        </w:numPr>
        <w:pBdr>
          <w:top w:val="nil"/>
          <w:left w:val="nil"/>
          <w:bottom w:val="nil"/>
          <w:right w:val="nil"/>
          <w:between w:val="nil"/>
        </w:pBdr>
        <w:tabs>
          <w:tab w:val="left" w:pos="567"/>
        </w:tabs>
        <w:spacing w:line="276" w:lineRule="auto"/>
        <w:jc w:val="both"/>
        <w:rPr>
          <w:color w:val="000000"/>
          <w:lang w:val="en-US"/>
        </w:rPr>
      </w:pPr>
      <w:r>
        <w:rPr>
          <w:color w:val="000000"/>
          <w:lang w:val="en-US"/>
        </w:rPr>
        <w:t xml:space="preserve">  </w:t>
      </w:r>
      <w:r w:rsidR="00175BA2" w:rsidRPr="00175BA2">
        <w:rPr>
          <w:color w:val="000000"/>
          <w:lang w:val="en-US"/>
        </w:rPr>
        <w:t xml:space="preserve">vlerën neto të aktiveve të grumbulluara; </w:t>
      </w:r>
    </w:p>
    <w:p w14:paraId="09E25991" w14:textId="6C1BDE26" w:rsidR="00175BA2" w:rsidRPr="00175BA2" w:rsidRDefault="00A62B2D" w:rsidP="008E4E22">
      <w:pPr>
        <w:numPr>
          <w:ilvl w:val="0"/>
          <w:numId w:val="26"/>
        </w:numPr>
        <w:pBdr>
          <w:top w:val="nil"/>
          <w:left w:val="nil"/>
          <w:bottom w:val="nil"/>
          <w:right w:val="nil"/>
          <w:between w:val="nil"/>
        </w:pBdr>
        <w:tabs>
          <w:tab w:val="left" w:pos="567"/>
        </w:tabs>
        <w:spacing w:line="276" w:lineRule="auto"/>
        <w:jc w:val="both"/>
        <w:rPr>
          <w:color w:val="000000"/>
          <w:lang w:val="en-US"/>
        </w:rPr>
      </w:pPr>
      <w:r>
        <w:rPr>
          <w:color w:val="000000"/>
          <w:lang w:val="en-US"/>
        </w:rPr>
        <w:t xml:space="preserve">  </w:t>
      </w:r>
      <w:r w:rsidR="00175BA2" w:rsidRPr="00175BA2">
        <w:rPr>
          <w:color w:val="000000"/>
          <w:lang w:val="en-US"/>
        </w:rPr>
        <w:t xml:space="preserve">kthimin nga investimi; </w:t>
      </w:r>
    </w:p>
    <w:p w14:paraId="4B92BC8F" w14:textId="4AA41D95" w:rsidR="00175BA2" w:rsidRPr="00175BA2" w:rsidRDefault="00A62B2D" w:rsidP="008E4E22">
      <w:pPr>
        <w:numPr>
          <w:ilvl w:val="0"/>
          <w:numId w:val="26"/>
        </w:numPr>
        <w:pBdr>
          <w:top w:val="nil"/>
          <w:left w:val="nil"/>
          <w:bottom w:val="nil"/>
          <w:right w:val="nil"/>
          <w:between w:val="nil"/>
        </w:pBdr>
        <w:tabs>
          <w:tab w:val="left" w:pos="567"/>
        </w:tabs>
        <w:spacing w:line="276" w:lineRule="auto"/>
        <w:jc w:val="both"/>
        <w:rPr>
          <w:color w:val="000000"/>
          <w:lang w:val="en-US"/>
        </w:rPr>
      </w:pPr>
      <w:r>
        <w:rPr>
          <w:color w:val="000000"/>
          <w:lang w:val="en-US"/>
        </w:rPr>
        <w:t xml:space="preserve">  </w:t>
      </w:r>
      <w:r w:rsidR="00175BA2" w:rsidRPr="00175BA2">
        <w:rPr>
          <w:color w:val="000000"/>
          <w:lang w:val="en-US"/>
        </w:rPr>
        <w:t xml:space="preserve">kostot dhe tarifat e zbritura; </w:t>
      </w:r>
    </w:p>
    <w:p w14:paraId="575897B9" w14:textId="1A019634" w:rsidR="00175BA2" w:rsidRPr="00175BA2" w:rsidRDefault="00A62B2D" w:rsidP="008E4E22">
      <w:pPr>
        <w:numPr>
          <w:ilvl w:val="0"/>
          <w:numId w:val="26"/>
        </w:numPr>
        <w:pBdr>
          <w:top w:val="nil"/>
          <w:left w:val="nil"/>
          <w:bottom w:val="nil"/>
          <w:right w:val="nil"/>
          <w:between w:val="nil"/>
        </w:pBdr>
        <w:tabs>
          <w:tab w:val="left" w:pos="567"/>
        </w:tabs>
        <w:spacing w:line="276" w:lineRule="auto"/>
        <w:jc w:val="both"/>
        <w:rPr>
          <w:color w:val="000000"/>
          <w:lang w:val="en-US"/>
        </w:rPr>
      </w:pPr>
      <w:r>
        <w:rPr>
          <w:color w:val="000000"/>
          <w:lang w:val="en-US"/>
        </w:rPr>
        <w:t xml:space="preserve">  </w:t>
      </w:r>
      <w:r w:rsidR="00175BA2" w:rsidRPr="00175BA2">
        <w:rPr>
          <w:color w:val="000000"/>
          <w:lang w:val="en-US"/>
        </w:rPr>
        <w:t xml:space="preserve">parashikimet e përfitimeve të pensionit; </w:t>
      </w:r>
    </w:p>
    <w:p w14:paraId="7CC16739" w14:textId="7FCFB633" w:rsidR="00175BA2" w:rsidRPr="00175BA2" w:rsidRDefault="00A62B2D" w:rsidP="008E4E22">
      <w:pPr>
        <w:numPr>
          <w:ilvl w:val="0"/>
          <w:numId w:val="26"/>
        </w:numPr>
        <w:pBdr>
          <w:top w:val="nil"/>
          <w:left w:val="nil"/>
          <w:bottom w:val="nil"/>
          <w:right w:val="nil"/>
          <w:between w:val="nil"/>
        </w:pBdr>
        <w:tabs>
          <w:tab w:val="left" w:pos="567"/>
        </w:tabs>
        <w:spacing w:line="276" w:lineRule="auto"/>
        <w:jc w:val="both"/>
        <w:rPr>
          <w:color w:val="000000"/>
          <w:lang w:val="en-US"/>
        </w:rPr>
      </w:pPr>
      <w:r>
        <w:rPr>
          <w:color w:val="000000"/>
          <w:lang w:val="en-US"/>
        </w:rPr>
        <w:t xml:space="preserve">  </w:t>
      </w:r>
      <w:r w:rsidR="00175BA2" w:rsidRPr="00175BA2">
        <w:rPr>
          <w:color w:val="000000"/>
          <w:lang w:val="en-US"/>
        </w:rPr>
        <w:t xml:space="preserve">të paktën një skenar bazë dhe një skenar të pafavorshëm, kur parashikimet mbështeten në skenarë ekonomikë. </w:t>
      </w:r>
    </w:p>
    <w:p w14:paraId="01B05806" w14:textId="77777777" w:rsidR="00A62B2D" w:rsidRDefault="00A62B2D" w:rsidP="00175BA2">
      <w:pPr>
        <w:pBdr>
          <w:top w:val="nil"/>
          <w:left w:val="nil"/>
          <w:bottom w:val="nil"/>
          <w:right w:val="nil"/>
          <w:between w:val="nil"/>
        </w:pBdr>
        <w:tabs>
          <w:tab w:val="left" w:pos="567"/>
        </w:tabs>
        <w:spacing w:line="276" w:lineRule="auto"/>
        <w:ind w:left="720"/>
        <w:jc w:val="both"/>
        <w:rPr>
          <w:color w:val="000000"/>
          <w:lang w:val="en-US"/>
        </w:rPr>
      </w:pPr>
    </w:p>
    <w:p w14:paraId="22A1FFCD" w14:textId="5E8DD1A4" w:rsidR="00175BA2" w:rsidRPr="00175BA2" w:rsidRDefault="00175BA2" w:rsidP="00A62B2D">
      <w:pPr>
        <w:pBdr>
          <w:top w:val="nil"/>
          <w:left w:val="nil"/>
          <w:bottom w:val="nil"/>
          <w:right w:val="nil"/>
          <w:between w:val="nil"/>
        </w:pBdr>
        <w:tabs>
          <w:tab w:val="left" w:pos="567"/>
        </w:tabs>
        <w:spacing w:line="276" w:lineRule="auto"/>
        <w:ind w:left="360"/>
        <w:jc w:val="both"/>
        <w:rPr>
          <w:color w:val="000000"/>
          <w:lang w:val="en-US"/>
        </w:rPr>
      </w:pPr>
      <w:r w:rsidRPr="00175BA2">
        <w:rPr>
          <w:color w:val="000000"/>
          <w:lang w:val="en-US"/>
        </w:rPr>
        <w:t xml:space="preserve">Arritja e këtij objektivi do të matet me përqindjen e anëtarëve që marrin dokumentin vjetor në formatin dhe përmbajtjen e përcaktuar. Synimi është që 100 për qind e anëtarëve ta marrin dokumentin pa pagesë, nëpërmjet një mjeti të qëndrueshëm komunikimi, faqes së internetit ose në kopje fizike sipas kërkesës, duke filluar nga cikli i parë vjetor i raportimit pas miratimit të aktit nënligjor përkatës. </w:t>
      </w:r>
    </w:p>
    <w:p w14:paraId="5CEE1BAE" w14:textId="77777777" w:rsidR="008526B4" w:rsidRDefault="008526B4" w:rsidP="00175BA2">
      <w:pPr>
        <w:pBdr>
          <w:top w:val="nil"/>
          <w:left w:val="nil"/>
          <w:bottom w:val="nil"/>
          <w:right w:val="nil"/>
          <w:between w:val="nil"/>
        </w:pBdr>
        <w:tabs>
          <w:tab w:val="left" w:pos="567"/>
        </w:tabs>
        <w:spacing w:line="276" w:lineRule="auto"/>
        <w:ind w:left="720"/>
        <w:jc w:val="both"/>
        <w:rPr>
          <w:color w:val="000000"/>
          <w:lang w:val="en-US"/>
        </w:rPr>
      </w:pPr>
    </w:p>
    <w:p w14:paraId="3BDF2C52" w14:textId="70C5522A" w:rsidR="00175BA2" w:rsidRPr="00175BA2" w:rsidRDefault="00175BA2" w:rsidP="008526B4">
      <w:pPr>
        <w:pBdr>
          <w:top w:val="nil"/>
          <w:left w:val="nil"/>
          <w:bottom w:val="nil"/>
          <w:right w:val="nil"/>
          <w:between w:val="nil"/>
        </w:pBdr>
        <w:tabs>
          <w:tab w:val="left" w:pos="567"/>
        </w:tabs>
        <w:spacing w:line="276" w:lineRule="auto"/>
        <w:ind w:left="360"/>
        <w:jc w:val="both"/>
        <w:rPr>
          <w:color w:val="000000"/>
          <w:lang w:val="en-US"/>
        </w:rPr>
      </w:pPr>
      <w:r w:rsidRPr="00175BA2">
        <w:rPr>
          <w:color w:val="000000"/>
          <w:lang w:val="en-US"/>
        </w:rPr>
        <w:t>Do të monitorohen gjithashtu respektimi i afateve për informimin përpara daljes në pension, ankesat që lidhen me informacionin e dhënë dhe rastet e mospërputhjeve të evidentuara në llogaritë individuale.</w:t>
      </w:r>
    </w:p>
    <w:p w14:paraId="247F9931" w14:textId="77777777" w:rsidR="008526B4" w:rsidRDefault="008526B4" w:rsidP="00175BA2">
      <w:pPr>
        <w:pBdr>
          <w:top w:val="nil"/>
          <w:left w:val="nil"/>
          <w:bottom w:val="nil"/>
          <w:right w:val="nil"/>
          <w:between w:val="nil"/>
        </w:pBdr>
        <w:tabs>
          <w:tab w:val="left" w:pos="567"/>
        </w:tabs>
        <w:spacing w:line="276" w:lineRule="auto"/>
        <w:ind w:left="720"/>
        <w:jc w:val="both"/>
        <w:rPr>
          <w:b/>
          <w:bCs/>
          <w:color w:val="000000"/>
          <w:lang w:val="en-US"/>
        </w:rPr>
      </w:pPr>
    </w:p>
    <w:p w14:paraId="7BB41F40" w14:textId="064856F2" w:rsidR="00175BA2" w:rsidRPr="00175BA2" w:rsidRDefault="00175BA2" w:rsidP="00BD105D">
      <w:pPr>
        <w:pBdr>
          <w:top w:val="nil"/>
          <w:left w:val="nil"/>
          <w:bottom w:val="nil"/>
          <w:right w:val="nil"/>
          <w:between w:val="nil"/>
        </w:pBdr>
        <w:tabs>
          <w:tab w:val="left" w:pos="567"/>
        </w:tabs>
        <w:spacing w:line="276" w:lineRule="auto"/>
        <w:ind w:left="360"/>
        <w:jc w:val="both"/>
        <w:rPr>
          <w:b/>
          <w:bCs/>
          <w:color w:val="000000"/>
          <w:lang w:val="en-US"/>
        </w:rPr>
      </w:pPr>
      <w:r w:rsidRPr="00175BA2">
        <w:rPr>
          <w:b/>
          <w:bCs/>
          <w:color w:val="000000"/>
          <w:lang w:val="en-US"/>
        </w:rPr>
        <w:t>5</w:t>
      </w:r>
      <w:r w:rsidR="00AD66B2">
        <w:rPr>
          <w:b/>
          <w:bCs/>
          <w:color w:val="000000"/>
          <w:lang w:val="en-US"/>
        </w:rPr>
        <w:t>.</w:t>
      </w:r>
      <w:r w:rsidRPr="00175BA2">
        <w:rPr>
          <w:b/>
          <w:bCs/>
          <w:color w:val="000000"/>
          <w:lang w:val="en-US"/>
        </w:rPr>
        <w:t xml:space="preserve"> Konsolidimi i mbikëqyrjes me qasje perspektive dhe me bazë rreziku</w:t>
      </w:r>
    </w:p>
    <w:p w14:paraId="3F8B9E01" w14:textId="77777777" w:rsidR="00AD66B2" w:rsidRDefault="00AD66B2" w:rsidP="00175BA2">
      <w:pPr>
        <w:pBdr>
          <w:top w:val="nil"/>
          <w:left w:val="nil"/>
          <w:bottom w:val="nil"/>
          <w:right w:val="nil"/>
          <w:between w:val="nil"/>
        </w:pBdr>
        <w:tabs>
          <w:tab w:val="left" w:pos="567"/>
        </w:tabs>
        <w:spacing w:line="276" w:lineRule="auto"/>
        <w:ind w:left="720"/>
        <w:jc w:val="both"/>
        <w:rPr>
          <w:color w:val="000000"/>
          <w:lang w:val="en-US"/>
        </w:rPr>
      </w:pPr>
    </w:p>
    <w:p w14:paraId="085A2DE9" w14:textId="4BF0816F" w:rsidR="00175BA2" w:rsidRPr="00175BA2" w:rsidRDefault="00175BA2" w:rsidP="00AD66B2">
      <w:pPr>
        <w:pBdr>
          <w:top w:val="nil"/>
          <w:left w:val="nil"/>
          <w:bottom w:val="nil"/>
          <w:right w:val="nil"/>
          <w:between w:val="nil"/>
        </w:pBdr>
        <w:tabs>
          <w:tab w:val="left" w:pos="567"/>
        </w:tabs>
        <w:spacing w:line="276" w:lineRule="auto"/>
        <w:ind w:left="360"/>
        <w:jc w:val="both"/>
        <w:rPr>
          <w:color w:val="000000"/>
          <w:lang w:val="en-US"/>
        </w:rPr>
      </w:pPr>
      <w:r w:rsidRPr="00175BA2">
        <w:rPr>
          <w:color w:val="000000"/>
          <w:lang w:val="en-US"/>
        </w:rPr>
        <w:t>Objektivi i pestë është forcimi i aftësisë së Autoritetit të Mbikëqyrjes Financiare për të identifikuar dhe trajtuar rreziqet përpara se ato të cenojnë interesat e anëtarëve dhe përfituesve.</w:t>
      </w:r>
      <w:r w:rsidR="00AD66B2">
        <w:rPr>
          <w:color w:val="000000"/>
          <w:lang w:val="en-US"/>
        </w:rPr>
        <w:t xml:space="preserve"> </w:t>
      </w:r>
      <w:r w:rsidRPr="00175BA2">
        <w:rPr>
          <w:color w:val="000000"/>
          <w:lang w:val="en-US"/>
        </w:rPr>
        <w:t>Ndryshimet synojnë që mbikëqyrja të vlerësojë jo vetëm pajtueshmërinë formale me dispozitat ligjore, por edhe cilësinë e sistemit të qeverisjes, profilin e rrezikut, efektivitetin e kontrolleve të brendshme dhe aftësinë e shoqërisë administruese për të përballuar zhvillime të pafavorshme.</w:t>
      </w:r>
    </w:p>
    <w:p w14:paraId="069FF09B" w14:textId="77777777" w:rsidR="00175BA2" w:rsidRPr="00175BA2" w:rsidRDefault="00175BA2" w:rsidP="00AD66B2">
      <w:pPr>
        <w:pBdr>
          <w:top w:val="nil"/>
          <w:left w:val="nil"/>
          <w:bottom w:val="nil"/>
          <w:right w:val="nil"/>
          <w:between w:val="nil"/>
        </w:pBdr>
        <w:tabs>
          <w:tab w:val="left" w:pos="567"/>
        </w:tabs>
        <w:spacing w:line="276" w:lineRule="auto"/>
        <w:ind w:left="360"/>
        <w:jc w:val="both"/>
        <w:rPr>
          <w:color w:val="000000"/>
          <w:lang w:val="en-US"/>
        </w:rPr>
      </w:pPr>
      <w:r w:rsidRPr="00175BA2">
        <w:rPr>
          <w:color w:val="000000"/>
          <w:lang w:val="en-US"/>
        </w:rPr>
        <w:t>Arritja e objektivit do të matet nëpërmjet:</w:t>
      </w:r>
    </w:p>
    <w:p w14:paraId="40DE1D2F" w14:textId="46400F87" w:rsidR="00175BA2" w:rsidRPr="00175BA2" w:rsidRDefault="00AD66B2" w:rsidP="008E4E22">
      <w:pPr>
        <w:numPr>
          <w:ilvl w:val="0"/>
          <w:numId w:val="27"/>
        </w:numPr>
        <w:pBdr>
          <w:top w:val="nil"/>
          <w:left w:val="nil"/>
          <w:bottom w:val="nil"/>
          <w:right w:val="nil"/>
          <w:between w:val="nil"/>
        </w:pBdr>
        <w:tabs>
          <w:tab w:val="left" w:pos="567"/>
        </w:tabs>
        <w:spacing w:line="276" w:lineRule="auto"/>
        <w:jc w:val="both"/>
        <w:rPr>
          <w:color w:val="000000"/>
          <w:lang w:val="en-US"/>
        </w:rPr>
      </w:pPr>
      <w:r>
        <w:rPr>
          <w:color w:val="000000"/>
          <w:lang w:val="en-US"/>
        </w:rPr>
        <w:t xml:space="preserve">  </w:t>
      </w:r>
      <w:r w:rsidR="00175BA2" w:rsidRPr="00175BA2">
        <w:rPr>
          <w:color w:val="000000"/>
          <w:lang w:val="en-US"/>
        </w:rPr>
        <w:t xml:space="preserve">përditësimit të metodologjive, manualeve dhe instrumenteve të mbikëqyrjes në përputhje me kërkesat e reja; </w:t>
      </w:r>
    </w:p>
    <w:p w14:paraId="24127ABA" w14:textId="05EB1F5C" w:rsidR="00175BA2" w:rsidRPr="00175BA2" w:rsidRDefault="00AD66B2" w:rsidP="008E4E22">
      <w:pPr>
        <w:numPr>
          <w:ilvl w:val="0"/>
          <w:numId w:val="27"/>
        </w:numPr>
        <w:pBdr>
          <w:top w:val="nil"/>
          <w:left w:val="nil"/>
          <w:bottom w:val="nil"/>
          <w:right w:val="nil"/>
          <w:between w:val="nil"/>
        </w:pBdr>
        <w:tabs>
          <w:tab w:val="left" w:pos="567"/>
        </w:tabs>
        <w:spacing w:line="276" w:lineRule="auto"/>
        <w:jc w:val="both"/>
        <w:rPr>
          <w:color w:val="000000"/>
          <w:lang w:val="en-US"/>
        </w:rPr>
      </w:pPr>
      <w:r>
        <w:rPr>
          <w:color w:val="000000"/>
          <w:lang w:val="en-US"/>
        </w:rPr>
        <w:t xml:space="preserve">  </w:t>
      </w:r>
      <w:r w:rsidR="00175BA2" w:rsidRPr="00175BA2">
        <w:rPr>
          <w:color w:val="000000"/>
          <w:lang w:val="en-US"/>
        </w:rPr>
        <w:t xml:space="preserve">përfshirjes së qeverisjes, funksioneve kryesore, vetëvlerësimit të rrezikut, politikës së investimit dhe informimit të anëtarëve në procesin e rishikimit mbikëqyrës; </w:t>
      </w:r>
    </w:p>
    <w:p w14:paraId="73FB0590" w14:textId="3FF0DE00" w:rsidR="00175BA2" w:rsidRPr="00175BA2" w:rsidRDefault="00AD66B2" w:rsidP="008E4E22">
      <w:pPr>
        <w:numPr>
          <w:ilvl w:val="0"/>
          <w:numId w:val="27"/>
        </w:numPr>
        <w:pBdr>
          <w:top w:val="nil"/>
          <w:left w:val="nil"/>
          <w:bottom w:val="nil"/>
          <w:right w:val="nil"/>
          <w:between w:val="nil"/>
        </w:pBdr>
        <w:tabs>
          <w:tab w:val="left" w:pos="567"/>
        </w:tabs>
        <w:spacing w:line="276" w:lineRule="auto"/>
        <w:jc w:val="both"/>
        <w:rPr>
          <w:color w:val="000000"/>
          <w:lang w:val="en-US"/>
        </w:rPr>
      </w:pPr>
      <w:r>
        <w:rPr>
          <w:color w:val="000000"/>
          <w:lang w:val="en-US"/>
        </w:rPr>
        <w:t xml:space="preserve">  </w:t>
      </w:r>
      <w:r w:rsidR="00175BA2" w:rsidRPr="00175BA2">
        <w:rPr>
          <w:color w:val="000000"/>
          <w:lang w:val="en-US"/>
        </w:rPr>
        <w:t xml:space="preserve">vlerësimit të të gjitha shoqërive administruese sipas profilit të tyre të rrezikut; </w:t>
      </w:r>
    </w:p>
    <w:p w14:paraId="001156E8" w14:textId="020F2167" w:rsidR="00175BA2" w:rsidRPr="00175BA2" w:rsidRDefault="00AD66B2" w:rsidP="008E4E22">
      <w:pPr>
        <w:numPr>
          <w:ilvl w:val="0"/>
          <w:numId w:val="27"/>
        </w:numPr>
        <w:pBdr>
          <w:top w:val="nil"/>
          <w:left w:val="nil"/>
          <w:bottom w:val="nil"/>
          <w:right w:val="nil"/>
          <w:between w:val="nil"/>
        </w:pBdr>
        <w:tabs>
          <w:tab w:val="left" w:pos="567"/>
        </w:tabs>
        <w:spacing w:line="276" w:lineRule="auto"/>
        <w:jc w:val="both"/>
        <w:rPr>
          <w:color w:val="000000"/>
          <w:lang w:val="en-US"/>
        </w:rPr>
      </w:pPr>
      <w:r>
        <w:rPr>
          <w:color w:val="000000"/>
          <w:lang w:val="en-US"/>
        </w:rPr>
        <w:t xml:space="preserve">  </w:t>
      </w:r>
      <w:r w:rsidR="00175BA2" w:rsidRPr="00175BA2">
        <w:rPr>
          <w:color w:val="000000"/>
          <w:lang w:val="en-US"/>
        </w:rPr>
        <w:t xml:space="preserve">kombinimit të mbikëqyrjes në distancë me inspektimet në vend; </w:t>
      </w:r>
    </w:p>
    <w:p w14:paraId="343FC3D8" w14:textId="070544A6" w:rsidR="00175BA2" w:rsidRPr="00175BA2" w:rsidRDefault="00AD66B2" w:rsidP="008E4E22">
      <w:pPr>
        <w:numPr>
          <w:ilvl w:val="0"/>
          <w:numId w:val="27"/>
        </w:numPr>
        <w:pBdr>
          <w:top w:val="nil"/>
          <w:left w:val="nil"/>
          <w:bottom w:val="nil"/>
          <w:right w:val="nil"/>
          <w:between w:val="nil"/>
        </w:pBdr>
        <w:tabs>
          <w:tab w:val="left" w:pos="567"/>
        </w:tabs>
        <w:spacing w:line="276" w:lineRule="auto"/>
        <w:jc w:val="both"/>
        <w:rPr>
          <w:color w:val="000000"/>
          <w:lang w:val="en-US"/>
        </w:rPr>
      </w:pPr>
      <w:r>
        <w:rPr>
          <w:color w:val="000000"/>
          <w:lang w:val="en-US"/>
        </w:rPr>
        <w:t xml:space="preserve">  </w:t>
      </w:r>
      <w:r w:rsidR="00175BA2" w:rsidRPr="00175BA2">
        <w:rPr>
          <w:color w:val="000000"/>
          <w:lang w:val="en-US"/>
        </w:rPr>
        <w:t xml:space="preserve">përdorimit të testeve të stresit në rastet kur natyra dhe niveli i rrezikut e bëjnë të nevojshme; </w:t>
      </w:r>
    </w:p>
    <w:p w14:paraId="0D490CD7" w14:textId="2EDCAB1D" w:rsidR="00175BA2" w:rsidRPr="00175BA2" w:rsidRDefault="00AD66B2" w:rsidP="008E4E22">
      <w:pPr>
        <w:numPr>
          <w:ilvl w:val="0"/>
          <w:numId w:val="27"/>
        </w:numPr>
        <w:pBdr>
          <w:top w:val="nil"/>
          <w:left w:val="nil"/>
          <w:bottom w:val="nil"/>
          <w:right w:val="nil"/>
          <w:between w:val="nil"/>
        </w:pBdr>
        <w:tabs>
          <w:tab w:val="left" w:pos="567"/>
        </w:tabs>
        <w:spacing w:line="276" w:lineRule="auto"/>
        <w:jc w:val="both"/>
        <w:rPr>
          <w:color w:val="000000"/>
          <w:lang w:val="en-US"/>
        </w:rPr>
      </w:pPr>
      <w:r>
        <w:rPr>
          <w:color w:val="000000"/>
          <w:lang w:val="en-US"/>
        </w:rPr>
        <w:t xml:space="preserve">  </w:t>
      </w:r>
      <w:r w:rsidR="00175BA2" w:rsidRPr="00175BA2">
        <w:rPr>
          <w:color w:val="000000"/>
          <w:lang w:val="en-US"/>
        </w:rPr>
        <w:t xml:space="preserve">monitorimit të zbatimit në kohë të masave korrigjuese. </w:t>
      </w:r>
    </w:p>
    <w:p w14:paraId="456D8265" w14:textId="77777777" w:rsidR="00AD66B2" w:rsidRDefault="00AD66B2" w:rsidP="00AD66B2">
      <w:pPr>
        <w:pBdr>
          <w:top w:val="nil"/>
          <w:left w:val="nil"/>
          <w:bottom w:val="nil"/>
          <w:right w:val="nil"/>
          <w:between w:val="nil"/>
        </w:pBdr>
        <w:tabs>
          <w:tab w:val="left" w:pos="567"/>
        </w:tabs>
        <w:spacing w:line="276" w:lineRule="auto"/>
        <w:ind w:left="360"/>
        <w:jc w:val="both"/>
        <w:rPr>
          <w:color w:val="000000"/>
          <w:lang w:val="en-US"/>
        </w:rPr>
      </w:pPr>
    </w:p>
    <w:p w14:paraId="467E4D47" w14:textId="629D3E57" w:rsidR="00175BA2" w:rsidRPr="00175BA2" w:rsidRDefault="00175BA2" w:rsidP="00AD66B2">
      <w:pPr>
        <w:pBdr>
          <w:top w:val="nil"/>
          <w:left w:val="nil"/>
          <w:bottom w:val="nil"/>
          <w:right w:val="nil"/>
          <w:between w:val="nil"/>
        </w:pBdr>
        <w:tabs>
          <w:tab w:val="left" w:pos="567"/>
        </w:tabs>
        <w:spacing w:line="276" w:lineRule="auto"/>
        <w:ind w:left="360"/>
        <w:jc w:val="both"/>
        <w:rPr>
          <w:color w:val="000000"/>
          <w:lang w:val="en-US"/>
        </w:rPr>
      </w:pPr>
      <w:r w:rsidRPr="00175BA2">
        <w:rPr>
          <w:color w:val="000000"/>
          <w:lang w:val="en-US"/>
        </w:rPr>
        <w:t>Metodologjitë dhe instrumentet përkatëse synohet të përditësohen brenda 12 muajve nga hyrja në fuqi e ligjit, ndërsa zbatimi i tyre për të gjitha shoqëritë administruese do të verifikohet gjatë ciklit pasues të plotë mbikëqyrës.</w:t>
      </w:r>
    </w:p>
    <w:p w14:paraId="773B3EF8" w14:textId="77777777" w:rsidR="00AD66B2" w:rsidRDefault="00AD66B2" w:rsidP="00175BA2">
      <w:pPr>
        <w:pBdr>
          <w:top w:val="nil"/>
          <w:left w:val="nil"/>
          <w:bottom w:val="nil"/>
          <w:right w:val="nil"/>
          <w:between w:val="nil"/>
        </w:pBdr>
        <w:tabs>
          <w:tab w:val="left" w:pos="567"/>
        </w:tabs>
        <w:spacing w:line="276" w:lineRule="auto"/>
        <w:ind w:left="720"/>
        <w:jc w:val="both"/>
        <w:rPr>
          <w:b/>
          <w:bCs/>
          <w:color w:val="000000"/>
          <w:lang w:val="en-US"/>
        </w:rPr>
      </w:pPr>
    </w:p>
    <w:p w14:paraId="766766F8" w14:textId="0BB86B84" w:rsidR="00175BA2" w:rsidRPr="00175BA2" w:rsidRDefault="00175BA2" w:rsidP="00AD66B2">
      <w:pPr>
        <w:pBdr>
          <w:top w:val="nil"/>
          <w:left w:val="nil"/>
          <w:bottom w:val="nil"/>
          <w:right w:val="nil"/>
          <w:between w:val="nil"/>
        </w:pBdr>
        <w:tabs>
          <w:tab w:val="left" w:pos="567"/>
        </w:tabs>
        <w:spacing w:line="276" w:lineRule="auto"/>
        <w:ind w:left="360"/>
        <w:jc w:val="both"/>
        <w:rPr>
          <w:b/>
          <w:bCs/>
          <w:color w:val="000000"/>
          <w:lang w:val="en-US"/>
        </w:rPr>
      </w:pPr>
      <w:r w:rsidRPr="00175BA2">
        <w:rPr>
          <w:b/>
          <w:bCs/>
          <w:color w:val="000000"/>
          <w:lang w:val="en-US"/>
        </w:rPr>
        <w:t>6</w:t>
      </w:r>
      <w:r w:rsidR="00DC5242">
        <w:rPr>
          <w:b/>
          <w:bCs/>
          <w:color w:val="000000"/>
          <w:lang w:val="en-US"/>
        </w:rPr>
        <w:t>.</w:t>
      </w:r>
      <w:r w:rsidRPr="00175BA2">
        <w:rPr>
          <w:b/>
          <w:bCs/>
          <w:color w:val="000000"/>
          <w:lang w:val="en-US"/>
        </w:rPr>
        <w:t xml:space="preserve"> </w:t>
      </w:r>
      <w:r w:rsidR="00DC5242">
        <w:rPr>
          <w:b/>
          <w:bCs/>
          <w:color w:val="000000"/>
          <w:lang w:val="en-US"/>
        </w:rPr>
        <w:t>Veprimtaria</w:t>
      </w:r>
      <w:r w:rsidRPr="00175BA2">
        <w:rPr>
          <w:b/>
          <w:bCs/>
          <w:color w:val="000000"/>
          <w:lang w:val="en-US"/>
        </w:rPr>
        <w:t xml:space="preserve"> ndërkufitare dhe bashkëpunimin evropian</w:t>
      </w:r>
    </w:p>
    <w:p w14:paraId="1CCD62B5" w14:textId="77777777" w:rsidR="00DC5242" w:rsidRDefault="00DC5242" w:rsidP="00175BA2">
      <w:pPr>
        <w:pBdr>
          <w:top w:val="nil"/>
          <w:left w:val="nil"/>
          <w:bottom w:val="nil"/>
          <w:right w:val="nil"/>
          <w:between w:val="nil"/>
        </w:pBdr>
        <w:tabs>
          <w:tab w:val="left" w:pos="567"/>
        </w:tabs>
        <w:spacing w:line="276" w:lineRule="auto"/>
        <w:ind w:left="720"/>
        <w:jc w:val="both"/>
        <w:rPr>
          <w:color w:val="000000"/>
          <w:lang w:val="en-US"/>
        </w:rPr>
      </w:pPr>
    </w:p>
    <w:p w14:paraId="77E6318D" w14:textId="04326806" w:rsidR="00175BA2" w:rsidRPr="00175BA2" w:rsidRDefault="00175BA2" w:rsidP="00DC5242">
      <w:pPr>
        <w:pBdr>
          <w:top w:val="nil"/>
          <w:left w:val="nil"/>
          <w:bottom w:val="nil"/>
          <w:right w:val="nil"/>
          <w:between w:val="nil"/>
        </w:pBdr>
        <w:tabs>
          <w:tab w:val="left" w:pos="567"/>
        </w:tabs>
        <w:spacing w:line="276" w:lineRule="auto"/>
        <w:ind w:left="360"/>
        <w:jc w:val="both"/>
        <w:rPr>
          <w:color w:val="000000"/>
          <w:lang w:val="en-US"/>
        </w:rPr>
      </w:pPr>
      <w:r w:rsidRPr="00175BA2">
        <w:rPr>
          <w:color w:val="000000"/>
          <w:lang w:val="en-US"/>
        </w:rPr>
        <w:t>Objektivi i gjashtë është që, në datën e anëtarësimit të Republikës së Shqipërisë në Bashkimin Evropian, kuadri ligjor, rregullator dhe institucional të jetë i gatshëm për zbatimin e procedurave të veprimtarisë ndërkufitare dhe transferimit ndërkufitar të skemave të pensionit.</w:t>
      </w:r>
    </w:p>
    <w:p w14:paraId="29CFFB17" w14:textId="77777777" w:rsidR="00474304" w:rsidRDefault="00474304" w:rsidP="00175BA2">
      <w:pPr>
        <w:pBdr>
          <w:top w:val="nil"/>
          <w:left w:val="nil"/>
          <w:bottom w:val="nil"/>
          <w:right w:val="nil"/>
          <w:between w:val="nil"/>
        </w:pBdr>
        <w:tabs>
          <w:tab w:val="left" w:pos="567"/>
        </w:tabs>
        <w:spacing w:line="276" w:lineRule="auto"/>
        <w:ind w:left="720"/>
        <w:jc w:val="both"/>
        <w:rPr>
          <w:color w:val="000000"/>
          <w:lang w:val="en-US"/>
        </w:rPr>
      </w:pPr>
    </w:p>
    <w:p w14:paraId="5507D8FF" w14:textId="4D57511F" w:rsidR="00175BA2" w:rsidRPr="00175BA2" w:rsidRDefault="00175BA2" w:rsidP="00474304">
      <w:pPr>
        <w:pBdr>
          <w:top w:val="nil"/>
          <w:left w:val="nil"/>
          <w:bottom w:val="nil"/>
          <w:right w:val="nil"/>
          <w:between w:val="nil"/>
        </w:pBdr>
        <w:tabs>
          <w:tab w:val="left" w:pos="567"/>
        </w:tabs>
        <w:spacing w:line="276" w:lineRule="auto"/>
        <w:ind w:left="360"/>
        <w:jc w:val="both"/>
        <w:rPr>
          <w:color w:val="000000"/>
          <w:lang w:val="en-US"/>
        </w:rPr>
      </w:pPr>
      <w:r w:rsidRPr="00175BA2">
        <w:rPr>
          <w:color w:val="000000"/>
          <w:lang w:val="en-US"/>
        </w:rPr>
        <w:t>Ky objektiv përfshin:</w:t>
      </w:r>
    </w:p>
    <w:p w14:paraId="291C8255" w14:textId="7BCCD96B" w:rsidR="00175BA2" w:rsidRPr="00175BA2" w:rsidRDefault="00474304" w:rsidP="008E4E22">
      <w:pPr>
        <w:numPr>
          <w:ilvl w:val="0"/>
          <w:numId w:val="28"/>
        </w:numPr>
        <w:pBdr>
          <w:top w:val="nil"/>
          <w:left w:val="nil"/>
          <w:bottom w:val="nil"/>
          <w:right w:val="nil"/>
          <w:between w:val="nil"/>
        </w:pBdr>
        <w:tabs>
          <w:tab w:val="left" w:pos="567"/>
        </w:tabs>
        <w:spacing w:line="276" w:lineRule="auto"/>
        <w:jc w:val="both"/>
        <w:rPr>
          <w:color w:val="000000"/>
          <w:lang w:val="en-US"/>
        </w:rPr>
      </w:pPr>
      <w:r>
        <w:rPr>
          <w:color w:val="000000"/>
          <w:lang w:val="en-US"/>
        </w:rPr>
        <w:t xml:space="preserve">  </w:t>
      </w:r>
      <w:r w:rsidR="00175BA2" w:rsidRPr="00175BA2">
        <w:rPr>
          <w:color w:val="000000"/>
          <w:lang w:val="en-US"/>
        </w:rPr>
        <w:t xml:space="preserve">procedurat e njoftimit dhe bashkëpunimit ndërmjet Autoritetit dhe autoriteteve të shteteve anëtare; </w:t>
      </w:r>
    </w:p>
    <w:p w14:paraId="45C0CC99" w14:textId="18FAC7BA" w:rsidR="00175BA2" w:rsidRPr="00175BA2" w:rsidRDefault="00474304" w:rsidP="008E4E22">
      <w:pPr>
        <w:numPr>
          <w:ilvl w:val="0"/>
          <w:numId w:val="28"/>
        </w:numPr>
        <w:pBdr>
          <w:top w:val="nil"/>
          <w:left w:val="nil"/>
          <w:bottom w:val="nil"/>
          <w:right w:val="nil"/>
          <w:between w:val="nil"/>
        </w:pBdr>
        <w:tabs>
          <w:tab w:val="left" w:pos="567"/>
        </w:tabs>
        <w:spacing w:line="276" w:lineRule="auto"/>
        <w:jc w:val="both"/>
        <w:rPr>
          <w:color w:val="000000"/>
          <w:lang w:val="en-US"/>
        </w:rPr>
      </w:pPr>
      <w:r>
        <w:rPr>
          <w:color w:val="000000"/>
          <w:lang w:val="en-US"/>
        </w:rPr>
        <w:t xml:space="preserve">  </w:t>
      </w:r>
      <w:r w:rsidR="00175BA2" w:rsidRPr="00175BA2">
        <w:rPr>
          <w:color w:val="000000"/>
          <w:lang w:val="en-US"/>
        </w:rPr>
        <w:t xml:space="preserve">procedurat për ushtrimin e veprimtarisë nga subjektet shqiptare në një shtet anëtar dhe nga institucionet e pensionit profesional të një shteti anëtar në Shqipëri; </w:t>
      </w:r>
    </w:p>
    <w:p w14:paraId="1075DBA2" w14:textId="3AB1358C" w:rsidR="00175BA2" w:rsidRPr="00175BA2" w:rsidRDefault="00474304" w:rsidP="008E4E22">
      <w:pPr>
        <w:numPr>
          <w:ilvl w:val="0"/>
          <w:numId w:val="28"/>
        </w:numPr>
        <w:pBdr>
          <w:top w:val="nil"/>
          <w:left w:val="nil"/>
          <w:bottom w:val="nil"/>
          <w:right w:val="nil"/>
          <w:between w:val="nil"/>
        </w:pBdr>
        <w:tabs>
          <w:tab w:val="left" w:pos="567"/>
        </w:tabs>
        <w:spacing w:line="276" w:lineRule="auto"/>
        <w:jc w:val="both"/>
        <w:rPr>
          <w:color w:val="000000"/>
          <w:lang w:val="en-US"/>
        </w:rPr>
      </w:pPr>
      <w:r>
        <w:rPr>
          <w:color w:val="000000"/>
          <w:lang w:val="en-US"/>
        </w:rPr>
        <w:t xml:space="preserve">  </w:t>
      </w:r>
      <w:r w:rsidR="00175BA2" w:rsidRPr="00175BA2">
        <w:rPr>
          <w:color w:val="000000"/>
          <w:lang w:val="en-US"/>
        </w:rPr>
        <w:t xml:space="preserve">rregullat për transferimin ndërkufitar të skemave; </w:t>
      </w:r>
    </w:p>
    <w:p w14:paraId="1477855C" w14:textId="6FEE088B" w:rsidR="00175BA2" w:rsidRPr="00175BA2" w:rsidRDefault="00474304" w:rsidP="008E4E22">
      <w:pPr>
        <w:numPr>
          <w:ilvl w:val="0"/>
          <w:numId w:val="28"/>
        </w:numPr>
        <w:pBdr>
          <w:top w:val="nil"/>
          <w:left w:val="nil"/>
          <w:bottom w:val="nil"/>
          <w:right w:val="nil"/>
          <w:between w:val="nil"/>
        </w:pBdr>
        <w:tabs>
          <w:tab w:val="left" w:pos="567"/>
        </w:tabs>
        <w:spacing w:line="276" w:lineRule="auto"/>
        <w:jc w:val="both"/>
        <w:rPr>
          <w:color w:val="000000"/>
          <w:lang w:val="en-US"/>
        </w:rPr>
      </w:pPr>
      <w:r>
        <w:rPr>
          <w:color w:val="000000"/>
          <w:lang w:val="en-US"/>
        </w:rPr>
        <w:t xml:space="preserve">  </w:t>
      </w:r>
      <w:r w:rsidR="00175BA2" w:rsidRPr="00175BA2">
        <w:rPr>
          <w:color w:val="000000"/>
          <w:lang w:val="en-US"/>
        </w:rPr>
        <w:t xml:space="preserve">kërkesat për skemat me përfitime të përcaktuara vetëm në rastet e veprimtarisë ndërkufitare; </w:t>
      </w:r>
    </w:p>
    <w:p w14:paraId="4843D40B" w14:textId="0DFB9BB7" w:rsidR="00175BA2" w:rsidRPr="00175BA2" w:rsidRDefault="00474304" w:rsidP="008E4E22">
      <w:pPr>
        <w:numPr>
          <w:ilvl w:val="0"/>
          <w:numId w:val="28"/>
        </w:numPr>
        <w:pBdr>
          <w:top w:val="nil"/>
          <w:left w:val="nil"/>
          <w:bottom w:val="nil"/>
          <w:right w:val="nil"/>
          <w:between w:val="nil"/>
        </w:pBdr>
        <w:tabs>
          <w:tab w:val="left" w:pos="567"/>
        </w:tabs>
        <w:spacing w:line="276" w:lineRule="auto"/>
        <w:jc w:val="both"/>
        <w:rPr>
          <w:color w:val="000000"/>
          <w:lang w:val="en-US"/>
        </w:rPr>
      </w:pPr>
      <w:r>
        <w:rPr>
          <w:color w:val="000000"/>
          <w:lang w:val="en-US"/>
        </w:rPr>
        <w:t xml:space="preserve">  </w:t>
      </w:r>
      <w:r w:rsidR="00175BA2" w:rsidRPr="00175BA2">
        <w:rPr>
          <w:color w:val="000000"/>
          <w:lang w:val="en-US"/>
        </w:rPr>
        <w:t xml:space="preserve">mekanizmat për shkëmbimin e informacionit dhe bashkëpunimin me EIOPA-n; </w:t>
      </w:r>
    </w:p>
    <w:p w14:paraId="6D2A779F" w14:textId="4D6629AB" w:rsidR="00175BA2" w:rsidRPr="00175BA2" w:rsidRDefault="00474304" w:rsidP="008E4E22">
      <w:pPr>
        <w:numPr>
          <w:ilvl w:val="0"/>
          <w:numId w:val="28"/>
        </w:numPr>
        <w:pBdr>
          <w:top w:val="nil"/>
          <w:left w:val="nil"/>
          <w:bottom w:val="nil"/>
          <w:right w:val="nil"/>
          <w:between w:val="nil"/>
        </w:pBdr>
        <w:tabs>
          <w:tab w:val="left" w:pos="567"/>
        </w:tabs>
        <w:spacing w:line="276" w:lineRule="auto"/>
        <w:jc w:val="both"/>
        <w:rPr>
          <w:color w:val="000000"/>
          <w:lang w:val="en-US"/>
        </w:rPr>
      </w:pPr>
      <w:r>
        <w:rPr>
          <w:color w:val="000000"/>
          <w:lang w:val="en-US"/>
        </w:rPr>
        <w:t xml:space="preserve">  </w:t>
      </w:r>
      <w:r w:rsidR="00175BA2" w:rsidRPr="00175BA2">
        <w:rPr>
          <w:color w:val="000000"/>
          <w:lang w:val="en-US"/>
        </w:rPr>
        <w:t xml:space="preserve">raportimin në sistemet dhe platformat evropiane sipas afateve të zbatueshme. </w:t>
      </w:r>
    </w:p>
    <w:p w14:paraId="774C2D26" w14:textId="77777777" w:rsidR="00474304" w:rsidRDefault="00474304" w:rsidP="00175BA2">
      <w:pPr>
        <w:pBdr>
          <w:top w:val="nil"/>
          <w:left w:val="nil"/>
          <w:bottom w:val="nil"/>
          <w:right w:val="nil"/>
          <w:between w:val="nil"/>
        </w:pBdr>
        <w:tabs>
          <w:tab w:val="left" w:pos="567"/>
        </w:tabs>
        <w:spacing w:line="276" w:lineRule="auto"/>
        <w:ind w:left="720"/>
        <w:jc w:val="both"/>
        <w:rPr>
          <w:color w:val="000000"/>
          <w:lang w:val="en-US"/>
        </w:rPr>
      </w:pPr>
    </w:p>
    <w:p w14:paraId="113BEF7F" w14:textId="63596387" w:rsidR="00175BA2" w:rsidRPr="00175BA2" w:rsidRDefault="00175BA2" w:rsidP="00474304">
      <w:pPr>
        <w:pBdr>
          <w:top w:val="nil"/>
          <w:left w:val="nil"/>
          <w:bottom w:val="nil"/>
          <w:right w:val="nil"/>
          <w:between w:val="nil"/>
        </w:pBdr>
        <w:tabs>
          <w:tab w:val="left" w:pos="567"/>
        </w:tabs>
        <w:spacing w:line="276" w:lineRule="auto"/>
        <w:ind w:left="360"/>
        <w:jc w:val="both"/>
        <w:rPr>
          <w:color w:val="000000"/>
          <w:lang w:val="en-US"/>
        </w:rPr>
      </w:pPr>
      <w:r w:rsidRPr="00175BA2">
        <w:rPr>
          <w:color w:val="000000"/>
          <w:lang w:val="en-US"/>
        </w:rPr>
        <w:t>Arritja e këtij objektivi nuk do të matet me numrin e veprimtarive ndërkufitare të realizuara, pasi përdorimi i këtyre mekanizmave varet nga vendimet tregtare të subjekteve dhe nga kërkesa e tregut. Treguesi i përshtatshëm është gatishmëria juridike dhe institucionale: ekzistenca e procedurave, formularëve, pikave të kontaktit dhe sistemeve të shkëmbimit të informacionit në datën e anëtarësimit.</w:t>
      </w:r>
    </w:p>
    <w:p w14:paraId="2F0D62ED" w14:textId="77777777" w:rsidR="00474304" w:rsidRDefault="00474304" w:rsidP="00175BA2">
      <w:pPr>
        <w:pBdr>
          <w:top w:val="nil"/>
          <w:left w:val="nil"/>
          <w:bottom w:val="nil"/>
          <w:right w:val="nil"/>
          <w:between w:val="nil"/>
        </w:pBdr>
        <w:tabs>
          <w:tab w:val="left" w:pos="567"/>
        </w:tabs>
        <w:spacing w:line="276" w:lineRule="auto"/>
        <w:ind w:left="720"/>
        <w:jc w:val="both"/>
        <w:rPr>
          <w:b/>
          <w:bCs/>
          <w:color w:val="000000"/>
          <w:lang w:val="en-US"/>
        </w:rPr>
      </w:pPr>
    </w:p>
    <w:p w14:paraId="435FA1CB" w14:textId="406CF55A" w:rsidR="00175BA2" w:rsidRPr="00175BA2" w:rsidRDefault="00175BA2" w:rsidP="00157E57">
      <w:pPr>
        <w:pBdr>
          <w:top w:val="nil"/>
          <w:left w:val="nil"/>
          <w:bottom w:val="nil"/>
          <w:right w:val="nil"/>
          <w:between w:val="nil"/>
        </w:pBdr>
        <w:tabs>
          <w:tab w:val="left" w:pos="567"/>
        </w:tabs>
        <w:spacing w:line="276" w:lineRule="auto"/>
        <w:ind w:left="360"/>
        <w:jc w:val="both"/>
        <w:rPr>
          <w:b/>
          <w:bCs/>
          <w:color w:val="000000"/>
          <w:lang w:val="en-US"/>
        </w:rPr>
      </w:pPr>
      <w:r w:rsidRPr="00175BA2">
        <w:rPr>
          <w:b/>
          <w:bCs/>
          <w:color w:val="000000"/>
          <w:lang w:val="en-US"/>
        </w:rPr>
        <w:t>Objektivi specifik 7: Rritja e transparencës dhe aksesit në të dhëna</w:t>
      </w:r>
    </w:p>
    <w:p w14:paraId="5ED9160C" w14:textId="77777777" w:rsidR="00157E57" w:rsidRDefault="00157E57" w:rsidP="00175BA2">
      <w:pPr>
        <w:pBdr>
          <w:top w:val="nil"/>
          <w:left w:val="nil"/>
          <w:bottom w:val="nil"/>
          <w:right w:val="nil"/>
          <w:between w:val="nil"/>
        </w:pBdr>
        <w:tabs>
          <w:tab w:val="left" w:pos="567"/>
        </w:tabs>
        <w:spacing w:line="276" w:lineRule="auto"/>
        <w:ind w:left="720"/>
        <w:jc w:val="both"/>
        <w:rPr>
          <w:color w:val="000000"/>
          <w:lang w:val="en-US"/>
        </w:rPr>
      </w:pPr>
    </w:p>
    <w:p w14:paraId="46CECD99" w14:textId="2E5DC847" w:rsidR="00175BA2" w:rsidRPr="00175BA2" w:rsidRDefault="00175BA2" w:rsidP="00157E57">
      <w:pPr>
        <w:pBdr>
          <w:top w:val="nil"/>
          <w:left w:val="nil"/>
          <w:bottom w:val="nil"/>
          <w:right w:val="nil"/>
          <w:between w:val="nil"/>
        </w:pBdr>
        <w:tabs>
          <w:tab w:val="left" w:pos="567"/>
        </w:tabs>
        <w:spacing w:line="276" w:lineRule="auto"/>
        <w:ind w:left="360"/>
        <w:jc w:val="both"/>
        <w:rPr>
          <w:color w:val="000000"/>
          <w:lang w:val="en-US"/>
        </w:rPr>
      </w:pPr>
      <w:r w:rsidRPr="00175BA2">
        <w:rPr>
          <w:color w:val="000000"/>
          <w:lang w:val="en-US"/>
        </w:rPr>
        <w:t>Objektivi i shtatë është përmirësimi i transparencës së tregut dhe mundësimi i aksesit në informacion të standardizuar për veprimtarinë dhe performancën e subjekteve të mbikëqyrura.</w:t>
      </w:r>
    </w:p>
    <w:p w14:paraId="43C3A9D0" w14:textId="77777777" w:rsidR="00157E57" w:rsidRDefault="00157E57" w:rsidP="00175BA2">
      <w:pPr>
        <w:pBdr>
          <w:top w:val="nil"/>
          <w:left w:val="nil"/>
          <w:bottom w:val="nil"/>
          <w:right w:val="nil"/>
          <w:between w:val="nil"/>
        </w:pBdr>
        <w:tabs>
          <w:tab w:val="left" w:pos="567"/>
        </w:tabs>
        <w:spacing w:line="276" w:lineRule="auto"/>
        <w:ind w:left="720"/>
        <w:jc w:val="both"/>
        <w:rPr>
          <w:color w:val="000000"/>
          <w:lang w:val="en-US"/>
        </w:rPr>
      </w:pPr>
    </w:p>
    <w:p w14:paraId="06B25328" w14:textId="492FA46C" w:rsidR="00175BA2" w:rsidRPr="00175BA2" w:rsidRDefault="00175BA2" w:rsidP="00157E57">
      <w:pPr>
        <w:pBdr>
          <w:top w:val="nil"/>
          <w:left w:val="nil"/>
          <w:bottom w:val="nil"/>
          <w:right w:val="nil"/>
          <w:between w:val="nil"/>
        </w:pBdr>
        <w:tabs>
          <w:tab w:val="left" w:pos="567"/>
        </w:tabs>
        <w:spacing w:line="276" w:lineRule="auto"/>
        <w:ind w:left="360"/>
        <w:jc w:val="both"/>
        <w:rPr>
          <w:color w:val="000000"/>
          <w:lang w:val="en-US"/>
        </w:rPr>
      </w:pPr>
      <w:r w:rsidRPr="00175BA2">
        <w:rPr>
          <w:color w:val="000000"/>
          <w:lang w:val="en-US"/>
        </w:rPr>
        <w:t>Në këtë kuadër synohet:</w:t>
      </w:r>
    </w:p>
    <w:p w14:paraId="022CE094" w14:textId="40513934" w:rsidR="00175BA2" w:rsidRPr="00175BA2" w:rsidRDefault="00157E57" w:rsidP="008E4E22">
      <w:pPr>
        <w:numPr>
          <w:ilvl w:val="0"/>
          <w:numId w:val="29"/>
        </w:numPr>
        <w:pBdr>
          <w:top w:val="nil"/>
          <w:left w:val="nil"/>
          <w:bottom w:val="nil"/>
          <w:right w:val="nil"/>
          <w:between w:val="nil"/>
        </w:pBdr>
        <w:tabs>
          <w:tab w:val="left" w:pos="567"/>
        </w:tabs>
        <w:spacing w:line="276" w:lineRule="auto"/>
        <w:jc w:val="both"/>
        <w:rPr>
          <w:color w:val="000000"/>
          <w:lang w:val="en-US"/>
        </w:rPr>
      </w:pPr>
      <w:r>
        <w:rPr>
          <w:color w:val="000000"/>
          <w:lang w:val="en-US"/>
        </w:rPr>
        <w:t xml:space="preserve">  </w:t>
      </w:r>
      <w:r w:rsidR="00175BA2" w:rsidRPr="00175BA2">
        <w:rPr>
          <w:color w:val="000000"/>
          <w:lang w:val="en-US"/>
        </w:rPr>
        <w:t xml:space="preserve">publikimi i treguesve kryesorë të performancës, kur kjo ndihmon anëtarët dhe përfituesit në marrjen e vendimeve financiare; </w:t>
      </w:r>
    </w:p>
    <w:p w14:paraId="0EB04657" w14:textId="45D12C79" w:rsidR="00175BA2" w:rsidRPr="00175BA2" w:rsidRDefault="00157E57" w:rsidP="008E4E22">
      <w:pPr>
        <w:numPr>
          <w:ilvl w:val="0"/>
          <w:numId w:val="29"/>
        </w:numPr>
        <w:pBdr>
          <w:top w:val="nil"/>
          <w:left w:val="nil"/>
          <w:bottom w:val="nil"/>
          <w:right w:val="nil"/>
          <w:between w:val="nil"/>
        </w:pBdr>
        <w:tabs>
          <w:tab w:val="left" w:pos="567"/>
        </w:tabs>
        <w:spacing w:line="276" w:lineRule="auto"/>
        <w:jc w:val="both"/>
        <w:rPr>
          <w:color w:val="000000"/>
          <w:lang w:val="en-US"/>
        </w:rPr>
      </w:pPr>
      <w:r>
        <w:rPr>
          <w:color w:val="000000"/>
          <w:lang w:val="en-US"/>
        </w:rPr>
        <w:t xml:space="preserve">  p</w:t>
      </w:r>
      <w:r w:rsidR="00175BA2" w:rsidRPr="00175BA2">
        <w:rPr>
          <w:color w:val="000000"/>
          <w:lang w:val="en-US"/>
        </w:rPr>
        <w:t>ublikimi</w:t>
      </w:r>
      <w:r>
        <w:rPr>
          <w:color w:val="000000"/>
          <w:lang w:val="en-US"/>
        </w:rPr>
        <w:t xml:space="preserve"> në mënyrë</w:t>
      </w:r>
      <w:r w:rsidR="00175BA2" w:rsidRPr="00175BA2">
        <w:rPr>
          <w:color w:val="000000"/>
          <w:lang w:val="en-US"/>
        </w:rPr>
        <w:t xml:space="preserve"> transparent</w:t>
      </w:r>
      <w:r>
        <w:rPr>
          <w:color w:val="000000"/>
          <w:lang w:val="en-US"/>
        </w:rPr>
        <w:t>e</w:t>
      </w:r>
      <w:r w:rsidR="00175BA2" w:rsidRPr="00175BA2">
        <w:rPr>
          <w:color w:val="000000"/>
          <w:lang w:val="en-US"/>
        </w:rPr>
        <w:t xml:space="preserve"> i masave mbikëqyrëse dhe sanksioneve administrative të formës së prerë, duke respektuar kërkesat për konfidencialitetin dhe mbrojtjen e të dhënave; </w:t>
      </w:r>
    </w:p>
    <w:p w14:paraId="1B873068" w14:textId="3433695D" w:rsidR="00175BA2" w:rsidRPr="00175BA2" w:rsidRDefault="00157E57" w:rsidP="008E4E22">
      <w:pPr>
        <w:numPr>
          <w:ilvl w:val="0"/>
          <w:numId w:val="29"/>
        </w:numPr>
        <w:pBdr>
          <w:top w:val="nil"/>
          <w:left w:val="nil"/>
          <w:bottom w:val="nil"/>
          <w:right w:val="nil"/>
          <w:between w:val="nil"/>
        </w:pBdr>
        <w:tabs>
          <w:tab w:val="left" w:pos="567"/>
        </w:tabs>
        <w:spacing w:line="276" w:lineRule="auto"/>
        <w:jc w:val="both"/>
        <w:rPr>
          <w:color w:val="000000"/>
          <w:lang w:val="en-US"/>
        </w:rPr>
      </w:pPr>
      <w:r>
        <w:rPr>
          <w:color w:val="000000"/>
          <w:lang w:val="en-US"/>
        </w:rPr>
        <w:t xml:space="preserve">  </w:t>
      </w:r>
      <w:r w:rsidR="00175BA2" w:rsidRPr="00175BA2">
        <w:rPr>
          <w:color w:val="000000"/>
          <w:lang w:val="en-US"/>
        </w:rPr>
        <w:t xml:space="preserve">krijimi i kapaciteteve për depozitimin dhe raportimin e informacionit në Platformën e Vetme Evropiane të Aksesit, sipas kërkesave dhe afateve të zbatueshme, përfshirë afatin e parashikuar nga data 1 janar 2030. </w:t>
      </w:r>
    </w:p>
    <w:p w14:paraId="2C58C420" w14:textId="77777777" w:rsidR="00175BA2" w:rsidRPr="00175BA2" w:rsidRDefault="00175BA2" w:rsidP="00085B00">
      <w:pPr>
        <w:pBdr>
          <w:top w:val="nil"/>
          <w:left w:val="nil"/>
          <w:bottom w:val="nil"/>
          <w:right w:val="nil"/>
          <w:between w:val="nil"/>
        </w:pBdr>
        <w:tabs>
          <w:tab w:val="left" w:pos="567"/>
        </w:tabs>
        <w:spacing w:line="276" w:lineRule="auto"/>
        <w:ind w:left="360"/>
        <w:jc w:val="both"/>
        <w:rPr>
          <w:b/>
          <w:bCs/>
          <w:color w:val="000000"/>
          <w:lang w:val="en-US"/>
        </w:rPr>
      </w:pPr>
      <w:r w:rsidRPr="00175BA2">
        <w:rPr>
          <w:b/>
          <w:bCs/>
          <w:color w:val="000000"/>
          <w:lang w:val="en-US"/>
        </w:rPr>
        <w:t>Matja e rezultateve</w:t>
      </w:r>
    </w:p>
    <w:p w14:paraId="200A4E6F" w14:textId="77777777" w:rsidR="00085B00" w:rsidRDefault="00085B00" w:rsidP="00085B00">
      <w:pPr>
        <w:pBdr>
          <w:top w:val="nil"/>
          <w:left w:val="nil"/>
          <w:bottom w:val="nil"/>
          <w:right w:val="nil"/>
          <w:between w:val="nil"/>
        </w:pBdr>
        <w:tabs>
          <w:tab w:val="left" w:pos="567"/>
        </w:tabs>
        <w:spacing w:line="276" w:lineRule="auto"/>
        <w:ind w:left="360"/>
        <w:jc w:val="both"/>
        <w:rPr>
          <w:color w:val="000000"/>
          <w:lang w:val="en-US"/>
        </w:rPr>
      </w:pPr>
    </w:p>
    <w:p w14:paraId="6468B7E5" w14:textId="04A3EEBC" w:rsidR="00175BA2" w:rsidRPr="00175BA2" w:rsidRDefault="00175BA2" w:rsidP="00085B00">
      <w:pPr>
        <w:pBdr>
          <w:top w:val="nil"/>
          <w:left w:val="nil"/>
          <w:bottom w:val="nil"/>
          <w:right w:val="nil"/>
          <w:between w:val="nil"/>
        </w:pBdr>
        <w:tabs>
          <w:tab w:val="left" w:pos="567"/>
        </w:tabs>
        <w:spacing w:line="276" w:lineRule="auto"/>
        <w:ind w:left="360"/>
        <w:jc w:val="both"/>
        <w:rPr>
          <w:color w:val="000000"/>
          <w:lang w:val="en-US"/>
        </w:rPr>
      </w:pPr>
      <w:r w:rsidRPr="00175BA2">
        <w:rPr>
          <w:color w:val="000000"/>
          <w:lang w:val="en-US"/>
        </w:rPr>
        <w:t>Vlerësimi i realizimit të objektivave do të mbështetet kryesisht në tregues të zbatimit dhe të cilësisë mbikëqyrëse, si:</w:t>
      </w:r>
    </w:p>
    <w:p w14:paraId="2063B5D8" w14:textId="77777777" w:rsidR="00175BA2" w:rsidRPr="00175BA2" w:rsidRDefault="00175BA2" w:rsidP="008E4E22">
      <w:pPr>
        <w:numPr>
          <w:ilvl w:val="0"/>
          <w:numId w:val="30"/>
        </w:numPr>
        <w:pBdr>
          <w:top w:val="nil"/>
          <w:left w:val="nil"/>
          <w:bottom w:val="nil"/>
          <w:right w:val="nil"/>
          <w:between w:val="nil"/>
        </w:pBdr>
        <w:tabs>
          <w:tab w:val="left" w:pos="567"/>
        </w:tabs>
        <w:spacing w:line="276" w:lineRule="auto"/>
        <w:jc w:val="both"/>
        <w:rPr>
          <w:color w:val="000000"/>
          <w:lang w:val="en-US"/>
        </w:rPr>
      </w:pPr>
      <w:r w:rsidRPr="00175BA2">
        <w:rPr>
          <w:color w:val="000000"/>
          <w:lang w:val="en-US"/>
        </w:rPr>
        <w:t xml:space="preserve">shkalla e miratimit të akteve nënligjore brenda afatit; </w:t>
      </w:r>
    </w:p>
    <w:p w14:paraId="2C43D74B" w14:textId="77777777" w:rsidR="00175BA2" w:rsidRPr="00175BA2" w:rsidRDefault="00175BA2" w:rsidP="008E4E22">
      <w:pPr>
        <w:numPr>
          <w:ilvl w:val="0"/>
          <w:numId w:val="30"/>
        </w:numPr>
        <w:pBdr>
          <w:top w:val="nil"/>
          <w:left w:val="nil"/>
          <w:bottom w:val="nil"/>
          <w:right w:val="nil"/>
          <w:between w:val="nil"/>
        </w:pBdr>
        <w:tabs>
          <w:tab w:val="left" w:pos="567"/>
        </w:tabs>
        <w:spacing w:line="276" w:lineRule="auto"/>
        <w:jc w:val="both"/>
        <w:rPr>
          <w:color w:val="000000"/>
          <w:lang w:val="en-US"/>
        </w:rPr>
      </w:pPr>
      <w:r w:rsidRPr="00175BA2">
        <w:rPr>
          <w:color w:val="000000"/>
          <w:lang w:val="en-US"/>
        </w:rPr>
        <w:t xml:space="preserve">përqindja e shoqërive administruese që përmbushin kërkesat për qeverisjen dhe funksionet kryesore; </w:t>
      </w:r>
    </w:p>
    <w:p w14:paraId="41A71816" w14:textId="77777777" w:rsidR="00175BA2" w:rsidRPr="00175BA2" w:rsidRDefault="00175BA2" w:rsidP="008E4E22">
      <w:pPr>
        <w:numPr>
          <w:ilvl w:val="0"/>
          <w:numId w:val="30"/>
        </w:numPr>
        <w:pBdr>
          <w:top w:val="nil"/>
          <w:left w:val="nil"/>
          <w:bottom w:val="nil"/>
          <w:right w:val="nil"/>
          <w:between w:val="nil"/>
        </w:pBdr>
        <w:tabs>
          <w:tab w:val="left" w:pos="567"/>
        </w:tabs>
        <w:spacing w:line="276" w:lineRule="auto"/>
        <w:jc w:val="both"/>
        <w:rPr>
          <w:color w:val="000000"/>
          <w:lang w:val="en-US"/>
        </w:rPr>
      </w:pPr>
      <w:r w:rsidRPr="00175BA2">
        <w:rPr>
          <w:color w:val="000000"/>
          <w:lang w:val="en-US"/>
        </w:rPr>
        <w:t xml:space="preserve">numri dhe rëndësia e mangësive të evidentuara gjatë mbikëqyrjes; </w:t>
      </w:r>
    </w:p>
    <w:p w14:paraId="4253D48A" w14:textId="77777777" w:rsidR="00175BA2" w:rsidRPr="00175BA2" w:rsidRDefault="00175BA2" w:rsidP="008E4E22">
      <w:pPr>
        <w:numPr>
          <w:ilvl w:val="0"/>
          <w:numId w:val="30"/>
        </w:numPr>
        <w:pBdr>
          <w:top w:val="nil"/>
          <w:left w:val="nil"/>
          <w:bottom w:val="nil"/>
          <w:right w:val="nil"/>
          <w:between w:val="nil"/>
        </w:pBdr>
        <w:tabs>
          <w:tab w:val="left" w:pos="567"/>
        </w:tabs>
        <w:spacing w:line="276" w:lineRule="auto"/>
        <w:jc w:val="both"/>
        <w:rPr>
          <w:color w:val="000000"/>
          <w:lang w:val="en-US"/>
        </w:rPr>
      </w:pPr>
      <w:r w:rsidRPr="00175BA2">
        <w:rPr>
          <w:color w:val="000000"/>
          <w:lang w:val="en-US"/>
        </w:rPr>
        <w:t xml:space="preserve">shkalla e zbatimit në kohë të masave korrigjuese; </w:t>
      </w:r>
    </w:p>
    <w:p w14:paraId="250D9617" w14:textId="77777777" w:rsidR="00175BA2" w:rsidRPr="00175BA2" w:rsidRDefault="00175BA2" w:rsidP="008E4E22">
      <w:pPr>
        <w:numPr>
          <w:ilvl w:val="0"/>
          <w:numId w:val="30"/>
        </w:numPr>
        <w:pBdr>
          <w:top w:val="nil"/>
          <w:left w:val="nil"/>
          <w:bottom w:val="nil"/>
          <w:right w:val="nil"/>
          <w:between w:val="nil"/>
        </w:pBdr>
        <w:tabs>
          <w:tab w:val="left" w:pos="567"/>
        </w:tabs>
        <w:spacing w:line="276" w:lineRule="auto"/>
        <w:jc w:val="both"/>
        <w:rPr>
          <w:color w:val="000000"/>
          <w:lang w:val="en-US"/>
        </w:rPr>
      </w:pPr>
      <w:r w:rsidRPr="00175BA2">
        <w:rPr>
          <w:color w:val="000000"/>
          <w:lang w:val="en-US"/>
        </w:rPr>
        <w:t xml:space="preserve">përqindja e anëtarëve që marrin informacionin vjetor të standardizuar; </w:t>
      </w:r>
    </w:p>
    <w:p w14:paraId="1543AFAC" w14:textId="77777777" w:rsidR="00175BA2" w:rsidRPr="00175BA2" w:rsidRDefault="00175BA2" w:rsidP="008E4E22">
      <w:pPr>
        <w:numPr>
          <w:ilvl w:val="0"/>
          <w:numId w:val="30"/>
        </w:numPr>
        <w:pBdr>
          <w:top w:val="nil"/>
          <w:left w:val="nil"/>
          <w:bottom w:val="nil"/>
          <w:right w:val="nil"/>
          <w:between w:val="nil"/>
        </w:pBdr>
        <w:tabs>
          <w:tab w:val="left" w:pos="567"/>
        </w:tabs>
        <w:spacing w:line="276" w:lineRule="auto"/>
        <w:jc w:val="both"/>
        <w:rPr>
          <w:color w:val="000000"/>
          <w:lang w:val="en-US"/>
        </w:rPr>
      </w:pPr>
      <w:r w:rsidRPr="00175BA2">
        <w:rPr>
          <w:color w:val="000000"/>
          <w:lang w:val="en-US"/>
        </w:rPr>
        <w:t xml:space="preserve">përshtatja e politikave të investimit dhe e vetëvlerësimit të rrezikut; </w:t>
      </w:r>
    </w:p>
    <w:p w14:paraId="60B71F9E" w14:textId="77777777" w:rsidR="00175BA2" w:rsidRPr="00175BA2" w:rsidRDefault="00175BA2" w:rsidP="008E4E22">
      <w:pPr>
        <w:numPr>
          <w:ilvl w:val="0"/>
          <w:numId w:val="30"/>
        </w:numPr>
        <w:pBdr>
          <w:top w:val="nil"/>
          <w:left w:val="nil"/>
          <w:bottom w:val="nil"/>
          <w:right w:val="nil"/>
          <w:between w:val="nil"/>
        </w:pBdr>
        <w:tabs>
          <w:tab w:val="left" w:pos="567"/>
        </w:tabs>
        <w:spacing w:line="276" w:lineRule="auto"/>
        <w:jc w:val="both"/>
        <w:rPr>
          <w:color w:val="000000"/>
          <w:lang w:val="en-US"/>
        </w:rPr>
      </w:pPr>
      <w:r w:rsidRPr="00175BA2">
        <w:rPr>
          <w:color w:val="000000"/>
          <w:lang w:val="en-US"/>
        </w:rPr>
        <w:t xml:space="preserve">gatishmëria e procedurave ndërkufitare në momentin e anëtarësimit. </w:t>
      </w:r>
    </w:p>
    <w:p w14:paraId="44DBE6A4" w14:textId="77777777" w:rsidR="00474304" w:rsidRDefault="00474304" w:rsidP="00175BA2">
      <w:pPr>
        <w:pBdr>
          <w:top w:val="nil"/>
          <w:left w:val="nil"/>
          <w:bottom w:val="nil"/>
          <w:right w:val="nil"/>
          <w:between w:val="nil"/>
        </w:pBdr>
        <w:tabs>
          <w:tab w:val="left" w:pos="567"/>
        </w:tabs>
        <w:spacing w:line="276" w:lineRule="auto"/>
        <w:ind w:left="720"/>
        <w:jc w:val="both"/>
        <w:rPr>
          <w:color w:val="000000"/>
          <w:lang w:val="en-US"/>
        </w:rPr>
      </w:pPr>
    </w:p>
    <w:p w14:paraId="6D375D36" w14:textId="7F13F77F" w:rsidR="001226EB" w:rsidRPr="00085B00" w:rsidRDefault="00175BA2" w:rsidP="00085B00">
      <w:pPr>
        <w:pBdr>
          <w:top w:val="nil"/>
          <w:left w:val="nil"/>
          <w:bottom w:val="nil"/>
          <w:right w:val="nil"/>
          <w:between w:val="nil"/>
        </w:pBdr>
        <w:tabs>
          <w:tab w:val="left" w:pos="567"/>
        </w:tabs>
        <w:spacing w:line="276" w:lineRule="auto"/>
        <w:ind w:left="360"/>
        <w:jc w:val="both"/>
        <w:rPr>
          <w:color w:val="000000"/>
          <w:lang w:val="en-US"/>
        </w:rPr>
      </w:pPr>
      <w:r w:rsidRPr="00175BA2">
        <w:rPr>
          <w:color w:val="000000"/>
          <w:lang w:val="en-US"/>
        </w:rPr>
        <w:t>Rritja e numrit të anëtarëve, e aktiveve nën administrim ose e kthimit nga investimi nuk përcaktohet si objektiv i drejtpërdrejtë dhe i matshëm i projektligjit. Këta tregues ndikohen nga faktorë të shumtë ekonomikë, demografikë dhe tregtarë dhe nuk mund t’u atribuohen vetëm ndryshimeve ligjore. Ata mund të monitorohen si tregues më të gjerë të zhvillimit të tregut, por jo si kriteri kryesor për vlerësimin e suksesit të ndërhyrjes.</w:t>
      </w:r>
    </w:p>
    <w:p w14:paraId="7FFFC4CB" w14:textId="46A23C72" w:rsidR="001226EB" w:rsidRPr="007A737A" w:rsidRDefault="004F6C9E">
      <w:pPr>
        <w:pStyle w:val="Heading1"/>
        <w:spacing w:line="276" w:lineRule="auto"/>
        <w:rPr>
          <w:rFonts w:ascii="Times New Roman" w:eastAsia="Times New Roman" w:hAnsi="Times New Roman" w:cs="Times New Roman"/>
          <w:sz w:val="24"/>
          <w:szCs w:val="24"/>
          <w:lang w:val="sq-AL"/>
        </w:rPr>
      </w:pPr>
      <w:r w:rsidRPr="007A737A">
        <w:rPr>
          <w:rFonts w:ascii="Times New Roman" w:eastAsia="Times New Roman" w:hAnsi="Times New Roman" w:cs="Times New Roman"/>
          <w:sz w:val="24"/>
          <w:szCs w:val="24"/>
          <w:lang w:val="sq-AL"/>
        </w:rPr>
        <w:t>Përshkrimi i opsioneve të shqyrtuara</w:t>
      </w:r>
    </w:p>
    <w:p w14:paraId="122D9A68" w14:textId="77777777" w:rsidR="001226EB" w:rsidRPr="00866EA4" w:rsidRDefault="004F6C9E" w:rsidP="008E4E22">
      <w:pPr>
        <w:numPr>
          <w:ilvl w:val="0"/>
          <w:numId w:val="11"/>
        </w:numPr>
        <w:pBdr>
          <w:top w:val="nil"/>
          <w:left w:val="nil"/>
          <w:bottom w:val="nil"/>
          <w:right w:val="nil"/>
          <w:between w:val="nil"/>
        </w:pBdr>
        <w:tabs>
          <w:tab w:val="left" w:pos="567"/>
        </w:tabs>
        <w:spacing w:line="276" w:lineRule="auto"/>
        <w:jc w:val="both"/>
        <w:rPr>
          <w:i/>
          <w:color w:val="000000"/>
          <w:lang w:val="sq-AL"/>
        </w:rPr>
      </w:pPr>
      <w:r w:rsidRPr="00866EA4">
        <w:rPr>
          <w:i/>
          <w:color w:val="000000"/>
          <w:lang w:val="sq-AL"/>
        </w:rPr>
        <w:t xml:space="preserve">Përshkruani opsionin e status quo-së. </w:t>
      </w:r>
    </w:p>
    <w:p w14:paraId="7A894897" w14:textId="77777777" w:rsidR="001226EB" w:rsidRPr="00866EA4" w:rsidRDefault="004F6C9E" w:rsidP="008E4E22">
      <w:pPr>
        <w:numPr>
          <w:ilvl w:val="0"/>
          <w:numId w:val="11"/>
        </w:numPr>
        <w:pBdr>
          <w:top w:val="nil"/>
          <w:left w:val="nil"/>
          <w:bottom w:val="nil"/>
          <w:right w:val="nil"/>
          <w:between w:val="nil"/>
        </w:pBdr>
        <w:tabs>
          <w:tab w:val="left" w:pos="567"/>
        </w:tabs>
        <w:spacing w:line="276" w:lineRule="auto"/>
        <w:jc w:val="both"/>
        <w:rPr>
          <w:i/>
          <w:color w:val="000000"/>
          <w:lang w:val="sq-AL"/>
        </w:rPr>
      </w:pPr>
      <w:r w:rsidRPr="00866EA4">
        <w:rPr>
          <w:i/>
          <w:color w:val="000000"/>
          <w:lang w:val="sq-AL"/>
        </w:rPr>
        <w:t>Identifikoni dhe përshkruani të gjitha opsionet e politikave që keni marrë parasysh.</w:t>
      </w:r>
    </w:p>
    <w:p w14:paraId="7FB2CDA0" w14:textId="77777777" w:rsidR="001226EB" w:rsidRPr="00866EA4" w:rsidRDefault="004F6C9E" w:rsidP="008E4E22">
      <w:pPr>
        <w:numPr>
          <w:ilvl w:val="0"/>
          <w:numId w:val="11"/>
        </w:numPr>
        <w:pBdr>
          <w:top w:val="nil"/>
          <w:left w:val="nil"/>
          <w:bottom w:val="nil"/>
          <w:right w:val="nil"/>
          <w:between w:val="nil"/>
        </w:pBdr>
        <w:tabs>
          <w:tab w:val="left" w:pos="567"/>
        </w:tabs>
        <w:spacing w:line="276" w:lineRule="auto"/>
        <w:jc w:val="both"/>
        <w:rPr>
          <w:i/>
          <w:color w:val="000000"/>
          <w:lang w:val="sq-AL"/>
        </w:rPr>
      </w:pPr>
      <w:r w:rsidRPr="00866EA4">
        <w:rPr>
          <w:i/>
          <w:color w:val="000000"/>
          <w:lang w:val="sq-AL"/>
        </w:rPr>
        <w:t xml:space="preserve">Shpjegoni se si janë identifikuar opsionet e politikës.  </w:t>
      </w:r>
    </w:p>
    <w:p w14:paraId="69913AB3" w14:textId="308DD6AB" w:rsidR="005C7A08" w:rsidRPr="005C7A08" w:rsidRDefault="005C7A08" w:rsidP="005C7A08">
      <w:pPr>
        <w:spacing w:before="240"/>
        <w:jc w:val="both"/>
        <w:rPr>
          <w:bCs/>
          <w:lang w:val="en-US"/>
        </w:rPr>
      </w:pPr>
      <w:r w:rsidRPr="005C7A08">
        <w:rPr>
          <w:bCs/>
          <w:lang w:val="en-US"/>
        </w:rPr>
        <w:t>Për adresimin e problematikave të identifikuara janë marrë në shqyrtim katër opsione politike, të cilat përfaqësojnë shkallë të ndryshme ndërhyrjeje. Kjo qasje mundëson që ndërhyrja e propozuar të mos vlerësohet vetëm kundrejt mungesës së veprimit, por edhe kundrejt alternativave që ndryshojnë për nga f</w:t>
      </w:r>
      <w:r w:rsidR="00093E0C">
        <w:rPr>
          <w:bCs/>
          <w:lang w:val="en-US"/>
        </w:rPr>
        <w:t>uqia</w:t>
      </w:r>
      <w:r w:rsidRPr="005C7A08">
        <w:rPr>
          <w:bCs/>
          <w:lang w:val="en-US"/>
        </w:rPr>
        <w:t xml:space="preserve"> juridike, shtrirja, kostoja dhe aftësia për të realizuar objektivat e politikës.</w:t>
      </w:r>
    </w:p>
    <w:p w14:paraId="0385CAB6" w14:textId="77777777" w:rsidR="005C7A08" w:rsidRPr="005C7A08" w:rsidRDefault="005C7A08" w:rsidP="005C7A08">
      <w:pPr>
        <w:spacing w:before="240"/>
        <w:jc w:val="both"/>
        <w:rPr>
          <w:bCs/>
          <w:lang w:val="en-US"/>
        </w:rPr>
      </w:pPr>
      <w:r w:rsidRPr="005C7A08">
        <w:rPr>
          <w:bCs/>
          <w:lang w:val="en-US"/>
        </w:rPr>
        <w:t>Opsionet janë identifikuar duke u bazuar në analizën e kuadrit ligjor dhe rregullator në fuqi, në tabelën e përputhshmërisë së ligjit nr. 76/2023 me Direktivën IORP II, në përvojën e fituar gjatë zbatimit të ligjit, në strukturën dhe nivelin e zhvillimit të tregut vendas, si dhe në konsultimet teknike me subjektet e mbikëqyrura dhe ekspertët që kanë mbështetur procesin e hartimit. Është marrë gjithashtu në konsideratë nevoja për të përmbushur detyrimet e përafrimit në kuadër të procesit të anëtarësimit në Bashkimin Evropian, pa vendosur masa që tejkalojnë atë që është e nevojshme dhe proporcionale për tregun shqiptar.</w:t>
      </w:r>
    </w:p>
    <w:p w14:paraId="3EBE47E3" w14:textId="77777777" w:rsidR="005C7A08" w:rsidRPr="005C7A08" w:rsidRDefault="005C7A08" w:rsidP="005C7A08">
      <w:pPr>
        <w:spacing w:before="240"/>
        <w:jc w:val="both"/>
        <w:rPr>
          <w:bCs/>
          <w:lang w:val="en-US"/>
        </w:rPr>
      </w:pPr>
      <w:r w:rsidRPr="005C7A08">
        <w:rPr>
          <w:bCs/>
          <w:lang w:val="en-US"/>
        </w:rPr>
        <w:t xml:space="preserve">Në përputhje me metodologjinë e vlerësimit të ndikimit, status quo-ja përdoret si skenari bazë kundrejt të cilit krahasohen kostot, përfitimet, rreziqet dhe zbatueshmëria e opsioneve të tjera. Metodologjia kërkon që, krahas status quo-së, të shqyrtohen të paktën dy alternativa dhe që identifikimi i tyre të marrë parasysh përvojën shqiptare dhe ndërkombëtare, si dhe qëndrimet e palëve të interesuara. </w:t>
      </w:r>
    </w:p>
    <w:p w14:paraId="24D8A9E8" w14:textId="77777777" w:rsidR="005C7A08" w:rsidRPr="005C7A08" w:rsidRDefault="005C7A08" w:rsidP="005C7A08">
      <w:pPr>
        <w:spacing w:before="240"/>
        <w:jc w:val="both"/>
        <w:rPr>
          <w:bCs/>
          <w:lang w:val="en-US"/>
        </w:rPr>
      </w:pPr>
      <w:r w:rsidRPr="005C7A08">
        <w:rPr>
          <w:bCs/>
          <w:lang w:val="en-US"/>
        </w:rPr>
        <w:t>Opsionet e shqyrtuara janë:</w:t>
      </w:r>
    </w:p>
    <w:p w14:paraId="26FAE5FA" w14:textId="77777777" w:rsidR="005C7A08" w:rsidRPr="005C7A08" w:rsidRDefault="005C7A08" w:rsidP="008E4E22">
      <w:pPr>
        <w:numPr>
          <w:ilvl w:val="0"/>
          <w:numId w:val="31"/>
        </w:numPr>
        <w:spacing w:before="240"/>
        <w:jc w:val="both"/>
        <w:rPr>
          <w:bCs/>
          <w:lang w:val="en-US"/>
        </w:rPr>
      </w:pPr>
      <w:r w:rsidRPr="005C7A08">
        <w:rPr>
          <w:bCs/>
          <w:lang w:val="en-US"/>
        </w:rPr>
        <w:t xml:space="preserve">Opsioni 0 – vijimi me kuadrin aktual; </w:t>
      </w:r>
    </w:p>
    <w:p w14:paraId="0255603F" w14:textId="77777777" w:rsidR="005C7A08" w:rsidRPr="005C7A08" w:rsidRDefault="005C7A08" w:rsidP="008E4E22">
      <w:pPr>
        <w:numPr>
          <w:ilvl w:val="0"/>
          <w:numId w:val="31"/>
        </w:numPr>
        <w:spacing w:before="240"/>
        <w:jc w:val="both"/>
        <w:rPr>
          <w:bCs/>
          <w:lang w:val="en-US"/>
        </w:rPr>
      </w:pPr>
      <w:r w:rsidRPr="005C7A08">
        <w:rPr>
          <w:bCs/>
          <w:lang w:val="en-US"/>
        </w:rPr>
        <w:t xml:space="preserve">opsioni jorregullator – përdorimi i udhëzimeve, masave mbikëqyrëse, trajnimeve dhe instrumenteve të informimit, pa ndryshuar ligjin; </w:t>
      </w:r>
    </w:p>
    <w:p w14:paraId="2059FBBF" w14:textId="77777777" w:rsidR="005C7A08" w:rsidRPr="005C7A08" w:rsidRDefault="005C7A08" w:rsidP="008E4E22">
      <w:pPr>
        <w:numPr>
          <w:ilvl w:val="0"/>
          <w:numId w:val="31"/>
        </w:numPr>
        <w:spacing w:before="240"/>
        <w:jc w:val="both"/>
        <w:rPr>
          <w:bCs/>
          <w:lang w:val="en-US"/>
        </w:rPr>
      </w:pPr>
      <w:r w:rsidRPr="005C7A08">
        <w:rPr>
          <w:bCs/>
          <w:lang w:val="en-US"/>
        </w:rPr>
        <w:t xml:space="preserve">Opsioni 1 – miratimi i shtesave dhe ndryshimeve në ligjin nr. 76/2023; </w:t>
      </w:r>
    </w:p>
    <w:p w14:paraId="371BA455" w14:textId="77777777" w:rsidR="005C7A08" w:rsidRPr="005C7A08" w:rsidRDefault="005C7A08" w:rsidP="008E4E22">
      <w:pPr>
        <w:numPr>
          <w:ilvl w:val="0"/>
          <w:numId w:val="31"/>
        </w:numPr>
        <w:spacing w:before="240"/>
        <w:jc w:val="both"/>
        <w:rPr>
          <w:bCs/>
          <w:lang w:val="en-US"/>
        </w:rPr>
      </w:pPr>
      <w:r w:rsidRPr="005C7A08">
        <w:rPr>
          <w:bCs/>
          <w:lang w:val="en-US"/>
        </w:rPr>
        <w:t xml:space="preserve">Opsioni 2 – shfuqizimi i ligjit nr. 76/2023 dhe miratimi i një ligji të ri, të përafruar plotësisht me Direktivën IORP II. </w:t>
      </w:r>
    </w:p>
    <w:p w14:paraId="3A7C2879" w14:textId="77777777" w:rsidR="005C7A08" w:rsidRPr="005C7A08" w:rsidRDefault="005C7A08" w:rsidP="005C7A08">
      <w:pPr>
        <w:spacing w:before="240"/>
        <w:jc w:val="both"/>
        <w:rPr>
          <w:b/>
          <w:bCs/>
          <w:lang w:val="en-US"/>
        </w:rPr>
      </w:pPr>
      <w:r w:rsidRPr="005C7A08">
        <w:rPr>
          <w:b/>
          <w:bCs/>
          <w:lang w:val="en-US"/>
        </w:rPr>
        <w:t>Opsioni 0 – Status quo</w:t>
      </w:r>
    </w:p>
    <w:p w14:paraId="48296A65" w14:textId="77777777" w:rsidR="005C7A08" w:rsidRPr="005C7A08" w:rsidRDefault="005C7A08" w:rsidP="005C7A08">
      <w:pPr>
        <w:spacing w:before="240"/>
        <w:jc w:val="both"/>
        <w:rPr>
          <w:i/>
          <w:iCs/>
          <w:lang w:val="en-US"/>
        </w:rPr>
      </w:pPr>
      <w:r w:rsidRPr="005C7A08">
        <w:rPr>
          <w:i/>
          <w:iCs/>
          <w:lang w:val="en-US"/>
        </w:rPr>
        <w:t>Përshkrimi i opsionit</w:t>
      </w:r>
    </w:p>
    <w:p w14:paraId="77E3869F" w14:textId="77777777" w:rsidR="005C7A08" w:rsidRPr="005C7A08" w:rsidRDefault="005C7A08" w:rsidP="005C7A08">
      <w:pPr>
        <w:spacing w:before="240"/>
        <w:jc w:val="both"/>
        <w:rPr>
          <w:bCs/>
          <w:lang w:val="en-US"/>
        </w:rPr>
      </w:pPr>
      <w:r w:rsidRPr="005C7A08">
        <w:rPr>
          <w:bCs/>
          <w:lang w:val="en-US"/>
        </w:rPr>
        <w:t>Opsioni 0 parashikon vijimin me kuadrin ligjor dhe rregullator në fuqi, pa miratimin e ndryshimeve të propozuara në ligjin nr. 76/2023. Në këtë skenar, veprimtaria e shoqërive administruese, administrimi i fondeve të pensionit privat, veprimtaria e depozitarëve dhe mbikëqyrja nga Autoriteti do të vijonin të rregulloheshin nga ligji nr. 76/2023 dhe aktet nënligjore të miratuara në zbatim të tij.</w:t>
      </w:r>
    </w:p>
    <w:p w14:paraId="6EB06B1C" w14:textId="77777777" w:rsidR="005C7A08" w:rsidRPr="005C7A08" w:rsidRDefault="005C7A08" w:rsidP="005C7A08">
      <w:pPr>
        <w:spacing w:before="240"/>
        <w:jc w:val="both"/>
        <w:rPr>
          <w:bCs/>
          <w:lang w:val="en-US"/>
        </w:rPr>
      </w:pPr>
      <w:r w:rsidRPr="005C7A08">
        <w:rPr>
          <w:bCs/>
          <w:lang w:val="en-US"/>
        </w:rPr>
        <w:t xml:space="preserve">Ligji në fuqi do të vijonte të rregullonte licencimin dhe veprimtarinë e shoqërive administruese, krijimin dhe administrimin e fondeve të pensionit privat me pjesëmarrje të hapur dhe të mbyllur, ruajtjen e aktiveve nga depozitari, qeverisjen, administrimin e rrezikut, investimet, informimin e anëtarëve dhe kompetencat mbikëqyrëse të Autoritetit. Autoriteti do të vijonte të ushtronte mbikëqyrjen në distancë dhe në vend, përfshirë elementet e mbikëqyrjes me bazë rreziku, brenda kompetencave që i njeh legjislacioni aktual. </w:t>
      </w:r>
    </w:p>
    <w:p w14:paraId="0109FA00" w14:textId="77777777" w:rsidR="005C7A08" w:rsidRPr="005C7A08" w:rsidRDefault="005C7A08" w:rsidP="005C7A08">
      <w:pPr>
        <w:spacing w:before="240"/>
        <w:jc w:val="both"/>
        <w:rPr>
          <w:bCs/>
          <w:lang w:val="en-US"/>
        </w:rPr>
      </w:pPr>
      <w:r w:rsidRPr="005C7A08">
        <w:rPr>
          <w:bCs/>
          <w:lang w:val="en-US"/>
        </w:rPr>
        <w:t xml:space="preserve">Status quo-ja nuk nënkupton mungesën e plotë të rregullimit ose të mbrojtjes së anëtarëve. Ligji nr. 76/2023 përbën një kuadër të ri dhe të zgjeruar krahasuar me legjislacionin e mëparshëm dhe ka përfshirë një pjesë të konsiderueshme të kërkesave të Direktivës IORP II. Megjithatë, ligji e përafron direktivën vetëm pjesërisht dhe nuk përmban të gjitha dispozitat e nevojshme për transpozimin e saj të plotë. </w:t>
      </w:r>
    </w:p>
    <w:p w14:paraId="76C889F8" w14:textId="77777777" w:rsidR="005C7A08" w:rsidRPr="005C7A08" w:rsidRDefault="005C7A08" w:rsidP="005C7A08">
      <w:pPr>
        <w:spacing w:before="240"/>
        <w:jc w:val="both"/>
        <w:rPr>
          <w:bCs/>
          <w:lang w:val="en-US"/>
        </w:rPr>
      </w:pPr>
      <w:r w:rsidRPr="005C7A08">
        <w:rPr>
          <w:bCs/>
          <w:lang w:val="en-US"/>
        </w:rPr>
        <w:t>Në këtë opsion, Autoriteti mund të vazhdojë të përmirësojë praktikat e tij mbikëqyrëse dhe të nxjerrë akte nënligjore vetëm brenda autorizimeve që ekzistojnë në ligjin aktual. Ai nuk mund të krijojë, me akte nënligjore ose udhëzime, të drejta, detyrime ose kompetenca që kërkojnë bazë të shprehur në legjislacionin parësor.</w:t>
      </w:r>
    </w:p>
    <w:p w14:paraId="0661E33D" w14:textId="77777777" w:rsidR="005C7A08" w:rsidRPr="005C7A08" w:rsidRDefault="005C7A08" w:rsidP="005C7A08">
      <w:pPr>
        <w:spacing w:before="240"/>
        <w:jc w:val="both"/>
        <w:rPr>
          <w:b/>
          <w:bCs/>
          <w:lang w:val="en-US"/>
        </w:rPr>
      </w:pPr>
      <w:r w:rsidRPr="005C7A08">
        <w:rPr>
          <w:b/>
          <w:bCs/>
          <w:lang w:val="en-US"/>
        </w:rPr>
        <w:t>Avantazhet e Opsionit 0</w:t>
      </w:r>
    </w:p>
    <w:p w14:paraId="745748A4" w14:textId="77777777" w:rsidR="005C7A08" w:rsidRPr="005C7A08" w:rsidRDefault="005C7A08" w:rsidP="005C7A08">
      <w:pPr>
        <w:spacing w:before="240"/>
        <w:jc w:val="both"/>
        <w:rPr>
          <w:bCs/>
          <w:lang w:val="en-US"/>
        </w:rPr>
      </w:pPr>
      <w:r w:rsidRPr="005C7A08">
        <w:rPr>
          <w:bCs/>
          <w:lang w:val="en-US"/>
        </w:rPr>
        <w:t>Avantazhi kryesor i këtij opsioni është se nuk krijon kosto të reja dhe të menjëhershme përputhshmërie për shoqëritë administruese, depozitarët dhe ofruesit e tjerë të shërbimeve. Subjektet nuk do të duhet të ndryshojnë strukturat e tyre organizative, politikat e brendshme, sistemet e raportimit, dokumentacionin për anëtarët ose marrëveshjet e delegimit për shkak të kërkesave të reja ligjore.</w:t>
      </w:r>
    </w:p>
    <w:p w14:paraId="538A9F3B" w14:textId="77777777" w:rsidR="005C7A08" w:rsidRPr="005C7A08" w:rsidRDefault="005C7A08" w:rsidP="005C7A08">
      <w:pPr>
        <w:spacing w:before="240"/>
        <w:jc w:val="both"/>
        <w:rPr>
          <w:bCs/>
          <w:lang w:val="en-US"/>
        </w:rPr>
      </w:pPr>
      <w:r w:rsidRPr="005C7A08">
        <w:rPr>
          <w:bCs/>
          <w:lang w:val="en-US"/>
        </w:rPr>
        <w:t>Ky opsion nuk kërkon gjithashtu hartimin dhe miratimin e akteve të reja nënligjore, zhvillimin e formateve shtesë të raportimit, përshtatjen e sistemeve të teknologjisë së informacionit ose ngritjen e menjëhershme të kapaciteteve të reja profesionale. Për Autoritetin, kjo do të shmangte, në afat të shkurtër, nevojën për burime shtesë për hartimin e rregulloreve, trajnimin e stafit, përshtatjen e metodologjive dhe mbikëqyrjen e zbatimit të kërkesave të reja.</w:t>
      </w:r>
    </w:p>
    <w:p w14:paraId="080B8AC1" w14:textId="77777777" w:rsidR="005C7A08" w:rsidRPr="005C7A08" w:rsidRDefault="005C7A08" w:rsidP="005C7A08">
      <w:pPr>
        <w:spacing w:before="240"/>
        <w:jc w:val="both"/>
        <w:rPr>
          <w:bCs/>
          <w:lang w:val="en-US"/>
        </w:rPr>
      </w:pPr>
      <w:r w:rsidRPr="005C7A08">
        <w:rPr>
          <w:bCs/>
          <w:lang w:val="en-US"/>
        </w:rPr>
        <w:t>Vijimi me kuadrin aktual do të ruante vazhdimësinë dhe stabilitetin rregullator pas procesit të fundit të përshtatjes me ligjin nr. 76/2023. Shoqëritë administruese dhe subjektet e tjera të tregut kanë përfunduar së fundmi përshtatjen me këtë ligj dhe me aktet nënligjore të miratuara në zbatim të tij. Mosndërhyrja do të shmangte një proces të dytë përshtatjeje brenda një periudhe relativisht të shkurtër.</w:t>
      </w:r>
    </w:p>
    <w:p w14:paraId="3DD6CC4E" w14:textId="77777777" w:rsidR="005C7A08" w:rsidRPr="005C7A08" w:rsidRDefault="005C7A08" w:rsidP="005C7A08">
      <w:pPr>
        <w:spacing w:before="240"/>
        <w:jc w:val="both"/>
        <w:rPr>
          <w:bCs/>
          <w:lang w:val="en-US"/>
        </w:rPr>
      </w:pPr>
      <w:r w:rsidRPr="005C7A08">
        <w:rPr>
          <w:bCs/>
          <w:lang w:val="en-US"/>
        </w:rPr>
        <w:t>Status quo-ja do të ruante gjithashtu mekanizmat ekzistues të mbrojtjes së anëtarëve dhe përfituesve. Kërkesat aktuale për veçimin dhe ruajtjen e aktiveve, licencimin, administrimin e rrezikut, kontrollin e brendshëm, investimet, raportimin dhe informimin do të vijonin të zbatoheshin dhe të mbikëqyreshin nga Autoriteti. Për rrjedhojë, ky opsion nuk do të sillte ulje të standardeve aktuale, por vetëm ruajtjen e nivelit ekzistues të rregullimit.</w:t>
      </w:r>
    </w:p>
    <w:p w14:paraId="74689D08" w14:textId="77777777" w:rsidR="005C7A08" w:rsidRPr="005C7A08" w:rsidRDefault="005C7A08" w:rsidP="005C7A08">
      <w:pPr>
        <w:spacing w:before="240"/>
        <w:jc w:val="both"/>
        <w:rPr>
          <w:b/>
          <w:bCs/>
          <w:lang w:val="en-US"/>
        </w:rPr>
      </w:pPr>
      <w:r w:rsidRPr="005C7A08">
        <w:rPr>
          <w:b/>
          <w:bCs/>
          <w:lang w:val="en-US"/>
        </w:rPr>
        <w:t>Disavantazhet e Opsionit 0</w:t>
      </w:r>
    </w:p>
    <w:p w14:paraId="6C5D2DCB" w14:textId="77777777" w:rsidR="005C7A08" w:rsidRPr="005C7A08" w:rsidRDefault="005C7A08" w:rsidP="005C7A08">
      <w:pPr>
        <w:spacing w:before="240"/>
        <w:jc w:val="both"/>
        <w:rPr>
          <w:bCs/>
          <w:lang w:val="en-US"/>
        </w:rPr>
      </w:pPr>
      <w:r w:rsidRPr="005C7A08">
        <w:rPr>
          <w:bCs/>
          <w:lang w:val="en-US"/>
        </w:rPr>
        <w:t xml:space="preserve">Disavantazhi themelor i këtij opsioni është se nuk realizon përafrimin e plotë të legjislacionit shqiptar me Direktivën IORP II. Boshllëqet e evidentuara në tabelën e përputhshmërisë do të mbeteshin të patrajtuara dhe ligji nr. 76/2023 do të vijonte të përafronte vetëm pjesërisht direktivën. Kjo nuk do të përmbushte detyrimet që lidhen me procesin e anëtarësimit në Bashkimin Evropian dhe me Kapitullin 9 “Shërbimet financiare”. </w:t>
      </w:r>
    </w:p>
    <w:p w14:paraId="4DB2C88B" w14:textId="77777777" w:rsidR="005C7A08" w:rsidRPr="005C7A08" w:rsidRDefault="005C7A08" w:rsidP="005C7A08">
      <w:pPr>
        <w:spacing w:before="240"/>
        <w:jc w:val="both"/>
        <w:rPr>
          <w:bCs/>
          <w:lang w:val="en-US"/>
        </w:rPr>
      </w:pPr>
      <w:r w:rsidRPr="005C7A08">
        <w:rPr>
          <w:bCs/>
          <w:lang w:val="en-US"/>
        </w:rPr>
        <w:t>Në planin rregullator, status quo-ja do të linte të paplotësuara kërkesat për sistemin e qeverisjes, funksionet kryesore, përgjegjësinë e organit drejtues, vetëvlerësimin e rrezikut, funksionin aktuarial në rastet kur është i zbatueshëm dhe përfshirjen e disa kategorive të rrezikut të kërkuara nga direktiva. Kuadri aktual do të vijonte të përmbante elemente të rëndësishme të këtyre mekanizmave, por jo nivelin e plotësisë dhe të koherencës që kërkon IORP II.</w:t>
      </w:r>
    </w:p>
    <w:p w14:paraId="5EC469D1" w14:textId="77777777" w:rsidR="005C7A08" w:rsidRPr="005C7A08" w:rsidRDefault="005C7A08" w:rsidP="005C7A08">
      <w:pPr>
        <w:spacing w:before="240"/>
        <w:jc w:val="both"/>
        <w:rPr>
          <w:bCs/>
          <w:lang w:val="en-US"/>
        </w:rPr>
      </w:pPr>
      <w:r w:rsidRPr="005C7A08">
        <w:rPr>
          <w:bCs/>
          <w:lang w:val="en-US"/>
        </w:rPr>
        <w:t>Opsioni 0 nuk do të përmirësonte standardizimin e informacionit që u jepet anëtarëve dhe përfituesve. Anëtarët do të vijonin të merrnin informacionin e kërkuar nga legjislacioni aktual, por nuk do të përfitonin nga të gjitha elementet e dokumentit të harmonizuar për gjendjen e llogarisë së përfitimeve të pensionit, përfshirë parashikimet e përfitimeve dhe skenarët e standardizuar. Kjo do të ruante kufizimet aktuale për krahasimin e informacionit dhe planifikimin afatgjatë të pensionit.</w:t>
      </w:r>
    </w:p>
    <w:p w14:paraId="301C514A" w14:textId="77777777" w:rsidR="005C7A08" w:rsidRPr="005C7A08" w:rsidRDefault="005C7A08" w:rsidP="005C7A08">
      <w:pPr>
        <w:spacing w:before="240"/>
        <w:jc w:val="both"/>
        <w:rPr>
          <w:bCs/>
          <w:lang w:val="en-US"/>
        </w:rPr>
      </w:pPr>
      <w:r w:rsidRPr="005C7A08">
        <w:rPr>
          <w:bCs/>
          <w:lang w:val="en-US"/>
        </w:rPr>
        <w:t>Mosndryshimi i ligjit do të linte të paplotë edhe bazën juridike për veprimtarinë ndërkufitare dhe transferimin ndërkufitar të skemave. Ligji aktual përmban disa elemente të veprimtarisë ndërkufitare, por nuk pasqyron të gjitha procedurat, garancitë dhe mekanizmat e bashkëpunimit të parashikuara nga Direktiva IORP II. Në mungesë të ndërhyrjes, Shqipëria nuk do të kishte një kuadër plotësisht funksional për zbatimin e këtyre mekanizmave nga data e anëtarësimit.</w:t>
      </w:r>
    </w:p>
    <w:p w14:paraId="49675FF8" w14:textId="77777777" w:rsidR="005C7A08" w:rsidRPr="005C7A08" w:rsidRDefault="005C7A08" w:rsidP="005C7A08">
      <w:pPr>
        <w:spacing w:before="240"/>
        <w:jc w:val="both"/>
        <w:rPr>
          <w:bCs/>
          <w:lang w:val="en-US"/>
        </w:rPr>
      </w:pPr>
      <w:r w:rsidRPr="005C7A08">
        <w:rPr>
          <w:bCs/>
          <w:lang w:val="en-US"/>
        </w:rPr>
        <w:t>Ky opsion nuk do të krijonte bazën e plotë për shkëmbimin e informacionit dhe koordinimin me autoritetet mbikëqyrëse të shteteve anëtare dhe me EIOPA-n. Po kështu, nuk do të realizonte përshtatjet e nevojshme për raportimin në Platformën e Vetme Evropiane të Aksesit sipas afateve përkatëse.</w:t>
      </w:r>
    </w:p>
    <w:p w14:paraId="1DD99000" w14:textId="77777777" w:rsidR="005C7A08" w:rsidRPr="005C7A08" w:rsidRDefault="005C7A08" w:rsidP="005C7A08">
      <w:pPr>
        <w:spacing w:before="240"/>
        <w:jc w:val="both"/>
        <w:rPr>
          <w:bCs/>
          <w:lang w:val="en-US"/>
        </w:rPr>
      </w:pPr>
      <w:r w:rsidRPr="005C7A08">
        <w:rPr>
          <w:bCs/>
          <w:lang w:val="en-US"/>
        </w:rPr>
        <w:t>Në planin mbikëqyrës, Autoriteti do të vijonte të zbatonte metodologjinë ekzistuese me bazë rreziku, por pa bazën e plotë ligjore për procesin e rishikimit mbikëqyrës të parashikuar nga IORP II. Mundësia për të vlerësuar qeverisjen, funksionet kryesore, rreziqet e ardhshme, testet e stresit dhe aftësinë e subjekteve për administrimin e rrezikut do të mbetej e kufizuar nga formulimet dhe kompetencat aktuale.</w:t>
      </w:r>
    </w:p>
    <w:p w14:paraId="3E7620D9" w14:textId="77777777" w:rsidR="005C7A08" w:rsidRPr="005C7A08" w:rsidRDefault="005C7A08" w:rsidP="005C7A08">
      <w:pPr>
        <w:spacing w:before="240"/>
        <w:jc w:val="both"/>
        <w:rPr>
          <w:bCs/>
          <w:lang w:val="en-US"/>
        </w:rPr>
      </w:pPr>
      <w:r w:rsidRPr="005C7A08">
        <w:rPr>
          <w:bCs/>
          <w:lang w:val="en-US"/>
        </w:rPr>
        <w:t>Status quo-ja do të ruante gjithashtu pasigurinë për trajtimin e skemave me përfitime të përcaktuara në kuadër të veprimtarisë ndërkufitare. Megjithëse këto skema nuk lejohen si model vendas i fondeve të pensionit privat, legjislacioni duhet të përcaktojë kërkesat që zbatohen kur një subjekt shqiptar administron një skemë të tillë në një shtet anëtar ku ajo lejohet.</w:t>
      </w:r>
    </w:p>
    <w:p w14:paraId="54D6FE4C" w14:textId="77777777" w:rsidR="005C7A08" w:rsidRPr="005C7A08" w:rsidRDefault="005C7A08" w:rsidP="005C7A08">
      <w:pPr>
        <w:spacing w:before="240"/>
        <w:jc w:val="both"/>
        <w:rPr>
          <w:bCs/>
          <w:lang w:val="en-US"/>
        </w:rPr>
      </w:pPr>
      <w:r w:rsidRPr="005C7A08">
        <w:rPr>
          <w:bCs/>
          <w:lang w:val="en-US"/>
        </w:rPr>
        <w:t>Mosndërhyrja do të vononte edhe përgatitjen institucionale dhe teknike për anëtarësimin. Hartimi i akteve nënligjore, përshtatja e sistemeve të raportimit, ngritja e mekanizmave të bashkëpunimit dhe trajnimi i stafit do të duhej të kryheshin në një moment të mëvonshëm dhe potencialisht në një afat më të shkurtër. Kjo mund të rriste kostot e përshtatjes dhe rrezikun e vonesave ose të zbatimit të paplotë.</w:t>
      </w:r>
    </w:p>
    <w:p w14:paraId="56E67ECD" w14:textId="77777777" w:rsidR="005C7A08" w:rsidRPr="005C7A08" w:rsidRDefault="005C7A08" w:rsidP="005C7A08">
      <w:pPr>
        <w:spacing w:before="240"/>
        <w:jc w:val="both"/>
        <w:rPr>
          <w:bCs/>
          <w:lang w:val="en-US"/>
        </w:rPr>
      </w:pPr>
      <w:r w:rsidRPr="005C7A08">
        <w:rPr>
          <w:bCs/>
          <w:lang w:val="en-US"/>
        </w:rPr>
        <w:t xml:space="preserve">Rëndësia e këtyre kufizimeve rritet me zgjerimin e tregut. Më 31.12.2025, shoqëritë administruese administronin, për llogari të 49 218 anëtarëve, aktive neto të fondeve të pensionit privat në vlerën rreth 9,86 miliardë lekë. Numri i anëtarëve ishte rritur me 11,19 për qind, ndërsa aktivet neto me 21,55 për qind krahasuar me fundin e vitit 2024. Ruajtja e standardeve të paplota të qeverisjes, administrimit të rrezikut dhe transparencës do të prekte, për rrjedhojë, një vëllim në rritje të kursimeve afatgjata. </w:t>
      </w:r>
    </w:p>
    <w:p w14:paraId="639B6C77" w14:textId="77777777" w:rsidR="005C7A08" w:rsidRPr="005C7A08" w:rsidRDefault="005C7A08" w:rsidP="005C7A08">
      <w:pPr>
        <w:spacing w:before="240"/>
        <w:jc w:val="both"/>
        <w:rPr>
          <w:bCs/>
          <w:lang w:val="en-US"/>
        </w:rPr>
      </w:pPr>
      <w:r w:rsidRPr="005C7A08">
        <w:rPr>
          <w:bCs/>
          <w:lang w:val="en-US"/>
        </w:rPr>
        <w:t>Në përmbledhje, Opsioni 0 ka avantazhin e kostos më të ulët të menjëhershme dhe të ruajtjes së vazhdimësisë rregullatore, por nuk adreson shkaqet e problemit dhe nuk realizon asnjë nga objektivat kryesorë të politikës që lidhen me përafrimin e plotë, përmirësimin e qeverisjes, standardizimin e informacionit, konsolidimin e mbikëqyrjes dhe gatishmërinë për veprimtarinë ndërkufitare. Për këtë arsye, ai shërben si bazë krahasimi për vlerësimin e opsioneve të tjera, por nuk përbën një zgjidhje të mjaftueshme për problematikat e identifikuara</w:t>
      </w:r>
    </w:p>
    <w:p w14:paraId="5CBAE318" w14:textId="150624FA" w:rsidR="004D342B" w:rsidRDefault="0010417A" w:rsidP="008030D7">
      <w:pPr>
        <w:spacing w:before="240" w:after="240"/>
        <w:rPr>
          <w:b/>
          <w:lang w:val="sq-AL"/>
        </w:rPr>
      </w:pPr>
      <w:r w:rsidRPr="0010417A">
        <w:rPr>
          <w:b/>
          <w:lang w:val="sq-AL"/>
        </w:rPr>
        <w:t>Opsioni jo-rregullator</w:t>
      </w:r>
    </w:p>
    <w:p w14:paraId="34EDD5B3" w14:textId="77777777" w:rsidR="00F35CE1" w:rsidRPr="00F35CE1" w:rsidRDefault="00F35CE1" w:rsidP="00F35CE1">
      <w:pPr>
        <w:spacing w:before="240" w:after="240"/>
        <w:rPr>
          <w:b/>
          <w:bCs/>
          <w:lang w:val="en-US"/>
        </w:rPr>
      </w:pPr>
      <w:r w:rsidRPr="00F35CE1">
        <w:rPr>
          <w:b/>
          <w:bCs/>
          <w:lang w:val="en-US"/>
        </w:rPr>
        <w:t>Përshkrimi i opsionit</w:t>
      </w:r>
    </w:p>
    <w:p w14:paraId="232C01F4" w14:textId="77777777" w:rsidR="00F35CE1" w:rsidRPr="00F35CE1" w:rsidRDefault="00F35CE1" w:rsidP="00F35CE1">
      <w:pPr>
        <w:spacing w:before="240" w:after="240"/>
        <w:rPr>
          <w:bCs/>
          <w:lang w:val="en-US"/>
        </w:rPr>
      </w:pPr>
      <w:r w:rsidRPr="00F35CE1">
        <w:rPr>
          <w:bCs/>
          <w:lang w:val="en-US"/>
        </w:rPr>
        <w:t>Ky opsion parashikon trajtimin e problematikave të identifikuara pa ndryshuar ligjin nr. 76/2023. Autoriteti i Mbikëqyrjes Financiare do të përdorte instrumentet që ka aktualisht në dispozicion, përfshirë udhëzimet dhe komunikimet mbikëqyrëse, trajnimet për subjektet e tregut, modelet orientuese të politikave dhe raportimeve, forcimin e monitorimit me bazë rreziku, si dhe masat për edukimin dhe informimin financiar të anëtarëve dhe publikut.</w:t>
      </w:r>
    </w:p>
    <w:p w14:paraId="6A53C3E1" w14:textId="77777777" w:rsidR="00F35CE1" w:rsidRPr="00F35CE1" w:rsidRDefault="00F35CE1" w:rsidP="00F35CE1">
      <w:pPr>
        <w:spacing w:before="240" w:after="240"/>
        <w:rPr>
          <w:bCs/>
          <w:lang w:val="en-US"/>
        </w:rPr>
      </w:pPr>
      <w:r w:rsidRPr="00F35CE1">
        <w:rPr>
          <w:bCs/>
          <w:lang w:val="en-US"/>
        </w:rPr>
        <w:t xml:space="preserve">Në këtë kuadër, shoqëritë administruese mund të nxiteshin të zbatonin në mënyrë vullnetare disa nga praktikat e Direktivës IORP II, veçanërisht për qeverisjen, administrimin e rrezikut, përmbajtjen e informacionit për anëtarët dhe marrjen në konsideratë të faktorëve mjedisorë, socialë dhe të qeverisjes. Masat jorregullatore mund të përdoren gjithashtu për të përgatitur tregun dhe kapacitetet e Autoritetit për kërkesat që do të zbatohen në të ardhmen. Metodologjia e vlerësimit të ndikimit e njeh shqyrtimin e masave jorregullatore si alternativë ndaj ndërhyrjes ligjore. </w:t>
      </w:r>
    </w:p>
    <w:p w14:paraId="2A8E9191" w14:textId="77777777" w:rsidR="00F35CE1" w:rsidRPr="00F35CE1" w:rsidRDefault="00F35CE1" w:rsidP="00F35CE1">
      <w:pPr>
        <w:spacing w:before="240" w:after="240"/>
        <w:rPr>
          <w:b/>
          <w:bCs/>
          <w:lang w:val="en-US"/>
        </w:rPr>
      </w:pPr>
      <w:r w:rsidRPr="00F35CE1">
        <w:rPr>
          <w:b/>
          <w:bCs/>
          <w:lang w:val="en-US"/>
        </w:rPr>
        <w:t>Avantazhet e opsionit jorregullator</w:t>
      </w:r>
    </w:p>
    <w:p w14:paraId="3A7320B2" w14:textId="77777777" w:rsidR="00F35CE1" w:rsidRPr="00F35CE1" w:rsidRDefault="00F35CE1" w:rsidP="00F35CE1">
      <w:pPr>
        <w:spacing w:before="240" w:after="240"/>
        <w:rPr>
          <w:bCs/>
          <w:lang w:val="en-US"/>
        </w:rPr>
      </w:pPr>
      <w:r w:rsidRPr="00F35CE1">
        <w:rPr>
          <w:bCs/>
          <w:lang w:val="en-US"/>
        </w:rPr>
        <w:t>Ky opsion mund të zbatohet më shpejt dhe me kosto më të ulëta të menjëhershme se një ndërhyrje ligjore. Ai nuk kërkon një proces të ri përshtatjeje të detyrueshme për subjektet dhe i mundëson Autoritetit të përditësojë në mënyrë fleksibël udhëzimet dhe praktikat mbikëqyrëse.</w:t>
      </w:r>
    </w:p>
    <w:p w14:paraId="6DBA2F44" w14:textId="77777777" w:rsidR="00F35CE1" w:rsidRPr="00F35CE1" w:rsidRDefault="00F35CE1" w:rsidP="00F35CE1">
      <w:pPr>
        <w:spacing w:before="240" w:after="240"/>
        <w:rPr>
          <w:bCs/>
          <w:lang w:val="en-US"/>
        </w:rPr>
      </w:pPr>
      <w:r w:rsidRPr="00F35CE1">
        <w:rPr>
          <w:bCs/>
          <w:lang w:val="en-US"/>
        </w:rPr>
        <w:t>Masat jorregullatore mund të përmirësojnë kuptimin e kërkesave të IORP II nga subjektet, të nxisin praktika më të mira dhe të shërbejnë si masa përgatitore ose tranzitore për zbatimin e ndryshimeve të ardhshme. Ato mund të jenë veçanërisht të dobishme për trajnimin e personave që ushtrojnë funksione kryesore, përmirësimin e cilësisë së informacionit për anëtarët dhe zhvillimin e kapaciteteve mbikëqyrëse.</w:t>
      </w:r>
    </w:p>
    <w:p w14:paraId="1AB44568" w14:textId="77777777" w:rsidR="00F35CE1" w:rsidRPr="00F35CE1" w:rsidRDefault="00F35CE1" w:rsidP="00F35CE1">
      <w:pPr>
        <w:spacing w:before="240" w:after="240"/>
        <w:rPr>
          <w:b/>
          <w:bCs/>
          <w:lang w:val="en-US"/>
        </w:rPr>
      </w:pPr>
      <w:r w:rsidRPr="00F35CE1">
        <w:rPr>
          <w:b/>
          <w:bCs/>
          <w:lang w:val="en-US"/>
        </w:rPr>
        <w:t>Disavantazhet e opsionit jorregullator</w:t>
      </w:r>
    </w:p>
    <w:p w14:paraId="10D76A72" w14:textId="77777777" w:rsidR="00F35CE1" w:rsidRPr="00F35CE1" w:rsidRDefault="00F35CE1" w:rsidP="00F35CE1">
      <w:pPr>
        <w:spacing w:before="240" w:after="240"/>
        <w:rPr>
          <w:bCs/>
          <w:lang w:val="en-US"/>
        </w:rPr>
      </w:pPr>
      <w:r w:rsidRPr="00F35CE1">
        <w:rPr>
          <w:bCs/>
          <w:lang w:val="en-US"/>
        </w:rPr>
        <w:t>Kufizimi kryesor është se udhëzimet, rekomandimet dhe praktikat vullnetare nuk kanë të njëjtën forcë detyruese si ligji. Zbatimi i tyre mund të ndryshojë ndërmjet subjekteve dhe Autoriteti nuk mund të vendosë masa për mosrespektimin e kërkesave që nuk kanë bazë ligjore.</w:t>
      </w:r>
    </w:p>
    <w:p w14:paraId="331B4BB7" w14:textId="77777777" w:rsidR="00F35CE1" w:rsidRPr="00F35CE1" w:rsidRDefault="00F35CE1" w:rsidP="00F35CE1">
      <w:pPr>
        <w:spacing w:before="240" w:after="240"/>
        <w:rPr>
          <w:bCs/>
          <w:lang w:val="en-US"/>
        </w:rPr>
      </w:pPr>
      <w:r w:rsidRPr="00F35CE1">
        <w:rPr>
          <w:bCs/>
          <w:lang w:val="en-US"/>
        </w:rPr>
        <w:t>Ky opsion nuk mund të ndryshojë fushën e zbatimit të ligjit, të krijojë detyrime të reja për organet drejtuese dhe funksionet kryesore, të përcaktojë kërkesa prudenciale për skemat me përfitime të përcaktuara ose të rregullojë veprimtarinë dhe transferimet ndërkufitare. Ai nuk mund të krijojë as kompetencat dhe procedurat e nevojshme për bashkëpunimin me autoritetet e shteteve anëtare dhe me EIOPA-n.</w:t>
      </w:r>
    </w:p>
    <w:p w14:paraId="36443B39" w14:textId="1F7FA931" w:rsidR="00F35CE1" w:rsidRDefault="00F35CE1" w:rsidP="008030D7">
      <w:pPr>
        <w:spacing w:before="240" w:after="240"/>
        <w:rPr>
          <w:bCs/>
          <w:lang w:val="en-US"/>
        </w:rPr>
      </w:pPr>
      <w:r w:rsidRPr="00F35CE1">
        <w:rPr>
          <w:bCs/>
          <w:lang w:val="en-US"/>
        </w:rPr>
        <w:t>Mbi të gjitha, masat jorregullatore nuk realizojnë transpozimin e plotë të Direktivës IORP II dhe, për rrjedhojë, nuk përmbushin detyrimet që rrjedhin nga procesi i anëtarësimit në Bashkimin Evropian. Ato mund të plotësojnë dhe të lehtësojnë zbatimin e një ndërhyrjeje ligjore, por nuk mund ta zëvendësojnë atë.</w:t>
      </w:r>
    </w:p>
    <w:p w14:paraId="4AB79345" w14:textId="77777777" w:rsidR="000F1509" w:rsidRPr="000F1509" w:rsidRDefault="000F1509" w:rsidP="000F1509">
      <w:pPr>
        <w:spacing w:before="240" w:after="240"/>
        <w:rPr>
          <w:b/>
          <w:bCs/>
          <w:lang w:val="en-US"/>
        </w:rPr>
      </w:pPr>
      <w:r w:rsidRPr="000F1509">
        <w:rPr>
          <w:b/>
          <w:bCs/>
          <w:lang w:val="en-US"/>
        </w:rPr>
        <w:t>Opsioni 1 – Miratimi i shtesave dhe ndryshimeve në ligjin nr. 76/2023</w:t>
      </w:r>
    </w:p>
    <w:p w14:paraId="7F99908F" w14:textId="77777777" w:rsidR="000F1509" w:rsidRPr="000F1509" w:rsidRDefault="000F1509" w:rsidP="000F1509">
      <w:pPr>
        <w:spacing w:before="240" w:after="240"/>
        <w:rPr>
          <w:b/>
          <w:bCs/>
          <w:lang w:val="en-US"/>
        </w:rPr>
      </w:pPr>
      <w:r w:rsidRPr="000F1509">
        <w:rPr>
          <w:b/>
          <w:bCs/>
          <w:lang w:val="en-US"/>
        </w:rPr>
        <w:t>Përshkrimi i opsionit</w:t>
      </w:r>
    </w:p>
    <w:p w14:paraId="414BBDA1" w14:textId="77777777" w:rsidR="000F1509" w:rsidRPr="000F1509" w:rsidRDefault="000F1509" w:rsidP="00CA2E3B">
      <w:pPr>
        <w:spacing w:before="240" w:after="240"/>
        <w:jc w:val="both"/>
        <w:rPr>
          <w:bCs/>
          <w:lang w:val="en-US"/>
        </w:rPr>
      </w:pPr>
      <w:r w:rsidRPr="000F1509">
        <w:rPr>
          <w:bCs/>
          <w:lang w:val="en-US"/>
        </w:rPr>
        <w:t>Opsioni 1 parashikon plotësimin e kuadrit ligjor nëpërmjet miratimit të shtesave dhe ndryshimeve në ligjin nr. 76/2023, “Për fondet e pensionit privat”, pa e shfuqizuar ose zëvendësuar atë me një ligj të ri. Sipas këtij opsioni, ruhet struktura bazë e kuadrit aktual për krijimin, licencimin, administrimin dhe mbikëqyrjen e fondeve të pensionit privat, ndërsa ndryshohen ose plotësohen dispozitat që, sipas analizës së përputhshmërisë, nuk pasqyrojnë plotësisht kërkesat e Direktivës IORP II.</w:t>
      </w:r>
    </w:p>
    <w:p w14:paraId="11B690C0" w14:textId="77777777" w:rsidR="000F1509" w:rsidRPr="000F1509" w:rsidRDefault="000F1509" w:rsidP="00CA2E3B">
      <w:pPr>
        <w:spacing w:before="240" w:after="240"/>
        <w:jc w:val="both"/>
        <w:rPr>
          <w:bCs/>
          <w:lang w:val="en-US"/>
        </w:rPr>
      </w:pPr>
      <w:r w:rsidRPr="000F1509">
        <w:rPr>
          <w:bCs/>
          <w:lang w:val="en-US"/>
        </w:rPr>
        <w:t xml:space="preserve">Ndërhyrja do të përfshinte plotësimin e fushës së zbatimit dhe të përjashtimeve nga ligji, saktësimin e përkufizimeve, forcimin e sistemit të qeverisjes dhe të funksioneve kryesore, plotësimin e vetëvlerësimit të rrezikut, si dhe përmirësimin e kërkesave për administrimin e investimeve dhe informimin e anëtarëve dhe përfituesve. Në planin mbikëqyrës, ndryshimet do të konsolidonin procesin e rishikimit mbikëqyrës me qasje perspektive, proporcionale dhe me bazë rreziku, si dhe do të plotësonin rregullat për sekretin profesional, shkëmbimin e informacionit dhe transparencën e Autoritetit. </w:t>
      </w:r>
    </w:p>
    <w:p w14:paraId="404538F1" w14:textId="25984F98" w:rsidR="000F1509" w:rsidRPr="000F1509" w:rsidRDefault="000F1509" w:rsidP="00BE0CB1">
      <w:pPr>
        <w:spacing w:before="240" w:after="240"/>
        <w:jc w:val="both"/>
        <w:rPr>
          <w:bCs/>
          <w:lang w:val="en-US"/>
        </w:rPr>
      </w:pPr>
      <w:r w:rsidRPr="000F1509">
        <w:rPr>
          <w:bCs/>
          <w:lang w:val="en-US"/>
        </w:rPr>
        <w:t xml:space="preserve">Opsioni parashikon gjithashtu rregullimin e veprimtarisë dhe transferimeve ndërkufitare, procedurat e bashkëpunimit me autoritetet mbikëqyrëse të shteteve anëtare dhe me EIOPA-n, si dhe kërkesat për skemat me përfitime të përcaktuara vetëm në kontekstin e veprimtarisë ndërkufitare. Dispozitat që varen nga pjesëmarrja e Shqipërisë në tregun e brendshëm të Bashkimit Evropian do të zbatohen nga data e anëtarësimit dhe nuk ndryshojnë modelin vendas të pensioneve private me kontribute të përcaktuara. Kërkesat teknike dhe procedurale do të detajohen me aktet nënligjore të Autoritetit, ndërsa subjekteve të mbikëqyrura do t’u lihet periudha e nevojshme për përshtatjen e politikave, strukturave dhe sistemeve të tyre. </w:t>
      </w:r>
    </w:p>
    <w:p w14:paraId="3AA659F5" w14:textId="77777777" w:rsidR="000F1509" w:rsidRPr="000F1509" w:rsidRDefault="000F1509" w:rsidP="00CA2E3B">
      <w:pPr>
        <w:spacing w:before="240" w:after="240"/>
        <w:jc w:val="both"/>
        <w:rPr>
          <w:b/>
          <w:bCs/>
          <w:lang w:val="en-US"/>
        </w:rPr>
      </w:pPr>
      <w:r w:rsidRPr="000F1509">
        <w:rPr>
          <w:b/>
          <w:bCs/>
          <w:lang w:val="en-US"/>
        </w:rPr>
        <w:t>Avantazhet e Opsionit 1</w:t>
      </w:r>
    </w:p>
    <w:p w14:paraId="1AD5CEC5" w14:textId="296BA7F1" w:rsidR="000F1509" w:rsidRPr="000F1509" w:rsidRDefault="000F1509" w:rsidP="00CA2E3B">
      <w:pPr>
        <w:spacing w:before="240" w:after="240"/>
        <w:jc w:val="both"/>
        <w:rPr>
          <w:bCs/>
          <w:lang w:val="en-US"/>
        </w:rPr>
      </w:pPr>
      <w:r w:rsidRPr="000F1509">
        <w:rPr>
          <w:bCs/>
          <w:lang w:val="en-US"/>
        </w:rPr>
        <w:t>Avantazhi kryesor i këtij opsioni është se mundëson përafrimin e plotë dhe të verifikueshëm të legjislacionit shqiptar me Direktivën IORP II, duke trajtuar në mënyrë të drejtpërdrejtë boshllëqet e identifikuara në kuadrin aktual. Në këtë mënyrë, ai adreson si detyrim</w:t>
      </w:r>
      <w:r w:rsidR="002B4B79">
        <w:rPr>
          <w:bCs/>
          <w:lang w:val="en-US"/>
        </w:rPr>
        <w:t>et në kuadër të</w:t>
      </w:r>
      <w:r w:rsidRPr="000F1509">
        <w:rPr>
          <w:bCs/>
          <w:lang w:val="en-US"/>
        </w:rPr>
        <w:t xml:space="preserve"> e integrimit evropian, ashtu edhe mangësitë </w:t>
      </w:r>
      <w:r w:rsidR="002B4B79">
        <w:rPr>
          <w:bCs/>
          <w:lang w:val="en-US"/>
        </w:rPr>
        <w:t xml:space="preserve">aktuale </w:t>
      </w:r>
      <w:r w:rsidRPr="000F1509">
        <w:rPr>
          <w:bCs/>
          <w:lang w:val="en-US"/>
        </w:rPr>
        <w:t>që lidhen me qeverisjen, administrimin e rrezikut, informimin e anëtarëve dhe mbikëqyrjen.</w:t>
      </w:r>
    </w:p>
    <w:p w14:paraId="176A08FA" w14:textId="77777777" w:rsidR="000F1509" w:rsidRPr="000F1509" w:rsidRDefault="000F1509" w:rsidP="00CA2E3B">
      <w:pPr>
        <w:spacing w:before="240" w:after="240"/>
        <w:jc w:val="both"/>
        <w:rPr>
          <w:bCs/>
          <w:lang w:val="en-US"/>
        </w:rPr>
      </w:pPr>
      <w:r w:rsidRPr="000F1509">
        <w:rPr>
          <w:bCs/>
          <w:lang w:val="en-US"/>
        </w:rPr>
        <w:t>Ndryshimi i ligjit ekzistues ruan vazhdimësinë dhe stabilitetin e kuadrit rregullator. Ligji nr. 76/2023 ka krijuar tashmë arkitekturën bazë të tregut dhe subjektet kanë zhvilluar strukturat, politikat dhe procedurat e tyre në përputhje me të. Ndërhyrja përmes ndryshimeve të synuara u mundëson subjekteve të mbështeten në sistemet ekzistuese, në vend që të përshtaten me një regjim ligjor tërësisht të ri.</w:t>
      </w:r>
    </w:p>
    <w:p w14:paraId="59E71524" w14:textId="77777777" w:rsidR="000F1509" w:rsidRPr="000F1509" w:rsidRDefault="000F1509" w:rsidP="00CA2E3B">
      <w:pPr>
        <w:spacing w:before="240" w:after="240"/>
        <w:jc w:val="both"/>
        <w:rPr>
          <w:bCs/>
          <w:lang w:val="en-US"/>
        </w:rPr>
      </w:pPr>
      <w:r w:rsidRPr="000F1509">
        <w:rPr>
          <w:bCs/>
          <w:lang w:val="en-US"/>
        </w:rPr>
        <w:t>Ky opsion është gjithashtu më proporcional me nivelin e zhvillimit dhe strukturën e tregut shqiptar. Ai nuk ndryshon modelin vendas të fondeve me kontribute të përcaktuara, nuk krijon detyrim për punëdhënësit që të krijojnë skema pensioni dhe nuk vendos skema me përfitime të përcaktuara për tregun vendas. Kërkesat e reja përfshihen vetëm në masën që nevojiten për plotësimin e kuadrit dhe zbatohen duke marrë parasysh madhësinë, natyrën, shkallën dhe kompleksitetin e veprimtarisë së subjektit.</w:t>
      </w:r>
    </w:p>
    <w:p w14:paraId="1122FA5F" w14:textId="77777777" w:rsidR="000F1509" w:rsidRPr="000F1509" w:rsidRDefault="000F1509" w:rsidP="00CA2E3B">
      <w:pPr>
        <w:spacing w:before="240" w:after="240"/>
        <w:jc w:val="both"/>
        <w:rPr>
          <w:bCs/>
          <w:lang w:val="en-US"/>
        </w:rPr>
      </w:pPr>
      <w:r w:rsidRPr="000F1509">
        <w:rPr>
          <w:bCs/>
          <w:lang w:val="en-US"/>
        </w:rPr>
        <w:t>Nga këndvështrimi i anëtarëve dhe përfituesve, opsioni forcon mbrojtjen e kursimeve për pension nëpërmjet qartësimit të përgjegjësive të organeve drejtuese, forcimit të funksioneve kryesore dhe vendosjes së kërkesave më të plota për identifikimin dhe administrimin e rreziqeve. Standardizimi i informacionit vjetor pritet të rrisë kuptueshmërinë dhe krahasueshmërinë e të dhënave për kontributet, aktivet e grumbulluara, kostot dhe parashikimet e përfitimeve.</w:t>
      </w:r>
    </w:p>
    <w:p w14:paraId="05EBBE65" w14:textId="77777777" w:rsidR="000F1509" w:rsidRPr="000F1509" w:rsidRDefault="000F1509" w:rsidP="00CA2E3B">
      <w:pPr>
        <w:spacing w:before="240" w:after="240"/>
        <w:jc w:val="both"/>
        <w:rPr>
          <w:bCs/>
          <w:lang w:val="en-US"/>
        </w:rPr>
      </w:pPr>
      <w:r w:rsidRPr="000F1509">
        <w:rPr>
          <w:bCs/>
          <w:lang w:val="en-US"/>
        </w:rPr>
        <w:t>Për Autoritetin, ndryshimet krijojnë një bazë më të plotë ligjore për mbikëqyrjen me bazë rreziku dhe për ndërhyrjen e hershme ndaj mangësive të qeverisjes ose administrimit të rrezikut. Ato qartësojnë gjithashtu kompetencat për bashkëpunimin dhe shkëmbimin e informacionit me autoritetet evropiane, duke mundësuar përgatitjen graduale për anëtarësimin.</w:t>
      </w:r>
    </w:p>
    <w:p w14:paraId="3FF3DECA" w14:textId="77777777" w:rsidR="000F1509" w:rsidRPr="000F1509" w:rsidRDefault="000F1509" w:rsidP="00CA2E3B">
      <w:pPr>
        <w:spacing w:before="240" w:after="240"/>
        <w:jc w:val="both"/>
        <w:rPr>
          <w:bCs/>
          <w:lang w:val="en-US"/>
        </w:rPr>
      </w:pPr>
      <w:r w:rsidRPr="000F1509">
        <w:rPr>
          <w:bCs/>
          <w:lang w:val="en-US"/>
        </w:rPr>
        <w:t>Krahasuar me miratimin e një ligji të ri, ky opsion pritet të ketë kosto më të ulëta tranzicioni. Ai shmang nevojën për rishikimin e plotë të licencave, marrëdhënieve juridike, dokumentacionit dhe akteve nënligjore që mund të vazhdojnë të zbatohen ose të përshtaten brenda strukturës së ligjit aktual.</w:t>
      </w:r>
    </w:p>
    <w:p w14:paraId="09B6CAC5" w14:textId="77777777" w:rsidR="000F1509" w:rsidRPr="000F1509" w:rsidRDefault="000F1509" w:rsidP="00CA2E3B">
      <w:pPr>
        <w:spacing w:before="240" w:after="240"/>
        <w:jc w:val="both"/>
        <w:rPr>
          <w:b/>
          <w:bCs/>
          <w:lang w:val="en-US"/>
        </w:rPr>
      </w:pPr>
      <w:r w:rsidRPr="000F1509">
        <w:rPr>
          <w:b/>
          <w:bCs/>
          <w:lang w:val="en-US"/>
        </w:rPr>
        <w:t>Disavantazhet e Opsionit 1</w:t>
      </w:r>
    </w:p>
    <w:p w14:paraId="448DA3CF" w14:textId="77777777" w:rsidR="000F1509" w:rsidRPr="000F1509" w:rsidRDefault="000F1509" w:rsidP="00CA2E3B">
      <w:pPr>
        <w:spacing w:before="240" w:after="240"/>
        <w:jc w:val="both"/>
        <w:rPr>
          <w:bCs/>
          <w:lang w:val="en-US"/>
        </w:rPr>
      </w:pPr>
      <w:r w:rsidRPr="000F1509">
        <w:rPr>
          <w:bCs/>
          <w:lang w:val="en-US"/>
        </w:rPr>
        <w:t>Miratimi i ndryshimeve do të krijojë kosto shtesë pajtueshmërie për shoqëritë administruese dhe, sipas kërkesave përkatëse, për depozitarët dhe ofruesit e funksioneve të deleguara. Këto kosto mund të lidhen me rishikimin e strukturave të qeverisjes, përshtatjen e politikave të brendshme, organizimin e funksioneve kryesore, përmirësimin e proceseve të administrimit të rrezikut, përditësimin e dokumentacionit për anëtarët, trajnimin e personelit dhe përshtatjen e sistemeve të teknologjisë së informacionit.</w:t>
      </w:r>
    </w:p>
    <w:p w14:paraId="08D2178A" w14:textId="77777777" w:rsidR="000F1509" w:rsidRPr="000F1509" w:rsidRDefault="000F1509" w:rsidP="00CA2E3B">
      <w:pPr>
        <w:spacing w:before="240" w:after="240"/>
        <w:jc w:val="both"/>
        <w:rPr>
          <w:bCs/>
          <w:lang w:val="en-US"/>
        </w:rPr>
      </w:pPr>
      <w:r w:rsidRPr="000F1509">
        <w:rPr>
          <w:bCs/>
          <w:lang w:val="en-US"/>
        </w:rPr>
        <w:t>Ndikimi relativ i këtyre kostove mund të jetë më i madh për shoqëritë administruese me shkallë më të vogël veprimtarie, pasi një pjesë e kostove organizative, ligjore dhe teknologjike kanë karakter fiks. Zbatimi i parimit të proporcionalitetit dhe përcaktimi i kujdesshëm i kërkesave në aktet nënligjore do të jenë të nevojshme për të shmangur barrën e pajustifikuar, pa cenuar efektivitetin e standardeve të reja.</w:t>
      </w:r>
    </w:p>
    <w:p w14:paraId="7EDDCCB7" w14:textId="1D400237" w:rsidR="000F1509" w:rsidRPr="000F1509" w:rsidRDefault="000F1509" w:rsidP="00F07EF0">
      <w:pPr>
        <w:spacing w:before="240" w:after="240"/>
        <w:jc w:val="both"/>
        <w:rPr>
          <w:bCs/>
          <w:lang w:val="en-US"/>
        </w:rPr>
      </w:pPr>
      <w:r w:rsidRPr="000F1509">
        <w:rPr>
          <w:bCs/>
          <w:lang w:val="en-US"/>
        </w:rPr>
        <w:t>Opsioni krijon gjithashtu ngarkesë shtesë për Autoritetin</w:t>
      </w:r>
      <w:r w:rsidR="00E26760">
        <w:rPr>
          <w:bCs/>
          <w:lang w:val="en-US"/>
        </w:rPr>
        <w:t xml:space="preserve"> pasi</w:t>
      </w:r>
      <w:r w:rsidRPr="000F1509">
        <w:rPr>
          <w:bCs/>
          <w:lang w:val="en-US"/>
        </w:rPr>
        <w:t xml:space="preserve"> </w:t>
      </w:r>
      <w:r w:rsidR="00E26760">
        <w:rPr>
          <w:bCs/>
          <w:lang w:val="en-US"/>
        </w:rPr>
        <w:t>d</w:t>
      </w:r>
      <w:r w:rsidRPr="000F1509">
        <w:rPr>
          <w:bCs/>
          <w:lang w:val="en-US"/>
        </w:rPr>
        <w:t>o të kërkohet hartimi ose ndryshimi i akteve nënligjore, përditësimi i metodologjive dhe manualeve mbikëqyrëse, trajnimi i stafit, zhvillimi i formateve të raportimit dhe, në perspektivë, përshtatja e sistemeve për shkëmbimin e informacionit dhe raportimin në nivel evropian.</w:t>
      </w:r>
    </w:p>
    <w:p w14:paraId="07B3BDEE" w14:textId="77777777" w:rsidR="000F1509" w:rsidRPr="000F1509" w:rsidRDefault="000F1509" w:rsidP="00F07EF0">
      <w:pPr>
        <w:spacing w:before="240" w:after="240"/>
        <w:jc w:val="both"/>
        <w:rPr>
          <w:bCs/>
          <w:lang w:val="en-US"/>
        </w:rPr>
      </w:pPr>
      <w:r w:rsidRPr="000F1509">
        <w:rPr>
          <w:bCs/>
          <w:lang w:val="en-US"/>
        </w:rPr>
        <w:t>Ndërhyrja realizohet relativisht shpejt pas hyrjes në fuqi të ligjit nr. 76/2023 dhe pas përfundimit të procesit të parë të përshtatjes së subjekteve. Për rrjedhojë, subjektet mund të përballen me një proces të dytë përshtatjeje brenda një periudhe të shkurtër, megjithëse ky proces është më i kufizuar sesa përshtatja që do të kërkonte një ligj i ri.</w:t>
      </w:r>
    </w:p>
    <w:p w14:paraId="158A061E" w14:textId="0A8BED80" w:rsidR="000F1509" w:rsidRPr="000F1509" w:rsidRDefault="000F1509" w:rsidP="00F07EF0">
      <w:pPr>
        <w:spacing w:before="240" w:after="240"/>
        <w:jc w:val="both"/>
        <w:rPr>
          <w:bCs/>
          <w:lang w:val="en-US"/>
        </w:rPr>
      </w:pPr>
      <w:r w:rsidRPr="000F1509">
        <w:rPr>
          <w:bCs/>
          <w:lang w:val="en-US"/>
        </w:rPr>
        <w:t xml:space="preserve">Përfitimet që lidhen me veprimtarinë ndërkufitare, bashkëpunimin me EIOPA-n dhe pjesëmarrjen në mekanizmat e tregut të brendshëm nuk do të materializohen menjëherë. Ato varen nga anëtarësimi i Shqipërisë në Bashkimin Evropian dhe, më pas, nga interesi tregtar i subjekteve për të ushtruar veprimtari ndërkufitare. Megjithatë, përgatitja paraprake e kuadrit </w:t>
      </w:r>
      <w:r w:rsidR="00CD73BB">
        <w:rPr>
          <w:bCs/>
          <w:lang w:val="en-US"/>
        </w:rPr>
        <w:t xml:space="preserve">ligjor </w:t>
      </w:r>
      <w:r w:rsidRPr="000F1509">
        <w:rPr>
          <w:bCs/>
          <w:lang w:val="en-US"/>
        </w:rPr>
        <w:t xml:space="preserve">shmang nevojën për ndryshime të </w:t>
      </w:r>
      <w:r w:rsidR="00CD73BB">
        <w:rPr>
          <w:bCs/>
          <w:lang w:val="en-US"/>
        </w:rPr>
        <w:t xml:space="preserve">mëpasshme </w:t>
      </w:r>
      <w:r w:rsidRPr="000F1509">
        <w:rPr>
          <w:bCs/>
          <w:lang w:val="en-US"/>
        </w:rPr>
        <w:t>në momentin e anëtarësimit.</w:t>
      </w:r>
    </w:p>
    <w:p w14:paraId="04D59EE9" w14:textId="5E73EEE4" w:rsidR="00B55EDD" w:rsidRDefault="000F1509" w:rsidP="00F07EF0">
      <w:pPr>
        <w:spacing w:before="240" w:after="240"/>
        <w:jc w:val="both"/>
        <w:rPr>
          <w:bCs/>
          <w:lang w:val="en-US"/>
        </w:rPr>
      </w:pPr>
      <w:r w:rsidRPr="000F1509">
        <w:rPr>
          <w:bCs/>
          <w:lang w:val="en-US"/>
        </w:rPr>
        <w:t>Së fundi, kosto</w:t>
      </w:r>
      <w:r w:rsidR="00F07EF0">
        <w:rPr>
          <w:bCs/>
          <w:lang w:val="en-US"/>
        </w:rPr>
        <w:t>t</w:t>
      </w:r>
      <w:r w:rsidRPr="000F1509">
        <w:rPr>
          <w:bCs/>
          <w:lang w:val="en-US"/>
        </w:rPr>
        <w:t xml:space="preserve"> </w:t>
      </w:r>
      <w:r w:rsidR="00F07EF0">
        <w:rPr>
          <w:bCs/>
          <w:lang w:val="en-US"/>
        </w:rPr>
        <w:t>e</w:t>
      </w:r>
      <w:r w:rsidRPr="000F1509">
        <w:rPr>
          <w:bCs/>
          <w:lang w:val="en-US"/>
        </w:rPr>
        <w:t xml:space="preserve"> pajtueshmërisë</w:t>
      </w:r>
      <w:r w:rsidR="00F07EF0">
        <w:rPr>
          <w:bCs/>
          <w:lang w:val="en-US"/>
        </w:rPr>
        <w:t xml:space="preserve"> me ndryshimet e propozuara</w:t>
      </w:r>
      <w:r w:rsidRPr="000F1509">
        <w:rPr>
          <w:bCs/>
          <w:lang w:val="en-US"/>
        </w:rPr>
        <w:t xml:space="preserve"> nuk mund të përcaktohet plotësisht përpara miratimit të akteve nënligjore dhe përcaktimit të formateve teknike të raportimit. Për këtë arsye, zbatimi duhet të shoqërohet me konsultim, periudha të përshtatshme kalimtare dhe monitorim të barrës administrative mbi subjektet.</w:t>
      </w:r>
    </w:p>
    <w:p w14:paraId="54AEC55C" w14:textId="77777777" w:rsidR="00CD73BB" w:rsidRPr="00CD73BB" w:rsidRDefault="00CD73BB" w:rsidP="00CD73BB">
      <w:pPr>
        <w:spacing w:before="240" w:after="240"/>
        <w:jc w:val="both"/>
        <w:rPr>
          <w:b/>
          <w:bCs/>
          <w:lang w:val="en-US"/>
        </w:rPr>
      </w:pPr>
      <w:r w:rsidRPr="00CD73BB">
        <w:rPr>
          <w:b/>
          <w:bCs/>
          <w:lang w:val="en-US"/>
        </w:rPr>
        <w:t>Opsioni 2 – Shfuqizimi i ligjit nr. 76/2023 dhe miratimi i një ligji të ri</w:t>
      </w:r>
    </w:p>
    <w:p w14:paraId="4FD638AE" w14:textId="77777777" w:rsidR="00CD73BB" w:rsidRPr="00CD73BB" w:rsidRDefault="00CD73BB" w:rsidP="00CD73BB">
      <w:pPr>
        <w:spacing w:before="240" w:after="240"/>
        <w:jc w:val="both"/>
        <w:rPr>
          <w:b/>
          <w:bCs/>
          <w:lang w:val="en-US"/>
        </w:rPr>
      </w:pPr>
      <w:r w:rsidRPr="00CD73BB">
        <w:rPr>
          <w:b/>
          <w:bCs/>
          <w:lang w:val="en-US"/>
        </w:rPr>
        <w:t>Përshkrimi i opsionit</w:t>
      </w:r>
    </w:p>
    <w:p w14:paraId="68495861" w14:textId="77777777" w:rsidR="00CD73BB" w:rsidRPr="00CD73BB" w:rsidRDefault="00CD73BB" w:rsidP="00CD73BB">
      <w:pPr>
        <w:spacing w:before="240" w:after="240"/>
        <w:jc w:val="both"/>
        <w:rPr>
          <w:bCs/>
          <w:lang w:val="en-US"/>
        </w:rPr>
      </w:pPr>
      <w:r w:rsidRPr="00CD73BB">
        <w:rPr>
          <w:bCs/>
          <w:lang w:val="en-US"/>
        </w:rPr>
        <w:t>Opsioni 2 parashikon shfuqizimin e ligjit nr. 76/2023, “Për fondet e pensionit privat”, dhe miratimin e një ligji të ri që do të rregullonte në mënyrë të plotë dhe të konsoliduar tregun e pensioneve private dhe do të përafronte legjislacionin shqiptar me Direktivën IORP II.</w:t>
      </w:r>
    </w:p>
    <w:p w14:paraId="60D07407" w14:textId="69FF3D76" w:rsidR="00CD73BB" w:rsidRPr="00CD73BB" w:rsidRDefault="00CD73BB" w:rsidP="00CD73BB">
      <w:pPr>
        <w:spacing w:before="240" w:after="240"/>
        <w:jc w:val="both"/>
        <w:rPr>
          <w:bCs/>
          <w:lang w:val="en-US"/>
        </w:rPr>
      </w:pPr>
      <w:r w:rsidRPr="00CD73BB">
        <w:rPr>
          <w:bCs/>
          <w:lang w:val="en-US"/>
        </w:rPr>
        <w:t xml:space="preserve">Ligji i ri do të përfshinte si </w:t>
      </w:r>
      <w:r w:rsidR="00720CFC">
        <w:rPr>
          <w:bCs/>
          <w:lang w:val="en-US"/>
        </w:rPr>
        <w:t>dispoziat</w:t>
      </w:r>
      <w:r w:rsidRPr="00CD73BB">
        <w:rPr>
          <w:bCs/>
          <w:lang w:val="en-US"/>
        </w:rPr>
        <w:t xml:space="preserve"> që zbatohen aktualisht për fondet e pensionit privat me kontribute të përcaktuara, ashtu edhe kërkesat shtesë të identifikuara gjatë analizës së përputhshmërisë. </w:t>
      </w:r>
      <w:r w:rsidR="00720CFC">
        <w:rPr>
          <w:bCs/>
          <w:lang w:val="en-US"/>
        </w:rPr>
        <w:t>Ligji i ri</w:t>
      </w:r>
      <w:r w:rsidRPr="00CD73BB">
        <w:rPr>
          <w:bCs/>
          <w:lang w:val="en-US"/>
        </w:rPr>
        <w:t xml:space="preserve"> do të rregullo</w:t>
      </w:r>
      <w:r w:rsidR="00720CFC">
        <w:rPr>
          <w:bCs/>
          <w:lang w:val="en-US"/>
        </w:rPr>
        <w:t>nte</w:t>
      </w:r>
      <w:r w:rsidRPr="00CD73BB">
        <w:rPr>
          <w:bCs/>
          <w:lang w:val="en-US"/>
        </w:rPr>
        <w:t xml:space="preserve"> fush</w:t>
      </w:r>
      <w:r w:rsidR="00720CFC">
        <w:rPr>
          <w:bCs/>
          <w:lang w:val="en-US"/>
        </w:rPr>
        <w:t>ën</w:t>
      </w:r>
      <w:r w:rsidRPr="00CD73BB">
        <w:rPr>
          <w:bCs/>
          <w:lang w:val="en-US"/>
        </w:rPr>
        <w:t xml:space="preserve"> e zbatimit dhe përjashtimet, licencimi</w:t>
      </w:r>
      <w:r w:rsidR="00720CFC">
        <w:rPr>
          <w:bCs/>
          <w:lang w:val="en-US"/>
        </w:rPr>
        <w:t>n</w:t>
      </w:r>
      <w:r w:rsidRPr="00CD73BB">
        <w:rPr>
          <w:bCs/>
          <w:lang w:val="en-US"/>
        </w:rPr>
        <w:t xml:space="preserve"> dhe veprimtari</w:t>
      </w:r>
      <w:r w:rsidR="00720CFC">
        <w:rPr>
          <w:bCs/>
          <w:lang w:val="en-US"/>
        </w:rPr>
        <w:t>në</w:t>
      </w:r>
      <w:r w:rsidRPr="00CD73BB">
        <w:rPr>
          <w:bCs/>
          <w:lang w:val="en-US"/>
        </w:rPr>
        <w:t xml:space="preserve"> e shoqërive administruese, krijimi</w:t>
      </w:r>
      <w:r w:rsidR="00720CFC">
        <w:rPr>
          <w:bCs/>
          <w:lang w:val="en-US"/>
        </w:rPr>
        <w:t>n</w:t>
      </w:r>
      <w:r w:rsidRPr="00CD73BB">
        <w:rPr>
          <w:bCs/>
          <w:lang w:val="en-US"/>
        </w:rPr>
        <w:t xml:space="preserve"> dhe administrimi</w:t>
      </w:r>
      <w:r w:rsidR="00720CFC">
        <w:rPr>
          <w:bCs/>
          <w:lang w:val="en-US"/>
        </w:rPr>
        <w:t>n</w:t>
      </w:r>
      <w:r w:rsidRPr="00CD73BB">
        <w:rPr>
          <w:bCs/>
          <w:lang w:val="en-US"/>
        </w:rPr>
        <w:t xml:space="preserve"> </w:t>
      </w:r>
      <w:r w:rsidR="00720CFC">
        <w:rPr>
          <w:bCs/>
          <w:lang w:val="en-US"/>
        </w:rPr>
        <w:t>e</w:t>
      </w:r>
      <w:r w:rsidRPr="00CD73BB">
        <w:rPr>
          <w:bCs/>
          <w:lang w:val="en-US"/>
        </w:rPr>
        <w:t xml:space="preserve"> fondeve, sistem</w:t>
      </w:r>
      <w:r w:rsidR="00720CFC">
        <w:rPr>
          <w:bCs/>
          <w:lang w:val="en-US"/>
        </w:rPr>
        <w:t>et</w:t>
      </w:r>
      <w:r w:rsidRPr="00CD73BB">
        <w:rPr>
          <w:bCs/>
          <w:lang w:val="en-US"/>
        </w:rPr>
        <w:t xml:space="preserve"> </w:t>
      </w:r>
      <w:r w:rsidR="00720CFC">
        <w:rPr>
          <w:bCs/>
          <w:lang w:val="en-US"/>
        </w:rPr>
        <w:t>e</w:t>
      </w:r>
      <w:r w:rsidRPr="00CD73BB">
        <w:rPr>
          <w:bCs/>
          <w:lang w:val="en-US"/>
        </w:rPr>
        <w:t xml:space="preserve"> qeverisjes, funksionet kryesore, administrimi</w:t>
      </w:r>
      <w:r w:rsidR="00720CFC">
        <w:rPr>
          <w:bCs/>
          <w:lang w:val="en-US"/>
        </w:rPr>
        <w:t>n</w:t>
      </w:r>
      <w:r w:rsidRPr="00CD73BB">
        <w:rPr>
          <w:bCs/>
          <w:lang w:val="en-US"/>
        </w:rPr>
        <w:t xml:space="preserve"> </w:t>
      </w:r>
      <w:r w:rsidR="00720CFC">
        <w:rPr>
          <w:bCs/>
          <w:lang w:val="en-US"/>
        </w:rPr>
        <w:t>e</w:t>
      </w:r>
      <w:r w:rsidRPr="00CD73BB">
        <w:rPr>
          <w:bCs/>
          <w:lang w:val="en-US"/>
        </w:rPr>
        <w:t xml:space="preserve"> rrezikut, investim</w:t>
      </w:r>
      <w:r w:rsidR="00720CFC">
        <w:rPr>
          <w:bCs/>
          <w:lang w:val="en-US"/>
        </w:rPr>
        <w:t>in</w:t>
      </w:r>
      <w:r w:rsidRPr="00CD73BB">
        <w:rPr>
          <w:bCs/>
          <w:lang w:val="en-US"/>
        </w:rPr>
        <w:t xml:space="preserve"> </w:t>
      </w:r>
      <w:r w:rsidR="00720CFC">
        <w:rPr>
          <w:bCs/>
          <w:lang w:val="en-US"/>
        </w:rPr>
        <w:t>e</w:t>
      </w:r>
      <w:r w:rsidRPr="00CD73BB">
        <w:rPr>
          <w:bCs/>
          <w:lang w:val="en-US"/>
        </w:rPr>
        <w:t xml:space="preserve"> aktiveve, depozitari</w:t>
      </w:r>
      <w:r w:rsidR="00720CFC">
        <w:rPr>
          <w:bCs/>
          <w:lang w:val="en-US"/>
        </w:rPr>
        <w:t>n</w:t>
      </w:r>
      <w:r w:rsidRPr="00CD73BB">
        <w:rPr>
          <w:bCs/>
          <w:lang w:val="en-US"/>
        </w:rPr>
        <w:t>, informimi</w:t>
      </w:r>
      <w:r w:rsidR="00720CFC">
        <w:rPr>
          <w:bCs/>
          <w:lang w:val="en-US"/>
        </w:rPr>
        <w:t>n</w:t>
      </w:r>
      <w:r w:rsidRPr="00CD73BB">
        <w:rPr>
          <w:bCs/>
          <w:lang w:val="en-US"/>
        </w:rPr>
        <w:t xml:space="preserve"> </w:t>
      </w:r>
      <w:r w:rsidR="00720CFC">
        <w:rPr>
          <w:bCs/>
          <w:lang w:val="en-US"/>
        </w:rPr>
        <w:t>e</w:t>
      </w:r>
      <w:r w:rsidRPr="00CD73BB">
        <w:rPr>
          <w:bCs/>
          <w:lang w:val="en-US"/>
        </w:rPr>
        <w:t xml:space="preserve"> anëtarëve dhe përfituesve, kompetencat mbikëqyrëse të Autoritetit, veprimtari</w:t>
      </w:r>
      <w:r w:rsidR="00720CFC">
        <w:rPr>
          <w:bCs/>
          <w:lang w:val="en-US"/>
        </w:rPr>
        <w:t>në</w:t>
      </w:r>
      <w:r w:rsidRPr="00CD73BB">
        <w:rPr>
          <w:bCs/>
          <w:lang w:val="en-US"/>
        </w:rPr>
        <w:t xml:space="preserve"> dhe transferimet ndërkufitare, si dhe bashkëpunimi</w:t>
      </w:r>
      <w:r w:rsidR="00720CFC">
        <w:rPr>
          <w:bCs/>
          <w:lang w:val="en-US"/>
        </w:rPr>
        <w:t>n</w:t>
      </w:r>
      <w:r w:rsidRPr="00CD73BB">
        <w:rPr>
          <w:bCs/>
          <w:lang w:val="en-US"/>
        </w:rPr>
        <w:t xml:space="preserve"> me autoritetet e shteteve anëtare dhe me EIOPA-n.</w:t>
      </w:r>
    </w:p>
    <w:p w14:paraId="380014DF" w14:textId="786D85C5" w:rsidR="00CD73BB" w:rsidRPr="00CD73BB" w:rsidRDefault="00CD73BB" w:rsidP="00CD73BB">
      <w:pPr>
        <w:spacing w:before="240" w:after="240"/>
        <w:jc w:val="both"/>
        <w:rPr>
          <w:bCs/>
          <w:lang w:val="en-US"/>
        </w:rPr>
      </w:pPr>
      <w:r w:rsidRPr="00CD73BB">
        <w:rPr>
          <w:bCs/>
          <w:lang w:val="en-US"/>
        </w:rPr>
        <w:t>Në këtë kuadër, ligji i ri do të ruante modelin vendas të pensioneve private me kontribute të përcaktuara</w:t>
      </w:r>
      <w:r w:rsidR="00BF6CF6">
        <w:rPr>
          <w:bCs/>
          <w:lang w:val="en-US"/>
        </w:rPr>
        <w:t xml:space="preserve"> ndërsa s</w:t>
      </w:r>
      <w:r w:rsidRPr="00CD73BB">
        <w:rPr>
          <w:bCs/>
          <w:lang w:val="en-US"/>
        </w:rPr>
        <w:t>kemat me përfitime të përcaktuara do të trajtoheshin vetëm për rastet kur një subjekt i vendosur në Shqipëri administron një skemë të tillë në kuadër të veprimtarisë ndërkufitare në një shtet anëtar ku ajo lejohet. Dispozitat që varen nga anëtarësimi i Shqipërisë në Bashkimin Evropian do të parashikoheshin të zbatoheshin nga data e anëtarësimit.</w:t>
      </w:r>
    </w:p>
    <w:p w14:paraId="4D26F683" w14:textId="77777777" w:rsidR="00CD73BB" w:rsidRPr="00CD73BB" w:rsidRDefault="00CD73BB" w:rsidP="00CD73BB">
      <w:pPr>
        <w:spacing w:before="240" w:after="240"/>
        <w:jc w:val="both"/>
        <w:rPr>
          <w:b/>
          <w:bCs/>
          <w:lang w:val="en-US"/>
        </w:rPr>
      </w:pPr>
      <w:r w:rsidRPr="00CD73BB">
        <w:rPr>
          <w:b/>
          <w:bCs/>
          <w:lang w:val="en-US"/>
        </w:rPr>
        <w:t>Avantazhet e Opsionit 2</w:t>
      </w:r>
    </w:p>
    <w:p w14:paraId="6ACBDBF9" w14:textId="4127E53D" w:rsidR="00CD73BB" w:rsidRPr="00CD73BB" w:rsidRDefault="00CD73BB" w:rsidP="00CD73BB">
      <w:pPr>
        <w:spacing w:before="240" w:after="240"/>
        <w:jc w:val="both"/>
        <w:rPr>
          <w:bCs/>
          <w:lang w:val="en-US"/>
        </w:rPr>
      </w:pPr>
      <w:r w:rsidRPr="00CD73BB">
        <w:rPr>
          <w:bCs/>
          <w:lang w:val="en-US"/>
        </w:rPr>
        <w:t>Avantazhi kryesor i këtij opsioni është krijimi i një teksti të vetëm, të konsoliduar dhe të lexueshëm. Të gjitha kërkesat ekzistuese dhe të reja do të paraqiteshin në një strukturë të unifikuar, çka mund të lehtësonte përdorimin e ligjit nga shoqëritë administruese, Autoriteti, gjykatat, ekspertët dhe palët e tjera të interesuara.</w:t>
      </w:r>
    </w:p>
    <w:p w14:paraId="33D48A86" w14:textId="42153D89" w:rsidR="00CD73BB" w:rsidRPr="00CD73BB" w:rsidRDefault="00CD73BB" w:rsidP="00CD73BB">
      <w:pPr>
        <w:spacing w:before="240" w:after="240"/>
        <w:jc w:val="both"/>
        <w:rPr>
          <w:bCs/>
          <w:lang w:val="en-US"/>
        </w:rPr>
      </w:pPr>
      <w:r w:rsidRPr="00CD73BB">
        <w:rPr>
          <w:bCs/>
          <w:lang w:val="en-US"/>
        </w:rPr>
        <w:t>Hartimi i një ligji të ri do të krijonte mundësinë për të rishikuar tërësisht renditjen dhe lidhjen ndërmjet dispozitave. Përkufizimet, kërkesat për qeverisjen, funksionet kryesore, vetëvlerësimi i rrezikut, investimet, informimi dhe mbikëqyrja mund të organizoheshin në mënyrë të vazhdueshme, pa u kufizuar nga struktura dhe numërtimi i ligjit në fuqi.</w:t>
      </w:r>
      <w:r w:rsidR="000873CC">
        <w:rPr>
          <w:bCs/>
          <w:lang w:val="en-US"/>
        </w:rPr>
        <w:t xml:space="preserve"> </w:t>
      </w:r>
      <w:r w:rsidRPr="00CD73BB">
        <w:rPr>
          <w:bCs/>
          <w:lang w:val="en-US"/>
        </w:rPr>
        <w:t xml:space="preserve">Ky opsion mund të zvogëlonte rrezikun e krijimit të një teksti të fragmentuar pas miratimit të një numri të madh ndryshimesh. </w:t>
      </w:r>
    </w:p>
    <w:p w14:paraId="7BD311A4" w14:textId="77777777" w:rsidR="00CD73BB" w:rsidRPr="00CD73BB" w:rsidRDefault="00CD73BB" w:rsidP="00CD73BB">
      <w:pPr>
        <w:spacing w:before="240" w:after="240"/>
        <w:jc w:val="both"/>
        <w:rPr>
          <w:bCs/>
          <w:lang w:val="en-US"/>
        </w:rPr>
      </w:pPr>
      <w:r w:rsidRPr="00CD73BB">
        <w:rPr>
          <w:bCs/>
          <w:lang w:val="en-US"/>
        </w:rPr>
        <w:t>Miratimi i një ligji të ri do të mundësonte gjithashtu një rishikim të përgjithshëm të terminologjisë, referencave të brendshme, dispozitave autorizuese për aktet nënligjore dhe dispozitave kalimtare. Kjo mund të përmirësonte koherencën formale të aktit dhe të reduktonte rrezikun që disa dispozita të mbeteshin të papërshtatura me terminologjinë ose konceptet e reja.</w:t>
      </w:r>
    </w:p>
    <w:p w14:paraId="6B58AE0C" w14:textId="77777777" w:rsidR="00CD73BB" w:rsidRPr="00CD73BB" w:rsidRDefault="00CD73BB" w:rsidP="00CD73BB">
      <w:pPr>
        <w:spacing w:before="240" w:after="240"/>
        <w:jc w:val="both"/>
        <w:rPr>
          <w:bCs/>
          <w:lang w:val="en-US"/>
        </w:rPr>
      </w:pPr>
      <w:r w:rsidRPr="00CD73BB">
        <w:rPr>
          <w:bCs/>
          <w:lang w:val="en-US"/>
        </w:rPr>
        <w:t>Ashtu si Opsioni 1, edhe ky opsion do të mundësonte përafrimin e plotë dhe të verifikueshëm me Direktivën IORP II. Për rrjedhojë, ai do të përmbushte detyrimin e përafrimit që lidhet me procesin e anëtarësimit dhe do të realizonte objektivat materiale për forcimin e qeverisjes, administrimit të rrezikut, informimit të anëtarëve dhe mbikëqyrjes.</w:t>
      </w:r>
    </w:p>
    <w:p w14:paraId="4419EABC" w14:textId="77777777" w:rsidR="00CD73BB" w:rsidRPr="00CD73BB" w:rsidRDefault="00CD73BB" w:rsidP="00CD73BB">
      <w:pPr>
        <w:spacing w:before="240" w:after="240"/>
        <w:jc w:val="both"/>
        <w:rPr>
          <w:b/>
          <w:bCs/>
          <w:lang w:val="en-US"/>
        </w:rPr>
      </w:pPr>
      <w:r w:rsidRPr="00CD73BB">
        <w:rPr>
          <w:b/>
          <w:bCs/>
          <w:lang w:val="en-US"/>
        </w:rPr>
        <w:t>Disavantazhet e Opsionit 2</w:t>
      </w:r>
    </w:p>
    <w:p w14:paraId="314F0930" w14:textId="77777777" w:rsidR="00CD73BB" w:rsidRPr="00CD73BB" w:rsidRDefault="00CD73BB" w:rsidP="00CD73BB">
      <w:pPr>
        <w:spacing w:before="240" w:after="240"/>
        <w:jc w:val="both"/>
        <w:rPr>
          <w:bCs/>
          <w:lang w:val="en-US"/>
        </w:rPr>
      </w:pPr>
      <w:r w:rsidRPr="00CD73BB">
        <w:rPr>
          <w:bCs/>
          <w:lang w:val="en-US"/>
        </w:rPr>
        <w:t xml:space="preserve">Disavantazhi kryesor është se miratimi i një ligji të ri do të përbënte një ndërhyrje më të gjerë se sa kërkohet për trajtimin e boshllëqeve të identifikuara. Ligji nr. 76/2023 është miratuar së fundmi, përmban tashmë pjesën kryesore të kuadrit rregullator dhe ka realizuar përafrimin e pjesshëm me Direktivën IORP II. Përmbushja e kërkesave të mbetura nuk kërkon ndryshimin e të gjithë modelit rregullator ose institucional, por plotësimin e dispozitave të caktuara të ligjit në fuqi. </w:t>
      </w:r>
    </w:p>
    <w:p w14:paraId="40203694" w14:textId="77777777" w:rsidR="00CD73BB" w:rsidRPr="00CD73BB" w:rsidRDefault="00CD73BB" w:rsidP="00CD73BB">
      <w:pPr>
        <w:spacing w:before="240" w:after="240"/>
        <w:jc w:val="both"/>
        <w:rPr>
          <w:bCs/>
          <w:lang w:val="en-US"/>
        </w:rPr>
      </w:pPr>
      <w:r w:rsidRPr="00CD73BB">
        <w:rPr>
          <w:bCs/>
          <w:lang w:val="en-US"/>
        </w:rPr>
        <w:t>Ligji i ri do të duhej të rimiratonte edhe dispozitat që funksionojnë aktualisht dhe që nuk lidhen me boshllëqet e transpozimit. Kjo do të zgjeronte procesin e hartimit, shqyrtimit dhe konsultimit dhe do të shtonte rrezikun e ndryshimeve të paqëllimshme ose të mosruajtjes së plotë të zgjidhjeve që janë tashmë në zbatim.</w:t>
      </w:r>
    </w:p>
    <w:p w14:paraId="2EDA91D3" w14:textId="77777777" w:rsidR="00CD73BB" w:rsidRPr="00CD73BB" w:rsidRDefault="00CD73BB" w:rsidP="00CD73BB">
      <w:pPr>
        <w:spacing w:before="240" w:after="240"/>
        <w:jc w:val="both"/>
        <w:rPr>
          <w:bCs/>
          <w:lang w:val="en-US"/>
        </w:rPr>
      </w:pPr>
      <w:r w:rsidRPr="00CD73BB">
        <w:rPr>
          <w:bCs/>
          <w:lang w:val="en-US"/>
        </w:rPr>
        <w:t>Për subjektet e tregut, ky opsion do të krijonte një shkallë më të lartë pasigurie kalimtare. Shoqëritë administruese do të duhej të rishikonin në tërësi politikat, procedurat, rregulloret e fondeve, prospektet, kontratat, marrëveshjet e delegimit dhe dokumentet e tjera, edhe kur dispozitat përkatëse nuk do të ndryshonin në përmbajtje. Do të nevojiteshin dispozita të hollësishme për vazhdimësinë e licencave, miratimeve, regjistrimeve, kontratave të anëtarësimit dhe procedurave administrative të nisura sipas ligjit të mëparshëm.</w:t>
      </w:r>
    </w:p>
    <w:p w14:paraId="12191F20" w14:textId="77777777" w:rsidR="00CD73BB" w:rsidRPr="00CD73BB" w:rsidRDefault="00CD73BB" w:rsidP="00CD73BB">
      <w:pPr>
        <w:spacing w:before="240" w:after="240"/>
        <w:jc w:val="both"/>
        <w:rPr>
          <w:bCs/>
          <w:lang w:val="en-US"/>
        </w:rPr>
      </w:pPr>
      <w:r w:rsidRPr="00CD73BB">
        <w:rPr>
          <w:bCs/>
          <w:lang w:val="en-US"/>
        </w:rPr>
        <w:t>Një ligj i ri do të kërkonte gjithashtu shqyrtimin e plotë të të gjitha akteve nënligjore të miratuara në zbatim të ligjit nr. 76/2023. Për secilin akt do të duhej të përcaktohej nëse vijon të zbatohet, duhet të ndryshohet ose duhet të zëvendësohet. Edhe kur përmbajtja teknike mbetet e vlefshme, ndryshimi i bazës ligjore dhe i referencave mund të kërkojë ndërhyrje formale, duke rritur ngarkesën për Autoritetin dhe subjektet e mbikëqyrura.</w:t>
      </w:r>
    </w:p>
    <w:p w14:paraId="68CBCF70" w14:textId="77777777" w:rsidR="00CD73BB" w:rsidRPr="00CD73BB" w:rsidRDefault="00CD73BB" w:rsidP="00CD73BB">
      <w:pPr>
        <w:spacing w:before="240" w:after="240"/>
        <w:jc w:val="both"/>
        <w:rPr>
          <w:bCs/>
          <w:lang w:val="en-US"/>
        </w:rPr>
      </w:pPr>
      <w:r w:rsidRPr="00CD73BB">
        <w:rPr>
          <w:bCs/>
          <w:lang w:val="en-US"/>
        </w:rPr>
        <w:t>Ky opsion mund të zgjasë kohën e nevojshme për përfundimin e procesit legjislativ. Hartimi i një ligji tërësisht të ri kërkon rishikim të plotë nen për nen, kontroll më të gjerë të koherencës me legjislacionin tjetër dhe hartim më të hollësishëm të dispozitave kalimtare dhe përfundimtare. Kjo mund të vonojë përmbushjen e detyrimit për përafrimin e plotë, pa krijuar domosdoshmërisht përfitime materiale shtesë kundrejt ndryshimit të ligjit ekzistues.</w:t>
      </w:r>
    </w:p>
    <w:p w14:paraId="6DE1DA18" w14:textId="51F85259" w:rsidR="00CD73BB" w:rsidRPr="00CD73BB" w:rsidRDefault="00CD73BB" w:rsidP="00CD73BB">
      <w:pPr>
        <w:spacing w:before="240" w:after="240"/>
        <w:jc w:val="both"/>
        <w:rPr>
          <w:bCs/>
          <w:lang w:val="en-US"/>
        </w:rPr>
      </w:pPr>
      <w:r w:rsidRPr="00CD73BB">
        <w:rPr>
          <w:bCs/>
          <w:lang w:val="en-US"/>
        </w:rPr>
        <w:t>Miratimi i një ligji të ri vetëm pak vite pas hyrjes në fuqi të ligjit nr. 76/2023 mund të ndikojë negativisht edhe në parashikueshmërinë rregullatore. Subjektet kanë kryer tashmë një proces përshtatjeje me ligjin e vitit 2023. Zëvendësimi i tij i plotë mund të krijojë perceptimin e paqëndrueshmërisë së kuadrit, edhe në rast se pjesa më e madhe e dispozitave do të ruhej me përmbajtje të njëjtë.</w:t>
      </w:r>
    </w:p>
    <w:p w14:paraId="0C78C5D4" w14:textId="77777777" w:rsidR="00CD73BB" w:rsidRPr="00CD73BB" w:rsidRDefault="00CD73BB" w:rsidP="00CD73BB">
      <w:pPr>
        <w:spacing w:before="240" w:after="240"/>
        <w:jc w:val="both"/>
        <w:rPr>
          <w:bCs/>
          <w:lang w:val="en-US"/>
        </w:rPr>
      </w:pPr>
      <w:r w:rsidRPr="00CD73BB">
        <w:rPr>
          <w:bCs/>
          <w:lang w:val="en-US"/>
        </w:rPr>
        <w:t>Nga pikëpamja e rezultateve të politikës, Opsioni 2 nuk ofron domosdoshmërisht një nivel më të lartë mbrojtjeje ose përafrimi se Opsioni 1. Të dyja alternativat mund të transpozojnë plotësisht Direktivën IORP II dhe të vendosin të njëjtat kërkesa materiale. Dallimi kryesor qëndron te instrumenti dhe shkalla e ndërhyrjes, jo te rezultati juridik që mund të arrihet.</w:t>
      </w:r>
    </w:p>
    <w:p w14:paraId="104A1A47" w14:textId="77777777" w:rsidR="00CD73BB" w:rsidRPr="00CD73BB" w:rsidRDefault="00CD73BB" w:rsidP="00CD73BB">
      <w:pPr>
        <w:spacing w:before="240" w:after="240"/>
        <w:jc w:val="both"/>
        <w:rPr>
          <w:bCs/>
          <w:lang w:val="en-US"/>
        </w:rPr>
      </w:pPr>
      <w:r w:rsidRPr="00CD73BB">
        <w:rPr>
          <w:bCs/>
          <w:lang w:val="en-US"/>
        </w:rPr>
        <w:t>Procesi teknik i zhvilluar nga Autoriteti, me mbështetjen e Bankës Botërore dhe ekspertëve vendas, ka shqyrtuar shprehimisht mundësinë e një ligji të ri. Ndryshimet në ligjin ekzistues janë vlerësuar si më pak ndërhyrëse dhe më të përshtatshme për ruajtjen e një strukture ligjore koherente dhe funksionale për kushtet e Shqipërisë.</w:t>
      </w:r>
    </w:p>
    <w:p w14:paraId="2FA3764C" w14:textId="1273881D" w:rsidR="00BB0BE5" w:rsidRPr="00311B6B" w:rsidRDefault="00CD73BB" w:rsidP="00F07EF0">
      <w:pPr>
        <w:spacing w:before="240" w:after="240"/>
        <w:jc w:val="both"/>
        <w:rPr>
          <w:bCs/>
          <w:lang w:val="en-US"/>
        </w:rPr>
      </w:pPr>
      <w:r w:rsidRPr="00CD73BB">
        <w:rPr>
          <w:bCs/>
          <w:lang w:val="en-US"/>
        </w:rPr>
        <w:t>Në përmbledhje, Opsioni 2 mund të ofrojë avantazhe formale për sa i përket konsolidimit dhe organizimit të tekstit ligjor, si dhe do të realizonte përafrimin e plotë me Direktivën IORP II. Megjithatë, ai do të kërkonte një proces më të gjerë hartimi dhe përshtatjeje, do të rriste kostot kalimtare dhe rrezikun e pasigurisë juridike dhe nuk do të sillte përfitime materiale të dallueshme kundrejt ndryshimit të synuar të ligjit nr. 76/2023.</w:t>
      </w:r>
    </w:p>
    <w:p w14:paraId="2B9CB80F" w14:textId="77777777" w:rsidR="001226EB" w:rsidRPr="00866EA4" w:rsidRDefault="004F6C9E">
      <w:pPr>
        <w:pStyle w:val="Heading1"/>
        <w:spacing w:line="276" w:lineRule="auto"/>
        <w:rPr>
          <w:rFonts w:ascii="Times New Roman" w:hAnsi="Times New Roman"/>
          <w:sz w:val="24"/>
          <w:lang w:val="sq-AL"/>
        </w:rPr>
      </w:pPr>
      <w:r w:rsidRPr="00866EA4">
        <w:rPr>
          <w:rFonts w:ascii="Times New Roman" w:hAnsi="Times New Roman"/>
          <w:sz w:val="24"/>
          <w:lang w:val="sq-AL"/>
        </w:rPr>
        <w:t>Vlerësimi i opsioneve/analizimi i ndikimeve     </w:t>
      </w:r>
    </w:p>
    <w:p w14:paraId="364DDD22" w14:textId="77777777" w:rsidR="001226EB" w:rsidRPr="007A737A" w:rsidRDefault="004F6C9E" w:rsidP="008E4E22">
      <w:pPr>
        <w:numPr>
          <w:ilvl w:val="0"/>
          <w:numId w:val="8"/>
        </w:numPr>
        <w:pBdr>
          <w:top w:val="nil"/>
          <w:left w:val="nil"/>
          <w:bottom w:val="nil"/>
          <w:right w:val="nil"/>
          <w:between w:val="nil"/>
        </w:pBdr>
        <w:tabs>
          <w:tab w:val="left" w:pos="567"/>
        </w:tabs>
        <w:spacing w:line="276" w:lineRule="auto"/>
        <w:jc w:val="both"/>
        <w:rPr>
          <w:i/>
          <w:iCs/>
          <w:color w:val="000000"/>
          <w:lang w:val="sq-AL"/>
        </w:rPr>
      </w:pPr>
      <w:bookmarkStart w:id="4" w:name="_heading=h.vdn8dbuhmyss" w:colFirst="0" w:colLast="0"/>
      <w:bookmarkEnd w:id="4"/>
      <w:r w:rsidRPr="007A737A">
        <w:rPr>
          <w:i/>
          <w:iCs/>
          <w:color w:val="000000"/>
          <w:lang w:val="sq-AL"/>
        </w:rPr>
        <w:t>Identifikoni grupet e prekura.</w:t>
      </w:r>
    </w:p>
    <w:p w14:paraId="64293857" w14:textId="77777777" w:rsidR="001226EB" w:rsidRPr="007A737A" w:rsidRDefault="004F6C9E" w:rsidP="008E4E22">
      <w:pPr>
        <w:numPr>
          <w:ilvl w:val="0"/>
          <w:numId w:val="8"/>
        </w:numPr>
        <w:pBdr>
          <w:top w:val="nil"/>
          <w:left w:val="nil"/>
          <w:bottom w:val="nil"/>
          <w:right w:val="nil"/>
          <w:between w:val="nil"/>
        </w:pBdr>
        <w:tabs>
          <w:tab w:val="left" w:pos="567"/>
        </w:tabs>
        <w:spacing w:line="276" w:lineRule="auto"/>
        <w:ind w:left="540" w:hanging="180"/>
        <w:jc w:val="both"/>
        <w:rPr>
          <w:i/>
          <w:iCs/>
          <w:color w:val="000000"/>
          <w:lang w:val="sq-AL"/>
        </w:rPr>
      </w:pPr>
      <w:r w:rsidRPr="007A737A">
        <w:rPr>
          <w:i/>
          <w:iCs/>
          <w:color w:val="000000"/>
          <w:lang w:val="sq-AL"/>
        </w:rPr>
        <w:t>Identifikoni llojet e ndikimeve për secilin grup të prekur, bëni dallimin midis ndikimeve të drejtpërdrejta dhe jo të drejtpërdrejta.</w:t>
      </w:r>
    </w:p>
    <w:p w14:paraId="1C635D64" w14:textId="77777777" w:rsidR="001226EB" w:rsidRPr="007A737A" w:rsidRDefault="004F6C9E" w:rsidP="008E4E22">
      <w:pPr>
        <w:numPr>
          <w:ilvl w:val="0"/>
          <w:numId w:val="8"/>
        </w:numPr>
        <w:pBdr>
          <w:top w:val="nil"/>
          <w:left w:val="nil"/>
          <w:bottom w:val="nil"/>
          <w:right w:val="nil"/>
          <w:between w:val="nil"/>
        </w:pBdr>
        <w:tabs>
          <w:tab w:val="left" w:pos="567"/>
        </w:tabs>
        <w:spacing w:line="276" w:lineRule="auto"/>
        <w:jc w:val="both"/>
        <w:rPr>
          <w:i/>
          <w:iCs/>
          <w:color w:val="000000"/>
          <w:lang w:val="sq-AL"/>
        </w:rPr>
      </w:pPr>
      <w:r w:rsidRPr="007A737A">
        <w:rPr>
          <w:i/>
          <w:iCs/>
          <w:color w:val="000000"/>
          <w:lang w:val="sq-AL"/>
        </w:rPr>
        <w:t>Për ndikimet e drejtpërdrejta:</w:t>
      </w:r>
    </w:p>
    <w:p w14:paraId="2B027B81" w14:textId="77777777" w:rsidR="001226EB" w:rsidRPr="007A737A" w:rsidRDefault="004F6C9E">
      <w:pPr>
        <w:pBdr>
          <w:top w:val="nil"/>
          <w:left w:val="nil"/>
          <w:bottom w:val="nil"/>
          <w:right w:val="nil"/>
          <w:between w:val="nil"/>
        </w:pBdr>
        <w:spacing w:line="276" w:lineRule="auto"/>
        <w:ind w:left="720"/>
        <w:jc w:val="both"/>
        <w:rPr>
          <w:i/>
          <w:iCs/>
          <w:color w:val="000000"/>
          <w:lang w:val="sq-AL"/>
        </w:rPr>
      </w:pPr>
      <w:r w:rsidRPr="007A737A">
        <w:rPr>
          <w:i/>
          <w:iCs/>
          <w:color w:val="000000"/>
          <w:lang w:val="sq-AL"/>
        </w:rPr>
        <w:t xml:space="preserve"> </w:t>
      </w:r>
    </w:p>
    <w:p w14:paraId="1948C3DB" w14:textId="77777777" w:rsidR="001226EB" w:rsidRPr="004D342B" w:rsidRDefault="004F6C9E" w:rsidP="008E4E22">
      <w:pPr>
        <w:numPr>
          <w:ilvl w:val="1"/>
          <w:numId w:val="8"/>
        </w:numPr>
        <w:pBdr>
          <w:top w:val="nil"/>
          <w:left w:val="nil"/>
          <w:bottom w:val="nil"/>
          <w:right w:val="nil"/>
          <w:between w:val="nil"/>
        </w:pBdr>
        <w:tabs>
          <w:tab w:val="left" w:pos="567"/>
        </w:tabs>
        <w:spacing w:line="276" w:lineRule="auto"/>
        <w:jc w:val="both"/>
        <w:rPr>
          <w:i/>
          <w:color w:val="000000"/>
          <w:lang w:val="sq-AL"/>
        </w:rPr>
      </w:pPr>
      <w:r w:rsidRPr="004D342B">
        <w:rPr>
          <w:i/>
          <w:color w:val="000000"/>
          <w:lang w:val="sq-AL"/>
        </w:rPr>
        <w:t>Përshkruani nga ana cilësore ndikimet e drejtpërdrejta mbi grupet e prekura.</w:t>
      </w:r>
    </w:p>
    <w:p w14:paraId="178E60AF" w14:textId="77777777" w:rsidR="001226EB" w:rsidRPr="004D342B" w:rsidRDefault="004F6C9E" w:rsidP="008E4E22">
      <w:pPr>
        <w:numPr>
          <w:ilvl w:val="1"/>
          <w:numId w:val="8"/>
        </w:numPr>
        <w:pBdr>
          <w:top w:val="nil"/>
          <w:left w:val="nil"/>
          <w:bottom w:val="nil"/>
          <w:right w:val="nil"/>
          <w:between w:val="nil"/>
        </w:pBdr>
        <w:tabs>
          <w:tab w:val="left" w:pos="567"/>
        </w:tabs>
        <w:spacing w:line="276" w:lineRule="auto"/>
        <w:jc w:val="both"/>
        <w:rPr>
          <w:i/>
          <w:color w:val="000000"/>
          <w:lang w:val="sq-AL"/>
        </w:rPr>
      </w:pPr>
      <w:r w:rsidRPr="004D342B">
        <w:rPr>
          <w:i/>
          <w:color w:val="000000"/>
          <w:lang w:val="sq-AL"/>
        </w:rPr>
        <w:t>Analizoni nga ana sasiore ndikimet më të rëndësishme të drejtpërdrejta.</w:t>
      </w:r>
    </w:p>
    <w:p w14:paraId="4C1FCEEC" w14:textId="77777777" w:rsidR="001226EB" w:rsidRPr="004D342B" w:rsidRDefault="004F6C9E" w:rsidP="008E4E22">
      <w:pPr>
        <w:numPr>
          <w:ilvl w:val="1"/>
          <w:numId w:val="8"/>
        </w:numPr>
        <w:pBdr>
          <w:top w:val="nil"/>
          <w:left w:val="nil"/>
          <w:bottom w:val="nil"/>
          <w:right w:val="nil"/>
          <w:between w:val="nil"/>
        </w:pBdr>
        <w:tabs>
          <w:tab w:val="left" w:pos="567"/>
        </w:tabs>
        <w:spacing w:line="276" w:lineRule="auto"/>
        <w:jc w:val="both"/>
        <w:rPr>
          <w:i/>
          <w:color w:val="000000"/>
          <w:lang w:val="sq-AL"/>
        </w:rPr>
      </w:pPr>
      <w:r w:rsidRPr="004D342B">
        <w:rPr>
          <w:i/>
          <w:color w:val="000000"/>
          <w:lang w:val="sq-AL"/>
        </w:rPr>
        <w:t>Përcaktoni vlerën monetare të ndikimeve më të rëndësishme të drejtpërdrejta aty ku është e mundur (përdor tabelën në Aneksin 2/a të këtij dokumenti).</w:t>
      </w:r>
    </w:p>
    <w:p w14:paraId="7B521A28" w14:textId="77777777" w:rsidR="001226EB" w:rsidRPr="004D342B" w:rsidRDefault="004F6C9E" w:rsidP="008E4E22">
      <w:pPr>
        <w:numPr>
          <w:ilvl w:val="1"/>
          <w:numId w:val="8"/>
        </w:numPr>
        <w:pBdr>
          <w:top w:val="nil"/>
          <w:left w:val="nil"/>
          <w:bottom w:val="nil"/>
          <w:right w:val="nil"/>
          <w:between w:val="nil"/>
        </w:pBdr>
        <w:tabs>
          <w:tab w:val="left" w:pos="567"/>
        </w:tabs>
        <w:spacing w:after="120" w:line="276" w:lineRule="auto"/>
        <w:jc w:val="both"/>
        <w:rPr>
          <w:i/>
          <w:color w:val="000000"/>
          <w:lang w:val="sq-AL"/>
        </w:rPr>
      </w:pPr>
      <w:r w:rsidRPr="004D342B">
        <w:rPr>
          <w:i/>
          <w:color w:val="000000"/>
          <w:lang w:val="sq-AL"/>
        </w:rPr>
        <w:t>Analizoni ndikimin mbi ndërmarrjet e vogla dhe të mesme (nëse ka).</w:t>
      </w:r>
    </w:p>
    <w:p w14:paraId="17C27C5A" w14:textId="77777777" w:rsidR="001226EB" w:rsidRPr="004D342B" w:rsidRDefault="004F6C9E" w:rsidP="008E4E22">
      <w:pPr>
        <w:numPr>
          <w:ilvl w:val="0"/>
          <w:numId w:val="8"/>
        </w:numPr>
        <w:pBdr>
          <w:top w:val="nil"/>
          <w:left w:val="nil"/>
          <w:bottom w:val="nil"/>
          <w:right w:val="nil"/>
          <w:between w:val="nil"/>
        </w:pBdr>
        <w:tabs>
          <w:tab w:val="left" w:pos="567"/>
        </w:tabs>
        <w:spacing w:line="276" w:lineRule="auto"/>
        <w:jc w:val="both"/>
        <w:rPr>
          <w:i/>
          <w:color w:val="000000"/>
          <w:lang w:val="sq-AL"/>
        </w:rPr>
      </w:pPr>
      <w:r w:rsidRPr="004D342B">
        <w:rPr>
          <w:i/>
          <w:color w:val="000000"/>
          <w:lang w:val="sq-AL"/>
        </w:rPr>
        <w:t>Për ndikimet jo të drejtpërdrejta:</w:t>
      </w:r>
    </w:p>
    <w:p w14:paraId="1B293A13" w14:textId="77777777" w:rsidR="001226EB" w:rsidRPr="004D342B" w:rsidRDefault="004F6C9E" w:rsidP="008E4E22">
      <w:pPr>
        <w:numPr>
          <w:ilvl w:val="1"/>
          <w:numId w:val="8"/>
        </w:numPr>
        <w:pBdr>
          <w:top w:val="nil"/>
          <w:left w:val="nil"/>
          <w:bottom w:val="nil"/>
          <w:right w:val="nil"/>
          <w:between w:val="nil"/>
        </w:pBdr>
        <w:tabs>
          <w:tab w:val="left" w:pos="567"/>
        </w:tabs>
        <w:spacing w:line="276" w:lineRule="auto"/>
        <w:jc w:val="both"/>
        <w:rPr>
          <w:i/>
          <w:color w:val="000000"/>
          <w:lang w:val="sq-AL"/>
        </w:rPr>
      </w:pPr>
      <w:r w:rsidRPr="004D342B">
        <w:rPr>
          <w:i/>
          <w:color w:val="000000"/>
          <w:lang w:val="sq-AL"/>
        </w:rPr>
        <w:t>Përshkruani nga ana cilësore ndikimet jo të drejtpërdrejta mbi grupet e prekura.</w:t>
      </w:r>
    </w:p>
    <w:p w14:paraId="17A5B948" w14:textId="77777777" w:rsidR="001226EB" w:rsidRPr="007A737A" w:rsidRDefault="004F6C9E" w:rsidP="008E4E22">
      <w:pPr>
        <w:numPr>
          <w:ilvl w:val="1"/>
          <w:numId w:val="8"/>
        </w:numPr>
        <w:pBdr>
          <w:top w:val="nil"/>
          <w:left w:val="nil"/>
          <w:bottom w:val="nil"/>
          <w:right w:val="nil"/>
          <w:between w:val="nil"/>
        </w:pBdr>
        <w:tabs>
          <w:tab w:val="left" w:pos="567"/>
        </w:tabs>
        <w:spacing w:after="120" w:line="276" w:lineRule="auto"/>
        <w:jc w:val="both"/>
        <w:rPr>
          <w:i/>
          <w:iCs/>
          <w:color w:val="000000"/>
          <w:lang w:val="sq-AL"/>
        </w:rPr>
      </w:pPr>
      <w:r w:rsidRPr="007A737A">
        <w:rPr>
          <w:i/>
          <w:iCs/>
          <w:color w:val="000000"/>
          <w:lang w:val="sq-AL"/>
        </w:rPr>
        <w:t xml:space="preserve">Analizoni ndikimin mbi konkurrencën.  </w:t>
      </w:r>
    </w:p>
    <w:p w14:paraId="4BC1B27B" w14:textId="77777777" w:rsidR="001226EB" w:rsidRPr="007A737A" w:rsidRDefault="004F6C9E" w:rsidP="008E4E22">
      <w:pPr>
        <w:numPr>
          <w:ilvl w:val="0"/>
          <w:numId w:val="8"/>
        </w:numPr>
        <w:pBdr>
          <w:top w:val="nil"/>
          <w:left w:val="nil"/>
          <w:bottom w:val="nil"/>
          <w:right w:val="nil"/>
          <w:between w:val="nil"/>
        </w:pBdr>
        <w:tabs>
          <w:tab w:val="left" w:pos="567"/>
        </w:tabs>
        <w:spacing w:line="276" w:lineRule="auto"/>
        <w:jc w:val="both"/>
        <w:rPr>
          <w:i/>
          <w:iCs/>
          <w:color w:val="000000"/>
          <w:lang w:val="sq-AL"/>
        </w:rPr>
      </w:pPr>
      <w:r w:rsidRPr="007A737A">
        <w:rPr>
          <w:i/>
          <w:iCs/>
          <w:color w:val="000000"/>
          <w:lang w:val="sq-AL"/>
        </w:rPr>
        <w:t>Diskutoni kufizimin e analizës:</w:t>
      </w:r>
    </w:p>
    <w:p w14:paraId="60E902C8" w14:textId="77777777" w:rsidR="001226EB" w:rsidRPr="007A737A" w:rsidRDefault="004F6C9E" w:rsidP="008E4E22">
      <w:pPr>
        <w:numPr>
          <w:ilvl w:val="1"/>
          <w:numId w:val="8"/>
        </w:numPr>
        <w:pBdr>
          <w:top w:val="nil"/>
          <w:left w:val="nil"/>
          <w:bottom w:val="nil"/>
          <w:right w:val="nil"/>
          <w:between w:val="nil"/>
        </w:pBdr>
        <w:tabs>
          <w:tab w:val="left" w:pos="567"/>
        </w:tabs>
        <w:spacing w:line="276" w:lineRule="auto"/>
        <w:jc w:val="both"/>
        <w:rPr>
          <w:i/>
          <w:iCs/>
          <w:color w:val="000000"/>
          <w:lang w:val="sq-AL"/>
        </w:rPr>
      </w:pPr>
      <w:bookmarkStart w:id="5" w:name="_heading=h.my6nme62rwa5" w:colFirst="0" w:colLast="0"/>
      <w:bookmarkEnd w:id="5"/>
      <w:r w:rsidRPr="007A737A">
        <w:rPr>
          <w:i/>
          <w:iCs/>
          <w:color w:val="000000"/>
          <w:lang w:val="sq-AL"/>
        </w:rPr>
        <w:t>Jepni supozimet në të cilat janë bazuar parashikimet dhe risqet, të cilave ato u nënshtrohen.</w:t>
      </w:r>
    </w:p>
    <w:p w14:paraId="661C9449" w14:textId="77777777" w:rsidR="001226EB" w:rsidRPr="007A737A" w:rsidRDefault="004F6C9E" w:rsidP="008E4E22">
      <w:pPr>
        <w:numPr>
          <w:ilvl w:val="1"/>
          <w:numId w:val="8"/>
        </w:numPr>
        <w:pBdr>
          <w:top w:val="nil"/>
          <w:left w:val="nil"/>
          <w:bottom w:val="nil"/>
          <w:right w:val="nil"/>
          <w:between w:val="nil"/>
        </w:pBdr>
        <w:tabs>
          <w:tab w:val="left" w:pos="567"/>
        </w:tabs>
        <w:spacing w:after="120" w:line="276" w:lineRule="auto"/>
        <w:jc w:val="both"/>
        <w:rPr>
          <w:i/>
          <w:iCs/>
          <w:color w:val="000000"/>
          <w:lang w:val="sq-AL"/>
        </w:rPr>
      </w:pPr>
      <w:r w:rsidRPr="007A737A">
        <w:rPr>
          <w:i/>
          <w:iCs/>
          <w:color w:val="000000"/>
          <w:lang w:val="sq-AL"/>
        </w:rPr>
        <w:t>Tregoni se çfarë mund të pengojë realizimin e përfitimeve, të rrisë kostot ose të sjellë pasoja të papritura.</w:t>
      </w:r>
    </w:p>
    <w:p w14:paraId="7171A85B" w14:textId="77777777" w:rsidR="001226EB" w:rsidRPr="007A737A" w:rsidRDefault="004F6C9E" w:rsidP="008E4E22">
      <w:pPr>
        <w:numPr>
          <w:ilvl w:val="0"/>
          <w:numId w:val="8"/>
        </w:numPr>
        <w:pBdr>
          <w:top w:val="nil"/>
          <w:left w:val="nil"/>
          <w:bottom w:val="nil"/>
          <w:right w:val="nil"/>
          <w:between w:val="nil"/>
        </w:pBdr>
        <w:tabs>
          <w:tab w:val="left" w:pos="567"/>
        </w:tabs>
        <w:spacing w:line="276" w:lineRule="auto"/>
        <w:jc w:val="both"/>
        <w:rPr>
          <w:i/>
          <w:iCs/>
          <w:color w:val="000000"/>
          <w:lang w:val="sq-AL"/>
        </w:rPr>
      </w:pPr>
      <w:r w:rsidRPr="007A737A">
        <w:rPr>
          <w:i/>
          <w:iCs/>
          <w:color w:val="000000"/>
          <w:lang w:val="sq-AL"/>
        </w:rPr>
        <w:t>Përmblidhni vlerësimin e opsioneve:</w:t>
      </w:r>
    </w:p>
    <w:p w14:paraId="3054A438" w14:textId="77777777" w:rsidR="001226EB" w:rsidRPr="007A737A" w:rsidRDefault="004F6C9E" w:rsidP="008E4E22">
      <w:pPr>
        <w:numPr>
          <w:ilvl w:val="1"/>
          <w:numId w:val="8"/>
        </w:numPr>
        <w:pBdr>
          <w:top w:val="nil"/>
          <w:left w:val="nil"/>
          <w:bottom w:val="nil"/>
          <w:right w:val="nil"/>
          <w:between w:val="nil"/>
        </w:pBdr>
        <w:tabs>
          <w:tab w:val="left" w:pos="567"/>
        </w:tabs>
        <w:spacing w:line="276" w:lineRule="auto"/>
        <w:jc w:val="both"/>
        <w:rPr>
          <w:i/>
          <w:iCs/>
          <w:color w:val="000000"/>
          <w:lang w:val="sq-AL"/>
        </w:rPr>
      </w:pPr>
      <w:r w:rsidRPr="007A737A">
        <w:rPr>
          <w:i/>
          <w:iCs/>
          <w:color w:val="000000"/>
          <w:lang w:val="sq-AL"/>
        </w:rPr>
        <w:t>Paraqisni një pasqyrë përmbledhëse të të gjitha ndikimeve të opsioneve të analizuara.</w:t>
      </w:r>
    </w:p>
    <w:p w14:paraId="3A2CC73E" w14:textId="77777777" w:rsidR="001226EB" w:rsidRPr="004D342B" w:rsidRDefault="004F6C9E" w:rsidP="008E4E22">
      <w:pPr>
        <w:numPr>
          <w:ilvl w:val="1"/>
          <w:numId w:val="8"/>
        </w:numPr>
        <w:pBdr>
          <w:top w:val="nil"/>
          <w:left w:val="nil"/>
          <w:bottom w:val="nil"/>
          <w:right w:val="nil"/>
          <w:between w:val="nil"/>
        </w:pBdr>
        <w:tabs>
          <w:tab w:val="left" w:pos="567"/>
        </w:tabs>
        <w:spacing w:line="276" w:lineRule="auto"/>
        <w:jc w:val="both"/>
        <w:rPr>
          <w:i/>
          <w:color w:val="000000"/>
          <w:lang w:val="sq-AL"/>
        </w:rPr>
      </w:pPr>
      <w:r w:rsidRPr="004D342B">
        <w:rPr>
          <w:i/>
          <w:color w:val="000000"/>
          <w:lang w:val="sq-AL"/>
        </w:rPr>
        <w:t>Shpjegoni se si ndikimet e të gjitha opsioneve të analizuara krahasohen me njëra-tjetrën.</w:t>
      </w:r>
    </w:p>
    <w:p w14:paraId="55775F76" w14:textId="3308E989" w:rsidR="00A85818" w:rsidRPr="00A85818" w:rsidRDefault="004F6C9E" w:rsidP="008E4E22">
      <w:pPr>
        <w:numPr>
          <w:ilvl w:val="1"/>
          <w:numId w:val="8"/>
        </w:numPr>
        <w:pBdr>
          <w:top w:val="nil"/>
          <w:left w:val="nil"/>
          <w:bottom w:val="nil"/>
          <w:right w:val="nil"/>
          <w:between w:val="nil"/>
        </w:pBdr>
        <w:tabs>
          <w:tab w:val="left" w:pos="567"/>
        </w:tabs>
        <w:spacing w:line="276" w:lineRule="auto"/>
        <w:jc w:val="both"/>
        <w:rPr>
          <w:i/>
          <w:color w:val="000000"/>
          <w:lang w:val="sq-AL"/>
        </w:rPr>
      </w:pPr>
      <w:r w:rsidRPr="004D342B">
        <w:rPr>
          <w:i/>
          <w:color w:val="000000"/>
          <w:lang w:val="sq-AL"/>
        </w:rPr>
        <w:t>Paraqisni përllogaritjet më të mira të përgjithshme neto të ndikimit me vlerë monetare të përcaktuar për çdo opsion (përdor tabelën në Aneksin 2/b të këtij dokumenti)</w:t>
      </w:r>
    </w:p>
    <w:p w14:paraId="5F962541" w14:textId="77777777" w:rsidR="00A85818" w:rsidRPr="00A85818" w:rsidRDefault="00A85818" w:rsidP="00A85818">
      <w:pPr>
        <w:spacing w:before="240"/>
        <w:jc w:val="both"/>
        <w:rPr>
          <w:lang w:val="en-US"/>
        </w:rPr>
      </w:pPr>
      <w:r w:rsidRPr="00A85818">
        <w:rPr>
          <w:lang w:val="en-US"/>
        </w:rPr>
        <w:t>Ky seksion vlerëson ndikimet e secilit opsion kundrejt nivelit bazë, i cili përfaqësohet nga vijimi i zbatimit të ligjit nr. 76/2023 dhe i akteve nënligjore në fuqi. Për të siguruar krahasueshmëri, të gjitha opsionet analizohen në raport me të njëjtat grupe të prekura dhe sipas të njëjtave kategori ndikimi.</w:t>
      </w:r>
    </w:p>
    <w:p w14:paraId="1E202454" w14:textId="77777777" w:rsidR="00A85818" w:rsidRPr="00A85818" w:rsidRDefault="00A85818" w:rsidP="00A85818">
      <w:pPr>
        <w:spacing w:before="240"/>
        <w:jc w:val="both"/>
        <w:rPr>
          <w:lang w:val="en-US"/>
        </w:rPr>
      </w:pPr>
      <w:r w:rsidRPr="00A85818">
        <w:rPr>
          <w:lang w:val="en-US"/>
        </w:rPr>
        <w:t>Grupet kryesore të prekura janë:</w:t>
      </w:r>
    </w:p>
    <w:p w14:paraId="521E6BB4" w14:textId="77777777" w:rsidR="00A85818" w:rsidRPr="00A85818" w:rsidRDefault="00A85818" w:rsidP="008E4E22">
      <w:pPr>
        <w:numPr>
          <w:ilvl w:val="0"/>
          <w:numId w:val="32"/>
        </w:numPr>
        <w:spacing w:before="240"/>
        <w:jc w:val="both"/>
        <w:rPr>
          <w:lang w:val="en-US"/>
        </w:rPr>
      </w:pPr>
      <w:r w:rsidRPr="00A85818">
        <w:rPr>
          <w:lang w:val="en-US"/>
        </w:rPr>
        <w:t xml:space="preserve">anëtarët dhe përfituesit e fondeve të pensionit privat; </w:t>
      </w:r>
    </w:p>
    <w:p w14:paraId="7416B347" w14:textId="77777777" w:rsidR="00A85818" w:rsidRPr="00A85818" w:rsidRDefault="00A85818" w:rsidP="008E4E22">
      <w:pPr>
        <w:numPr>
          <w:ilvl w:val="0"/>
          <w:numId w:val="32"/>
        </w:numPr>
        <w:spacing w:before="240"/>
        <w:jc w:val="both"/>
        <w:rPr>
          <w:lang w:val="en-US"/>
        </w:rPr>
      </w:pPr>
      <w:r w:rsidRPr="00A85818">
        <w:rPr>
          <w:lang w:val="en-US"/>
        </w:rPr>
        <w:t xml:space="preserve">shoqëritë administruese; </w:t>
      </w:r>
    </w:p>
    <w:p w14:paraId="25E8914C" w14:textId="77777777" w:rsidR="00A85818" w:rsidRPr="00A85818" w:rsidRDefault="00A85818" w:rsidP="008E4E22">
      <w:pPr>
        <w:numPr>
          <w:ilvl w:val="0"/>
          <w:numId w:val="32"/>
        </w:numPr>
        <w:spacing w:before="240"/>
        <w:jc w:val="both"/>
        <w:rPr>
          <w:lang w:val="en-US"/>
        </w:rPr>
      </w:pPr>
      <w:r w:rsidRPr="00A85818">
        <w:rPr>
          <w:lang w:val="en-US"/>
        </w:rPr>
        <w:t xml:space="preserve">depozitarët dhe ofruesit e funksioneve ose shërbimeve të deleguara; </w:t>
      </w:r>
    </w:p>
    <w:p w14:paraId="661AD6AA" w14:textId="77777777" w:rsidR="00A85818" w:rsidRPr="00A85818" w:rsidRDefault="00A85818" w:rsidP="008E4E22">
      <w:pPr>
        <w:numPr>
          <w:ilvl w:val="0"/>
          <w:numId w:val="32"/>
        </w:numPr>
        <w:spacing w:before="240"/>
        <w:jc w:val="both"/>
        <w:rPr>
          <w:lang w:val="en-US"/>
        </w:rPr>
      </w:pPr>
      <w:r w:rsidRPr="00A85818">
        <w:rPr>
          <w:lang w:val="en-US"/>
        </w:rPr>
        <w:t xml:space="preserve">punëdhënësit që kontribuojnë në fondet e pensionit privat në emër të punëmarrësve të tyre; </w:t>
      </w:r>
    </w:p>
    <w:p w14:paraId="2EAA3198" w14:textId="77777777" w:rsidR="00A85818" w:rsidRPr="00A85818" w:rsidRDefault="00A85818" w:rsidP="008E4E22">
      <w:pPr>
        <w:numPr>
          <w:ilvl w:val="0"/>
          <w:numId w:val="32"/>
        </w:numPr>
        <w:spacing w:before="240"/>
        <w:jc w:val="both"/>
        <w:rPr>
          <w:lang w:val="en-US"/>
        </w:rPr>
      </w:pPr>
      <w:r w:rsidRPr="00A85818">
        <w:rPr>
          <w:lang w:val="en-US"/>
        </w:rPr>
        <w:t xml:space="preserve">Autoriteti i Mbikëqyrjes Financiare; </w:t>
      </w:r>
    </w:p>
    <w:p w14:paraId="523D5508" w14:textId="77777777" w:rsidR="00A85818" w:rsidRPr="00A85818" w:rsidRDefault="00A85818" w:rsidP="008E4E22">
      <w:pPr>
        <w:numPr>
          <w:ilvl w:val="0"/>
          <w:numId w:val="32"/>
        </w:numPr>
        <w:spacing w:before="240"/>
        <w:jc w:val="both"/>
        <w:rPr>
          <w:lang w:val="en-US"/>
        </w:rPr>
      </w:pPr>
      <w:r w:rsidRPr="00A85818">
        <w:rPr>
          <w:lang w:val="en-US"/>
        </w:rPr>
        <w:t xml:space="preserve">institucionet shtetërore përgjegjëse për procesin e integrimit evropian; </w:t>
      </w:r>
    </w:p>
    <w:p w14:paraId="15F3F252" w14:textId="77777777" w:rsidR="00A85818" w:rsidRPr="00A85818" w:rsidRDefault="00A85818" w:rsidP="008E4E22">
      <w:pPr>
        <w:numPr>
          <w:ilvl w:val="0"/>
          <w:numId w:val="32"/>
        </w:numPr>
        <w:spacing w:before="240"/>
        <w:jc w:val="both"/>
        <w:rPr>
          <w:lang w:val="en-US"/>
        </w:rPr>
      </w:pPr>
      <w:r w:rsidRPr="00A85818">
        <w:rPr>
          <w:lang w:val="en-US"/>
        </w:rPr>
        <w:t xml:space="preserve">subjektet që mund të hyjnë në të ardhmen në treg, përfshirë subjektet që mund të ushtrojnë veprimtari ndërkufitare; </w:t>
      </w:r>
    </w:p>
    <w:p w14:paraId="4AA3E22B" w14:textId="77777777" w:rsidR="00A85818" w:rsidRPr="00A85818" w:rsidRDefault="00A85818" w:rsidP="008E4E22">
      <w:pPr>
        <w:numPr>
          <w:ilvl w:val="0"/>
          <w:numId w:val="32"/>
        </w:numPr>
        <w:spacing w:before="240"/>
        <w:jc w:val="both"/>
        <w:rPr>
          <w:lang w:val="en-US"/>
        </w:rPr>
      </w:pPr>
      <w:r w:rsidRPr="00A85818">
        <w:rPr>
          <w:lang w:val="en-US"/>
        </w:rPr>
        <w:t xml:space="preserve">tregu financiar dhe shoqëria në tërësi. </w:t>
      </w:r>
    </w:p>
    <w:p w14:paraId="0C28762C" w14:textId="77777777" w:rsidR="00A85818" w:rsidRPr="00A85818" w:rsidRDefault="00A85818" w:rsidP="00A85818">
      <w:pPr>
        <w:spacing w:before="240"/>
        <w:jc w:val="both"/>
        <w:rPr>
          <w:lang w:val="en-US"/>
        </w:rPr>
      </w:pPr>
      <w:r w:rsidRPr="00A85818">
        <w:rPr>
          <w:lang w:val="en-US"/>
        </w:rPr>
        <w:t>Ndikimet e drejtpërdrejta përfshijnë ndryshimet në të drejtat, detyrimet, strukturat organizative, procedurat e brendshme, raportimin, informacionin për anëtarët, burimet njerëzore dhe sistemet e teknologjisë së informacionit. Ndikimet jo të drejtpërdrejta lidhen kryesisht me besimin në treg, konkurrencën, zhvillimin e kursimit afatgjatë, cilësinë e mbikëqyrjes dhe gatishmërinë e tregut për integrimin në tregun e brendshëm evropian.</w:t>
      </w:r>
    </w:p>
    <w:p w14:paraId="074A34B4" w14:textId="4CD620A5" w:rsidR="00A85818" w:rsidRPr="00A85818" w:rsidRDefault="00A85818" w:rsidP="00A85818">
      <w:pPr>
        <w:spacing w:before="240"/>
        <w:jc w:val="both"/>
        <w:rPr>
          <w:lang w:val="en-US"/>
        </w:rPr>
      </w:pPr>
      <w:r w:rsidRPr="00A85818">
        <w:rPr>
          <w:lang w:val="en-US"/>
        </w:rPr>
        <w:t xml:space="preserve">Aty ku disponohen të dhëna , ndikimet paraqiten në mënyrë sasiore dhe monetare. Megjithatë, përfitime të tilla si ulja e probabilitetit të mangësive në qeverisje, përmirësimi i mbrojtjes së anëtarëve, parandalimi i humbjeve të mundshme dhe rritja e besimit nuk mund të monetarizohen me saktësi në mungesë të të dhënave historike për incidentet, humbjet dhe kostot e tyre. Për këtë arsye, analiza përdor një qasje të pjesshme kosto–përfitim, në të cilën kostot dhe përfitimet monetarizohen vetëm kur ekziston një bazë faktike e mjaftueshme, ndërsa ndikimet e tjera vlerësohen në mënyrë cilësore. Metodologjia e VN-së e lejon këtë qasje kur nuk është e mundur të përcaktohet vlera monetare e të gjitha përfitimeve përkatëse. </w:t>
      </w:r>
    </w:p>
    <w:p w14:paraId="55D1BFD1" w14:textId="7DE80AC2" w:rsidR="0016371C" w:rsidRDefault="001A79B2" w:rsidP="00A85818">
      <w:pPr>
        <w:spacing w:before="240"/>
        <w:jc w:val="both"/>
      </w:pPr>
      <w:r w:rsidRPr="10652A40">
        <w:rPr>
          <w:lang w:val="en-US"/>
        </w:rPr>
        <w:t>Për llogaritjen e ndikimeve monetare përdoret një periudhë vlerësimi 10-vjeçare dhe një normë skontimi prej 5 për qind, në përputhje me faktorët e skontimit dhe përllogaritjet e paraqitura në Aneksin 2/a. Kostot dhe përfitimet e secilit opsion paraqiten si ndryshime kundrejt status qu</w:t>
      </w:r>
      <w:r w:rsidR="0016371C" w:rsidRPr="10652A40">
        <w:rPr>
          <w:lang w:val="en-US"/>
        </w:rPr>
        <w:t>o.</w:t>
      </w:r>
    </w:p>
    <w:p w14:paraId="29F74420" w14:textId="6BDB4422" w:rsidR="00A85818" w:rsidRPr="00A85818" w:rsidRDefault="00A85818" w:rsidP="00A85818">
      <w:pPr>
        <w:spacing w:before="240"/>
        <w:jc w:val="both"/>
        <w:rPr>
          <w:b/>
          <w:bCs/>
          <w:lang w:val="en-US"/>
        </w:rPr>
      </w:pPr>
      <w:r w:rsidRPr="00A85818">
        <w:rPr>
          <w:b/>
          <w:bCs/>
          <w:lang w:val="en-US"/>
        </w:rPr>
        <w:t>Opsioni 0 – Status quo</w:t>
      </w:r>
    </w:p>
    <w:p w14:paraId="0DFD3953" w14:textId="77777777" w:rsidR="00A85818" w:rsidRPr="00A85818" w:rsidRDefault="00A85818" w:rsidP="00A85818">
      <w:pPr>
        <w:spacing w:before="240"/>
        <w:jc w:val="both"/>
        <w:rPr>
          <w:lang w:val="en-US"/>
        </w:rPr>
      </w:pPr>
      <w:r w:rsidRPr="00A85818">
        <w:rPr>
          <w:lang w:val="en-US"/>
        </w:rPr>
        <w:t>Opsioni 0 përfaqëson nivelin bazë të analizës. Në këtë skenar nuk miratohen shtesa ose ndryshime në ligjin nr. 76/2023 dhe nuk vendosen kërkesa të reja rregullatore. Shoqëritë administruese, depozitarët, punëdhënësit dhe Autoriteti vijojnë të zbatojnë kuadrin ligjor dhe rregullator ekzistues.</w:t>
      </w:r>
    </w:p>
    <w:p w14:paraId="468CD362" w14:textId="77777777" w:rsidR="00A85818" w:rsidRPr="00A85818" w:rsidRDefault="00A85818" w:rsidP="00A85818">
      <w:pPr>
        <w:spacing w:before="240"/>
        <w:jc w:val="both"/>
        <w:rPr>
          <w:lang w:val="en-US"/>
        </w:rPr>
      </w:pPr>
      <w:r w:rsidRPr="00A85818">
        <w:rPr>
          <w:lang w:val="en-US"/>
        </w:rPr>
        <w:t xml:space="preserve">Më 31.12.2025, në treg ushtronin veprimtari katër shoqëri administruese, të cilat administronin shtatë fonde pensioni privat me pjesëmarrje të hapur. Këto fonde kishin 49 218 anëtarë dhe aktive neto në vlerën 9 855 030 216 lekë. Ky është grupi dhe vëllimi i aktiveve mbi të cilat vijon të zbatohet kuadri aktual në skenarin e status quo-së. </w:t>
      </w:r>
    </w:p>
    <w:p w14:paraId="23963337" w14:textId="77777777" w:rsidR="00A85818" w:rsidRPr="00A85818" w:rsidRDefault="00A85818" w:rsidP="00A85818">
      <w:pPr>
        <w:spacing w:before="240"/>
        <w:jc w:val="both"/>
        <w:rPr>
          <w:b/>
          <w:bCs/>
          <w:lang w:val="en-US"/>
        </w:rPr>
      </w:pPr>
      <w:r w:rsidRPr="00A85818">
        <w:rPr>
          <w:b/>
          <w:bCs/>
          <w:lang w:val="en-US"/>
        </w:rPr>
        <w:t>Ndikimet e drejtpërdrejta</w:t>
      </w:r>
    </w:p>
    <w:p w14:paraId="54378BF0" w14:textId="6AB7A153" w:rsidR="00A85818" w:rsidRPr="00A85818" w:rsidRDefault="00A85818" w:rsidP="00A85818">
      <w:pPr>
        <w:spacing w:before="240"/>
        <w:jc w:val="both"/>
        <w:rPr>
          <w:lang w:val="en-US"/>
        </w:rPr>
      </w:pPr>
      <w:r w:rsidRPr="00A85818">
        <w:rPr>
          <w:lang w:val="en-US"/>
        </w:rPr>
        <w:t>Për anëtarët dhe përfituesit, status quo-ja ruan të drejtat dhe mekanizmat ekzistues të mbrojtjes</w:t>
      </w:r>
      <w:r w:rsidR="00493B6D">
        <w:rPr>
          <w:lang w:val="en-US"/>
        </w:rPr>
        <w:t xml:space="preserve"> duke </w:t>
      </w:r>
      <w:r w:rsidRPr="00A85818">
        <w:rPr>
          <w:lang w:val="en-US"/>
        </w:rPr>
        <w:t xml:space="preserve"> </w:t>
      </w:r>
      <w:r w:rsidR="00493B6D">
        <w:rPr>
          <w:lang w:val="en-US"/>
        </w:rPr>
        <w:t>v</w:t>
      </w:r>
      <w:r w:rsidRPr="00A85818">
        <w:rPr>
          <w:lang w:val="en-US"/>
        </w:rPr>
        <w:t>ij</w:t>
      </w:r>
      <w:r w:rsidR="00435D6D">
        <w:rPr>
          <w:lang w:val="en-US"/>
        </w:rPr>
        <w:t xml:space="preserve">uar </w:t>
      </w:r>
      <w:r w:rsidRPr="00A85818">
        <w:rPr>
          <w:lang w:val="en-US"/>
        </w:rPr>
        <w:t>të zbatohen kërkesat aktuale për veçimin e aktiveve, ruajtjen e tyre nga depozitari, administrimin e rrezikut, investimet, raportimin dhe informimin. Për rrjedhojë, ky opsion nuk sjell ulje të nivelit ekzistues të mbrojtjes.</w:t>
      </w:r>
    </w:p>
    <w:p w14:paraId="7200508C" w14:textId="77777777" w:rsidR="00A85818" w:rsidRPr="00A85818" w:rsidRDefault="00A85818" w:rsidP="00A85818">
      <w:pPr>
        <w:spacing w:before="240"/>
        <w:jc w:val="both"/>
        <w:rPr>
          <w:lang w:val="en-US"/>
        </w:rPr>
      </w:pPr>
      <w:r w:rsidRPr="00A85818">
        <w:rPr>
          <w:lang w:val="en-US"/>
        </w:rPr>
        <w:t>Nga ana tjetër, anëtarët nuk përfitojnë nga plotësimet e parashikuara në lidhje me qeverisjen, funksionet kryesore, vetëvlerësimin e rrezikut dhe standardizimin e mëtejshëm të informacionit. Në veçanti, nuk vendosen elementet shtesë të harmonizuara për dokumentin e vërtetimit të gjendjes së llogarisë së përfitimeve të pensionit, përfshirë kërkesat e plota për parashikimet e përfitimeve dhe skenarët përkatës. Ndikimi i drejtpërdrejtë nuk është humbja e një të drejte ekzistuese, por mungesa e përmirësimit të nivelit të mbrojtjes dhe të informacionit për 49 218 anëtarët aktualë.</w:t>
      </w:r>
    </w:p>
    <w:p w14:paraId="111F0D50" w14:textId="77777777" w:rsidR="00A85818" w:rsidRPr="00A85818" w:rsidRDefault="00A85818" w:rsidP="00A85818">
      <w:pPr>
        <w:spacing w:before="240"/>
        <w:jc w:val="both"/>
        <w:rPr>
          <w:lang w:val="en-US"/>
        </w:rPr>
      </w:pPr>
      <w:r w:rsidRPr="00A85818">
        <w:rPr>
          <w:lang w:val="en-US"/>
        </w:rPr>
        <w:t>Për shoqëritë administruese, Opsioni 0 nuk krijon kosto të reja pajtueshmërie. Katër shoqëritë që administrojnë fondet e pensionit privat nuk do të duhet të ndryshojnë strukturat e qeverisjes, politikat e brendshme, organizimin e funksioneve kryesore, sistemet e raportimit ose dokumentacionin për anëtarët për shkak të kërkesave të reja ligjore. Nuk lindin gjithashtu kosto shtesë të njëhershme për konsulencë juridike, përshtatje të sistemeve, trajnim ose rishikim të marrëveshjeve të delegimit.</w:t>
      </w:r>
    </w:p>
    <w:p w14:paraId="6F4E72AD" w14:textId="77777777" w:rsidR="00A85818" w:rsidRPr="00A85818" w:rsidRDefault="00A85818" w:rsidP="00A85818">
      <w:pPr>
        <w:spacing w:before="240"/>
        <w:jc w:val="both"/>
        <w:rPr>
          <w:lang w:val="en-US"/>
        </w:rPr>
      </w:pPr>
      <w:r w:rsidRPr="00A85818">
        <w:rPr>
          <w:lang w:val="en-US"/>
        </w:rPr>
        <w:t>Megjithatë, kuadri ekzistues do të vijojë të mos përfshijë të gjitha kërkesat e Direktivës IORP II. Për shoqëritë administruese kjo nënkupton se vazhdon një nivel i caktuar pasigurie për standardet që do të duhet të përmbushen në një fazë të mëvonshme. Shtyrja e përafrimit mund të sjellë nevojën për përshtatje më të përqendruar dhe në afate më të shkurtra në të ardhmen.</w:t>
      </w:r>
    </w:p>
    <w:p w14:paraId="2F925507" w14:textId="77777777" w:rsidR="00A85818" w:rsidRPr="00A85818" w:rsidRDefault="00A85818" w:rsidP="00A85818">
      <w:pPr>
        <w:spacing w:before="240"/>
        <w:jc w:val="both"/>
        <w:rPr>
          <w:lang w:val="en-US"/>
        </w:rPr>
      </w:pPr>
      <w:r w:rsidRPr="00A85818">
        <w:rPr>
          <w:lang w:val="en-US"/>
        </w:rPr>
        <w:t>Për depozitarët dhe ofruesit e funksioneve të deleguara nuk krijohen detyrime apo kosto të reja. Ata vijojnë të ushtrojnë funksionet e tyre sipas kontratave, licencave dhe kërkesave në fuqi. Në të njëjtën kohë, nuk realizohen qartësimet dhe plotësimet e propozuara për përgjegjësinë, pavarësinë, verifikimin e pronësisë mbi aktivet dhe bashkëpunimin me Autoritetin.</w:t>
      </w:r>
    </w:p>
    <w:p w14:paraId="1BD4C2E4" w14:textId="77777777" w:rsidR="00A85818" w:rsidRPr="00A85818" w:rsidRDefault="00A85818" w:rsidP="00A85818">
      <w:pPr>
        <w:spacing w:before="240"/>
        <w:jc w:val="both"/>
        <w:rPr>
          <w:lang w:val="en-US"/>
        </w:rPr>
      </w:pPr>
      <w:r w:rsidRPr="00A85818">
        <w:rPr>
          <w:lang w:val="en-US"/>
        </w:rPr>
        <w:t xml:space="preserve">Punëdhënësit që kontribuojnë në emër të punëmarrësve të tyre nuk përballen me kërkesa të reja. Më 31.12.2025, 22 660 anëtarë, ose 46,04 për qind e numrit të përgjithshëm të anëtarëve, kishin një marrëdhënie në të cilën punëdhënësi kontribuonte në fondin me pjesëmarrje të hapur, pa krijuar një fond me pjesëmarrje të mbyllur. Në kushtet e status quo-së, këto marrëdhënie vijojnë të rregullohen nga kuadri ekzistues. </w:t>
      </w:r>
    </w:p>
    <w:p w14:paraId="4C455408" w14:textId="77777777" w:rsidR="00A85818" w:rsidRPr="00A85818" w:rsidRDefault="00A85818" w:rsidP="00A85818">
      <w:pPr>
        <w:spacing w:before="240"/>
        <w:jc w:val="both"/>
        <w:rPr>
          <w:lang w:val="en-US"/>
        </w:rPr>
      </w:pPr>
      <w:r w:rsidRPr="00A85818">
        <w:rPr>
          <w:lang w:val="en-US"/>
        </w:rPr>
        <w:t>Për Autoritetin e Mbikëqyrjes Financiare, status quo-ja nuk krijon shpenzime shtesë për hartimin e akteve nënligjore, përshtatjen e metodologjive mbikëqyrëse, trajnimin e stafit ose zhvillimin e sistemeve të raportimit. Autoriteti vijon të përdorë burimet dhe instrumentet ekzistuese.</w:t>
      </w:r>
    </w:p>
    <w:p w14:paraId="1AB5A162" w14:textId="77777777" w:rsidR="00A85818" w:rsidRPr="00A85818" w:rsidRDefault="00A85818" w:rsidP="00A85818">
      <w:pPr>
        <w:spacing w:before="240"/>
        <w:jc w:val="both"/>
        <w:rPr>
          <w:lang w:val="en-US"/>
        </w:rPr>
      </w:pPr>
      <w:r w:rsidRPr="00A85818">
        <w:rPr>
          <w:lang w:val="en-US"/>
        </w:rPr>
        <w:t>Megjithatë, Autoriteti nuk përfiton nga baza e plotësuar ligjore për procesin e rishikimit mbikëqyrës, funksionet kryesore, vetëvlerësimin e rrezikut, shkëmbimin e informacionit dhe bashkëpunimin ndërkufitar. Mundësia për të zbatuar të gjitha elementet e mbikëqyrjes perspektive dhe me bazë rreziku mbetet e kufizuar nga kompetencat dhe formulimet e ligjit në fuqi.</w:t>
      </w:r>
    </w:p>
    <w:p w14:paraId="44FCE459" w14:textId="77777777" w:rsidR="00A85818" w:rsidRPr="00A85818" w:rsidRDefault="00A85818" w:rsidP="00A85818">
      <w:pPr>
        <w:spacing w:before="240"/>
        <w:jc w:val="both"/>
        <w:rPr>
          <w:lang w:val="en-US"/>
        </w:rPr>
      </w:pPr>
      <w:r w:rsidRPr="00A85818">
        <w:rPr>
          <w:lang w:val="en-US"/>
        </w:rPr>
        <w:t xml:space="preserve">Për qeverinë, Opsioni 0 nuk krijon kosto të drejtpërdrejta buxhetore për përgatitjen dhe zbatimin e ndryshimeve ligjore. Megjithatë, ai nuk realizon kalimin nga përafrimi i pjesshëm në përafrimin e plotë me Direktivën IORP II. Për pasojë, mbetet i papërmbushur objektivi i përafrimit në kuadër të Kapitullit 9 “Shërbimet financiare”. Ligji nr. 76/2023 përafron aktualisht vetëm pjesërisht Direktivën, ndërsa analiza e përputhshmërisë ka identifikuar fusha ku kërkohet ndërhyrje në legjislacionin parësor. </w:t>
      </w:r>
    </w:p>
    <w:p w14:paraId="34D10991" w14:textId="77777777" w:rsidR="00A85818" w:rsidRPr="00A85818" w:rsidRDefault="00A85818" w:rsidP="00A85818">
      <w:pPr>
        <w:spacing w:before="240"/>
        <w:jc w:val="both"/>
        <w:rPr>
          <w:b/>
          <w:bCs/>
          <w:lang w:val="en-US"/>
        </w:rPr>
      </w:pPr>
      <w:r w:rsidRPr="00A85818">
        <w:rPr>
          <w:b/>
          <w:bCs/>
          <w:lang w:val="en-US"/>
        </w:rPr>
        <w:t>Ndikimet jo të drejtpërdrejta</w:t>
      </w:r>
    </w:p>
    <w:p w14:paraId="5268D458" w14:textId="77777777" w:rsidR="00A85818" w:rsidRPr="00A85818" w:rsidRDefault="00A85818" w:rsidP="00A85818">
      <w:pPr>
        <w:spacing w:before="240"/>
        <w:jc w:val="both"/>
        <w:rPr>
          <w:lang w:val="en-US"/>
        </w:rPr>
      </w:pPr>
      <w:r w:rsidRPr="00A85818">
        <w:rPr>
          <w:lang w:val="en-US"/>
        </w:rPr>
        <w:t>Ndikimet jo të drejtpërdrejta lidhen kryesisht me besimin, zhvillimin e tregut dhe përgatitjen për integrimin evropian. Ruajtja e kuadrit aktual nuk pritet të shkaktojë një ndryshim të menjëhershëm në sjelljen e anëtarëve ose në veprimtarinë e shoqërive administruese. Megjithatë, mungesa e plotësimit të standardeve të qeverisjes, administrimit të rrezikut dhe informimit mund të kufizojë përmirësimin gradual të besimit dhe të cilësisë së tregut.</w:t>
      </w:r>
    </w:p>
    <w:p w14:paraId="1AA7178D" w14:textId="77777777" w:rsidR="00A85818" w:rsidRPr="00A85818" w:rsidRDefault="00A85818" w:rsidP="00A85818">
      <w:pPr>
        <w:spacing w:before="240"/>
        <w:jc w:val="both"/>
        <w:rPr>
          <w:lang w:val="en-US"/>
        </w:rPr>
      </w:pPr>
      <w:r w:rsidRPr="00A85818">
        <w:rPr>
          <w:lang w:val="en-US"/>
        </w:rPr>
        <w:t>Status quo-ja mund të krijojë gjithashtu një kosto mundësie. Shtyrja e përafrimit vonon përgatitjen e procedurave, sistemeve të raportimit dhe kapaciteteve për veprimtarinë ndërkufitare. Kjo mund të bëjë që përshtatja të kryhet në një periudhë më të shkurtër pranë datës së anëtarësimit, duke rritur rrezikun e vonesave, kostove më të larta ose zbatimit jo të njëtrajtshëm.</w:t>
      </w:r>
    </w:p>
    <w:p w14:paraId="173F3F10" w14:textId="77777777" w:rsidR="00A85818" w:rsidRPr="00A85818" w:rsidRDefault="00A85818" w:rsidP="00A85818">
      <w:pPr>
        <w:spacing w:before="240"/>
        <w:jc w:val="both"/>
        <w:rPr>
          <w:lang w:val="en-US"/>
        </w:rPr>
      </w:pPr>
      <w:r w:rsidRPr="00A85818">
        <w:rPr>
          <w:lang w:val="en-US"/>
        </w:rPr>
        <w:t>Nuk është e mundur të përcaktohet në vlerë monetare probabiliteti apo madhësia e humbjeve që mund të shmangeshin nga standarde më të plota të qeverisjes dhe administrimit të rrezikut. Nuk disponohen të dhëna të konsoliduara për incidente të mëparshme, humbje operative, mangësi në funksionet kryesore ose dëme të shkaktuara nga informacioni i pamjaftueshëm. Për këtë arsye, përfitimet e munguara vlerësohen vetëm në mënyrë cilësore.</w:t>
      </w:r>
    </w:p>
    <w:p w14:paraId="7062FD2F" w14:textId="77777777" w:rsidR="00A85818" w:rsidRPr="00A85818" w:rsidRDefault="00A85818" w:rsidP="00A85818">
      <w:pPr>
        <w:spacing w:before="240"/>
        <w:jc w:val="both"/>
        <w:rPr>
          <w:b/>
          <w:bCs/>
          <w:lang w:val="en-US"/>
        </w:rPr>
      </w:pPr>
      <w:r w:rsidRPr="00A85818">
        <w:rPr>
          <w:b/>
          <w:bCs/>
          <w:lang w:val="en-US"/>
        </w:rPr>
        <w:t>Ndikimi mbi ndërmarrjet e vogla dhe të mesme</w:t>
      </w:r>
    </w:p>
    <w:p w14:paraId="2097F301" w14:textId="77777777" w:rsidR="00A85818" w:rsidRPr="00A85818" w:rsidRDefault="00A85818" w:rsidP="00A85818">
      <w:pPr>
        <w:spacing w:before="240"/>
        <w:jc w:val="both"/>
        <w:rPr>
          <w:lang w:val="en-US"/>
        </w:rPr>
      </w:pPr>
      <w:r w:rsidRPr="00A85818">
        <w:rPr>
          <w:lang w:val="en-US"/>
        </w:rPr>
        <w:t>Opsioni 0 nuk vendos kosto apo detyrime të reja për ndërmarrjet e vogla dhe të mesme. Për rrjedhojë, nuk ka një ndikim të drejtpërdrejtë shtesë mbi NVM-të krahasuar me kuadrin aktual.</w:t>
      </w:r>
    </w:p>
    <w:p w14:paraId="6DCD7B38" w14:textId="77777777" w:rsidR="00A85818" w:rsidRPr="00A85818" w:rsidRDefault="00A85818" w:rsidP="00A85818">
      <w:pPr>
        <w:spacing w:before="240"/>
        <w:jc w:val="both"/>
        <w:rPr>
          <w:lang w:val="en-US"/>
        </w:rPr>
      </w:pPr>
      <w:r w:rsidRPr="00A85818">
        <w:rPr>
          <w:lang w:val="en-US"/>
        </w:rPr>
        <w:t>Në mënyrë jo të drejtpërdrejtë, status quo-ja mund të ndikojë te subjektet e vogla që mund të synojnë hyrjen në treg në të ardhmen. Mungesa e një kuadri të plotë dhe të harmonizuar mund të rrisë pasigurinë juridike dhe kostot e vlerësimit paraprak të hyrjes në treg, të cilat kanë ndikim relativisht më të madh mbi subjektet me burime të kufizuara.</w:t>
      </w:r>
    </w:p>
    <w:p w14:paraId="7EFCF952" w14:textId="77777777" w:rsidR="00A85818" w:rsidRPr="00A85818" w:rsidRDefault="00A85818" w:rsidP="00A85818">
      <w:pPr>
        <w:spacing w:before="240"/>
        <w:jc w:val="both"/>
        <w:rPr>
          <w:b/>
          <w:bCs/>
          <w:lang w:val="en-US"/>
        </w:rPr>
      </w:pPr>
      <w:r w:rsidRPr="00A85818">
        <w:rPr>
          <w:b/>
          <w:bCs/>
          <w:lang w:val="en-US"/>
        </w:rPr>
        <w:t>Ndikimi mbi konkurrencën</w:t>
      </w:r>
    </w:p>
    <w:p w14:paraId="49F5AF42" w14:textId="77777777" w:rsidR="00A85818" w:rsidRPr="00A85818" w:rsidRDefault="00A85818" w:rsidP="00A85818">
      <w:pPr>
        <w:spacing w:before="240"/>
        <w:jc w:val="both"/>
        <w:rPr>
          <w:lang w:val="en-US"/>
        </w:rPr>
      </w:pPr>
      <w:r w:rsidRPr="00A85818">
        <w:rPr>
          <w:lang w:val="en-US"/>
        </w:rPr>
        <w:t>Opsioni 0 nuk ndryshon menjëherë kushtet e konkurrencës ndërmjet katër shoqërive administruese që veprojnë aktualisht në treg. Të gjitha vijojnë t’u nënshtrohen të njëjtave kërkesa ligjore dhe nuk krijohet një diferencë e re në kostot e pajtueshmërisë.</w:t>
      </w:r>
    </w:p>
    <w:p w14:paraId="7151432D" w14:textId="77777777" w:rsidR="00A85818" w:rsidRPr="00A85818" w:rsidRDefault="00A85818" w:rsidP="00A85818">
      <w:pPr>
        <w:spacing w:before="240"/>
        <w:jc w:val="both"/>
        <w:rPr>
          <w:lang w:val="en-US"/>
        </w:rPr>
      </w:pPr>
      <w:r w:rsidRPr="00A85818">
        <w:rPr>
          <w:lang w:val="en-US"/>
        </w:rPr>
        <w:t>Megjithatë, status quo-ja ruan strukturën aktuale të një tregu me numër të kufizuar operatorësh dhe nuk krijon mekanizmat e plotë që mund të lehtësojnë hyrjen e subjekteve nga shtetet anëtare ose ushtrimin e veprimtarisë ndërkufitare pas anëtarësimit. Për këtë arsye, në afat më të gjatë, ai mund të kufizojë presionin konkurrues, shumëllojshmërinë e produkteve dhe hyrjen e operatorëve të rinj.</w:t>
      </w:r>
    </w:p>
    <w:p w14:paraId="558B0B22" w14:textId="77777777" w:rsidR="00A85818" w:rsidRPr="00A85818" w:rsidRDefault="00A85818" w:rsidP="00A85818">
      <w:pPr>
        <w:spacing w:before="240"/>
        <w:jc w:val="both"/>
        <w:rPr>
          <w:lang w:val="en-US"/>
        </w:rPr>
      </w:pPr>
      <w:r w:rsidRPr="00A85818">
        <w:rPr>
          <w:lang w:val="en-US"/>
        </w:rPr>
        <w:t>Nuk mund të arrihet në përfundimin se përqendrimi aktual i tregut shkaktohet vetëm nga kuadri ligjor. Madhësia e tregut, niveli i kursimeve, kërkesa për produkte pensioni, lidhjet e shoqërive administruese me grupe financiare dhe kostot fikse të veprimtarisë janë gjithashtu faktorë të rëndësishëm. Për këtë arsye, ndikimi i status quo-së mbi konkurrencën vlerësohet si neutral në afat të shkurtër, por potencialisht kufizues në afat më të gjatë.</w:t>
      </w:r>
    </w:p>
    <w:p w14:paraId="523705DF" w14:textId="77777777" w:rsidR="00A85818" w:rsidRPr="00A85818" w:rsidRDefault="00A85818" w:rsidP="00A85818">
      <w:pPr>
        <w:spacing w:before="240"/>
        <w:jc w:val="both"/>
        <w:rPr>
          <w:b/>
          <w:bCs/>
          <w:lang w:val="en-US"/>
        </w:rPr>
      </w:pPr>
      <w:r w:rsidRPr="00A85818">
        <w:rPr>
          <w:b/>
          <w:bCs/>
          <w:lang w:val="en-US"/>
        </w:rPr>
        <w:t>Kufizimet, supozimet dhe rreziqet e analizës</w:t>
      </w:r>
    </w:p>
    <w:p w14:paraId="23E912C8" w14:textId="77777777" w:rsidR="00A85818" w:rsidRPr="00A85818" w:rsidRDefault="00A85818" w:rsidP="00A85818">
      <w:pPr>
        <w:spacing w:before="240"/>
        <w:jc w:val="both"/>
        <w:rPr>
          <w:lang w:val="en-US"/>
        </w:rPr>
      </w:pPr>
      <w:r w:rsidRPr="00A85818">
        <w:rPr>
          <w:lang w:val="en-US"/>
        </w:rPr>
        <w:t>Analiza e Opsionit 0 mbështetet në supozimin se ligji nr. 76/2023, aktet nënligjore dhe praktikat mbikëqyrëse mbeten të pandryshuara gjatë periudhës së vlerësimit. Gjithashtu supozohet se tregu vijon të funksionojë me modelin vendas të pensioneve private me kontribute të përcaktuara dhe se nuk zhvillohet veprimtari ndërkufitare përpara krijimit të bazës juridike dhe anëtarësimit në Bashkimin Evropian.</w:t>
      </w:r>
    </w:p>
    <w:p w14:paraId="3F82432B" w14:textId="77777777" w:rsidR="00A85818" w:rsidRPr="00A85818" w:rsidRDefault="00A85818" w:rsidP="00A85818">
      <w:pPr>
        <w:spacing w:before="240"/>
        <w:jc w:val="both"/>
        <w:rPr>
          <w:lang w:val="en-US"/>
        </w:rPr>
      </w:pPr>
      <w:r w:rsidRPr="00A85818">
        <w:rPr>
          <w:lang w:val="en-US"/>
        </w:rPr>
        <w:t>Kufizimet kryesore të analizës janë:</w:t>
      </w:r>
    </w:p>
    <w:p w14:paraId="5642208B" w14:textId="77777777" w:rsidR="00A85818" w:rsidRPr="00A85818" w:rsidRDefault="00A85818" w:rsidP="008E4E22">
      <w:pPr>
        <w:numPr>
          <w:ilvl w:val="0"/>
          <w:numId w:val="33"/>
        </w:numPr>
        <w:spacing w:before="240"/>
        <w:jc w:val="both"/>
        <w:rPr>
          <w:lang w:val="en-US"/>
        </w:rPr>
      </w:pPr>
      <w:r w:rsidRPr="00A85818">
        <w:rPr>
          <w:lang w:val="en-US"/>
        </w:rPr>
        <w:t xml:space="preserve">mungesa e të dhënave mbi incidentet dhe humbjet që mund të lidhen me mangësitë e qeverisjes, administrimit të rrezikut ose informimit; </w:t>
      </w:r>
    </w:p>
    <w:p w14:paraId="41E75D8C" w14:textId="77777777" w:rsidR="00A85818" w:rsidRPr="00A85818" w:rsidRDefault="00A85818" w:rsidP="008E4E22">
      <w:pPr>
        <w:numPr>
          <w:ilvl w:val="0"/>
          <w:numId w:val="33"/>
        </w:numPr>
        <w:spacing w:before="240"/>
        <w:jc w:val="both"/>
        <w:rPr>
          <w:lang w:val="en-US"/>
        </w:rPr>
      </w:pPr>
      <w:r w:rsidRPr="00A85818">
        <w:rPr>
          <w:lang w:val="en-US"/>
        </w:rPr>
        <w:t xml:space="preserve">mungesa e veprimtarisë ndërkufitare, e cila nuk lejon vlerësimin faktik të kërkesës së ardhshme; </w:t>
      </w:r>
    </w:p>
    <w:p w14:paraId="63FC90A9" w14:textId="77777777" w:rsidR="00A85818" w:rsidRPr="00A85818" w:rsidRDefault="00A85818" w:rsidP="008E4E22">
      <w:pPr>
        <w:numPr>
          <w:ilvl w:val="0"/>
          <w:numId w:val="33"/>
        </w:numPr>
        <w:spacing w:before="240"/>
        <w:jc w:val="both"/>
        <w:rPr>
          <w:lang w:val="en-US"/>
        </w:rPr>
      </w:pPr>
      <w:r w:rsidRPr="00A85818">
        <w:rPr>
          <w:lang w:val="en-US"/>
        </w:rPr>
        <w:t xml:space="preserve">pasiguria për ritmin e ardhshëm të rritjes së numrit të anëtarëve dhe të aktiveve; </w:t>
      </w:r>
    </w:p>
    <w:p w14:paraId="6B468433" w14:textId="77777777" w:rsidR="00A85818" w:rsidRPr="00A85818" w:rsidRDefault="00A85818" w:rsidP="008E4E22">
      <w:pPr>
        <w:numPr>
          <w:ilvl w:val="0"/>
          <w:numId w:val="33"/>
        </w:numPr>
        <w:spacing w:before="240"/>
        <w:jc w:val="both"/>
        <w:rPr>
          <w:lang w:val="en-US"/>
        </w:rPr>
      </w:pPr>
      <w:r w:rsidRPr="00A85818">
        <w:rPr>
          <w:lang w:val="en-US"/>
        </w:rPr>
        <w:t xml:space="preserve">pasiguria për datën dhe kushtet konkrete të anëtarësimit të Shqipërisë në Bashkimin Evropian; </w:t>
      </w:r>
    </w:p>
    <w:p w14:paraId="0B4A8C72" w14:textId="77777777" w:rsidR="00A85818" w:rsidRPr="00A85818" w:rsidRDefault="00A85818" w:rsidP="008E4E22">
      <w:pPr>
        <w:numPr>
          <w:ilvl w:val="0"/>
          <w:numId w:val="33"/>
        </w:numPr>
        <w:spacing w:before="240"/>
        <w:jc w:val="both"/>
        <w:rPr>
          <w:lang w:val="en-US"/>
        </w:rPr>
      </w:pPr>
      <w:r w:rsidRPr="00A85818">
        <w:rPr>
          <w:lang w:val="en-US"/>
        </w:rPr>
        <w:t xml:space="preserve">mungesa e të dhënave të plota për klasifikimin e subjekteve të prekura si NVM. </w:t>
      </w:r>
    </w:p>
    <w:p w14:paraId="123665B5" w14:textId="06616E9A" w:rsidR="001226EB" w:rsidRDefault="00A85818">
      <w:pPr>
        <w:spacing w:before="240"/>
        <w:jc w:val="both"/>
        <w:rPr>
          <w:lang w:val="en-US"/>
        </w:rPr>
      </w:pPr>
      <w:r w:rsidRPr="00A85818">
        <w:rPr>
          <w:lang w:val="en-US"/>
        </w:rPr>
        <w:t>Për shkak se Opsioni 0 është niveli bazë, kostot dhe përfitimet e tij shtesë paraqiten me vlerë zero. Kjo nuk nënkupton se status quo-ja nuk ka kosto ekonomike ose sociale. Përfitimet e munguara, rreziku i shtyrjes së përafrimit dhe kostot e mundshme të incidenteve nuk janë monetarizuar për shkak të mungesës së të</w:t>
      </w:r>
      <w:r w:rsidR="007C4F70">
        <w:rPr>
          <w:lang w:val="en-US"/>
        </w:rPr>
        <w:t xml:space="preserve"> dhënave.</w:t>
      </w:r>
    </w:p>
    <w:p w14:paraId="2C08C1DD" w14:textId="05264FC5" w:rsidR="002E2ACB" w:rsidRPr="002E2ACB" w:rsidRDefault="002E2ACB" w:rsidP="002E2ACB">
      <w:pPr>
        <w:spacing w:before="240"/>
        <w:jc w:val="both"/>
        <w:rPr>
          <w:b/>
          <w:bCs/>
          <w:lang w:val="en-US"/>
        </w:rPr>
      </w:pPr>
      <w:r w:rsidRPr="002E2ACB">
        <w:rPr>
          <w:b/>
          <w:bCs/>
          <w:lang w:val="en-US"/>
        </w:rPr>
        <w:t>Opsioni jorregullator – Masa administrative, mbikëqyrëse dhe informuese pa ndryshi</w:t>
      </w:r>
      <w:r w:rsidR="00E36B43">
        <w:rPr>
          <w:b/>
          <w:bCs/>
          <w:lang w:val="en-US"/>
        </w:rPr>
        <w:t>me ligjore</w:t>
      </w:r>
    </w:p>
    <w:p w14:paraId="67021413" w14:textId="03052173" w:rsidR="002E2ACB" w:rsidRPr="002E2ACB" w:rsidRDefault="002E2ACB" w:rsidP="002E2ACB">
      <w:pPr>
        <w:spacing w:before="240"/>
        <w:jc w:val="both"/>
        <w:rPr>
          <w:lang w:val="en-US"/>
        </w:rPr>
      </w:pPr>
      <w:r w:rsidRPr="002E2ACB">
        <w:rPr>
          <w:lang w:val="en-US"/>
        </w:rPr>
        <w:t xml:space="preserve">Ky opsion parashikon përdorimin e instrumenteve që Autoriteti i Mbikëqyrjes Financiare ka aktualisht në dispozicion, pa ndryshuar ligjin nr. 76/2023. Masat mund të përfshijnë udhëzime, </w:t>
      </w:r>
      <w:r w:rsidR="0093166E">
        <w:rPr>
          <w:lang w:val="en-US"/>
        </w:rPr>
        <w:t>qarkore</w:t>
      </w:r>
      <w:r w:rsidRPr="002E2ACB">
        <w:rPr>
          <w:lang w:val="en-US"/>
        </w:rPr>
        <w:t>, modele orientuese, trajnime për subjektet e tregut, përmirësimin e praktikave të mbikëqyrjes me bazë rreziku dhe masa për edukimin financiar të anëtarëve.</w:t>
      </w:r>
    </w:p>
    <w:p w14:paraId="55C9001B" w14:textId="77777777" w:rsidR="002E2ACB" w:rsidRPr="002E2ACB" w:rsidRDefault="002E2ACB" w:rsidP="002E2ACB">
      <w:pPr>
        <w:spacing w:before="240"/>
        <w:jc w:val="both"/>
        <w:rPr>
          <w:b/>
          <w:bCs/>
          <w:lang w:val="en-US"/>
        </w:rPr>
      </w:pPr>
      <w:r w:rsidRPr="002E2ACB">
        <w:rPr>
          <w:b/>
          <w:bCs/>
          <w:lang w:val="en-US"/>
        </w:rPr>
        <w:t>Ndikimet e drejtpërdrejta</w:t>
      </w:r>
    </w:p>
    <w:p w14:paraId="1B15F888" w14:textId="77777777" w:rsidR="002E2ACB" w:rsidRPr="002E2ACB" w:rsidRDefault="002E2ACB" w:rsidP="002E2ACB">
      <w:pPr>
        <w:spacing w:before="240"/>
        <w:jc w:val="both"/>
        <w:rPr>
          <w:lang w:val="en-US"/>
        </w:rPr>
      </w:pPr>
      <w:r w:rsidRPr="002E2ACB">
        <w:rPr>
          <w:lang w:val="en-US"/>
        </w:rPr>
        <w:t>Për shoqëritë administruese, ky opsion mund të sjellë kosto të kufizuara për pjesëmarrjen në trajnime, rishikimin vullnetar të politikave të brendshme dhe përmirësimin e informacionit që u jepet anëtarëve. Këto kosto pritet të jenë më të ulëta se në rastin e një ndërhyrjeje ligjore, pasi masat nuk krijojnë detyrime të reja të zbatueshme me sanksione.</w:t>
      </w:r>
    </w:p>
    <w:p w14:paraId="34EC4263" w14:textId="77777777" w:rsidR="002E2ACB" w:rsidRPr="002E2ACB" w:rsidRDefault="002E2ACB" w:rsidP="002E2ACB">
      <w:pPr>
        <w:spacing w:before="240"/>
        <w:jc w:val="both"/>
        <w:rPr>
          <w:lang w:val="en-US"/>
        </w:rPr>
      </w:pPr>
      <w:r w:rsidRPr="002E2ACB">
        <w:rPr>
          <w:lang w:val="en-US"/>
        </w:rPr>
        <w:t>Për anëtarët dhe përfituesit, ndikimi i drejtpërdrejtë mund të jetë pozitiv, por i kufizuar. Udhëzimet dhe modelet standarde mund të përmirësojnë kuptueshmërinë e informacionit dhe cilësinë e komunikimit, por zbatimi i tyre nuk do të ishte domosdoshmërisht i njëtrajtshëm nga të gjitha shoqëritë administruese.</w:t>
      </w:r>
    </w:p>
    <w:p w14:paraId="66BBA6A8" w14:textId="77777777" w:rsidR="002E2ACB" w:rsidRPr="002E2ACB" w:rsidRDefault="002E2ACB" w:rsidP="002E2ACB">
      <w:pPr>
        <w:spacing w:before="240"/>
        <w:jc w:val="both"/>
        <w:rPr>
          <w:lang w:val="en-US"/>
        </w:rPr>
      </w:pPr>
      <w:r w:rsidRPr="002E2ACB">
        <w:rPr>
          <w:lang w:val="en-US"/>
        </w:rPr>
        <w:t>Për Autoritetin, ky opsion kërkon angazhim të stafit për hartimin e udhëzimeve, zhvillimin e trajnimeve dhe monitorimin e zbatimit vullnetar. Këto kosto mund të mbulohen pjesërisht me burimet ekzistuese, por nuk mund të përcaktohen në vlerë monetare me të dhënat e disponueshme.</w:t>
      </w:r>
    </w:p>
    <w:p w14:paraId="47F55AF0" w14:textId="77777777" w:rsidR="002E2ACB" w:rsidRPr="002E2ACB" w:rsidRDefault="002E2ACB" w:rsidP="002E2ACB">
      <w:pPr>
        <w:spacing w:before="240"/>
        <w:jc w:val="both"/>
        <w:rPr>
          <w:b/>
          <w:bCs/>
          <w:lang w:val="en-US"/>
        </w:rPr>
      </w:pPr>
      <w:r w:rsidRPr="002E2ACB">
        <w:rPr>
          <w:b/>
          <w:bCs/>
          <w:lang w:val="en-US"/>
        </w:rPr>
        <w:t>Ndikimet jo të drejtpërdrejta</w:t>
      </w:r>
    </w:p>
    <w:p w14:paraId="2AAE9636" w14:textId="77777777" w:rsidR="002E2ACB" w:rsidRPr="002E2ACB" w:rsidRDefault="002E2ACB" w:rsidP="002E2ACB">
      <w:pPr>
        <w:spacing w:before="240"/>
        <w:jc w:val="both"/>
        <w:rPr>
          <w:lang w:val="en-US"/>
        </w:rPr>
      </w:pPr>
      <w:r w:rsidRPr="002E2ACB">
        <w:rPr>
          <w:lang w:val="en-US"/>
        </w:rPr>
        <w:t>Masat jorregullatore mund të rrisin ndërgjegjësimin e subjekteve dhe të nxisin përhapjen e praktikave më të mira. Ato mund të shërbejnë edhe si fazë përgatitore për zbatimin e kërkesave të ardhshme ligjore dhe për zhvillimin gradual të kapaciteteve mbikëqyrëse.</w:t>
      </w:r>
    </w:p>
    <w:p w14:paraId="06C5541C" w14:textId="77777777" w:rsidR="002E2ACB" w:rsidRPr="002E2ACB" w:rsidRDefault="002E2ACB" w:rsidP="002E2ACB">
      <w:pPr>
        <w:spacing w:before="240"/>
        <w:jc w:val="both"/>
        <w:rPr>
          <w:lang w:val="en-US"/>
        </w:rPr>
      </w:pPr>
      <w:r w:rsidRPr="002E2ACB">
        <w:rPr>
          <w:lang w:val="en-US"/>
        </w:rPr>
        <w:t>Megjithatë, përfitimet do të varen nga gatishmëria e subjekteve për t’i zbatuar këto masa. Në mungesë të detyrueshmërisë juridike, zbatimi mund të jetë i pjesshëm dhe jo i njëtrajtshëm, duke krijuar ndryshime në standardet e qeverisjes, administrimit të rrezikut dhe informimit ndërmjet operatorëve.</w:t>
      </w:r>
    </w:p>
    <w:p w14:paraId="5B387C61" w14:textId="77777777" w:rsidR="002E2ACB" w:rsidRPr="002E2ACB" w:rsidRDefault="002E2ACB" w:rsidP="002E2ACB">
      <w:pPr>
        <w:spacing w:before="240"/>
        <w:jc w:val="both"/>
        <w:rPr>
          <w:b/>
          <w:bCs/>
          <w:lang w:val="en-US"/>
        </w:rPr>
      </w:pPr>
      <w:r w:rsidRPr="002E2ACB">
        <w:rPr>
          <w:b/>
          <w:bCs/>
          <w:lang w:val="en-US"/>
        </w:rPr>
        <w:t>Ndikimi mbi NVM-të dhe konkurrencën</w:t>
      </w:r>
    </w:p>
    <w:p w14:paraId="210876A6" w14:textId="77777777" w:rsidR="002E2ACB" w:rsidRPr="002E2ACB" w:rsidRDefault="002E2ACB" w:rsidP="002E2ACB">
      <w:pPr>
        <w:spacing w:before="240"/>
        <w:jc w:val="both"/>
        <w:rPr>
          <w:lang w:val="en-US"/>
        </w:rPr>
      </w:pPr>
      <w:r w:rsidRPr="002E2ACB">
        <w:rPr>
          <w:lang w:val="en-US"/>
        </w:rPr>
        <w:t>Ky opsion nuk pritet të krijojë barrë të konsiderueshme për ndërmarrjet e vogla dhe të mesme, pasi masat do të kishin kryesisht karakter orientues. Megjithatë, edhe kostot e kufizuara për trajnim, konsulencë ose përshtatje procedurash mund të kenë peshë relativisht më të lartë për subjektet me burime më të kufizuara.</w:t>
      </w:r>
    </w:p>
    <w:p w14:paraId="5CBC76E0" w14:textId="77777777" w:rsidR="002E2ACB" w:rsidRPr="002E2ACB" w:rsidRDefault="002E2ACB" w:rsidP="002E2ACB">
      <w:pPr>
        <w:spacing w:before="240"/>
        <w:jc w:val="both"/>
        <w:rPr>
          <w:lang w:val="en-US"/>
        </w:rPr>
      </w:pPr>
      <w:r w:rsidRPr="002E2ACB">
        <w:rPr>
          <w:lang w:val="en-US"/>
        </w:rPr>
        <w:t>Ndikimi mbi konkurrencën pritet të jetë i kufizuar. Subjektet me kapacitete më të mëdha financiare dhe organizative mund t’i zbatojnë më shpejt praktikat e rekomanduara, ndërsa operatorët më të vegjël mund të mbeten prapa. Kjo mund të krijojë dallime në cilësinë e shërbimit, por jo ndryshime formale në kushtet e hyrjes ose ushtrimit të veprimtarisë në treg.</w:t>
      </w:r>
    </w:p>
    <w:p w14:paraId="45294E89" w14:textId="77777777" w:rsidR="002E2ACB" w:rsidRPr="002E2ACB" w:rsidRDefault="002E2ACB" w:rsidP="002E2ACB">
      <w:pPr>
        <w:spacing w:before="240"/>
        <w:jc w:val="both"/>
        <w:rPr>
          <w:b/>
          <w:bCs/>
          <w:lang w:val="en-US"/>
        </w:rPr>
      </w:pPr>
      <w:r w:rsidRPr="002E2ACB">
        <w:rPr>
          <w:b/>
          <w:bCs/>
          <w:lang w:val="en-US"/>
        </w:rPr>
        <w:t>Kufizimet e analizës</w:t>
      </w:r>
    </w:p>
    <w:p w14:paraId="5CB6AB78" w14:textId="77777777" w:rsidR="002E2ACB" w:rsidRPr="002E2ACB" w:rsidRDefault="002E2ACB" w:rsidP="002E2ACB">
      <w:pPr>
        <w:spacing w:before="240"/>
        <w:jc w:val="both"/>
        <w:rPr>
          <w:lang w:val="en-US"/>
        </w:rPr>
      </w:pPr>
      <w:r w:rsidRPr="002E2ACB">
        <w:rPr>
          <w:lang w:val="en-US"/>
        </w:rPr>
        <w:t>Analiza mbështetet në supozimin se Autoriteti do të përdorte vetëm kompetencat ekzistuese dhe se subjektet do t’u përgjigjeshin në mënyrë vullnetare udhëzimeve dhe rekomandimeve. Nuk disponohen të dhëna për të vlerësuar shkallën e pritshme të zbatimit, kostot e trajnimit ose përfitimet nga përmirësimi i praktikave.</w:t>
      </w:r>
    </w:p>
    <w:p w14:paraId="66DD024B" w14:textId="77777777" w:rsidR="002E2ACB" w:rsidRPr="002E2ACB" w:rsidRDefault="002E2ACB" w:rsidP="002E2ACB">
      <w:pPr>
        <w:spacing w:before="240"/>
        <w:jc w:val="both"/>
        <w:rPr>
          <w:lang w:val="en-US"/>
        </w:rPr>
      </w:pPr>
      <w:r w:rsidRPr="002E2ACB">
        <w:rPr>
          <w:lang w:val="en-US"/>
        </w:rPr>
        <w:t>Rreziku kryesor është që masat të zbatohen në mënyrë të pabarabartë dhe të mos sjellin ndryshime të qëndrueshme. Ky opsion nuk mund të krijojë kompetenca të reja ligjore, nuk mund të rregullojë veprimtarinë ndërkufitare dhe nuk realizon transpozimin e plotë të Direktivës IORP II.</w:t>
      </w:r>
    </w:p>
    <w:p w14:paraId="47ADE012" w14:textId="77777777" w:rsidR="002E2ACB" w:rsidRPr="002E2ACB" w:rsidRDefault="002E2ACB" w:rsidP="002E2ACB">
      <w:pPr>
        <w:spacing w:before="240"/>
        <w:jc w:val="both"/>
        <w:rPr>
          <w:lang w:val="en-US"/>
        </w:rPr>
      </w:pPr>
      <w:r w:rsidRPr="002E2ACB">
        <w:rPr>
          <w:lang w:val="en-US"/>
        </w:rPr>
        <w:t>Në përmbledhje, opsioni jorregullator mund të sjellë përmirësime të kufizuara me kosto relativisht të ulëta dhe mund të mbështesë përgatitjen e tregut. Megjithatë, ai nuk adreson shkaqet juridike të problemit dhe nuk përmbush objektivat kryesorë të politikës. Kostot dhe përfitimet e tij nuk mund të monetarizohen në mënyrë të besueshme me të dhënat e disponueshme.</w:t>
      </w:r>
    </w:p>
    <w:p w14:paraId="307D7B68" w14:textId="77777777" w:rsidR="00CC64D8" w:rsidRPr="00CC64D8" w:rsidRDefault="00CC64D8" w:rsidP="00CC64D8">
      <w:pPr>
        <w:spacing w:before="240"/>
        <w:jc w:val="both"/>
        <w:rPr>
          <w:b/>
          <w:bCs/>
          <w:lang w:val="en-US"/>
        </w:rPr>
      </w:pPr>
      <w:r w:rsidRPr="00CC64D8">
        <w:rPr>
          <w:b/>
          <w:bCs/>
          <w:lang w:val="en-US"/>
        </w:rPr>
        <w:t>Opsioni 1 – Miratimi i shtesave dhe ndryshimeve në ligjin nr. 76/2023</w:t>
      </w:r>
    </w:p>
    <w:p w14:paraId="58F4067F" w14:textId="032F4126" w:rsidR="00CC64D8" w:rsidRDefault="00CC64D8" w:rsidP="00CC64D8">
      <w:pPr>
        <w:spacing w:before="240"/>
        <w:jc w:val="both"/>
        <w:rPr>
          <w:lang w:val="en-US"/>
        </w:rPr>
      </w:pPr>
      <w:r w:rsidRPr="00CC64D8">
        <w:rPr>
          <w:lang w:val="en-US"/>
        </w:rPr>
        <w:t xml:space="preserve">Opsioni 1 parashikon ndryshimin dhe plotësimin e ligjit nr. 76/2023 për të realizuar përafrimin e plotë me Direktivën IORP II, duke ruajtur strukturën bazë të kuadrit ekzistues. </w:t>
      </w:r>
    </w:p>
    <w:p w14:paraId="3B746566" w14:textId="77777777" w:rsidR="006541BF" w:rsidRPr="006541BF" w:rsidRDefault="006541BF" w:rsidP="006541BF">
      <w:pPr>
        <w:spacing w:before="240"/>
        <w:jc w:val="both"/>
        <w:rPr>
          <w:lang w:val="en-US"/>
        </w:rPr>
      </w:pPr>
      <w:r w:rsidRPr="006541BF">
        <w:rPr>
          <w:lang w:val="en-US"/>
        </w:rPr>
        <w:t xml:space="preserve">Ndryshimet prekin kryesisht sistemin e qeverisjes, funksionet kryesore, vetëvlerësimin e rrezikut, politikën e investimit, informacionin që u jepet anëtarëve dhe përfituesve, procesin e rishikimit mbikëqyrës dhe rregullat për veprimtarinë ndërkufitare. Dispozitat për skemat me përfitime të përcaktuara zbatohen vetëm në kontekstin e veprimtarisë ndërkufitare dhe nuk ndryshojnë produktet e lejuara në tregun vendas. </w:t>
      </w:r>
    </w:p>
    <w:p w14:paraId="7B62CE92" w14:textId="77777777" w:rsidR="006541BF" w:rsidRPr="006541BF" w:rsidRDefault="006541BF" w:rsidP="006541BF">
      <w:pPr>
        <w:spacing w:before="240"/>
        <w:jc w:val="both"/>
        <w:rPr>
          <w:lang w:val="en-US"/>
        </w:rPr>
      </w:pPr>
      <w:r w:rsidRPr="006541BF">
        <w:rPr>
          <w:lang w:val="en-US"/>
        </w:rPr>
        <w:t>Grupet e prekura drejtpërdrejt janë shoqëritë administruese, anëtarët dhe përfituesit, Autoriteti i Mbikëqyrjes Financiare dhe, në një masë më të kufizuar, depozitarët dhe ofruesit e funksioneve të deleguara. Punëdhënësit që kontribuojnë në emër të punëmarrësve nuk marrin përsipër detyrime të reja për pagesën e kontributeve.</w:t>
      </w:r>
    </w:p>
    <w:p w14:paraId="189BB30C" w14:textId="77777777" w:rsidR="006541BF" w:rsidRPr="006541BF" w:rsidRDefault="006541BF" w:rsidP="006541BF">
      <w:pPr>
        <w:spacing w:before="240"/>
        <w:jc w:val="both"/>
        <w:rPr>
          <w:lang w:val="en-US"/>
        </w:rPr>
      </w:pPr>
      <w:r w:rsidRPr="006541BF">
        <w:rPr>
          <w:lang w:val="en-US"/>
        </w:rPr>
        <w:t xml:space="preserve">Supozimet sasiore dhe monetare të përdorura në këtë analizë janë hartuar në bashkëpunim me një ekip ekspertësh të Bankës Botërore, duke marrë në konsideratë strukturën e tregut shqiptar, numrin e operatorëve, kërkesat shtesë të projektligjit dhe përvojën e pritshme të zbatimit. </w:t>
      </w:r>
    </w:p>
    <w:p w14:paraId="28309E84" w14:textId="77777777" w:rsidR="006541BF" w:rsidRPr="006541BF" w:rsidRDefault="006541BF" w:rsidP="006541BF">
      <w:pPr>
        <w:spacing w:before="240"/>
        <w:jc w:val="both"/>
        <w:rPr>
          <w:lang w:val="en-US"/>
        </w:rPr>
      </w:pPr>
      <w:r w:rsidRPr="006541BF">
        <w:rPr>
          <w:lang w:val="en-US"/>
        </w:rPr>
        <w:t>Për llogaritjen e ndikimeve monetare përdoret një periudhë vlerësimi 10-vjeçare dhe një normë skontimi prej 5 për qind. Kostot dhe përfitimet paraqiten si ndryshime kundrejt status quo-së.</w:t>
      </w:r>
    </w:p>
    <w:p w14:paraId="28EEBDEB" w14:textId="77777777" w:rsidR="007501FB" w:rsidRPr="007501FB" w:rsidRDefault="007501FB" w:rsidP="007501FB">
      <w:pPr>
        <w:spacing w:before="240"/>
        <w:jc w:val="both"/>
        <w:rPr>
          <w:b/>
          <w:bCs/>
          <w:lang w:val="en-US"/>
        </w:rPr>
      </w:pPr>
      <w:r w:rsidRPr="007501FB">
        <w:rPr>
          <w:b/>
          <w:bCs/>
          <w:lang w:val="en-US"/>
        </w:rPr>
        <w:t>Ndikimet e drejtpërdrejta</w:t>
      </w:r>
    </w:p>
    <w:p w14:paraId="7B8B4ED9" w14:textId="7FE28ACB" w:rsidR="007501FB" w:rsidRPr="007501FB" w:rsidRDefault="007501FB" w:rsidP="00751844">
      <w:pPr>
        <w:spacing w:before="240"/>
        <w:jc w:val="both"/>
        <w:rPr>
          <w:b/>
          <w:bCs/>
          <w:lang w:val="en-US"/>
        </w:rPr>
      </w:pPr>
      <w:r w:rsidRPr="007501FB">
        <w:rPr>
          <w:b/>
          <w:bCs/>
          <w:lang w:val="en-US"/>
        </w:rPr>
        <w:t>Ndikimi mbi anëtarët dhe përfituesi</w:t>
      </w:r>
    </w:p>
    <w:p w14:paraId="774084B7" w14:textId="34675742" w:rsidR="00751844" w:rsidRPr="00751844" w:rsidRDefault="00751844" w:rsidP="00751844">
      <w:pPr>
        <w:spacing w:before="240"/>
        <w:jc w:val="both"/>
        <w:rPr>
          <w:lang w:val="en-US"/>
        </w:rPr>
      </w:pPr>
      <w:r w:rsidRPr="00751844">
        <w:rPr>
          <w:lang w:val="en-US"/>
        </w:rPr>
        <w:t>Ndikimi kryesor i drejtpërdrejtë mbi anëtarët dhe përfituesit është forcimi i mbrojtjes së aktiveve të tyre nëpërmjet standardeve më të plota të qeverisjes, administrimit të rrezikut dhe kontrollit të brendshëm. Qartësimi i përgjegjësive të organeve drejtuese, forcimi i funksioneve kryesore dhe vetëvlerësimi më i plotë i rrezikut synojnë të ulin mundësinë që mangësitë organizative ose rreziqet materiale të mbeten të paidentifikuara ose të patrajtuara.</w:t>
      </w:r>
    </w:p>
    <w:p w14:paraId="01305E70" w14:textId="7CBD6068" w:rsidR="00751844" w:rsidRPr="00751844" w:rsidRDefault="00751844" w:rsidP="00751844">
      <w:pPr>
        <w:spacing w:before="240"/>
        <w:jc w:val="both"/>
        <w:rPr>
          <w:lang w:val="en-US"/>
        </w:rPr>
      </w:pPr>
      <w:r w:rsidRPr="00751844">
        <w:rPr>
          <w:lang w:val="en-US"/>
        </w:rPr>
        <w:t xml:space="preserve">Anëtarët do të përfitojnë gjithashtu nga </w:t>
      </w:r>
      <w:r w:rsidR="004C5912">
        <w:rPr>
          <w:lang w:val="en-US"/>
        </w:rPr>
        <w:t xml:space="preserve">paraqitja e </w:t>
      </w:r>
      <w:r w:rsidRPr="00751844">
        <w:rPr>
          <w:lang w:val="en-US"/>
        </w:rPr>
        <w:t>informacion</w:t>
      </w:r>
      <w:r w:rsidR="00C478FF">
        <w:rPr>
          <w:lang w:val="en-US"/>
        </w:rPr>
        <w:t>it në mënyrë</w:t>
      </w:r>
      <w:r w:rsidRPr="00751844">
        <w:rPr>
          <w:lang w:val="en-US"/>
        </w:rPr>
        <w:t xml:space="preserve"> më </w:t>
      </w:r>
      <w:r w:rsidR="00C478FF">
        <w:rPr>
          <w:lang w:val="en-US"/>
        </w:rPr>
        <w:t>të</w:t>
      </w:r>
      <w:r w:rsidRPr="00751844">
        <w:rPr>
          <w:lang w:val="en-US"/>
        </w:rPr>
        <w:t xml:space="preserve"> standardizuar dhe më </w:t>
      </w:r>
      <w:r w:rsidR="00C478FF">
        <w:rPr>
          <w:lang w:val="en-US"/>
        </w:rPr>
        <w:t>të</w:t>
      </w:r>
      <w:r w:rsidRPr="00751844">
        <w:rPr>
          <w:lang w:val="en-US"/>
        </w:rPr>
        <w:t xml:space="preserve"> kuptueshëm. Vërtetimi për gjendjen e llogarisë së përfitimeve të pensionit do të përmbajë të dhëna për kontributet, aktivet e akumuluara, kthimin nga investimi, kostot dhe tarifat, si dhe parashikimet e përfitimeve të pensionit. Kur parashikimet bazohen në skenarë ekonomikë, ato do të përfshijnë një skenar bazë dhe një skenar të pafavorshëm. Kjo duhet të përmirësojë aftësinë e anëtarëve për të kuptuar gjendjen e kursimeve të tyre dhe për të marrë vendime më të informuara.</w:t>
      </w:r>
    </w:p>
    <w:p w14:paraId="3BFB4941" w14:textId="77777777" w:rsidR="00627763" w:rsidRPr="00627763" w:rsidRDefault="00627763" w:rsidP="00627763">
      <w:pPr>
        <w:spacing w:before="240"/>
        <w:jc w:val="both"/>
        <w:rPr>
          <w:lang w:val="en-US"/>
        </w:rPr>
      </w:pPr>
      <w:r w:rsidRPr="00627763">
        <w:rPr>
          <w:lang w:val="en-US"/>
        </w:rPr>
        <w:t>Vërtetimi për gjendjen e llogarisë së përfitimeve të pensionit do të përfshijë informacion për kontributet e paguara, vlerën e aktiveve të grumbulluara, kostot dhe tarifat, kthimin nga investimi dhe parashikimet e përfitimeve të pensionit. Kur parashikimet mbështeten në skenarë ekonomikë, ato duhet të paraqesin të paktën një skenar bazë dhe një skenar të pafavorshëm.</w:t>
      </w:r>
    </w:p>
    <w:p w14:paraId="323606E0" w14:textId="77777777" w:rsidR="00627763" w:rsidRPr="00627763" w:rsidRDefault="00627763" w:rsidP="00627763">
      <w:pPr>
        <w:spacing w:before="240"/>
        <w:jc w:val="both"/>
        <w:rPr>
          <w:lang w:val="en-US"/>
        </w:rPr>
      </w:pPr>
      <w:r w:rsidRPr="00627763">
        <w:rPr>
          <w:lang w:val="en-US"/>
        </w:rPr>
        <w:t>Këto kërkesa nuk garantojnë një rezultat të caktuar financiar, por përmirësojnë kushtet që anëtarët të kuptojnë më mirë gjendjen e kursimeve të tyre, të identifikojnë mospërputhjet dhe të marrin vendime më të informuara.</w:t>
      </w:r>
    </w:p>
    <w:p w14:paraId="5DB2850F" w14:textId="77777777" w:rsidR="00627763" w:rsidRPr="00627763" w:rsidRDefault="00627763" w:rsidP="00627763">
      <w:pPr>
        <w:spacing w:before="240"/>
        <w:jc w:val="both"/>
        <w:rPr>
          <w:lang w:val="en-US"/>
        </w:rPr>
      </w:pPr>
      <w:r w:rsidRPr="00627763">
        <w:rPr>
          <w:lang w:val="en-US"/>
        </w:rPr>
        <w:t>Në skenarin sasior është supozuar se përmirësimi i qeverisjes, administrimit të rrezikut dhe cilësisë së vendimmarrjes për investimet mund të sjellë një përmirësim prej 0,1 pikë përqindjeje të normës reale vjetore të kthimit mbi aktivet e administruara. Ky supozim përdoret vetëm për monetarizimin e një pjese të përfitimeve dhe nuk përbën parashikim ose garanci për performancën e fondeve.</w:t>
      </w:r>
    </w:p>
    <w:p w14:paraId="24A76771" w14:textId="77777777" w:rsidR="00627763" w:rsidRPr="00627763" w:rsidRDefault="00627763" w:rsidP="00627763">
      <w:pPr>
        <w:spacing w:before="240"/>
        <w:jc w:val="both"/>
        <w:rPr>
          <w:lang w:val="en-US"/>
        </w:rPr>
      </w:pPr>
      <w:r w:rsidRPr="00627763">
        <w:rPr>
          <w:lang w:val="en-US"/>
        </w:rPr>
        <w:t>Sipas këtij skenari, përfitimi për anëtarët fillon të materializohet nga viti i tretë dhe rritet gradualisht me zgjerimin e vlerës së aktiveve të administruara. Vlera aktuale e përgjithshme e përfitimeve të monetarizuara, duke përfshirë edhe përfitimet e kufizuara për shoqëritë administruese, vlerësohet në rreth 85,7 milionë lekë gjatë periudhës 10-vjeçare.</w:t>
      </w:r>
    </w:p>
    <w:p w14:paraId="45382F78" w14:textId="77777777" w:rsidR="00627763" w:rsidRPr="00627763" w:rsidRDefault="00627763" w:rsidP="00627763">
      <w:pPr>
        <w:spacing w:before="240"/>
        <w:jc w:val="both"/>
        <w:rPr>
          <w:lang w:val="en-US"/>
        </w:rPr>
      </w:pPr>
      <w:r w:rsidRPr="00627763">
        <w:rPr>
          <w:lang w:val="en-US"/>
        </w:rPr>
        <w:t xml:space="preserve">Më 31.12.2025, tregu përfshinte 49 218 anëtarë dhe aktive neto në vlerën 9 855 030 216 lekë. Për rrjedhojë, përmirësimet në qeverisje, rrezik dhe informim prekin drejtpërdrejt një numër të konsiderueshëm anëtarësh dhe një vëllim në rritje të kursimeve afatgjata. </w:t>
      </w:r>
    </w:p>
    <w:p w14:paraId="1781EB22" w14:textId="77777777" w:rsidR="00627763" w:rsidRPr="00627763" w:rsidRDefault="00627763" w:rsidP="00627763">
      <w:pPr>
        <w:spacing w:before="240"/>
        <w:jc w:val="both"/>
        <w:rPr>
          <w:b/>
          <w:bCs/>
          <w:lang w:val="en-US"/>
        </w:rPr>
      </w:pPr>
      <w:r w:rsidRPr="00627763">
        <w:rPr>
          <w:b/>
          <w:bCs/>
          <w:lang w:val="en-US"/>
        </w:rPr>
        <w:t>Ndikimi mbi shoqëritë administruese</w:t>
      </w:r>
    </w:p>
    <w:p w14:paraId="6E263756" w14:textId="77777777" w:rsidR="00627763" w:rsidRPr="00627763" w:rsidRDefault="00627763" w:rsidP="00627763">
      <w:pPr>
        <w:spacing w:before="240"/>
        <w:jc w:val="both"/>
        <w:rPr>
          <w:lang w:val="en-US"/>
        </w:rPr>
      </w:pPr>
      <w:r w:rsidRPr="00627763">
        <w:rPr>
          <w:lang w:val="en-US"/>
        </w:rPr>
        <w:t>Shoqëritë administruese përballojnë pjesën kryesore të kostove të drejtpërdrejta të këtij opsioni. Ato duhet të rishikojnë politikat dhe procedurat e qeverisjes, të plotësojnë organizimin e funksioneve kryesore, të përshtatin proceset e administrimit dhe vetëvlerësimit të rrezikut, të përditësojnë politikat e investimit dhe të përmirësojnë informacionin që u jepet anëtarëve.</w:t>
      </w:r>
    </w:p>
    <w:p w14:paraId="4B25E317" w14:textId="77777777" w:rsidR="00627763" w:rsidRPr="00627763" w:rsidRDefault="00627763" w:rsidP="00627763">
      <w:pPr>
        <w:spacing w:before="240"/>
        <w:jc w:val="both"/>
        <w:rPr>
          <w:lang w:val="en-US"/>
        </w:rPr>
      </w:pPr>
      <w:r w:rsidRPr="00627763">
        <w:rPr>
          <w:lang w:val="en-US"/>
        </w:rPr>
        <w:t>Kostot mund të përfshijnë:</w:t>
      </w:r>
    </w:p>
    <w:p w14:paraId="0785C525" w14:textId="77777777" w:rsidR="00627763" w:rsidRPr="00627763" w:rsidRDefault="00627763" w:rsidP="008E4E22">
      <w:pPr>
        <w:numPr>
          <w:ilvl w:val="0"/>
          <w:numId w:val="34"/>
        </w:numPr>
        <w:spacing w:before="240"/>
        <w:jc w:val="both"/>
        <w:rPr>
          <w:lang w:val="en-US"/>
        </w:rPr>
      </w:pPr>
      <w:r w:rsidRPr="00627763">
        <w:rPr>
          <w:lang w:val="en-US"/>
        </w:rPr>
        <w:t xml:space="preserve">konsulencën juridike dhe organizative; </w:t>
      </w:r>
    </w:p>
    <w:p w14:paraId="31E8E37A" w14:textId="77777777" w:rsidR="00627763" w:rsidRPr="00627763" w:rsidRDefault="00627763" w:rsidP="008E4E22">
      <w:pPr>
        <w:numPr>
          <w:ilvl w:val="0"/>
          <w:numId w:val="34"/>
        </w:numPr>
        <w:spacing w:before="240"/>
        <w:jc w:val="both"/>
        <w:rPr>
          <w:lang w:val="en-US"/>
        </w:rPr>
      </w:pPr>
      <w:r w:rsidRPr="00627763">
        <w:rPr>
          <w:lang w:val="en-US"/>
        </w:rPr>
        <w:t xml:space="preserve">rishikimin e politikave dhe procedurave të brendshme; </w:t>
      </w:r>
    </w:p>
    <w:p w14:paraId="4E6B7A4A" w14:textId="77777777" w:rsidR="00627763" w:rsidRPr="00627763" w:rsidRDefault="00627763" w:rsidP="008E4E22">
      <w:pPr>
        <w:numPr>
          <w:ilvl w:val="0"/>
          <w:numId w:val="34"/>
        </w:numPr>
        <w:spacing w:before="240"/>
        <w:jc w:val="both"/>
        <w:rPr>
          <w:lang w:val="en-US"/>
        </w:rPr>
      </w:pPr>
      <w:r w:rsidRPr="00627763">
        <w:rPr>
          <w:lang w:val="en-US"/>
        </w:rPr>
        <w:t xml:space="preserve">trajnimin e stafit dhe të personave që ushtrojnë funksione kryesore; </w:t>
      </w:r>
    </w:p>
    <w:p w14:paraId="0C3F40DA" w14:textId="77777777" w:rsidR="00627763" w:rsidRPr="00627763" w:rsidRDefault="00627763" w:rsidP="008E4E22">
      <w:pPr>
        <w:numPr>
          <w:ilvl w:val="0"/>
          <w:numId w:val="34"/>
        </w:numPr>
        <w:spacing w:before="240"/>
        <w:jc w:val="both"/>
        <w:rPr>
          <w:lang w:val="en-US"/>
        </w:rPr>
      </w:pPr>
      <w:r w:rsidRPr="00627763">
        <w:rPr>
          <w:lang w:val="en-US"/>
        </w:rPr>
        <w:t xml:space="preserve">përshtatjen e sistemeve të raportimit dhe të teknologjisë së informacionit; </w:t>
      </w:r>
    </w:p>
    <w:p w14:paraId="71A7A81C" w14:textId="77777777" w:rsidR="00627763" w:rsidRPr="00627763" w:rsidRDefault="00627763" w:rsidP="008E4E22">
      <w:pPr>
        <w:numPr>
          <w:ilvl w:val="0"/>
          <w:numId w:val="34"/>
        </w:numPr>
        <w:spacing w:before="240"/>
        <w:jc w:val="both"/>
        <w:rPr>
          <w:lang w:val="en-US"/>
        </w:rPr>
      </w:pPr>
      <w:r w:rsidRPr="00627763">
        <w:rPr>
          <w:lang w:val="en-US"/>
        </w:rPr>
        <w:t xml:space="preserve">përgatitjen e formateve të reja të informacionit për anëtarët; </w:t>
      </w:r>
    </w:p>
    <w:p w14:paraId="47E92DDC" w14:textId="77777777" w:rsidR="00627763" w:rsidRPr="00627763" w:rsidRDefault="00627763" w:rsidP="008E4E22">
      <w:pPr>
        <w:numPr>
          <w:ilvl w:val="0"/>
          <w:numId w:val="34"/>
        </w:numPr>
        <w:spacing w:before="240"/>
        <w:jc w:val="both"/>
        <w:rPr>
          <w:lang w:val="en-US"/>
        </w:rPr>
      </w:pPr>
      <w:r w:rsidRPr="00627763">
        <w:rPr>
          <w:lang w:val="en-US"/>
        </w:rPr>
        <w:t xml:space="preserve">rishikimin e marrëveshjeve për funksionet e deleguara. </w:t>
      </w:r>
    </w:p>
    <w:p w14:paraId="57913C25" w14:textId="77777777" w:rsidR="00627763" w:rsidRPr="00627763" w:rsidRDefault="00627763" w:rsidP="00627763">
      <w:pPr>
        <w:spacing w:before="240"/>
        <w:jc w:val="both"/>
        <w:rPr>
          <w:lang w:val="en-US"/>
        </w:rPr>
      </w:pPr>
      <w:r w:rsidRPr="00627763">
        <w:rPr>
          <w:lang w:val="en-US"/>
        </w:rPr>
        <w:t>Për qëllimet e analizës është përllogaritur një kosto mesatare prej 1,25 milionë lekësh për çdo shoqëri administruese në vit, e ndarë si më poshtë:</w:t>
      </w:r>
    </w:p>
    <w:p w14:paraId="79BD2E81" w14:textId="77777777" w:rsidR="00627763" w:rsidRPr="00627763" w:rsidRDefault="00627763" w:rsidP="008E4E22">
      <w:pPr>
        <w:numPr>
          <w:ilvl w:val="0"/>
          <w:numId w:val="35"/>
        </w:numPr>
        <w:spacing w:before="240"/>
        <w:jc w:val="both"/>
        <w:rPr>
          <w:lang w:val="en-US"/>
        </w:rPr>
      </w:pPr>
      <w:r w:rsidRPr="00627763">
        <w:rPr>
          <w:lang w:val="en-US"/>
        </w:rPr>
        <w:t xml:space="preserve">0,5 milionë lekë për plotësimin e sistemit të qeverisjes; </w:t>
      </w:r>
    </w:p>
    <w:p w14:paraId="69AE0D9C" w14:textId="77777777" w:rsidR="00627763" w:rsidRPr="00627763" w:rsidRDefault="00627763" w:rsidP="008E4E22">
      <w:pPr>
        <w:numPr>
          <w:ilvl w:val="0"/>
          <w:numId w:val="35"/>
        </w:numPr>
        <w:spacing w:before="240"/>
        <w:jc w:val="both"/>
        <w:rPr>
          <w:lang w:val="en-US"/>
        </w:rPr>
      </w:pPr>
      <w:r w:rsidRPr="00627763">
        <w:rPr>
          <w:lang w:val="en-US"/>
        </w:rPr>
        <w:t xml:space="preserve">0,5 milionë lekë për administrimin dhe vetëvlerësimin e rrezikut; </w:t>
      </w:r>
    </w:p>
    <w:p w14:paraId="554D1886" w14:textId="77777777" w:rsidR="00627763" w:rsidRPr="00627763" w:rsidRDefault="00627763" w:rsidP="008E4E22">
      <w:pPr>
        <w:numPr>
          <w:ilvl w:val="0"/>
          <w:numId w:val="35"/>
        </w:numPr>
        <w:spacing w:before="240"/>
        <w:jc w:val="both"/>
        <w:rPr>
          <w:lang w:val="en-US"/>
        </w:rPr>
      </w:pPr>
      <w:r w:rsidRPr="00627763">
        <w:rPr>
          <w:lang w:val="en-US"/>
        </w:rPr>
        <w:t xml:space="preserve">0,25 milionë lekë për përmirësimin e komunikimit dhe informacionit për anëtarët. </w:t>
      </w:r>
    </w:p>
    <w:p w14:paraId="09B2BA61" w14:textId="77777777" w:rsidR="00627763" w:rsidRPr="00627763" w:rsidRDefault="00627763" w:rsidP="00627763">
      <w:pPr>
        <w:spacing w:before="240"/>
        <w:jc w:val="both"/>
        <w:rPr>
          <w:lang w:val="en-US"/>
        </w:rPr>
      </w:pPr>
      <w:r w:rsidRPr="00627763">
        <w:rPr>
          <w:lang w:val="en-US"/>
        </w:rPr>
        <w:t>Duke marrë në konsideratë katër shoqëri administruese, kostoja vjetore e përgjithshme vlerësohet në 5 milionë lekë. Kostoja parashikohet për tre vjet, nga viti i dytë deri në vitin e katërt të periudhës së analizës. Kostoja nominale është, për rrjedhojë, 15 milionë lekë, ndërsa vlera aktuale e saj, me normë skontimi 5 për qind, është rreth 13 milionë lekë.</w:t>
      </w:r>
    </w:p>
    <w:p w14:paraId="28A4CBB8" w14:textId="77777777" w:rsidR="00627763" w:rsidRPr="00627763" w:rsidRDefault="00627763" w:rsidP="00627763">
      <w:pPr>
        <w:spacing w:before="240"/>
        <w:jc w:val="both"/>
        <w:rPr>
          <w:lang w:val="en-US"/>
        </w:rPr>
      </w:pPr>
      <w:r w:rsidRPr="00627763">
        <w:rPr>
          <w:lang w:val="en-US"/>
        </w:rPr>
        <w:t xml:space="preserve">Këto janë kosto shtesë mbi strukturat dhe proceset ekzistuese. Ligji nr. 76/2023 përmban tashmë kërkesa për qeverisjen, administrimin e rrezikut, auditimin e brendshëm dhe informimin. Për këtë arsye, përllogaritja nuk supozon ngritjen nga fillimi të sistemeve të reja, por plotësimin dhe përshtatjen e tyre. </w:t>
      </w:r>
    </w:p>
    <w:p w14:paraId="55281953" w14:textId="77777777" w:rsidR="00627763" w:rsidRPr="00627763" w:rsidRDefault="00627763" w:rsidP="00627763">
      <w:pPr>
        <w:spacing w:before="240"/>
        <w:jc w:val="both"/>
        <w:rPr>
          <w:lang w:val="en-US"/>
        </w:rPr>
      </w:pPr>
      <w:r w:rsidRPr="00627763">
        <w:rPr>
          <w:lang w:val="en-US"/>
        </w:rPr>
        <w:t>Shoqëritë administruese mund të përfitojnë në mënyrë të drejtpërdrejtë nga rritja e mundshme e numrit të anëtarëve dhe e aktiveve nën administrim. Në skenarin sasior është supozuar një rritje shtesë prej 2 për qind në vit e numrit të anëtarëve, përtej rritjes së tregut që do të ndodhte edhe në mungesë të ndërhyrjes. Përfitimi për shoqëritë është llogaritur mbi bazën e të ardhurave shtesë nga tarifat e administrimit.</w:t>
      </w:r>
    </w:p>
    <w:p w14:paraId="7E6069ED" w14:textId="77777777" w:rsidR="00627763" w:rsidRPr="00627763" w:rsidRDefault="00627763" w:rsidP="00627763">
      <w:pPr>
        <w:spacing w:before="240"/>
        <w:jc w:val="both"/>
        <w:rPr>
          <w:lang w:val="en-US"/>
        </w:rPr>
      </w:pPr>
      <w:r w:rsidRPr="00627763">
        <w:rPr>
          <w:lang w:val="en-US"/>
        </w:rPr>
        <w:t>Ky supozim duhet interpretuar me kujdes. Anëtarësimi në fondet e pensionit privat ndikohet edhe nga të ardhurat e individëve, politikat tatimore, sjellja e punëdhënësve, edukimi financiar, marketingu dhe konkurrenca. Për rrjedhojë, rritja shtesë prej 2 për qind nuk mund t’i atribuohet me siguri vetëm projektligjit.</w:t>
      </w:r>
    </w:p>
    <w:p w14:paraId="53CCB510" w14:textId="77777777" w:rsidR="00627763" w:rsidRPr="00627763" w:rsidRDefault="00627763" w:rsidP="00627763">
      <w:pPr>
        <w:spacing w:before="240"/>
        <w:jc w:val="both"/>
        <w:rPr>
          <w:lang w:val="en-US"/>
        </w:rPr>
      </w:pPr>
      <w:r w:rsidRPr="00627763">
        <w:rPr>
          <w:lang w:val="en-US"/>
        </w:rPr>
        <w:t>Nuk janë përfshirë kosto për ushtrimin e veprimtarisë ndërkufitare, pasi kjo veprimtari është vullnetare dhe do të ndërmerret vetëm kur një shoqëri administruese vlerëson se përfitimet tregtare tejkalojnë kostot e hyrjes në një treg tjetër.</w:t>
      </w:r>
    </w:p>
    <w:p w14:paraId="6F4B0C56" w14:textId="77777777" w:rsidR="00627763" w:rsidRPr="00627763" w:rsidRDefault="00627763" w:rsidP="00627763">
      <w:pPr>
        <w:spacing w:before="240"/>
        <w:jc w:val="both"/>
        <w:rPr>
          <w:b/>
          <w:bCs/>
          <w:lang w:val="en-US"/>
        </w:rPr>
      </w:pPr>
      <w:r w:rsidRPr="00627763">
        <w:rPr>
          <w:b/>
          <w:bCs/>
          <w:lang w:val="en-US"/>
        </w:rPr>
        <w:t>Ndikimi mbi Autoritetin e Mbikëqyrjes Financiare</w:t>
      </w:r>
    </w:p>
    <w:p w14:paraId="2D25442B" w14:textId="77777777" w:rsidR="00627763" w:rsidRPr="00627763" w:rsidRDefault="00627763" w:rsidP="00627763">
      <w:pPr>
        <w:spacing w:before="240"/>
        <w:jc w:val="both"/>
        <w:rPr>
          <w:lang w:val="en-US"/>
        </w:rPr>
      </w:pPr>
      <w:r w:rsidRPr="00627763">
        <w:rPr>
          <w:lang w:val="en-US"/>
        </w:rPr>
        <w:t>Autoriteti duhet të hartojë ose të ndryshojë aktet nënligjore, të përditësojë metodologjitë dhe manualet mbikëqyrëse, të zhvillojë formatet e raportimit dhe të trajnojë stafin për zbatimin e kërkesave të reja.</w:t>
      </w:r>
    </w:p>
    <w:p w14:paraId="09B4E218" w14:textId="77777777" w:rsidR="00627763" w:rsidRPr="00627763" w:rsidRDefault="00627763" w:rsidP="00627763">
      <w:pPr>
        <w:spacing w:before="240"/>
        <w:jc w:val="both"/>
        <w:rPr>
          <w:lang w:val="en-US"/>
        </w:rPr>
      </w:pPr>
      <w:r w:rsidRPr="00627763">
        <w:rPr>
          <w:lang w:val="en-US"/>
        </w:rPr>
        <w:t>Analiza supozon se këto detyra do të përmbushen me burimet ekzistuese të Autoritetit dhe, për këtë arsye, nuk parashikon kosto shtesë të drejtpërdrejtë për buxhetin e shtetit.</w:t>
      </w:r>
    </w:p>
    <w:p w14:paraId="7B52563B" w14:textId="77777777" w:rsidR="00627763" w:rsidRPr="00627763" w:rsidRDefault="00627763" w:rsidP="00627763">
      <w:pPr>
        <w:spacing w:before="240"/>
        <w:jc w:val="both"/>
        <w:rPr>
          <w:lang w:val="en-US"/>
        </w:rPr>
      </w:pPr>
      <w:r w:rsidRPr="00627763">
        <w:rPr>
          <w:lang w:val="en-US"/>
        </w:rPr>
        <w:t>Paraqitja e kostos buxhetore me vlerë zero nuk nënkupton se zbatimi nuk kërkon burime. Hartimi i akteve, konsultimi, trajnimi dhe mbikëqyrja e zbatimit kërkojnë kohë pune dhe mund të krijojnë kosto oportune për Autoritetin. Këto kosto nuk monetarizohen, pasi nuk disponohen të dhëna të detajuara për orët e punës, numrin e personave të angazhuar ose investimet e mundshme në teknologji.</w:t>
      </w:r>
    </w:p>
    <w:p w14:paraId="20C31962" w14:textId="77777777" w:rsidR="00627763" w:rsidRPr="00627763" w:rsidRDefault="00627763" w:rsidP="00627763">
      <w:pPr>
        <w:spacing w:before="240"/>
        <w:jc w:val="both"/>
        <w:rPr>
          <w:lang w:val="en-US"/>
        </w:rPr>
      </w:pPr>
      <w:r w:rsidRPr="00627763">
        <w:rPr>
          <w:lang w:val="en-US"/>
        </w:rPr>
        <w:t>Nga ana tjetër, Autoriteti përfiton një bazë më të plotë ligjore për vlerësimin e qeverisjes, funksioneve kryesore, vetëvlerësimit të rrezikut dhe aftësisë së shoqërisë administruese për të trajtuar zhvillime të pafavorshme. Kjo mundëson ndërhyrje më të hershme dhe mund të ulë kostot që do të lindnin nga trajtimi i problemeve pasi ato të ishin materializuar.</w:t>
      </w:r>
    </w:p>
    <w:p w14:paraId="77B1997E" w14:textId="77777777" w:rsidR="00627763" w:rsidRPr="00627763" w:rsidRDefault="00627763" w:rsidP="00627763">
      <w:pPr>
        <w:spacing w:before="240"/>
        <w:jc w:val="both"/>
        <w:rPr>
          <w:b/>
          <w:bCs/>
          <w:lang w:val="en-US"/>
        </w:rPr>
      </w:pPr>
      <w:r w:rsidRPr="00627763">
        <w:rPr>
          <w:b/>
          <w:bCs/>
          <w:lang w:val="en-US"/>
        </w:rPr>
        <w:t>Ndikimi mbi depozitarët dhe ofruesit e funksioneve të deleguara</w:t>
      </w:r>
    </w:p>
    <w:p w14:paraId="735A6F41" w14:textId="77777777" w:rsidR="00627763" w:rsidRPr="00627763" w:rsidRDefault="00627763" w:rsidP="00627763">
      <w:pPr>
        <w:spacing w:before="240"/>
        <w:jc w:val="both"/>
        <w:rPr>
          <w:lang w:val="en-US"/>
        </w:rPr>
      </w:pPr>
      <w:r w:rsidRPr="00627763">
        <w:rPr>
          <w:lang w:val="en-US"/>
        </w:rPr>
        <w:t>Ndikimi mbi depozitarët dhe ofruesit e funksioneve të deleguara pritet të jetë më i kufizuar. Mund të kërkohet rishikimi i marrëveshjeve kontraktore, linjave të raportimit, procedurave të kontrollit dhe mekanizmave të shkëmbimit të informacionit me shoqëritë administruese.</w:t>
      </w:r>
    </w:p>
    <w:p w14:paraId="6F6B13CF" w14:textId="77777777" w:rsidR="00627763" w:rsidRPr="00627763" w:rsidRDefault="00627763" w:rsidP="00627763">
      <w:pPr>
        <w:spacing w:before="240"/>
        <w:jc w:val="both"/>
        <w:rPr>
          <w:lang w:val="en-US"/>
        </w:rPr>
      </w:pPr>
      <w:r w:rsidRPr="00627763">
        <w:rPr>
          <w:lang w:val="en-US"/>
        </w:rPr>
        <w:t>Për këto subjekte nuk është përllogaritur një kosto e veçantë. Supozohet se pjesa më e madhe e kostove të lidhura me rishikimin e kontratave dhe funksioneve të deleguara përfshihet në kostot e përgjithshme të përshtatjes së shoqërive administruese.</w:t>
      </w:r>
    </w:p>
    <w:p w14:paraId="79E3EE7F" w14:textId="77777777" w:rsidR="00627763" w:rsidRPr="00627763" w:rsidRDefault="00627763" w:rsidP="00627763">
      <w:pPr>
        <w:spacing w:before="240"/>
        <w:jc w:val="both"/>
        <w:rPr>
          <w:lang w:val="en-US"/>
        </w:rPr>
      </w:pPr>
      <w:r w:rsidRPr="00627763">
        <w:rPr>
          <w:lang w:val="en-US"/>
        </w:rPr>
        <w:t>Ky supozim duhet të verifikohet gjatë konsultimit dhe zbatimit të akteve nënligjore, veçanërisht nëse kërkesat për raportimin ose sistemet e kontrollit kërkojnë investime të posaçme nga ofruesit e jashtëm.</w:t>
      </w:r>
    </w:p>
    <w:p w14:paraId="3841798B" w14:textId="77777777" w:rsidR="00627763" w:rsidRPr="00627763" w:rsidRDefault="00627763" w:rsidP="00627763">
      <w:pPr>
        <w:spacing w:before="240"/>
        <w:jc w:val="both"/>
        <w:rPr>
          <w:b/>
          <w:bCs/>
          <w:lang w:val="en-US"/>
        </w:rPr>
      </w:pPr>
      <w:r w:rsidRPr="00627763">
        <w:rPr>
          <w:b/>
          <w:bCs/>
          <w:lang w:val="en-US"/>
        </w:rPr>
        <w:t>Ndikimi mbi punëdhënësit</w:t>
      </w:r>
    </w:p>
    <w:p w14:paraId="42E0A9A1" w14:textId="77777777" w:rsidR="00627763" w:rsidRPr="00627763" w:rsidRDefault="00627763" w:rsidP="00627763">
      <w:pPr>
        <w:spacing w:before="240"/>
        <w:jc w:val="both"/>
        <w:rPr>
          <w:lang w:val="en-US"/>
        </w:rPr>
      </w:pPr>
      <w:r w:rsidRPr="00627763">
        <w:rPr>
          <w:lang w:val="en-US"/>
        </w:rPr>
        <w:t>Projektligji nuk vendos detyrim për punëdhënësit që të krijojnë një fond pensioni privat ose të kontribuojnë në emër të punëmarrësve. Për këtë arsye, nuk parashikohet kosto e drejtpërdrejtë shtesë për ta.</w:t>
      </w:r>
    </w:p>
    <w:p w14:paraId="3FD8610D" w14:textId="77777777" w:rsidR="00627763" w:rsidRPr="00627763" w:rsidRDefault="00627763" w:rsidP="00627763">
      <w:pPr>
        <w:spacing w:before="240"/>
        <w:jc w:val="both"/>
        <w:rPr>
          <w:lang w:val="en-US"/>
        </w:rPr>
      </w:pPr>
      <w:r w:rsidRPr="00627763">
        <w:rPr>
          <w:lang w:val="en-US"/>
        </w:rPr>
        <w:t>Punëdhënësit që kontribuojnë aktualisht për punëmarrësit mund të përfitojnë nga një kuadër më i qartë, nga administrimi më i mirë i rrezikut dhe nga informacioni më cilësor që u jepet punëmarrësve.</w:t>
      </w:r>
    </w:p>
    <w:p w14:paraId="6B100836" w14:textId="77777777" w:rsidR="00627763" w:rsidRPr="00627763" w:rsidRDefault="00627763" w:rsidP="00627763">
      <w:pPr>
        <w:spacing w:before="240"/>
        <w:jc w:val="both"/>
        <w:rPr>
          <w:lang w:val="en-US"/>
        </w:rPr>
      </w:pPr>
      <w:r w:rsidRPr="00627763">
        <w:rPr>
          <w:lang w:val="en-US"/>
        </w:rPr>
        <w:t xml:space="preserve">Më 31.12.2025, 22 660 anëtarë, ose 46,04 për qind e numrit të përgjithshëm të anëtarëve, kishin lidhur kontratë në kuadër të së cilës punëdhënësi kontribuonte në fondin me pjesëmarrje të hapur, pa krijuar një fond pensioni me pjesëmarrje të mbyllur. </w:t>
      </w:r>
    </w:p>
    <w:p w14:paraId="6117ED4F" w14:textId="77777777" w:rsidR="00627763" w:rsidRPr="00627763" w:rsidRDefault="00627763" w:rsidP="00627763">
      <w:pPr>
        <w:spacing w:before="240"/>
        <w:jc w:val="both"/>
        <w:rPr>
          <w:b/>
          <w:bCs/>
          <w:lang w:val="en-US"/>
        </w:rPr>
      </w:pPr>
      <w:r w:rsidRPr="00627763">
        <w:rPr>
          <w:b/>
          <w:bCs/>
          <w:lang w:val="en-US"/>
        </w:rPr>
        <w:t>Ndikimet jo të drejtpërdrejta</w:t>
      </w:r>
    </w:p>
    <w:p w14:paraId="6DF7ECE7" w14:textId="77777777" w:rsidR="00627763" w:rsidRPr="00627763" w:rsidRDefault="00627763" w:rsidP="00627763">
      <w:pPr>
        <w:spacing w:before="240"/>
        <w:jc w:val="both"/>
        <w:rPr>
          <w:lang w:val="en-US"/>
        </w:rPr>
      </w:pPr>
      <w:r w:rsidRPr="00627763">
        <w:rPr>
          <w:lang w:val="en-US"/>
        </w:rPr>
        <w:t>Ndikimi jo i drejtpërdrejtë më i rëndësishëm është rritja e mundshme e besimit në tregun e pensioneve private. Standardet më të plota për qeverisjen, administrimin e rrezikut, informacionin dhe mbikëqyrjen mund të përmirësojnë perceptimin e publikut për sigurinë dhe cilësinë e produkteve të pensionit privat.</w:t>
      </w:r>
    </w:p>
    <w:p w14:paraId="5B4847C3" w14:textId="77777777" w:rsidR="00627763" w:rsidRPr="00627763" w:rsidRDefault="00627763" w:rsidP="00627763">
      <w:pPr>
        <w:spacing w:before="240"/>
        <w:jc w:val="both"/>
        <w:rPr>
          <w:lang w:val="en-US"/>
        </w:rPr>
      </w:pPr>
      <w:r w:rsidRPr="00627763">
        <w:rPr>
          <w:lang w:val="en-US"/>
        </w:rPr>
        <w:t>Në afat më të gjatë, përmirësimi i sistemeve të kontrollit dhe i administrimit të rrezikut mund të ulë probabilitetin ose përmasën e humbjeve që mund të shkaktohen nga gabimet operative, konfliktet e interesit, mangësitë në proceset e investimit ose mosidentifikimi në kohë i rreziqeve.</w:t>
      </w:r>
    </w:p>
    <w:p w14:paraId="7EF5E8C4" w14:textId="77777777" w:rsidR="00627763" w:rsidRPr="00627763" w:rsidRDefault="00627763" w:rsidP="00627763">
      <w:pPr>
        <w:spacing w:before="240"/>
        <w:jc w:val="both"/>
        <w:rPr>
          <w:lang w:val="en-US"/>
        </w:rPr>
      </w:pPr>
      <w:r w:rsidRPr="00627763">
        <w:rPr>
          <w:lang w:val="en-US"/>
        </w:rPr>
        <w:t>Ky përfitim nuk mund të monetarizohet në mënyrë të besueshme, pasi nuk disponohen të dhëna të mjaftueshme për numrin e incidenteve të mëparshme, probabilitetin e tyre ose dëmin financiar që mund të ishte shmangur.</w:t>
      </w:r>
    </w:p>
    <w:p w14:paraId="3AEF9ABE" w14:textId="77777777" w:rsidR="00627763" w:rsidRPr="00627763" w:rsidRDefault="00627763" w:rsidP="00627763">
      <w:pPr>
        <w:spacing w:before="240"/>
        <w:jc w:val="both"/>
        <w:rPr>
          <w:lang w:val="en-US"/>
        </w:rPr>
      </w:pPr>
      <w:r w:rsidRPr="00627763">
        <w:rPr>
          <w:lang w:val="en-US"/>
        </w:rPr>
        <w:t>Përafrimi i plotë me Direktivën IORP II kontribuon gjithashtu në përmbushjen e detyrimeve të Shqipërisë në procesin e anëtarësimit në Bashkimin Evropian dhe në krijimin e kushteve për veprimtari ndërkufitare pas anëtarësimit. Përfitimet e integrimit evropian janë më të gjera se ndikimi i këtij projektligji dhe nuk mund t’i atribuohen ose monetarizohen veçmas në këtë analizë.</w:t>
      </w:r>
    </w:p>
    <w:p w14:paraId="15104876" w14:textId="77777777" w:rsidR="00627763" w:rsidRPr="00627763" w:rsidRDefault="00627763" w:rsidP="00627763">
      <w:pPr>
        <w:spacing w:before="240"/>
        <w:jc w:val="both"/>
        <w:rPr>
          <w:lang w:val="en-US"/>
        </w:rPr>
      </w:pPr>
      <w:r w:rsidRPr="00627763">
        <w:rPr>
          <w:lang w:val="en-US"/>
        </w:rPr>
        <w:t>Marrja në konsideratë e faktorëve mjedisorë, socialë dhe të qeverisjes mund të përmirësojë identifikimin e rreziqeve afatgjata në portofol. Kjo nuk nënkupton një detyrim për investime të caktuara ose një rritje automatike të kthimit financiar.</w:t>
      </w:r>
    </w:p>
    <w:p w14:paraId="2CB89DC0" w14:textId="77777777" w:rsidR="00627763" w:rsidRPr="00627763" w:rsidRDefault="00627763" w:rsidP="00627763">
      <w:pPr>
        <w:spacing w:before="240"/>
        <w:jc w:val="both"/>
        <w:rPr>
          <w:b/>
          <w:bCs/>
          <w:lang w:val="en-US"/>
        </w:rPr>
      </w:pPr>
      <w:r w:rsidRPr="00627763">
        <w:rPr>
          <w:b/>
          <w:bCs/>
          <w:lang w:val="en-US"/>
        </w:rPr>
        <w:t>Ndikimi mbi ndërmarrjet e vogla dhe të mesme</w:t>
      </w:r>
    </w:p>
    <w:p w14:paraId="4188A225" w14:textId="77777777" w:rsidR="00627763" w:rsidRPr="00627763" w:rsidRDefault="00627763" w:rsidP="00627763">
      <w:pPr>
        <w:spacing w:before="240"/>
        <w:jc w:val="both"/>
        <w:rPr>
          <w:lang w:val="en-US"/>
        </w:rPr>
      </w:pPr>
      <w:r w:rsidRPr="00627763">
        <w:rPr>
          <w:lang w:val="en-US"/>
        </w:rPr>
        <w:t>Nuk disponohen të dhëna të plota për klasifikimin e shoqërive administruese ose të ofruesve të funksioneve të deleguara si ndërmarrje të vogla ose të mesme. Për këtë arsye, ato nuk klasifikohen automatikisht si NVM në këtë analizë.</w:t>
      </w:r>
    </w:p>
    <w:p w14:paraId="31C145A7" w14:textId="77777777" w:rsidR="00627763" w:rsidRPr="00627763" w:rsidRDefault="00627763" w:rsidP="00627763">
      <w:pPr>
        <w:spacing w:before="240"/>
        <w:jc w:val="both"/>
        <w:rPr>
          <w:lang w:val="en-US"/>
        </w:rPr>
      </w:pPr>
      <w:r w:rsidRPr="00627763">
        <w:rPr>
          <w:lang w:val="en-US"/>
        </w:rPr>
        <w:t>Megjithatë, një pjesë e kostove të përshtatjes, veçanërisht kostot për funksionet kryesore, konsulencën, trajnimin dhe sistemet e informacionit, kanë karakter fiks. Për rrjedhojë, pesha relative e tyre mund të jetë më e lartë për një subjekt me më pak aktive, të ardhura ose personel.</w:t>
      </w:r>
    </w:p>
    <w:p w14:paraId="5E99D3D5" w14:textId="77777777" w:rsidR="00627763" w:rsidRPr="00627763" w:rsidRDefault="00627763" w:rsidP="00627763">
      <w:pPr>
        <w:spacing w:before="240"/>
        <w:jc w:val="both"/>
        <w:rPr>
          <w:lang w:val="en-US"/>
        </w:rPr>
      </w:pPr>
      <w:r w:rsidRPr="00627763">
        <w:rPr>
          <w:lang w:val="en-US"/>
        </w:rPr>
        <w:t>Supozimi për një kosto të njëjtë prej 1,25 milionë lekësh për çdo shoqëri është një mesatare analitike dhe nuk pasqyron domosdoshmërisht nivelin faktik të kostove të secilit operator. Zbatimi proporcional i kërkesave, sipas madhësisë, natyrës, shkallës dhe kompleksitetit të veprimtarisë, është i nevojshëm për të shmangur barrën e pajustifikuar mbi subjektet më të vogla.</w:t>
      </w:r>
    </w:p>
    <w:p w14:paraId="4E608D1C" w14:textId="77777777" w:rsidR="00627763" w:rsidRPr="00627763" w:rsidRDefault="00627763" w:rsidP="00627763">
      <w:pPr>
        <w:spacing w:before="240"/>
        <w:jc w:val="both"/>
        <w:rPr>
          <w:b/>
          <w:bCs/>
          <w:lang w:val="en-US"/>
        </w:rPr>
      </w:pPr>
      <w:r w:rsidRPr="00627763">
        <w:rPr>
          <w:b/>
          <w:bCs/>
          <w:lang w:val="en-US"/>
        </w:rPr>
        <w:t>Ndikimi mbi konkurrencën</w:t>
      </w:r>
    </w:p>
    <w:p w14:paraId="6912593D" w14:textId="1C6841AC" w:rsidR="00627763" w:rsidRPr="00627763" w:rsidRDefault="00627763" w:rsidP="00627763">
      <w:pPr>
        <w:spacing w:before="240"/>
        <w:jc w:val="both"/>
        <w:rPr>
          <w:lang w:val="en-US"/>
        </w:rPr>
      </w:pPr>
      <w:r w:rsidRPr="00627763">
        <w:rPr>
          <w:lang w:val="en-US"/>
        </w:rPr>
        <w:t xml:space="preserve">Në afat të shkurtër, Opsioni 1 nuk ndryshon drejtpërdrejt strukturën e tregut. Të gjitha shoqëritë administruese u nënshtrohen të njëjtave kërkesa dhe pritet të përballojnë </w:t>
      </w:r>
      <w:r w:rsidR="00DD713D">
        <w:rPr>
          <w:lang w:val="en-US"/>
        </w:rPr>
        <w:t>kosto</w:t>
      </w:r>
      <w:r w:rsidRPr="00627763">
        <w:rPr>
          <w:lang w:val="en-US"/>
        </w:rPr>
        <w:t xml:space="preserve"> të ngjashme.</w:t>
      </w:r>
    </w:p>
    <w:p w14:paraId="7FF672D7" w14:textId="4C828495" w:rsidR="00627763" w:rsidRPr="00627763" w:rsidRDefault="00627763" w:rsidP="00627763">
      <w:pPr>
        <w:spacing w:before="240"/>
        <w:jc w:val="both"/>
        <w:rPr>
          <w:lang w:val="en-US"/>
        </w:rPr>
      </w:pPr>
      <w:r w:rsidRPr="00627763">
        <w:rPr>
          <w:lang w:val="en-US"/>
        </w:rPr>
        <w:t xml:space="preserve">Kostot fikse të pajtueshmërisë mund të rrisin në mënyrë të kufizuar pengesat për hyrjen në treg, veçanërisht për operatorët e vegjël. Nga ana tjetër, një kuadër më i qartë dhe i përafruar me standardet e Bashkimit Evropian mund të ulë pasigurinë juridike dhe të krijojë kushte më të parashikueshme për </w:t>
      </w:r>
      <w:r w:rsidR="00DD713D">
        <w:rPr>
          <w:lang w:val="en-US"/>
        </w:rPr>
        <w:t>hyrjen</w:t>
      </w:r>
      <w:r w:rsidRPr="00627763">
        <w:rPr>
          <w:lang w:val="en-US"/>
        </w:rPr>
        <w:t xml:space="preserve"> potencial</w:t>
      </w:r>
      <w:r w:rsidR="00DD713D">
        <w:rPr>
          <w:lang w:val="en-US"/>
        </w:rPr>
        <w:t>e në treg</w:t>
      </w:r>
      <w:r w:rsidRPr="00627763">
        <w:rPr>
          <w:lang w:val="en-US"/>
        </w:rPr>
        <w:t>.</w:t>
      </w:r>
    </w:p>
    <w:p w14:paraId="2CA0A1B6" w14:textId="77777777" w:rsidR="00627763" w:rsidRPr="00627763" w:rsidRDefault="00627763" w:rsidP="00627763">
      <w:pPr>
        <w:spacing w:before="240"/>
        <w:jc w:val="both"/>
        <w:rPr>
          <w:lang w:val="en-US"/>
        </w:rPr>
      </w:pPr>
      <w:r w:rsidRPr="00627763">
        <w:rPr>
          <w:lang w:val="en-US"/>
        </w:rPr>
        <w:t>Pas anëtarësimit, rregullat për veprimtarinë ndërkufitare mund të krijojnë mundësi për hyrjen e operatorëve nga shtetet anëtare dhe për zgjerimin e veprimtarisë së subjekteve shqiptare. Ndikimi real mbi konkurrencën do të varet nga madhësia e tregut, kërkesa, kostot e hyrjes dhe interesi tregtar i operatorëve.</w:t>
      </w:r>
    </w:p>
    <w:p w14:paraId="0D9938CF" w14:textId="77777777" w:rsidR="006541BF" w:rsidRPr="00CC64D8" w:rsidRDefault="006541BF" w:rsidP="00CC64D8">
      <w:pPr>
        <w:spacing w:before="240"/>
        <w:jc w:val="both"/>
        <w:rPr>
          <w:lang w:val="en-US"/>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00"/>
        <w:gridCol w:w="1704"/>
        <w:gridCol w:w="3147"/>
        <w:gridCol w:w="3444"/>
      </w:tblGrid>
      <w:tr w:rsidR="00D0288E" w:rsidRPr="00D0288E" w14:paraId="3A9519F1" w14:textId="77777777" w:rsidTr="007C4C0B">
        <w:trPr>
          <w:tblHeader/>
          <w:tblCellSpacing w:w="15" w:type="dxa"/>
        </w:trPr>
        <w:tc>
          <w:tcPr>
            <w:tcW w:w="0" w:type="auto"/>
            <w:vAlign w:val="center"/>
            <w:hideMark/>
          </w:tcPr>
          <w:p w14:paraId="3C180B35" w14:textId="77777777" w:rsidR="00D0288E" w:rsidRPr="00D0288E" w:rsidRDefault="00D0288E" w:rsidP="00D0288E">
            <w:pPr>
              <w:spacing w:before="240"/>
              <w:jc w:val="both"/>
              <w:rPr>
                <w:b/>
                <w:bCs/>
                <w:lang w:val="en-US"/>
              </w:rPr>
            </w:pPr>
            <w:r w:rsidRPr="00D0288E">
              <w:rPr>
                <w:b/>
                <w:bCs/>
                <w:lang w:val="en-US"/>
              </w:rPr>
              <w:t>Grupi i prekur</w:t>
            </w:r>
          </w:p>
        </w:tc>
        <w:tc>
          <w:tcPr>
            <w:tcW w:w="0" w:type="auto"/>
            <w:vAlign w:val="center"/>
            <w:hideMark/>
          </w:tcPr>
          <w:p w14:paraId="0172BE69" w14:textId="77777777" w:rsidR="00D0288E" w:rsidRPr="00D0288E" w:rsidRDefault="00D0288E" w:rsidP="00D0288E">
            <w:pPr>
              <w:spacing w:before="240"/>
              <w:jc w:val="both"/>
              <w:rPr>
                <w:b/>
                <w:bCs/>
                <w:lang w:val="en-US"/>
              </w:rPr>
            </w:pPr>
            <w:r w:rsidRPr="00D0288E">
              <w:rPr>
                <w:b/>
                <w:bCs/>
                <w:lang w:val="en-US"/>
              </w:rPr>
              <w:t>Lloji i ndikimit</w:t>
            </w:r>
          </w:p>
        </w:tc>
        <w:tc>
          <w:tcPr>
            <w:tcW w:w="0" w:type="auto"/>
            <w:vAlign w:val="center"/>
            <w:hideMark/>
          </w:tcPr>
          <w:p w14:paraId="29FF6091" w14:textId="77777777" w:rsidR="00D0288E" w:rsidRPr="00D0288E" w:rsidRDefault="00D0288E" w:rsidP="00D0288E">
            <w:pPr>
              <w:spacing w:before="240"/>
              <w:jc w:val="both"/>
              <w:rPr>
                <w:b/>
                <w:bCs/>
                <w:lang w:val="en-US"/>
              </w:rPr>
            </w:pPr>
            <w:r w:rsidRPr="00D0288E">
              <w:rPr>
                <w:b/>
                <w:bCs/>
                <w:lang w:val="en-US"/>
              </w:rPr>
              <w:t>Përshkrimi cilësor</w:t>
            </w:r>
          </w:p>
        </w:tc>
        <w:tc>
          <w:tcPr>
            <w:tcW w:w="0" w:type="auto"/>
            <w:vAlign w:val="center"/>
            <w:hideMark/>
          </w:tcPr>
          <w:p w14:paraId="45286AC6" w14:textId="77777777" w:rsidR="00D0288E" w:rsidRPr="00D0288E" w:rsidRDefault="00D0288E" w:rsidP="00D0288E">
            <w:pPr>
              <w:spacing w:before="240"/>
              <w:jc w:val="both"/>
              <w:rPr>
                <w:b/>
                <w:bCs/>
                <w:lang w:val="en-US"/>
              </w:rPr>
            </w:pPr>
            <w:r w:rsidRPr="00D0288E">
              <w:rPr>
                <w:b/>
                <w:bCs/>
                <w:lang w:val="en-US"/>
              </w:rPr>
              <w:t>Vlerësimi sasior dhe monetar</w:t>
            </w:r>
          </w:p>
        </w:tc>
      </w:tr>
      <w:tr w:rsidR="00D0288E" w:rsidRPr="00D0288E" w14:paraId="697CC782" w14:textId="77777777" w:rsidTr="007C4C0B">
        <w:trPr>
          <w:tblCellSpacing w:w="15" w:type="dxa"/>
        </w:trPr>
        <w:tc>
          <w:tcPr>
            <w:tcW w:w="0" w:type="auto"/>
            <w:vAlign w:val="center"/>
            <w:hideMark/>
          </w:tcPr>
          <w:p w14:paraId="0510F2D8" w14:textId="77777777" w:rsidR="00D0288E" w:rsidRPr="00D0288E" w:rsidRDefault="00D0288E" w:rsidP="00D0288E">
            <w:pPr>
              <w:spacing w:before="240"/>
              <w:jc w:val="both"/>
              <w:rPr>
                <w:lang w:val="en-US"/>
              </w:rPr>
            </w:pPr>
            <w:r w:rsidRPr="00D0288E">
              <w:rPr>
                <w:lang w:val="en-US"/>
              </w:rPr>
              <w:t>Anëtarët dhe përfituesit</w:t>
            </w:r>
          </w:p>
        </w:tc>
        <w:tc>
          <w:tcPr>
            <w:tcW w:w="0" w:type="auto"/>
            <w:vAlign w:val="center"/>
            <w:hideMark/>
          </w:tcPr>
          <w:p w14:paraId="7640F619" w14:textId="77777777" w:rsidR="00D0288E" w:rsidRPr="00D0288E" w:rsidRDefault="00D0288E" w:rsidP="00D0288E">
            <w:pPr>
              <w:spacing w:before="240"/>
              <w:jc w:val="both"/>
              <w:rPr>
                <w:lang w:val="en-US"/>
              </w:rPr>
            </w:pPr>
            <w:r w:rsidRPr="00D0288E">
              <w:rPr>
                <w:lang w:val="en-US"/>
              </w:rPr>
              <w:t>Drejtpërdrejtë</w:t>
            </w:r>
          </w:p>
        </w:tc>
        <w:tc>
          <w:tcPr>
            <w:tcW w:w="0" w:type="auto"/>
            <w:vAlign w:val="center"/>
            <w:hideMark/>
          </w:tcPr>
          <w:p w14:paraId="352E0EAD" w14:textId="77777777" w:rsidR="00D0288E" w:rsidRPr="00D0288E" w:rsidRDefault="00D0288E" w:rsidP="00D0288E">
            <w:pPr>
              <w:spacing w:before="240"/>
              <w:jc w:val="both"/>
              <w:rPr>
                <w:lang w:val="en-US"/>
              </w:rPr>
            </w:pPr>
            <w:r w:rsidRPr="00D0288E">
              <w:rPr>
                <w:lang w:val="en-US"/>
              </w:rPr>
              <w:t>Mbrojtje më e plotë përmes forcimit të qeverisjes, administrimit të rrezikut dhe mbikëqyrjes; informacion më i standardizuar dhe i kuptueshëm.</w:t>
            </w:r>
          </w:p>
        </w:tc>
        <w:tc>
          <w:tcPr>
            <w:tcW w:w="0" w:type="auto"/>
            <w:vAlign w:val="center"/>
            <w:hideMark/>
          </w:tcPr>
          <w:p w14:paraId="42F5C469" w14:textId="77777777" w:rsidR="00D0288E" w:rsidRPr="00D0288E" w:rsidRDefault="00D0288E" w:rsidP="00D0288E">
            <w:pPr>
              <w:spacing w:before="240"/>
              <w:jc w:val="both"/>
              <w:rPr>
                <w:lang w:val="en-US"/>
              </w:rPr>
            </w:pPr>
            <w:r w:rsidRPr="00D0288E">
              <w:rPr>
                <w:lang w:val="en-US"/>
              </w:rPr>
              <w:t>49 218 anëtarë dhe 9,86 miliardë lekë aktive neto më 31.12.2025. Përfitimet monetarizohen pjesërisht nëpërmjet supozimit për rritje 0,1 pikë përqindjeje të kthimit real.</w:t>
            </w:r>
          </w:p>
        </w:tc>
      </w:tr>
      <w:tr w:rsidR="00D0288E" w:rsidRPr="00D0288E" w14:paraId="1A516364" w14:textId="77777777" w:rsidTr="007C4C0B">
        <w:trPr>
          <w:tblCellSpacing w:w="15" w:type="dxa"/>
        </w:trPr>
        <w:tc>
          <w:tcPr>
            <w:tcW w:w="0" w:type="auto"/>
            <w:vAlign w:val="center"/>
            <w:hideMark/>
          </w:tcPr>
          <w:p w14:paraId="72FEBE7C" w14:textId="77777777" w:rsidR="00D0288E" w:rsidRPr="00D0288E" w:rsidRDefault="00D0288E" w:rsidP="00D0288E">
            <w:pPr>
              <w:spacing w:before="240"/>
              <w:jc w:val="both"/>
              <w:rPr>
                <w:lang w:val="en-US"/>
              </w:rPr>
            </w:pPr>
            <w:r w:rsidRPr="00D0288E">
              <w:rPr>
                <w:lang w:val="en-US"/>
              </w:rPr>
              <w:t>Anëtarët dhe përfituesit</w:t>
            </w:r>
          </w:p>
        </w:tc>
        <w:tc>
          <w:tcPr>
            <w:tcW w:w="0" w:type="auto"/>
            <w:vAlign w:val="center"/>
            <w:hideMark/>
          </w:tcPr>
          <w:p w14:paraId="31DE8958" w14:textId="77777777" w:rsidR="00D0288E" w:rsidRPr="00D0288E" w:rsidRDefault="00D0288E" w:rsidP="00D0288E">
            <w:pPr>
              <w:spacing w:before="240"/>
              <w:jc w:val="both"/>
              <w:rPr>
                <w:lang w:val="en-US"/>
              </w:rPr>
            </w:pPr>
            <w:r w:rsidRPr="00D0288E">
              <w:rPr>
                <w:lang w:val="en-US"/>
              </w:rPr>
              <w:t>Jo i drejtpërdrejtë</w:t>
            </w:r>
          </w:p>
        </w:tc>
        <w:tc>
          <w:tcPr>
            <w:tcW w:w="0" w:type="auto"/>
            <w:vAlign w:val="center"/>
            <w:hideMark/>
          </w:tcPr>
          <w:p w14:paraId="4147B6D5" w14:textId="77777777" w:rsidR="00D0288E" w:rsidRPr="00D0288E" w:rsidRDefault="00D0288E" w:rsidP="00D0288E">
            <w:pPr>
              <w:spacing w:before="240"/>
              <w:jc w:val="both"/>
              <w:rPr>
                <w:lang w:val="en-US"/>
              </w:rPr>
            </w:pPr>
            <w:r w:rsidRPr="00D0288E">
              <w:rPr>
                <w:lang w:val="en-US"/>
              </w:rPr>
              <w:t>Ulje e mundshme e rrezikut të humbjeve operative ose të qeverisjes; rritje e mundshme e besimit dhe e vendimmarrjes së informuar.</w:t>
            </w:r>
          </w:p>
        </w:tc>
        <w:tc>
          <w:tcPr>
            <w:tcW w:w="0" w:type="auto"/>
            <w:vAlign w:val="center"/>
            <w:hideMark/>
          </w:tcPr>
          <w:p w14:paraId="773DD641" w14:textId="77777777" w:rsidR="00D0288E" w:rsidRPr="00D0288E" w:rsidRDefault="00D0288E" w:rsidP="00D0288E">
            <w:pPr>
              <w:spacing w:before="240"/>
              <w:jc w:val="both"/>
              <w:rPr>
                <w:lang w:val="en-US"/>
              </w:rPr>
            </w:pPr>
            <w:r w:rsidRPr="00D0288E">
              <w:rPr>
                <w:lang w:val="en-US"/>
              </w:rPr>
              <w:t>Nuk monetarizohet veçmas.</w:t>
            </w:r>
          </w:p>
        </w:tc>
      </w:tr>
      <w:tr w:rsidR="00D0288E" w:rsidRPr="00D0288E" w14:paraId="1F2EB55D" w14:textId="77777777" w:rsidTr="007C4C0B">
        <w:trPr>
          <w:tblCellSpacing w:w="15" w:type="dxa"/>
        </w:trPr>
        <w:tc>
          <w:tcPr>
            <w:tcW w:w="0" w:type="auto"/>
            <w:vAlign w:val="center"/>
            <w:hideMark/>
          </w:tcPr>
          <w:p w14:paraId="3F5EBCD5" w14:textId="77777777" w:rsidR="00D0288E" w:rsidRPr="00D0288E" w:rsidRDefault="00D0288E" w:rsidP="00D0288E">
            <w:pPr>
              <w:spacing w:before="240"/>
              <w:jc w:val="both"/>
              <w:rPr>
                <w:lang w:val="en-US"/>
              </w:rPr>
            </w:pPr>
            <w:r w:rsidRPr="00D0288E">
              <w:rPr>
                <w:lang w:val="en-US"/>
              </w:rPr>
              <w:t>Shoqëritë administruese</w:t>
            </w:r>
          </w:p>
        </w:tc>
        <w:tc>
          <w:tcPr>
            <w:tcW w:w="0" w:type="auto"/>
            <w:vAlign w:val="center"/>
            <w:hideMark/>
          </w:tcPr>
          <w:p w14:paraId="307F187D" w14:textId="77777777" w:rsidR="00D0288E" w:rsidRPr="00D0288E" w:rsidRDefault="00D0288E" w:rsidP="00D0288E">
            <w:pPr>
              <w:spacing w:before="240"/>
              <w:jc w:val="both"/>
              <w:rPr>
                <w:lang w:val="en-US"/>
              </w:rPr>
            </w:pPr>
            <w:r w:rsidRPr="00D0288E">
              <w:rPr>
                <w:lang w:val="en-US"/>
              </w:rPr>
              <w:t>Drejtpërdrejtë – kosto</w:t>
            </w:r>
          </w:p>
        </w:tc>
        <w:tc>
          <w:tcPr>
            <w:tcW w:w="0" w:type="auto"/>
            <w:vAlign w:val="center"/>
            <w:hideMark/>
          </w:tcPr>
          <w:p w14:paraId="16DB3679" w14:textId="77777777" w:rsidR="00D0288E" w:rsidRPr="00D0288E" w:rsidRDefault="00D0288E" w:rsidP="00D0288E">
            <w:pPr>
              <w:spacing w:before="240"/>
              <w:jc w:val="both"/>
              <w:rPr>
                <w:lang w:val="en-US"/>
              </w:rPr>
            </w:pPr>
            <w:r w:rsidRPr="00D0288E">
              <w:rPr>
                <w:lang w:val="en-US"/>
              </w:rPr>
              <w:t>Përshtatje e qeverisjes, administrimit të rrezikut, funksioneve kryesore dhe komunikimit me anëtarët.</w:t>
            </w:r>
          </w:p>
        </w:tc>
        <w:tc>
          <w:tcPr>
            <w:tcW w:w="0" w:type="auto"/>
            <w:vAlign w:val="center"/>
            <w:hideMark/>
          </w:tcPr>
          <w:p w14:paraId="72C5893C" w14:textId="77777777" w:rsidR="00D0288E" w:rsidRPr="00D0288E" w:rsidRDefault="00D0288E" w:rsidP="00D0288E">
            <w:pPr>
              <w:spacing w:before="240"/>
              <w:jc w:val="both"/>
              <w:rPr>
                <w:lang w:val="en-US"/>
              </w:rPr>
            </w:pPr>
            <w:r w:rsidRPr="00D0288E">
              <w:rPr>
                <w:lang w:val="en-US"/>
              </w:rPr>
              <w:t>1,25 milionë lekë për shoqëri në vit; 4 shoqëri; 5 milionë lekë në vit gjatë viteve 2–4; 15 milionë lekë nominalisht; rreth 13 milionë lekë në vlerë aktuale.</w:t>
            </w:r>
          </w:p>
        </w:tc>
      </w:tr>
      <w:tr w:rsidR="00D0288E" w:rsidRPr="00D0288E" w14:paraId="2ACAA246" w14:textId="77777777" w:rsidTr="007C4C0B">
        <w:trPr>
          <w:tblCellSpacing w:w="15" w:type="dxa"/>
        </w:trPr>
        <w:tc>
          <w:tcPr>
            <w:tcW w:w="0" w:type="auto"/>
            <w:vAlign w:val="center"/>
            <w:hideMark/>
          </w:tcPr>
          <w:p w14:paraId="5DF08048" w14:textId="77777777" w:rsidR="00D0288E" w:rsidRPr="00D0288E" w:rsidRDefault="00D0288E" w:rsidP="00D0288E">
            <w:pPr>
              <w:spacing w:before="240"/>
              <w:jc w:val="both"/>
              <w:rPr>
                <w:lang w:val="en-US"/>
              </w:rPr>
            </w:pPr>
            <w:r w:rsidRPr="00D0288E">
              <w:rPr>
                <w:lang w:val="en-US"/>
              </w:rPr>
              <w:t>Shoqëritë administruese</w:t>
            </w:r>
          </w:p>
        </w:tc>
        <w:tc>
          <w:tcPr>
            <w:tcW w:w="0" w:type="auto"/>
            <w:vAlign w:val="center"/>
            <w:hideMark/>
          </w:tcPr>
          <w:p w14:paraId="6E763FA4" w14:textId="77777777" w:rsidR="00D0288E" w:rsidRPr="00D0288E" w:rsidRDefault="00D0288E" w:rsidP="00D0288E">
            <w:pPr>
              <w:spacing w:before="240"/>
              <w:jc w:val="both"/>
              <w:rPr>
                <w:lang w:val="en-US"/>
              </w:rPr>
            </w:pPr>
            <w:r w:rsidRPr="00D0288E">
              <w:rPr>
                <w:lang w:val="en-US"/>
              </w:rPr>
              <w:t>Drejtpërdrejtë – përfitim</w:t>
            </w:r>
          </w:p>
        </w:tc>
        <w:tc>
          <w:tcPr>
            <w:tcW w:w="0" w:type="auto"/>
            <w:vAlign w:val="center"/>
            <w:hideMark/>
          </w:tcPr>
          <w:p w14:paraId="49746F96" w14:textId="77777777" w:rsidR="00D0288E" w:rsidRPr="00D0288E" w:rsidRDefault="00D0288E" w:rsidP="00D0288E">
            <w:pPr>
              <w:spacing w:before="240"/>
              <w:jc w:val="both"/>
              <w:rPr>
                <w:lang w:val="en-US"/>
              </w:rPr>
            </w:pPr>
            <w:r w:rsidRPr="00D0288E">
              <w:rPr>
                <w:lang w:val="en-US"/>
              </w:rPr>
              <w:t>Të ardhura të mundshme shtesë nga rritja e numrit të anëtarëve dhe e aktiveve nën administrim.</w:t>
            </w:r>
          </w:p>
        </w:tc>
        <w:tc>
          <w:tcPr>
            <w:tcW w:w="0" w:type="auto"/>
            <w:vAlign w:val="center"/>
            <w:hideMark/>
          </w:tcPr>
          <w:p w14:paraId="12E9B4D2" w14:textId="77777777" w:rsidR="00D0288E" w:rsidRPr="00D0288E" w:rsidRDefault="00D0288E" w:rsidP="00D0288E">
            <w:pPr>
              <w:spacing w:before="240"/>
              <w:jc w:val="both"/>
              <w:rPr>
                <w:lang w:val="en-US"/>
              </w:rPr>
            </w:pPr>
            <w:r w:rsidRPr="00D0288E">
              <w:rPr>
                <w:lang w:val="en-US"/>
              </w:rPr>
              <w:t>Mbështetet në supozimin për rritje shtesë 2 për qind të anëtarësimit dhe tarifë administrimi 2 për qind.</w:t>
            </w:r>
          </w:p>
        </w:tc>
      </w:tr>
      <w:tr w:rsidR="00D0288E" w:rsidRPr="00D0288E" w14:paraId="125C6B39" w14:textId="77777777" w:rsidTr="007C4C0B">
        <w:trPr>
          <w:tblCellSpacing w:w="15" w:type="dxa"/>
        </w:trPr>
        <w:tc>
          <w:tcPr>
            <w:tcW w:w="0" w:type="auto"/>
            <w:vAlign w:val="center"/>
            <w:hideMark/>
          </w:tcPr>
          <w:p w14:paraId="3AC023EF" w14:textId="77777777" w:rsidR="00D0288E" w:rsidRPr="00D0288E" w:rsidRDefault="00D0288E" w:rsidP="00D0288E">
            <w:pPr>
              <w:spacing w:before="240"/>
              <w:jc w:val="both"/>
              <w:rPr>
                <w:lang w:val="en-US"/>
              </w:rPr>
            </w:pPr>
            <w:r w:rsidRPr="00D0288E">
              <w:rPr>
                <w:lang w:val="en-US"/>
              </w:rPr>
              <w:t>Autoriteti i Mbikëqyrjes Financiare</w:t>
            </w:r>
          </w:p>
        </w:tc>
        <w:tc>
          <w:tcPr>
            <w:tcW w:w="0" w:type="auto"/>
            <w:vAlign w:val="center"/>
            <w:hideMark/>
          </w:tcPr>
          <w:p w14:paraId="782F4CC1" w14:textId="77777777" w:rsidR="00D0288E" w:rsidRPr="00D0288E" w:rsidRDefault="00D0288E" w:rsidP="00D0288E">
            <w:pPr>
              <w:spacing w:before="240"/>
              <w:jc w:val="both"/>
              <w:rPr>
                <w:lang w:val="en-US"/>
              </w:rPr>
            </w:pPr>
            <w:r w:rsidRPr="00D0288E">
              <w:rPr>
                <w:lang w:val="en-US"/>
              </w:rPr>
              <w:t>Drejtpërdrejtë</w:t>
            </w:r>
          </w:p>
        </w:tc>
        <w:tc>
          <w:tcPr>
            <w:tcW w:w="0" w:type="auto"/>
            <w:vAlign w:val="center"/>
            <w:hideMark/>
          </w:tcPr>
          <w:p w14:paraId="49A08C83" w14:textId="77777777" w:rsidR="00D0288E" w:rsidRPr="00D0288E" w:rsidRDefault="00D0288E" w:rsidP="00D0288E">
            <w:pPr>
              <w:spacing w:before="240"/>
              <w:jc w:val="both"/>
              <w:rPr>
                <w:lang w:val="en-US"/>
              </w:rPr>
            </w:pPr>
            <w:r w:rsidRPr="00D0288E">
              <w:rPr>
                <w:lang w:val="en-US"/>
              </w:rPr>
              <w:t>Hartim aktesh nënligjore, përditësim metodologjish, trajnim dhe mbikëqyrje; bazë më e plotë ligjore për ndërhyrje të hershme.</w:t>
            </w:r>
          </w:p>
        </w:tc>
        <w:tc>
          <w:tcPr>
            <w:tcW w:w="0" w:type="auto"/>
            <w:vAlign w:val="center"/>
            <w:hideMark/>
          </w:tcPr>
          <w:p w14:paraId="2F3B55EF" w14:textId="77777777" w:rsidR="00D0288E" w:rsidRPr="00D0288E" w:rsidRDefault="00D0288E" w:rsidP="00D0288E">
            <w:pPr>
              <w:spacing w:before="240"/>
              <w:jc w:val="both"/>
              <w:rPr>
                <w:lang w:val="en-US"/>
              </w:rPr>
            </w:pPr>
            <w:r w:rsidRPr="00D0288E">
              <w:rPr>
                <w:lang w:val="en-US"/>
              </w:rPr>
              <w:t>Kosto shtesë buxhetore e monetarizuar: 0 lekë. Kostot oportune të stafit nuk janë monetarizuar.</w:t>
            </w:r>
          </w:p>
        </w:tc>
      </w:tr>
      <w:tr w:rsidR="00D0288E" w:rsidRPr="00D0288E" w14:paraId="762EEEE6" w14:textId="77777777" w:rsidTr="007C4C0B">
        <w:trPr>
          <w:tblCellSpacing w:w="15" w:type="dxa"/>
        </w:trPr>
        <w:tc>
          <w:tcPr>
            <w:tcW w:w="0" w:type="auto"/>
            <w:vAlign w:val="center"/>
            <w:hideMark/>
          </w:tcPr>
          <w:p w14:paraId="7E8A226D" w14:textId="77777777" w:rsidR="00D0288E" w:rsidRPr="00D0288E" w:rsidRDefault="00D0288E" w:rsidP="00D0288E">
            <w:pPr>
              <w:spacing w:before="240"/>
              <w:jc w:val="both"/>
              <w:rPr>
                <w:lang w:val="en-US"/>
              </w:rPr>
            </w:pPr>
            <w:r w:rsidRPr="00D0288E">
              <w:rPr>
                <w:lang w:val="en-US"/>
              </w:rPr>
              <w:t>Depozitarët dhe ofruesit e funksioneve të deleguara</w:t>
            </w:r>
          </w:p>
        </w:tc>
        <w:tc>
          <w:tcPr>
            <w:tcW w:w="0" w:type="auto"/>
            <w:vAlign w:val="center"/>
            <w:hideMark/>
          </w:tcPr>
          <w:p w14:paraId="14579CB2" w14:textId="77777777" w:rsidR="00D0288E" w:rsidRPr="00D0288E" w:rsidRDefault="00D0288E" w:rsidP="00D0288E">
            <w:pPr>
              <w:spacing w:before="240"/>
              <w:jc w:val="both"/>
              <w:rPr>
                <w:lang w:val="en-US"/>
              </w:rPr>
            </w:pPr>
            <w:r w:rsidRPr="00D0288E">
              <w:rPr>
                <w:lang w:val="en-US"/>
              </w:rPr>
              <w:t>Drejtpërdrejtë</w:t>
            </w:r>
          </w:p>
        </w:tc>
        <w:tc>
          <w:tcPr>
            <w:tcW w:w="0" w:type="auto"/>
            <w:vAlign w:val="center"/>
            <w:hideMark/>
          </w:tcPr>
          <w:p w14:paraId="00231E20" w14:textId="77777777" w:rsidR="00D0288E" w:rsidRPr="00D0288E" w:rsidRDefault="00D0288E" w:rsidP="00D0288E">
            <w:pPr>
              <w:spacing w:before="240"/>
              <w:jc w:val="both"/>
              <w:rPr>
                <w:lang w:val="en-US"/>
              </w:rPr>
            </w:pPr>
            <w:r w:rsidRPr="00D0288E">
              <w:rPr>
                <w:lang w:val="en-US"/>
              </w:rPr>
              <w:t>Rishikim i mundshëm i marrëveshjeve, linjave të raportimit dhe procedurave të kontrollit.</w:t>
            </w:r>
          </w:p>
        </w:tc>
        <w:tc>
          <w:tcPr>
            <w:tcW w:w="0" w:type="auto"/>
            <w:vAlign w:val="center"/>
            <w:hideMark/>
          </w:tcPr>
          <w:p w14:paraId="5E4773B6" w14:textId="77777777" w:rsidR="00D0288E" w:rsidRPr="00D0288E" w:rsidRDefault="00D0288E" w:rsidP="00D0288E">
            <w:pPr>
              <w:spacing w:before="240"/>
              <w:jc w:val="both"/>
              <w:rPr>
                <w:lang w:val="en-US"/>
              </w:rPr>
            </w:pPr>
            <w:r w:rsidRPr="00D0288E">
              <w:rPr>
                <w:lang w:val="en-US"/>
              </w:rPr>
              <w:t>Nuk përllogaritet veçmas; supozohet se përfshihet pjesërisht në kostot e shoqërive administruese.</w:t>
            </w:r>
          </w:p>
        </w:tc>
      </w:tr>
      <w:tr w:rsidR="00D0288E" w:rsidRPr="00D0288E" w14:paraId="5C9BFAE4" w14:textId="77777777" w:rsidTr="007C4C0B">
        <w:trPr>
          <w:tblCellSpacing w:w="15" w:type="dxa"/>
        </w:trPr>
        <w:tc>
          <w:tcPr>
            <w:tcW w:w="0" w:type="auto"/>
            <w:vAlign w:val="center"/>
            <w:hideMark/>
          </w:tcPr>
          <w:p w14:paraId="018FD75C" w14:textId="77777777" w:rsidR="00D0288E" w:rsidRPr="00D0288E" w:rsidRDefault="00D0288E" w:rsidP="00D0288E">
            <w:pPr>
              <w:spacing w:before="240"/>
              <w:jc w:val="both"/>
              <w:rPr>
                <w:lang w:val="en-US"/>
              </w:rPr>
            </w:pPr>
            <w:r w:rsidRPr="00D0288E">
              <w:rPr>
                <w:lang w:val="en-US"/>
              </w:rPr>
              <w:t>Punëdhënësit kontribues</w:t>
            </w:r>
          </w:p>
        </w:tc>
        <w:tc>
          <w:tcPr>
            <w:tcW w:w="0" w:type="auto"/>
            <w:vAlign w:val="center"/>
            <w:hideMark/>
          </w:tcPr>
          <w:p w14:paraId="064583D2" w14:textId="77777777" w:rsidR="00D0288E" w:rsidRPr="00D0288E" w:rsidRDefault="00D0288E" w:rsidP="00D0288E">
            <w:pPr>
              <w:spacing w:before="240"/>
              <w:jc w:val="both"/>
              <w:rPr>
                <w:lang w:val="en-US"/>
              </w:rPr>
            </w:pPr>
            <w:r w:rsidRPr="00D0288E">
              <w:rPr>
                <w:lang w:val="en-US"/>
              </w:rPr>
              <w:t>Drejtpërdrejtë</w:t>
            </w:r>
          </w:p>
        </w:tc>
        <w:tc>
          <w:tcPr>
            <w:tcW w:w="0" w:type="auto"/>
            <w:vAlign w:val="center"/>
            <w:hideMark/>
          </w:tcPr>
          <w:p w14:paraId="33DEC6E3" w14:textId="77777777" w:rsidR="00D0288E" w:rsidRPr="00D0288E" w:rsidRDefault="00D0288E" w:rsidP="00D0288E">
            <w:pPr>
              <w:spacing w:before="240"/>
              <w:jc w:val="both"/>
              <w:rPr>
                <w:lang w:val="en-US"/>
              </w:rPr>
            </w:pPr>
            <w:r w:rsidRPr="00D0288E">
              <w:rPr>
                <w:lang w:val="en-US"/>
              </w:rPr>
              <w:t>Nuk krijohen detyrime të reja për kontribute; përmirësohet kuadri i administrimit të kursimeve të punëmarrësve.</w:t>
            </w:r>
          </w:p>
        </w:tc>
        <w:tc>
          <w:tcPr>
            <w:tcW w:w="0" w:type="auto"/>
            <w:vAlign w:val="center"/>
            <w:hideMark/>
          </w:tcPr>
          <w:p w14:paraId="0480CF43" w14:textId="77777777" w:rsidR="00D0288E" w:rsidRPr="00D0288E" w:rsidRDefault="00D0288E" w:rsidP="00D0288E">
            <w:pPr>
              <w:spacing w:before="240"/>
              <w:jc w:val="both"/>
              <w:rPr>
                <w:lang w:val="en-US"/>
              </w:rPr>
            </w:pPr>
            <w:r w:rsidRPr="00D0288E">
              <w:rPr>
                <w:lang w:val="en-US"/>
              </w:rPr>
              <w:t>22 660 anëtarë kishin kontribute nga punëdhënësi. Kosto e drejtpërdrejtë shtesë: 0 lekë.</w:t>
            </w:r>
          </w:p>
        </w:tc>
      </w:tr>
      <w:tr w:rsidR="00D0288E" w:rsidRPr="00D0288E" w14:paraId="2901B183" w14:textId="77777777" w:rsidTr="007C4C0B">
        <w:trPr>
          <w:tblCellSpacing w:w="15" w:type="dxa"/>
        </w:trPr>
        <w:tc>
          <w:tcPr>
            <w:tcW w:w="0" w:type="auto"/>
            <w:vAlign w:val="center"/>
            <w:hideMark/>
          </w:tcPr>
          <w:p w14:paraId="66F4F234" w14:textId="77777777" w:rsidR="00D0288E" w:rsidRPr="00D0288E" w:rsidRDefault="00D0288E" w:rsidP="00D0288E">
            <w:pPr>
              <w:spacing w:before="240"/>
              <w:jc w:val="both"/>
              <w:rPr>
                <w:lang w:val="en-US"/>
              </w:rPr>
            </w:pPr>
            <w:r w:rsidRPr="00D0288E">
              <w:rPr>
                <w:lang w:val="en-US"/>
              </w:rPr>
              <w:t>Qeveria dhe procesi i integrimit</w:t>
            </w:r>
          </w:p>
        </w:tc>
        <w:tc>
          <w:tcPr>
            <w:tcW w:w="0" w:type="auto"/>
            <w:vAlign w:val="center"/>
            <w:hideMark/>
          </w:tcPr>
          <w:p w14:paraId="5DFC904D" w14:textId="77777777" w:rsidR="00D0288E" w:rsidRPr="00D0288E" w:rsidRDefault="00D0288E" w:rsidP="00D0288E">
            <w:pPr>
              <w:spacing w:before="240"/>
              <w:jc w:val="both"/>
              <w:rPr>
                <w:lang w:val="en-US"/>
              </w:rPr>
            </w:pPr>
            <w:r w:rsidRPr="00D0288E">
              <w:rPr>
                <w:lang w:val="en-US"/>
              </w:rPr>
              <w:t>Drejtpërdrejtë dhe jo i drejtpërdrejtë</w:t>
            </w:r>
          </w:p>
        </w:tc>
        <w:tc>
          <w:tcPr>
            <w:tcW w:w="0" w:type="auto"/>
            <w:vAlign w:val="center"/>
            <w:hideMark/>
          </w:tcPr>
          <w:p w14:paraId="3D38CAE4" w14:textId="77777777" w:rsidR="00D0288E" w:rsidRPr="00D0288E" w:rsidRDefault="00D0288E" w:rsidP="00D0288E">
            <w:pPr>
              <w:spacing w:before="240"/>
              <w:jc w:val="both"/>
              <w:rPr>
                <w:lang w:val="en-US"/>
              </w:rPr>
            </w:pPr>
            <w:r w:rsidRPr="00D0288E">
              <w:rPr>
                <w:lang w:val="en-US"/>
              </w:rPr>
              <w:t>Realizohet përafrimi i plotë me IORP II dhe mbështetet përmbushja e detyrimeve të integrimit evropian.</w:t>
            </w:r>
          </w:p>
        </w:tc>
        <w:tc>
          <w:tcPr>
            <w:tcW w:w="0" w:type="auto"/>
            <w:vAlign w:val="center"/>
            <w:hideMark/>
          </w:tcPr>
          <w:p w14:paraId="46CC5C67" w14:textId="09FB21B8" w:rsidR="00D0288E" w:rsidRPr="00D0288E" w:rsidRDefault="00D0288E" w:rsidP="00D0288E">
            <w:pPr>
              <w:spacing w:before="240"/>
              <w:jc w:val="both"/>
              <w:rPr>
                <w:lang w:val="en-US"/>
              </w:rPr>
            </w:pPr>
            <w:r w:rsidRPr="00D0288E">
              <w:rPr>
                <w:lang w:val="en-US"/>
              </w:rPr>
              <w:t>Nuk monetarizohe</w:t>
            </w:r>
            <w:r w:rsidR="004D5E66">
              <w:rPr>
                <w:lang w:val="en-US"/>
              </w:rPr>
              <w:t>t</w:t>
            </w:r>
            <w:r w:rsidRPr="00D0288E">
              <w:rPr>
                <w:lang w:val="en-US"/>
              </w:rPr>
              <w:t>.</w:t>
            </w:r>
          </w:p>
        </w:tc>
      </w:tr>
      <w:tr w:rsidR="00D0288E" w:rsidRPr="00D0288E" w14:paraId="65F029C8" w14:textId="77777777" w:rsidTr="007C4C0B">
        <w:trPr>
          <w:tblCellSpacing w:w="15" w:type="dxa"/>
        </w:trPr>
        <w:tc>
          <w:tcPr>
            <w:tcW w:w="0" w:type="auto"/>
            <w:vAlign w:val="center"/>
            <w:hideMark/>
          </w:tcPr>
          <w:p w14:paraId="4103BD1D" w14:textId="77777777" w:rsidR="00D0288E" w:rsidRPr="00D0288E" w:rsidRDefault="00D0288E" w:rsidP="00D0288E">
            <w:pPr>
              <w:spacing w:before="240"/>
              <w:jc w:val="both"/>
              <w:rPr>
                <w:lang w:val="en-US"/>
              </w:rPr>
            </w:pPr>
            <w:r w:rsidRPr="00D0288E">
              <w:rPr>
                <w:lang w:val="en-US"/>
              </w:rPr>
              <w:t>Operatorët potencialë dhe ndërkufitarë</w:t>
            </w:r>
          </w:p>
        </w:tc>
        <w:tc>
          <w:tcPr>
            <w:tcW w:w="0" w:type="auto"/>
            <w:vAlign w:val="center"/>
            <w:hideMark/>
          </w:tcPr>
          <w:p w14:paraId="477AE929" w14:textId="77777777" w:rsidR="00D0288E" w:rsidRPr="00D0288E" w:rsidRDefault="00D0288E" w:rsidP="00D0288E">
            <w:pPr>
              <w:spacing w:before="240"/>
              <w:jc w:val="both"/>
              <w:rPr>
                <w:lang w:val="en-US"/>
              </w:rPr>
            </w:pPr>
            <w:r w:rsidRPr="00D0288E">
              <w:rPr>
                <w:lang w:val="en-US"/>
              </w:rPr>
              <w:t>Jo i drejtpërdrejtë</w:t>
            </w:r>
          </w:p>
        </w:tc>
        <w:tc>
          <w:tcPr>
            <w:tcW w:w="0" w:type="auto"/>
            <w:vAlign w:val="center"/>
            <w:hideMark/>
          </w:tcPr>
          <w:p w14:paraId="514FABC0" w14:textId="77777777" w:rsidR="00D0288E" w:rsidRPr="00D0288E" w:rsidRDefault="00D0288E" w:rsidP="00D0288E">
            <w:pPr>
              <w:spacing w:before="240"/>
              <w:jc w:val="both"/>
              <w:rPr>
                <w:lang w:val="en-US"/>
              </w:rPr>
            </w:pPr>
            <w:r w:rsidRPr="00D0288E">
              <w:rPr>
                <w:lang w:val="en-US"/>
              </w:rPr>
              <w:t>Rritet siguria juridike dhe krijohet mundësia për veprimtari ndërkufitare pas anëtarësimit.</w:t>
            </w:r>
          </w:p>
        </w:tc>
        <w:tc>
          <w:tcPr>
            <w:tcW w:w="0" w:type="auto"/>
            <w:vAlign w:val="center"/>
            <w:hideMark/>
          </w:tcPr>
          <w:p w14:paraId="787CC721" w14:textId="77777777" w:rsidR="00D0288E" w:rsidRPr="00D0288E" w:rsidRDefault="00D0288E" w:rsidP="00D0288E">
            <w:pPr>
              <w:spacing w:before="240"/>
              <w:jc w:val="both"/>
              <w:rPr>
                <w:lang w:val="en-US"/>
              </w:rPr>
            </w:pPr>
            <w:r w:rsidRPr="00D0288E">
              <w:rPr>
                <w:lang w:val="en-US"/>
              </w:rPr>
              <w:t>Kostot dhe përfitimet nuk përfshihen, pasi veprimtaria është vullnetare dhe e pasigurt.</w:t>
            </w:r>
          </w:p>
        </w:tc>
      </w:tr>
      <w:tr w:rsidR="00D0288E" w:rsidRPr="00D0288E" w14:paraId="728CE699" w14:textId="77777777" w:rsidTr="007C4C0B">
        <w:trPr>
          <w:tblCellSpacing w:w="15" w:type="dxa"/>
        </w:trPr>
        <w:tc>
          <w:tcPr>
            <w:tcW w:w="0" w:type="auto"/>
            <w:vAlign w:val="center"/>
            <w:hideMark/>
          </w:tcPr>
          <w:p w14:paraId="497FD3F8" w14:textId="77777777" w:rsidR="00D0288E" w:rsidRPr="00D0288E" w:rsidRDefault="00D0288E" w:rsidP="00D0288E">
            <w:pPr>
              <w:spacing w:before="240"/>
              <w:jc w:val="both"/>
              <w:rPr>
                <w:lang w:val="en-US"/>
              </w:rPr>
            </w:pPr>
            <w:r w:rsidRPr="00D0288E">
              <w:rPr>
                <w:lang w:val="en-US"/>
              </w:rPr>
              <w:t>Tregu financiar dhe ekonomia</w:t>
            </w:r>
          </w:p>
        </w:tc>
        <w:tc>
          <w:tcPr>
            <w:tcW w:w="0" w:type="auto"/>
            <w:vAlign w:val="center"/>
            <w:hideMark/>
          </w:tcPr>
          <w:p w14:paraId="47F3A3AA" w14:textId="77777777" w:rsidR="00D0288E" w:rsidRPr="00D0288E" w:rsidRDefault="00D0288E" w:rsidP="00D0288E">
            <w:pPr>
              <w:spacing w:before="240"/>
              <w:jc w:val="both"/>
              <w:rPr>
                <w:lang w:val="en-US"/>
              </w:rPr>
            </w:pPr>
            <w:r w:rsidRPr="00D0288E">
              <w:rPr>
                <w:lang w:val="en-US"/>
              </w:rPr>
              <w:t>Jo i drejtpërdrejtë</w:t>
            </w:r>
          </w:p>
        </w:tc>
        <w:tc>
          <w:tcPr>
            <w:tcW w:w="0" w:type="auto"/>
            <w:vAlign w:val="center"/>
            <w:hideMark/>
          </w:tcPr>
          <w:p w14:paraId="68DA910A" w14:textId="77777777" w:rsidR="00D0288E" w:rsidRPr="00D0288E" w:rsidRDefault="00D0288E" w:rsidP="00D0288E">
            <w:pPr>
              <w:spacing w:before="240"/>
              <w:jc w:val="both"/>
              <w:rPr>
                <w:lang w:val="en-US"/>
              </w:rPr>
            </w:pPr>
            <w:r w:rsidRPr="00D0288E">
              <w:rPr>
                <w:lang w:val="en-US"/>
              </w:rPr>
              <w:t>Rritje e mundshme e besimit, kursimeve afatgjata dhe integrimit me tregun evropian.</w:t>
            </w:r>
          </w:p>
        </w:tc>
        <w:tc>
          <w:tcPr>
            <w:tcW w:w="0" w:type="auto"/>
            <w:vAlign w:val="center"/>
            <w:hideMark/>
          </w:tcPr>
          <w:p w14:paraId="23FB1622" w14:textId="61B0285F" w:rsidR="00D0288E" w:rsidRPr="00D0288E" w:rsidRDefault="00D0288E" w:rsidP="00D0288E">
            <w:pPr>
              <w:spacing w:before="240"/>
              <w:jc w:val="both"/>
              <w:rPr>
                <w:lang w:val="en-US"/>
              </w:rPr>
            </w:pPr>
            <w:r w:rsidRPr="00D0288E">
              <w:rPr>
                <w:lang w:val="en-US"/>
              </w:rPr>
              <w:t xml:space="preserve">Nuk monetarizohet </w:t>
            </w:r>
            <w:r w:rsidR="004D5E66">
              <w:rPr>
                <w:lang w:val="en-US"/>
              </w:rPr>
              <w:t>dot.</w:t>
            </w:r>
          </w:p>
        </w:tc>
      </w:tr>
    </w:tbl>
    <w:p w14:paraId="3C25C930" w14:textId="452F65A6" w:rsidR="0028615B" w:rsidRPr="0028615B" w:rsidRDefault="0028615B" w:rsidP="0028615B">
      <w:pPr>
        <w:spacing w:before="240"/>
        <w:jc w:val="both"/>
        <w:rPr>
          <w:lang w:val="en-US"/>
        </w:rPr>
      </w:pPr>
      <w:r w:rsidRPr="0028615B">
        <w:rPr>
          <w:lang w:val="en-US"/>
        </w:rPr>
        <w:t xml:space="preserve">Sipas </w:t>
      </w:r>
      <w:r w:rsidR="00CB30B5">
        <w:rPr>
          <w:lang w:val="en-US"/>
        </w:rPr>
        <w:t xml:space="preserve">këtij </w:t>
      </w:r>
      <w:r w:rsidRPr="0028615B">
        <w:rPr>
          <w:lang w:val="en-US"/>
        </w:rPr>
        <w:t>skenari,</w:t>
      </w:r>
      <w:r w:rsidR="00CB30B5">
        <w:rPr>
          <w:lang w:val="en-US"/>
        </w:rPr>
        <w:t xml:space="preserve"> të ilustruar më hollësisht në aneksin e këtij dokumenti,</w:t>
      </w:r>
      <w:r w:rsidRPr="0028615B">
        <w:rPr>
          <w:lang w:val="en-US"/>
        </w:rPr>
        <w:t xml:space="preserve"> vlera aktuale e kostove të Opsionit 1 është rreth 13 milionë lekë, ndërsa vlera aktuale e përfitimeve të monetarizuara është rreth 85,7 milionë lekë. Për rrjedhojë, vlera aktuale neto e këtij opsioni vlerësohet në rreth 72,7 milionë lekë.</w:t>
      </w:r>
    </w:p>
    <w:p w14:paraId="10A3FF59" w14:textId="574E684C" w:rsidR="0028615B" w:rsidRPr="0028615B" w:rsidRDefault="00CB30B5" w:rsidP="0028615B">
      <w:pPr>
        <w:spacing w:before="240"/>
        <w:jc w:val="both"/>
        <w:rPr>
          <w:lang w:val="en-US"/>
        </w:rPr>
      </w:pPr>
      <w:r>
        <w:rPr>
          <w:lang w:val="en-US"/>
        </w:rPr>
        <w:t>Ky r</w:t>
      </w:r>
      <w:r w:rsidR="0028615B" w:rsidRPr="0028615B">
        <w:rPr>
          <w:lang w:val="en-US"/>
        </w:rPr>
        <w:t>ezultat tregon se përfitimet e pritshme nga forcimi i qeverisjes, administrimit të rrezikut, informimit të anëtarëve dhe rritjes së mundshme të besimit në treg tejkalojnë kostot e drejtpërdrejta të përshtatjes së shoqërive administruese. Megjithatë, kjo vlerë duhet të interpretohet si skenari më i mirë i disponueshëm për qëllime vlerësimi dhe jo si rezultat financiar i garantuar, pasi mbështetet në supozime për rritjen shtesë të anëtarësimit dhe përmirësimin e kthimit real nga investimi.</w:t>
      </w:r>
    </w:p>
    <w:p w14:paraId="7E87A2B0" w14:textId="77777777" w:rsidR="0028615B" w:rsidRDefault="0028615B" w:rsidP="0028615B">
      <w:pPr>
        <w:spacing w:before="240"/>
        <w:jc w:val="both"/>
        <w:rPr>
          <w:lang w:val="en-US"/>
        </w:rPr>
      </w:pPr>
      <w:r w:rsidRPr="0028615B">
        <w:rPr>
          <w:lang w:val="en-US"/>
        </w:rPr>
        <w:t>Krahas rezultatit pozitiv monetar, Opsioni 1 sjell edhe përfitime të rëndësishme që nuk janë monetarizuar, përfshirë rritjen e sigurisë juridike, forcimin e mbrojtjes së anëtarëve dhe përfituesve, konsolidimin e mbikëqyrjes me bazë rreziku dhe përmbushjen e detyrimeve të përafrimit me Direktivën IORP II. Në krahasim me miratimin e një ligji të ri, ky opsion i realizon këto përfitime duke ruajtur vazhdimësinë e kuadrit ekzistues dhe duke kufizuar kostot dhe rreziqet e tranzicionit. Për këtë arsye, rezultati monetar pozitiv përforcohet edhe nga avantazhet e tij cilësore dhe institucionale.</w:t>
      </w:r>
    </w:p>
    <w:p w14:paraId="1D697E58" w14:textId="77777777" w:rsidR="00A808A1" w:rsidRPr="00627763" w:rsidRDefault="00A808A1" w:rsidP="00A808A1">
      <w:pPr>
        <w:spacing w:before="240"/>
        <w:jc w:val="both"/>
        <w:rPr>
          <w:b/>
          <w:bCs/>
          <w:lang w:val="en-US"/>
        </w:rPr>
      </w:pPr>
      <w:r w:rsidRPr="00627763">
        <w:rPr>
          <w:b/>
          <w:bCs/>
          <w:lang w:val="en-US"/>
        </w:rPr>
        <w:t>Kufizimet, supozimet dhe rreziqet e analizës</w:t>
      </w:r>
    </w:p>
    <w:p w14:paraId="7320B2A8" w14:textId="77777777" w:rsidR="00A808A1" w:rsidRPr="00627763" w:rsidRDefault="00A808A1" w:rsidP="00A808A1">
      <w:pPr>
        <w:spacing w:before="240"/>
        <w:jc w:val="both"/>
        <w:rPr>
          <w:lang w:val="en-US"/>
        </w:rPr>
      </w:pPr>
      <w:r w:rsidRPr="00627763">
        <w:rPr>
          <w:lang w:val="en-US"/>
        </w:rPr>
        <w:t>Përllogaritjet monetare bazohen në supozimet e mëposhtme:</w:t>
      </w:r>
    </w:p>
    <w:p w14:paraId="4872DC2E" w14:textId="77777777" w:rsidR="00A808A1" w:rsidRPr="00627763" w:rsidRDefault="00A808A1" w:rsidP="008E4E22">
      <w:pPr>
        <w:numPr>
          <w:ilvl w:val="0"/>
          <w:numId w:val="36"/>
        </w:numPr>
        <w:spacing w:before="240"/>
        <w:jc w:val="both"/>
        <w:rPr>
          <w:lang w:val="en-US"/>
        </w:rPr>
      </w:pPr>
      <w:r w:rsidRPr="00627763">
        <w:rPr>
          <w:lang w:val="en-US"/>
        </w:rPr>
        <w:t xml:space="preserve">periudhë vlerësimi 10-vjeçare; </w:t>
      </w:r>
    </w:p>
    <w:p w14:paraId="7975A201" w14:textId="77777777" w:rsidR="00A808A1" w:rsidRPr="00627763" w:rsidRDefault="00A808A1" w:rsidP="008E4E22">
      <w:pPr>
        <w:numPr>
          <w:ilvl w:val="0"/>
          <w:numId w:val="36"/>
        </w:numPr>
        <w:spacing w:before="240"/>
        <w:jc w:val="both"/>
        <w:rPr>
          <w:lang w:val="en-US"/>
        </w:rPr>
      </w:pPr>
      <w:r w:rsidRPr="00627763">
        <w:rPr>
          <w:lang w:val="en-US"/>
        </w:rPr>
        <w:t xml:space="preserve">normë skontimi 5 për qind; </w:t>
      </w:r>
    </w:p>
    <w:p w14:paraId="30D503A4" w14:textId="77777777" w:rsidR="00A808A1" w:rsidRPr="00627763" w:rsidRDefault="00A808A1" w:rsidP="008E4E22">
      <w:pPr>
        <w:numPr>
          <w:ilvl w:val="0"/>
          <w:numId w:val="36"/>
        </w:numPr>
        <w:spacing w:before="240"/>
        <w:jc w:val="both"/>
        <w:rPr>
          <w:lang w:val="en-US"/>
        </w:rPr>
      </w:pPr>
      <w:r w:rsidRPr="00627763">
        <w:rPr>
          <w:lang w:val="en-US"/>
        </w:rPr>
        <w:t xml:space="preserve">katër shoqëri administruese; </w:t>
      </w:r>
    </w:p>
    <w:p w14:paraId="76F9670B" w14:textId="77777777" w:rsidR="00A808A1" w:rsidRPr="00627763" w:rsidRDefault="00A808A1" w:rsidP="008E4E22">
      <w:pPr>
        <w:numPr>
          <w:ilvl w:val="0"/>
          <w:numId w:val="36"/>
        </w:numPr>
        <w:spacing w:before="240"/>
        <w:jc w:val="both"/>
        <w:rPr>
          <w:lang w:val="en-US"/>
        </w:rPr>
      </w:pPr>
      <w:r w:rsidRPr="00627763">
        <w:rPr>
          <w:lang w:val="en-US"/>
        </w:rPr>
        <w:t xml:space="preserve">kosto prej 1,25 milionë lekësh për çdo shoqëri administruese në vit; </w:t>
      </w:r>
    </w:p>
    <w:p w14:paraId="58F3013D" w14:textId="77777777" w:rsidR="00A808A1" w:rsidRPr="00627763" w:rsidRDefault="00A808A1" w:rsidP="008E4E22">
      <w:pPr>
        <w:numPr>
          <w:ilvl w:val="0"/>
          <w:numId w:val="36"/>
        </w:numPr>
        <w:spacing w:before="240"/>
        <w:jc w:val="both"/>
        <w:rPr>
          <w:lang w:val="en-US"/>
        </w:rPr>
      </w:pPr>
      <w:r w:rsidRPr="00627763">
        <w:rPr>
          <w:lang w:val="en-US"/>
        </w:rPr>
        <w:t xml:space="preserve">zbatimi i kostove gjatë viteve 2, 3 dhe 4; </w:t>
      </w:r>
    </w:p>
    <w:p w14:paraId="7D835EE4" w14:textId="77777777" w:rsidR="00A808A1" w:rsidRPr="00627763" w:rsidRDefault="00A808A1" w:rsidP="008E4E22">
      <w:pPr>
        <w:numPr>
          <w:ilvl w:val="0"/>
          <w:numId w:val="36"/>
        </w:numPr>
        <w:spacing w:before="240"/>
        <w:jc w:val="both"/>
        <w:rPr>
          <w:lang w:val="en-US"/>
        </w:rPr>
      </w:pPr>
      <w:r w:rsidRPr="00627763">
        <w:rPr>
          <w:lang w:val="en-US"/>
        </w:rPr>
        <w:t xml:space="preserve">rritje bazë vjetore prej 7 për qind e anëtarëve dhe aktiveve; </w:t>
      </w:r>
    </w:p>
    <w:p w14:paraId="33DC59F3" w14:textId="77777777" w:rsidR="00A808A1" w:rsidRPr="00627763" w:rsidRDefault="00A808A1" w:rsidP="008E4E22">
      <w:pPr>
        <w:numPr>
          <w:ilvl w:val="0"/>
          <w:numId w:val="36"/>
        </w:numPr>
        <w:spacing w:before="240"/>
        <w:jc w:val="both"/>
        <w:rPr>
          <w:lang w:val="en-US"/>
        </w:rPr>
      </w:pPr>
      <w:r w:rsidRPr="00627763">
        <w:rPr>
          <w:lang w:val="en-US"/>
        </w:rPr>
        <w:t xml:space="preserve">rritje shtesë prej 2 për qind e numrit të anëtarëve; </w:t>
      </w:r>
    </w:p>
    <w:p w14:paraId="27738257" w14:textId="77777777" w:rsidR="00A808A1" w:rsidRPr="00627763" w:rsidRDefault="00A808A1" w:rsidP="008E4E22">
      <w:pPr>
        <w:numPr>
          <w:ilvl w:val="0"/>
          <w:numId w:val="36"/>
        </w:numPr>
        <w:spacing w:before="240"/>
        <w:jc w:val="both"/>
        <w:rPr>
          <w:lang w:val="en-US"/>
        </w:rPr>
      </w:pPr>
      <w:r w:rsidRPr="00627763">
        <w:rPr>
          <w:lang w:val="en-US"/>
        </w:rPr>
        <w:t xml:space="preserve">tarifë administrimi prej 2 për qind mbi kontributet dhe aktivet shtesë; </w:t>
      </w:r>
    </w:p>
    <w:p w14:paraId="155C0CE3" w14:textId="77777777" w:rsidR="00A808A1" w:rsidRPr="00627763" w:rsidRDefault="00A808A1" w:rsidP="008E4E22">
      <w:pPr>
        <w:numPr>
          <w:ilvl w:val="0"/>
          <w:numId w:val="36"/>
        </w:numPr>
        <w:spacing w:before="240"/>
        <w:jc w:val="both"/>
        <w:rPr>
          <w:lang w:val="en-US"/>
        </w:rPr>
      </w:pPr>
      <w:r w:rsidRPr="00627763">
        <w:rPr>
          <w:lang w:val="en-US"/>
        </w:rPr>
        <w:t xml:space="preserve">përmirësim prej 0,1 pikë përqindjeje i kthimit real vjetor; </w:t>
      </w:r>
    </w:p>
    <w:p w14:paraId="07672CAC" w14:textId="77777777" w:rsidR="00A808A1" w:rsidRPr="00627763" w:rsidRDefault="00A808A1" w:rsidP="008E4E22">
      <w:pPr>
        <w:numPr>
          <w:ilvl w:val="0"/>
          <w:numId w:val="36"/>
        </w:numPr>
        <w:spacing w:before="240"/>
        <w:jc w:val="both"/>
        <w:rPr>
          <w:lang w:val="en-US"/>
        </w:rPr>
      </w:pPr>
      <w:r w:rsidRPr="00627763">
        <w:rPr>
          <w:lang w:val="en-US"/>
        </w:rPr>
        <w:t xml:space="preserve">mungesë e kostove të drejtpërdrejta shtesë për buxhetin; </w:t>
      </w:r>
    </w:p>
    <w:p w14:paraId="1C296B8C" w14:textId="77777777" w:rsidR="00A808A1" w:rsidRPr="00627763" w:rsidRDefault="00A808A1" w:rsidP="008E4E22">
      <w:pPr>
        <w:numPr>
          <w:ilvl w:val="0"/>
          <w:numId w:val="36"/>
        </w:numPr>
        <w:spacing w:before="240"/>
        <w:jc w:val="both"/>
        <w:rPr>
          <w:lang w:val="en-US"/>
        </w:rPr>
      </w:pPr>
      <w:r w:rsidRPr="00627763">
        <w:rPr>
          <w:lang w:val="en-US"/>
        </w:rPr>
        <w:t xml:space="preserve">mospërfshirje e kostove të veprimtarisë ndërkufitare. </w:t>
      </w:r>
    </w:p>
    <w:p w14:paraId="7C0FA203" w14:textId="77777777" w:rsidR="00A808A1" w:rsidRPr="00627763" w:rsidRDefault="00A808A1" w:rsidP="00A808A1">
      <w:pPr>
        <w:spacing w:before="240"/>
        <w:jc w:val="both"/>
        <w:rPr>
          <w:lang w:val="en-US"/>
        </w:rPr>
      </w:pPr>
      <w:r w:rsidRPr="00627763">
        <w:rPr>
          <w:lang w:val="en-US"/>
        </w:rPr>
        <w:t>Supozimet më të pasigurta janë rritja shtesë e numrit të anëtarëve dhe përmirësimi i kthimit nga investimi. Këto ndikohen nga faktorë të jashtëm dhe nuk mund t’i atribuohen plotësisht ndryshimeve ligjore. Për këtë arsye, rezultati monetar përfaqëson skenarin më të mirë të disponueshëm për vlerësim dhe jo një rezultat të garantuar.</w:t>
      </w:r>
    </w:p>
    <w:p w14:paraId="7EC74A37" w14:textId="77777777" w:rsidR="00A808A1" w:rsidRPr="00627763" w:rsidRDefault="00A808A1" w:rsidP="00A808A1">
      <w:pPr>
        <w:spacing w:before="240"/>
        <w:jc w:val="both"/>
        <w:rPr>
          <w:lang w:val="en-US"/>
        </w:rPr>
      </w:pPr>
      <w:r w:rsidRPr="00627763">
        <w:rPr>
          <w:lang w:val="en-US"/>
        </w:rPr>
        <w:t>Realizimi i përfitimeve mund të pengohet nga:</w:t>
      </w:r>
    </w:p>
    <w:p w14:paraId="3E772D5F" w14:textId="77777777" w:rsidR="00A808A1" w:rsidRPr="00627763" w:rsidRDefault="00A808A1" w:rsidP="008E4E22">
      <w:pPr>
        <w:numPr>
          <w:ilvl w:val="0"/>
          <w:numId w:val="37"/>
        </w:numPr>
        <w:spacing w:before="240"/>
        <w:jc w:val="both"/>
        <w:rPr>
          <w:lang w:val="en-US"/>
        </w:rPr>
      </w:pPr>
      <w:r w:rsidRPr="00627763">
        <w:rPr>
          <w:lang w:val="en-US"/>
        </w:rPr>
        <w:t xml:space="preserve">vonesat në miratimin e akteve nënligjore; </w:t>
      </w:r>
    </w:p>
    <w:p w14:paraId="7D14660E" w14:textId="77777777" w:rsidR="00A808A1" w:rsidRPr="00627763" w:rsidRDefault="00A808A1" w:rsidP="008E4E22">
      <w:pPr>
        <w:numPr>
          <w:ilvl w:val="0"/>
          <w:numId w:val="37"/>
        </w:numPr>
        <w:spacing w:before="240"/>
        <w:jc w:val="both"/>
        <w:rPr>
          <w:lang w:val="en-US"/>
        </w:rPr>
      </w:pPr>
      <w:r w:rsidRPr="00627763">
        <w:rPr>
          <w:lang w:val="en-US"/>
        </w:rPr>
        <w:t xml:space="preserve">periudhat e pamjaftueshme të përshtatjes; </w:t>
      </w:r>
    </w:p>
    <w:p w14:paraId="129C3168" w14:textId="77777777" w:rsidR="00A808A1" w:rsidRPr="00627763" w:rsidRDefault="00A808A1" w:rsidP="008E4E22">
      <w:pPr>
        <w:numPr>
          <w:ilvl w:val="0"/>
          <w:numId w:val="37"/>
        </w:numPr>
        <w:spacing w:before="240"/>
        <w:jc w:val="both"/>
        <w:rPr>
          <w:lang w:val="en-US"/>
        </w:rPr>
      </w:pPr>
      <w:r w:rsidRPr="00627763">
        <w:rPr>
          <w:lang w:val="en-US"/>
        </w:rPr>
        <w:t xml:space="preserve">interpretimi jo i njëtrajtshëm i kërkesave; </w:t>
      </w:r>
    </w:p>
    <w:p w14:paraId="0D202240" w14:textId="77777777" w:rsidR="00A808A1" w:rsidRPr="00627763" w:rsidRDefault="00A808A1" w:rsidP="008E4E22">
      <w:pPr>
        <w:numPr>
          <w:ilvl w:val="0"/>
          <w:numId w:val="37"/>
        </w:numPr>
        <w:spacing w:before="240"/>
        <w:jc w:val="both"/>
        <w:rPr>
          <w:lang w:val="en-US"/>
        </w:rPr>
      </w:pPr>
      <w:r w:rsidRPr="00627763">
        <w:rPr>
          <w:lang w:val="en-US"/>
        </w:rPr>
        <w:t xml:space="preserve">mungesa e personave me ekspertizën e nevojshme për funksionet kryesore; </w:t>
      </w:r>
    </w:p>
    <w:p w14:paraId="24CE9EF5" w14:textId="77777777" w:rsidR="00A808A1" w:rsidRPr="00627763" w:rsidRDefault="00A808A1" w:rsidP="008E4E22">
      <w:pPr>
        <w:numPr>
          <w:ilvl w:val="0"/>
          <w:numId w:val="37"/>
        </w:numPr>
        <w:spacing w:before="240"/>
        <w:jc w:val="both"/>
        <w:rPr>
          <w:lang w:val="en-US"/>
        </w:rPr>
      </w:pPr>
      <w:r w:rsidRPr="00627763">
        <w:rPr>
          <w:lang w:val="en-US"/>
        </w:rPr>
        <w:t xml:space="preserve">zbatimi formal i politikave pa integrimin e tyre në vendimmarrjen reale; </w:t>
      </w:r>
    </w:p>
    <w:p w14:paraId="25B4EF34" w14:textId="77777777" w:rsidR="00A808A1" w:rsidRPr="00627763" w:rsidRDefault="00A808A1" w:rsidP="008E4E22">
      <w:pPr>
        <w:numPr>
          <w:ilvl w:val="0"/>
          <w:numId w:val="37"/>
        </w:numPr>
        <w:spacing w:before="240"/>
        <w:jc w:val="both"/>
        <w:rPr>
          <w:lang w:val="en-US"/>
        </w:rPr>
      </w:pPr>
      <w:r w:rsidRPr="00627763">
        <w:rPr>
          <w:lang w:val="en-US"/>
        </w:rPr>
        <w:t xml:space="preserve">kapacitetet e kufizuara mbikëqyrëse; </w:t>
      </w:r>
    </w:p>
    <w:p w14:paraId="29495B55" w14:textId="77777777" w:rsidR="00A808A1" w:rsidRPr="00627763" w:rsidRDefault="00A808A1" w:rsidP="008E4E22">
      <w:pPr>
        <w:numPr>
          <w:ilvl w:val="0"/>
          <w:numId w:val="37"/>
        </w:numPr>
        <w:spacing w:before="240"/>
        <w:jc w:val="both"/>
        <w:rPr>
          <w:lang w:val="en-US"/>
        </w:rPr>
      </w:pPr>
      <w:r w:rsidRPr="00627763">
        <w:rPr>
          <w:lang w:val="en-US"/>
        </w:rPr>
        <w:t xml:space="preserve">kalimi i një pjese të kostove të pajtueshmërisë tek anëtarët përmes tarifave; </w:t>
      </w:r>
    </w:p>
    <w:p w14:paraId="7E41A39E" w14:textId="77777777" w:rsidR="00A808A1" w:rsidRPr="00627763" w:rsidRDefault="00A808A1" w:rsidP="008E4E22">
      <w:pPr>
        <w:numPr>
          <w:ilvl w:val="0"/>
          <w:numId w:val="37"/>
        </w:numPr>
        <w:spacing w:before="240"/>
        <w:jc w:val="both"/>
        <w:rPr>
          <w:lang w:val="en-US"/>
        </w:rPr>
      </w:pPr>
      <w:r w:rsidRPr="00627763">
        <w:rPr>
          <w:lang w:val="en-US"/>
        </w:rPr>
        <w:t xml:space="preserve">mungesa e reagimit të anëtarëve ndaj informacionit të përmirësuar; </w:t>
      </w:r>
    </w:p>
    <w:p w14:paraId="2F2E4713" w14:textId="1ABF2644" w:rsidR="00A808A1" w:rsidRPr="0028615B" w:rsidRDefault="00A808A1" w:rsidP="008E4E22">
      <w:pPr>
        <w:numPr>
          <w:ilvl w:val="0"/>
          <w:numId w:val="37"/>
        </w:numPr>
        <w:spacing w:before="240"/>
        <w:jc w:val="both"/>
        <w:rPr>
          <w:lang w:val="en-US"/>
        </w:rPr>
      </w:pPr>
      <w:r w:rsidRPr="00627763">
        <w:rPr>
          <w:lang w:val="en-US"/>
        </w:rPr>
        <w:t>zhvillimet e pafavorshme në tregjet financiare.</w:t>
      </w:r>
    </w:p>
    <w:p w14:paraId="79CDD0E4" w14:textId="77777777" w:rsidR="0028615B" w:rsidRDefault="0028615B" w:rsidP="00DA2DD5">
      <w:pPr>
        <w:spacing w:before="240"/>
        <w:jc w:val="both"/>
        <w:rPr>
          <w:b/>
          <w:bCs/>
          <w:lang w:val="en-US"/>
        </w:rPr>
      </w:pPr>
    </w:p>
    <w:p w14:paraId="416FBB05" w14:textId="3A4B677C" w:rsidR="00DA2DD5" w:rsidRPr="00DA2DD5" w:rsidRDefault="00DA2DD5" w:rsidP="00DA2DD5">
      <w:pPr>
        <w:spacing w:before="240"/>
        <w:jc w:val="both"/>
        <w:rPr>
          <w:b/>
          <w:bCs/>
          <w:lang w:val="en-US"/>
        </w:rPr>
      </w:pPr>
      <w:r w:rsidRPr="00DA2DD5">
        <w:rPr>
          <w:b/>
          <w:bCs/>
          <w:lang w:val="en-US"/>
        </w:rPr>
        <w:t>Opsioni 2 – Shfuqizimi i ligjit nr. 76/2023 dhe miratimi i një ligji të ri</w:t>
      </w:r>
    </w:p>
    <w:p w14:paraId="766696BD" w14:textId="77777777" w:rsidR="00DA2DD5" w:rsidRPr="00DA2DD5" w:rsidRDefault="00DA2DD5" w:rsidP="00DA2DD5">
      <w:pPr>
        <w:spacing w:before="240"/>
        <w:jc w:val="both"/>
        <w:rPr>
          <w:lang w:val="en-US"/>
        </w:rPr>
      </w:pPr>
      <w:r w:rsidRPr="00DA2DD5">
        <w:rPr>
          <w:lang w:val="en-US"/>
        </w:rPr>
        <w:t>Opsioni 2 parashikon shfuqizimin e ligjit nr. 76/2023, “Për fondet e pensionit privat”, dhe miratimin e një ligji të ri, i cili do të përfshinte si dispozitat e kuadrit aktual që duhet të ruhen, ashtu edhe kërkesat shtesë të nevojshme për përafrimin e plotë me Direktivën IORP II.</w:t>
      </w:r>
    </w:p>
    <w:p w14:paraId="58B1CE63" w14:textId="33F84965" w:rsidR="00DA2DD5" w:rsidRPr="00DA2DD5" w:rsidRDefault="00DA2DD5" w:rsidP="00DA2DD5">
      <w:pPr>
        <w:spacing w:before="240"/>
        <w:jc w:val="both"/>
        <w:rPr>
          <w:lang w:val="en-US"/>
        </w:rPr>
      </w:pPr>
      <w:r w:rsidRPr="00DA2DD5">
        <w:rPr>
          <w:lang w:val="en-US"/>
        </w:rPr>
        <w:t>Nga pikëpamja e përmbajtjes, ligji i ri do të vendos</w:t>
      </w:r>
      <w:r w:rsidR="00A808A1">
        <w:rPr>
          <w:lang w:val="en-US"/>
        </w:rPr>
        <w:t>ë</w:t>
      </w:r>
      <w:r w:rsidRPr="00DA2DD5">
        <w:rPr>
          <w:lang w:val="en-US"/>
        </w:rPr>
        <w:t xml:space="preserve"> të njëjtat standarde si Opsioni 1 për sistemin e qeverisjes, funksionet kryesore, vetëvlerësimin e rrezikut, administrimin e investimeve, informimin e anëtarëve dhe përfituesve, procesin e rishikimit mbikëqyrës dhe veprimtarinë ndërkufitare. Ai do të ruante modelin vendas të pensioneve private me kontribute të përcaktuara, ndërsa dispozitat për skemat me përfitime të përcaktuara do të zbatoheshin vetëm në kontekstin e veprimtarisë ndërkufitare.</w:t>
      </w:r>
    </w:p>
    <w:p w14:paraId="3847A460" w14:textId="77777777" w:rsidR="00DA2DD5" w:rsidRPr="00DA2DD5" w:rsidRDefault="00DA2DD5" w:rsidP="00DA2DD5">
      <w:pPr>
        <w:spacing w:before="240"/>
        <w:jc w:val="both"/>
        <w:rPr>
          <w:lang w:val="en-US"/>
        </w:rPr>
      </w:pPr>
      <w:r w:rsidRPr="00DA2DD5">
        <w:rPr>
          <w:lang w:val="en-US"/>
        </w:rPr>
        <w:t>Për rrjedhojë, dallimi ndërmjet Opsionit 1 dhe Opsionit 2 nuk qëndron në nivelin e përafrimit ose në standardet e mbrojtjes që mund të arrihen. Të dyja opsionet mund të realizojnë përafrimin e plotë me Direktivën IORP II. Dallimi lidhet me instrumentin e përdorur: Opsioni 1 ndryshon dhe plotëson ligjin në fuqi, ndërsa Opsioni 2 e shfuqizon atë dhe rimiraton të gjithë kuadrin në formën e një ligji të ri.</w:t>
      </w:r>
    </w:p>
    <w:p w14:paraId="2F79CCBF" w14:textId="77777777" w:rsidR="00DA2DD5" w:rsidRPr="00DA2DD5" w:rsidRDefault="00DA2DD5" w:rsidP="00DA2DD5">
      <w:pPr>
        <w:spacing w:before="240"/>
        <w:jc w:val="both"/>
        <w:rPr>
          <w:lang w:val="en-US"/>
        </w:rPr>
      </w:pPr>
      <w:r w:rsidRPr="00DA2DD5">
        <w:rPr>
          <w:lang w:val="en-US"/>
        </w:rPr>
        <w:t xml:space="preserve">Ligji nr. 76/2023 përbën kuadrin bazë për licencimin, administrimin dhe mbikëqyrjen e fondeve të pensionit privat dhe subjektet e tregut kanë kaluar tashmë një periudhë 18-mujore përshtatjeje me kërkesat e tij. Projektligji i përgatitur për Opsionin 1 përmban ndryshimet e nevojshme për kalimin nga përafrimi i pjesshëm në përafrimin e plotë, pa kërkuar zëvendësimin e pjesës së kuadrit që vijon të jetë e zbatueshme. </w:t>
      </w:r>
    </w:p>
    <w:p w14:paraId="6EB07501" w14:textId="77777777" w:rsidR="00DA2DD5" w:rsidRPr="00DA2DD5" w:rsidRDefault="00DA2DD5" w:rsidP="00DA2DD5">
      <w:pPr>
        <w:spacing w:before="240"/>
        <w:jc w:val="both"/>
        <w:rPr>
          <w:lang w:val="en-US"/>
        </w:rPr>
      </w:pPr>
      <w:r w:rsidRPr="00DA2DD5">
        <w:rPr>
          <w:lang w:val="en-US"/>
        </w:rPr>
        <w:t>Për llogaritjen e ndikimeve monetare përdoret një periudhë vlerësimi 10-vjeçare dhe një normë skontimi prej 5 për qind. Supozimet janë hartuar në bashkëpunim me një ekip ekspertësh të Bankës Botërore, duke marrë parasysh strukturën e tregut, numrin e operatorëve dhe natyrën e kërkesave të propozuara.</w:t>
      </w:r>
    </w:p>
    <w:p w14:paraId="02859B5B" w14:textId="77777777" w:rsidR="00DA2DD5" w:rsidRPr="00DA2DD5" w:rsidRDefault="00DA2DD5" w:rsidP="00DA2DD5">
      <w:pPr>
        <w:spacing w:before="240"/>
        <w:jc w:val="both"/>
        <w:rPr>
          <w:lang w:val="en-US"/>
        </w:rPr>
      </w:pPr>
      <w:r w:rsidRPr="00DA2DD5">
        <w:rPr>
          <w:lang w:val="en-US"/>
        </w:rPr>
        <w:t>Përfitimet e Opsionit 2 vlerësohen në të njëjtin nivel me ato të Opsionit 1, pasi burojnë nga të njëjtat kërkesa materiale. Megjithatë, kostot e pajtueshmërisë vlerësohen lehtësisht më të larta për shkak të veprimeve shtesë që lidhen vetëm me kalimin nga ligji nr. 76/2023 në një bazë të re ligjore.</w:t>
      </w:r>
    </w:p>
    <w:p w14:paraId="5AA5AC6D" w14:textId="77777777" w:rsidR="00DA2DD5" w:rsidRPr="00DA2DD5" w:rsidRDefault="00DA2DD5" w:rsidP="00DA2DD5">
      <w:pPr>
        <w:spacing w:before="240"/>
        <w:jc w:val="both"/>
        <w:rPr>
          <w:lang w:val="en-US"/>
        </w:rPr>
      </w:pPr>
      <w:r w:rsidRPr="00DA2DD5">
        <w:rPr>
          <w:lang w:val="en-US"/>
        </w:rPr>
        <w:t>Për të mos e mbivlerësuar këtë diferencë, është përdorur një shtesë e kufizuar prej 0,10 milionë lekësh për çdo shoqëri administruese në vit. Kostoja mesatare rritet, për rrjedhojë, nga 1,25 milionë lekë sipas Opsionit 1 në 1,35 milionë lekë për shoqëri në vit, ose me rreth 8 për qind. Kjo shtesë pasqyron vetëm rishikimin më të gjerë juridik dhe administrativ që kërkon shfuqizimi i ligjit ekzistues dhe nuk supozon se kërkesat prudenciale ose organizative do të ishin më të rënda.</w:t>
      </w:r>
    </w:p>
    <w:p w14:paraId="20D4BE8C" w14:textId="77777777" w:rsidR="00DA2DD5" w:rsidRPr="00DA2DD5" w:rsidRDefault="00DA2DD5" w:rsidP="00DA2DD5">
      <w:pPr>
        <w:spacing w:before="240"/>
        <w:jc w:val="both"/>
        <w:rPr>
          <w:b/>
          <w:bCs/>
          <w:lang w:val="en-US"/>
        </w:rPr>
      </w:pPr>
      <w:r w:rsidRPr="00DA2DD5">
        <w:rPr>
          <w:b/>
          <w:bCs/>
          <w:lang w:val="en-US"/>
        </w:rPr>
        <w:t>Ndikimet e drejtpërdrejta</w:t>
      </w:r>
    </w:p>
    <w:p w14:paraId="1C9ECF63" w14:textId="77777777" w:rsidR="00DA2DD5" w:rsidRPr="00DA2DD5" w:rsidRDefault="00DA2DD5" w:rsidP="00DA2DD5">
      <w:pPr>
        <w:spacing w:before="240"/>
        <w:jc w:val="both"/>
        <w:rPr>
          <w:b/>
          <w:bCs/>
          <w:lang w:val="en-US"/>
        </w:rPr>
      </w:pPr>
      <w:r w:rsidRPr="00DA2DD5">
        <w:rPr>
          <w:b/>
          <w:bCs/>
          <w:lang w:val="en-US"/>
        </w:rPr>
        <w:t>Ndikimi mbi anëtarët dhe përfituesit</w:t>
      </w:r>
    </w:p>
    <w:p w14:paraId="1386CA3B" w14:textId="77777777" w:rsidR="00DA2DD5" w:rsidRPr="00DA2DD5" w:rsidRDefault="00DA2DD5" w:rsidP="00DA2DD5">
      <w:pPr>
        <w:spacing w:before="240"/>
        <w:jc w:val="both"/>
        <w:rPr>
          <w:lang w:val="en-US"/>
        </w:rPr>
      </w:pPr>
      <w:r w:rsidRPr="00DA2DD5">
        <w:rPr>
          <w:lang w:val="en-US"/>
        </w:rPr>
        <w:t>Anëtarët dhe përfituesit do të përfitonin nga të njëjtat standarde materiale mbrojtjeje si në Opsionin 1. Qartësimi i përgjegjësive të organeve drejtuese, forcimi i funksioneve kryesore dhe plotësimi i vetëvlerësimit të rrezikut do të përmirësonin identifikimin, raportimin dhe trajtimin e rreziqeve që mund të ndikojnë mbi aktivet e administruara për llogari të tyre.</w:t>
      </w:r>
    </w:p>
    <w:p w14:paraId="3508F4ED" w14:textId="77777777" w:rsidR="00DA2DD5" w:rsidRPr="00DA2DD5" w:rsidRDefault="00DA2DD5" w:rsidP="00DA2DD5">
      <w:pPr>
        <w:spacing w:before="240"/>
        <w:jc w:val="both"/>
        <w:rPr>
          <w:lang w:val="en-US"/>
        </w:rPr>
      </w:pPr>
      <w:r w:rsidRPr="00DA2DD5">
        <w:rPr>
          <w:lang w:val="en-US"/>
        </w:rPr>
        <w:t>Informacioni vjetor për anëtarët do të përfshinte të dhëna më të standardizuara për kontributet, aktivet e grumbulluara, kthimin nga investimi, kostot dhe tarifat, si dhe parashikimet e përfitimeve të pensionit. Këto përfitime nuk ndryshojnë nga ato të Opsionit 1.</w:t>
      </w:r>
    </w:p>
    <w:p w14:paraId="33A90A7B" w14:textId="77777777" w:rsidR="00DA2DD5" w:rsidRPr="00DA2DD5" w:rsidRDefault="00DA2DD5" w:rsidP="00DA2DD5">
      <w:pPr>
        <w:spacing w:before="240"/>
        <w:jc w:val="both"/>
        <w:rPr>
          <w:lang w:val="en-US"/>
        </w:rPr>
      </w:pPr>
      <w:r w:rsidRPr="00DA2DD5">
        <w:rPr>
          <w:lang w:val="en-US"/>
        </w:rPr>
        <w:t>Miratimi i një ligji të ri nuk krijon, në vetvete, nivel më të lartë mbrojtjeje për anëtarët. Mbrojtja varet nga përmbajtja e kërkesave, cilësia e akteve nënligjore dhe efektiviteti i mbikëqyrjes, jo nga fakti nëse kërkesat miratohen nëpërmjet një ligji ndryshues apo një ligji të ri.</w:t>
      </w:r>
    </w:p>
    <w:p w14:paraId="7703D71D" w14:textId="77777777" w:rsidR="00DA2DD5" w:rsidRPr="00DA2DD5" w:rsidRDefault="00DA2DD5" w:rsidP="00DA2DD5">
      <w:pPr>
        <w:spacing w:before="240"/>
        <w:jc w:val="both"/>
        <w:rPr>
          <w:lang w:val="en-US"/>
        </w:rPr>
      </w:pPr>
      <w:r w:rsidRPr="00DA2DD5">
        <w:rPr>
          <w:lang w:val="en-US"/>
        </w:rPr>
        <w:t>Gjatë periudhës së tranzicionit mund të lindin paqartësi për vazhdimësinë e kontratave të anëtarësimit, rregulloreve të fondeve, prospekteve dhe dokumenteve të tjera të miratuara sipas ligjit nr. 76/2023. Ky rrezik duhet të trajtohet me dispozita kalimtare që garantojnë vijimësinë e marrëdhënieve juridike ekzistuese.</w:t>
      </w:r>
    </w:p>
    <w:p w14:paraId="696069D8" w14:textId="77777777" w:rsidR="00DA2DD5" w:rsidRPr="00DA2DD5" w:rsidRDefault="00DA2DD5" w:rsidP="00DA2DD5">
      <w:pPr>
        <w:spacing w:before="240"/>
        <w:jc w:val="both"/>
        <w:rPr>
          <w:lang w:val="en-US"/>
        </w:rPr>
      </w:pPr>
      <w:r w:rsidRPr="00DA2DD5">
        <w:rPr>
          <w:lang w:val="en-US"/>
        </w:rPr>
        <w:t xml:space="preserve">Për monetarizimin e një pjese të përfitimeve përdoret i njëjti supozim si në Opsionin 1: përmirësimi i qeverisjes, administrimit të rrezikut dhe procesit të investimit mund të sjellë një përmirësim prej </w:t>
      </w:r>
      <w:r w:rsidRPr="00DA2DD5">
        <w:rPr>
          <w:b/>
          <w:bCs/>
          <w:lang w:val="en-US"/>
        </w:rPr>
        <w:t>0,1 pikë përqindjeje të normës reale vjetore të kthimit</w:t>
      </w:r>
      <w:r w:rsidRPr="00DA2DD5">
        <w:rPr>
          <w:lang w:val="en-US"/>
        </w:rPr>
        <w:t>. Ky është një supozim analitik dhe nuk përbën rezultat financiar të garantuar.</w:t>
      </w:r>
    </w:p>
    <w:p w14:paraId="32C97C7B" w14:textId="77777777" w:rsidR="00DA2DD5" w:rsidRPr="00DA2DD5" w:rsidRDefault="00DA2DD5" w:rsidP="00DA2DD5">
      <w:pPr>
        <w:spacing w:before="240"/>
        <w:jc w:val="both"/>
        <w:rPr>
          <w:lang w:val="en-US"/>
        </w:rPr>
      </w:pPr>
      <w:r w:rsidRPr="00DA2DD5">
        <w:rPr>
          <w:lang w:val="en-US"/>
        </w:rPr>
        <w:t xml:space="preserve">Më 31.12.2025, ndikimi potencial shtrihej mbi 49 218 anëtarë dhe aktive neto në vlerën 9 855 030 216 lekë. </w:t>
      </w:r>
    </w:p>
    <w:p w14:paraId="76B93B92" w14:textId="77777777" w:rsidR="00DA2DD5" w:rsidRPr="00DA2DD5" w:rsidRDefault="00DA2DD5" w:rsidP="00DA2DD5">
      <w:pPr>
        <w:spacing w:before="240"/>
        <w:jc w:val="both"/>
        <w:rPr>
          <w:b/>
          <w:bCs/>
          <w:lang w:val="en-US"/>
        </w:rPr>
      </w:pPr>
      <w:r w:rsidRPr="00DA2DD5">
        <w:rPr>
          <w:b/>
          <w:bCs/>
          <w:lang w:val="en-US"/>
        </w:rPr>
        <w:t>Ndikimi mbi shoqëritë administruese</w:t>
      </w:r>
    </w:p>
    <w:p w14:paraId="3B2F356B" w14:textId="77777777" w:rsidR="00DA2DD5" w:rsidRPr="00DA2DD5" w:rsidRDefault="00DA2DD5" w:rsidP="00DA2DD5">
      <w:pPr>
        <w:spacing w:before="240"/>
        <w:jc w:val="both"/>
        <w:rPr>
          <w:lang w:val="en-US"/>
        </w:rPr>
      </w:pPr>
      <w:r w:rsidRPr="00DA2DD5">
        <w:rPr>
          <w:lang w:val="en-US"/>
        </w:rPr>
        <w:t>Shoqëritë administruese do të përballonin të gjitha kostot materiale të identifikuara për Opsionin 1. Ato do të duhej të përshtatnin sistemin e qeverisjes, funksionet kryesore, vetëvlerësimin e rrezikut, politikat e investimit, sistemet e raportimit dhe dokumentacionin informues për anëtarët.</w:t>
      </w:r>
    </w:p>
    <w:p w14:paraId="1D211A92" w14:textId="77777777" w:rsidR="00DA2DD5" w:rsidRPr="00DA2DD5" w:rsidRDefault="00DA2DD5" w:rsidP="00DA2DD5">
      <w:pPr>
        <w:spacing w:before="240"/>
        <w:jc w:val="both"/>
        <w:rPr>
          <w:lang w:val="en-US"/>
        </w:rPr>
      </w:pPr>
      <w:r w:rsidRPr="00DA2DD5">
        <w:rPr>
          <w:lang w:val="en-US"/>
        </w:rPr>
        <w:t>Kostot bazë përfshijnë:</w:t>
      </w:r>
    </w:p>
    <w:p w14:paraId="1A051E92" w14:textId="77777777" w:rsidR="00DA2DD5" w:rsidRPr="00DA2DD5" w:rsidRDefault="00DA2DD5" w:rsidP="008E4E22">
      <w:pPr>
        <w:numPr>
          <w:ilvl w:val="0"/>
          <w:numId w:val="38"/>
        </w:numPr>
        <w:spacing w:before="240"/>
        <w:jc w:val="both"/>
        <w:rPr>
          <w:lang w:val="en-US"/>
        </w:rPr>
      </w:pPr>
      <w:r w:rsidRPr="00DA2DD5">
        <w:rPr>
          <w:lang w:val="en-US"/>
        </w:rPr>
        <w:t xml:space="preserve">rishikimin e politikave dhe procedurave të brendshme; </w:t>
      </w:r>
    </w:p>
    <w:p w14:paraId="51727E1C" w14:textId="77777777" w:rsidR="00DA2DD5" w:rsidRPr="00DA2DD5" w:rsidRDefault="00DA2DD5" w:rsidP="008E4E22">
      <w:pPr>
        <w:numPr>
          <w:ilvl w:val="0"/>
          <w:numId w:val="38"/>
        </w:numPr>
        <w:spacing w:before="240"/>
        <w:jc w:val="both"/>
        <w:rPr>
          <w:lang w:val="en-US"/>
        </w:rPr>
      </w:pPr>
      <w:r w:rsidRPr="00DA2DD5">
        <w:rPr>
          <w:lang w:val="en-US"/>
        </w:rPr>
        <w:t xml:space="preserve">konsulencën juridike dhe organizative; </w:t>
      </w:r>
    </w:p>
    <w:p w14:paraId="305CE56B" w14:textId="77777777" w:rsidR="00DA2DD5" w:rsidRPr="00DA2DD5" w:rsidRDefault="00DA2DD5" w:rsidP="008E4E22">
      <w:pPr>
        <w:numPr>
          <w:ilvl w:val="0"/>
          <w:numId w:val="38"/>
        </w:numPr>
        <w:spacing w:before="240"/>
        <w:jc w:val="both"/>
        <w:rPr>
          <w:lang w:val="en-US"/>
        </w:rPr>
      </w:pPr>
      <w:r w:rsidRPr="00DA2DD5">
        <w:rPr>
          <w:lang w:val="en-US"/>
        </w:rPr>
        <w:t xml:space="preserve">trajnimin e stafit dhe të personave që ushtrojnë funksione kryesore; </w:t>
      </w:r>
    </w:p>
    <w:p w14:paraId="76DA0D43" w14:textId="77777777" w:rsidR="00DA2DD5" w:rsidRPr="00DA2DD5" w:rsidRDefault="00DA2DD5" w:rsidP="008E4E22">
      <w:pPr>
        <w:numPr>
          <w:ilvl w:val="0"/>
          <w:numId w:val="38"/>
        </w:numPr>
        <w:spacing w:before="240"/>
        <w:jc w:val="both"/>
        <w:rPr>
          <w:lang w:val="en-US"/>
        </w:rPr>
      </w:pPr>
      <w:r w:rsidRPr="00DA2DD5">
        <w:rPr>
          <w:lang w:val="en-US"/>
        </w:rPr>
        <w:t xml:space="preserve">përshtatjen e sistemeve të raportimit dhe të teknologjisë së informacionit; </w:t>
      </w:r>
    </w:p>
    <w:p w14:paraId="263BC9EA" w14:textId="77777777" w:rsidR="00DA2DD5" w:rsidRPr="00DA2DD5" w:rsidRDefault="00DA2DD5" w:rsidP="008E4E22">
      <w:pPr>
        <w:numPr>
          <w:ilvl w:val="0"/>
          <w:numId w:val="38"/>
        </w:numPr>
        <w:spacing w:before="240"/>
        <w:jc w:val="both"/>
        <w:rPr>
          <w:lang w:val="en-US"/>
        </w:rPr>
      </w:pPr>
      <w:r w:rsidRPr="00DA2DD5">
        <w:rPr>
          <w:lang w:val="en-US"/>
        </w:rPr>
        <w:t xml:space="preserve">përgatitjen e dokumentacionit të standardizuar për anëtarët; </w:t>
      </w:r>
    </w:p>
    <w:p w14:paraId="5EBDD22C" w14:textId="77777777" w:rsidR="00DA2DD5" w:rsidRPr="00DA2DD5" w:rsidRDefault="00DA2DD5" w:rsidP="008E4E22">
      <w:pPr>
        <w:numPr>
          <w:ilvl w:val="0"/>
          <w:numId w:val="38"/>
        </w:numPr>
        <w:spacing w:before="240"/>
        <w:jc w:val="both"/>
        <w:rPr>
          <w:lang w:val="en-US"/>
        </w:rPr>
      </w:pPr>
      <w:r w:rsidRPr="00DA2DD5">
        <w:rPr>
          <w:lang w:val="en-US"/>
        </w:rPr>
        <w:t xml:space="preserve">rishikimin e marrëveshjeve për funksionet e deleguara. </w:t>
      </w:r>
    </w:p>
    <w:p w14:paraId="3334DCB8" w14:textId="77777777" w:rsidR="00DA2DD5" w:rsidRPr="00DA2DD5" w:rsidRDefault="00DA2DD5" w:rsidP="00DA2DD5">
      <w:pPr>
        <w:spacing w:before="240"/>
        <w:jc w:val="both"/>
        <w:rPr>
          <w:lang w:val="en-US"/>
        </w:rPr>
      </w:pPr>
      <w:r w:rsidRPr="00DA2DD5">
        <w:rPr>
          <w:lang w:val="en-US"/>
        </w:rPr>
        <w:t>Krahas këtyre kostove, kalimi në një ligj të ri do të kërkonte:</w:t>
      </w:r>
    </w:p>
    <w:p w14:paraId="0E04468E" w14:textId="77777777" w:rsidR="00DA2DD5" w:rsidRPr="00DA2DD5" w:rsidRDefault="00DA2DD5" w:rsidP="008E4E22">
      <w:pPr>
        <w:numPr>
          <w:ilvl w:val="0"/>
          <w:numId w:val="39"/>
        </w:numPr>
        <w:spacing w:before="240"/>
        <w:jc w:val="both"/>
        <w:rPr>
          <w:lang w:val="en-US"/>
        </w:rPr>
      </w:pPr>
      <w:r w:rsidRPr="00DA2DD5">
        <w:rPr>
          <w:lang w:val="en-US"/>
        </w:rPr>
        <w:t xml:space="preserve">verifikimin e plotë të referencave ndaj ligjit nr. 76/2023 në politikat, kontratat dhe procedurat e brendshme; </w:t>
      </w:r>
    </w:p>
    <w:p w14:paraId="5513628B" w14:textId="77777777" w:rsidR="00DA2DD5" w:rsidRPr="00DA2DD5" w:rsidRDefault="00DA2DD5" w:rsidP="008E4E22">
      <w:pPr>
        <w:numPr>
          <w:ilvl w:val="0"/>
          <w:numId w:val="39"/>
        </w:numPr>
        <w:spacing w:before="240"/>
        <w:jc w:val="both"/>
        <w:rPr>
          <w:lang w:val="en-US"/>
        </w:rPr>
      </w:pPr>
      <w:r w:rsidRPr="00DA2DD5">
        <w:rPr>
          <w:lang w:val="en-US"/>
        </w:rPr>
        <w:t xml:space="preserve">kontrollin juridik të vazhdimësisë së licencave, miratimeve dhe marrëdhënieve kontraktore; </w:t>
      </w:r>
    </w:p>
    <w:p w14:paraId="63B847BC" w14:textId="77777777" w:rsidR="00DA2DD5" w:rsidRPr="00DA2DD5" w:rsidRDefault="00DA2DD5" w:rsidP="008E4E22">
      <w:pPr>
        <w:numPr>
          <w:ilvl w:val="0"/>
          <w:numId w:val="39"/>
        </w:numPr>
        <w:spacing w:before="240"/>
        <w:jc w:val="both"/>
        <w:rPr>
          <w:lang w:val="en-US"/>
        </w:rPr>
      </w:pPr>
      <w:r w:rsidRPr="00DA2DD5">
        <w:rPr>
          <w:lang w:val="en-US"/>
        </w:rPr>
        <w:t xml:space="preserve">përshtatjen e formularëve dhe akteve të brendshme me bazën e re ligjore; </w:t>
      </w:r>
    </w:p>
    <w:p w14:paraId="2FA4DDF3" w14:textId="77777777" w:rsidR="00DA2DD5" w:rsidRPr="00DA2DD5" w:rsidRDefault="00DA2DD5" w:rsidP="008E4E22">
      <w:pPr>
        <w:numPr>
          <w:ilvl w:val="0"/>
          <w:numId w:val="39"/>
        </w:numPr>
        <w:spacing w:before="240"/>
        <w:jc w:val="both"/>
        <w:rPr>
          <w:lang w:val="en-US"/>
        </w:rPr>
      </w:pPr>
      <w:r w:rsidRPr="00DA2DD5">
        <w:rPr>
          <w:lang w:val="en-US"/>
        </w:rPr>
        <w:t xml:space="preserve">trajnim shtesë për dispozitat kalimtare dhe marrëdhënien ndërmjet kuadrit të shfuqizuar dhe atij të ri. </w:t>
      </w:r>
    </w:p>
    <w:p w14:paraId="62E38745" w14:textId="77777777" w:rsidR="00DA2DD5" w:rsidRPr="00DA2DD5" w:rsidRDefault="00DA2DD5" w:rsidP="00DA2DD5">
      <w:pPr>
        <w:spacing w:before="240"/>
        <w:jc w:val="both"/>
        <w:rPr>
          <w:lang w:val="en-US"/>
        </w:rPr>
      </w:pPr>
      <w:r w:rsidRPr="00DA2DD5">
        <w:rPr>
          <w:lang w:val="en-US"/>
        </w:rPr>
        <w:t>Për qëllimet e analizës, kostoja vlerësohet në 1,35 milionë lekë për çdo shoqëri administruese në vit, nga e cila:</w:t>
      </w:r>
    </w:p>
    <w:p w14:paraId="4DC953A8" w14:textId="77777777" w:rsidR="00DA2DD5" w:rsidRPr="00DA2DD5" w:rsidRDefault="00DA2DD5" w:rsidP="008E4E22">
      <w:pPr>
        <w:numPr>
          <w:ilvl w:val="0"/>
          <w:numId w:val="40"/>
        </w:numPr>
        <w:spacing w:before="240"/>
        <w:jc w:val="both"/>
        <w:rPr>
          <w:lang w:val="en-US"/>
        </w:rPr>
      </w:pPr>
      <w:r w:rsidRPr="00DA2DD5">
        <w:rPr>
          <w:lang w:val="en-US"/>
        </w:rPr>
        <w:t xml:space="preserve">0,5 milionë lekë për sistemin e qeverisjes; </w:t>
      </w:r>
    </w:p>
    <w:p w14:paraId="3F9B3BF5" w14:textId="77777777" w:rsidR="00DA2DD5" w:rsidRPr="00DA2DD5" w:rsidRDefault="00DA2DD5" w:rsidP="008E4E22">
      <w:pPr>
        <w:numPr>
          <w:ilvl w:val="0"/>
          <w:numId w:val="40"/>
        </w:numPr>
        <w:spacing w:before="240"/>
        <w:jc w:val="both"/>
        <w:rPr>
          <w:lang w:val="en-US"/>
        </w:rPr>
      </w:pPr>
      <w:r w:rsidRPr="00DA2DD5">
        <w:rPr>
          <w:lang w:val="en-US"/>
        </w:rPr>
        <w:t xml:space="preserve">0,5 milionë lekë për administrimin dhe vetëvlerësimin e rrezikut; </w:t>
      </w:r>
    </w:p>
    <w:p w14:paraId="4157FD5F" w14:textId="77777777" w:rsidR="00DA2DD5" w:rsidRPr="00DA2DD5" w:rsidRDefault="00DA2DD5" w:rsidP="008E4E22">
      <w:pPr>
        <w:numPr>
          <w:ilvl w:val="0"/>
          <w:numId w:val="40"/>
        </w:numPr>
        <w:spacing w:before="240"/>
        <w:jc w:val="both"/>
        <w:rPr>
          <w:lang w:val="en-US"/>
        </w:rPr>
      </w:pPr>
      <w:r w:rsidRPr="00DA2DD5">
        <w:rPr>
          <w:lang w:val="en-US"/>
        </w:rPr>
        <w:t xml:space="preserve">0,25 milionë lekë për përmirësimin e informacionit dhe komunikimit me anëtarët; </w:t>
      </w:r>
    </w:p>
    <w:p w14:paraId="679FF768" w14:textId="77777777" w:rsidR="00DA2DD5" w:rsidRPr="00DA2DD5" w:rsidRDefault="00DA2DD5" w:rsidP="008E4E22">
      <w:pPr>
        <w:numPr>
          <w:ilvl w:val="0"/>
          <w:numId w:val="40"/>
        </w:numPr>
        <w:spacing w:before="240"/>
        <w:jc w:val="both"/>
        <w:rPr>
          <w:lang w:val="en-US"/>
        </w:rPr>
      </w:pPr>
      <w:r w:rsidRPr="00DA2DD5">
        <w:rPr>
          <w:lang w:val="en-US"/>
        </w:rPr>
        <w:t xml:space="preserve">0,10 milionë lekë për rishikimin dhe përshtatjen shtesë që lidhet me zëvendësimin e bazës ligjore. </w:t>
      </w:r>
    </w:p>
    <w:p w14:paraId="7EE33F12" w14:textId="77777777" w:rsidR="00DA2DD5" w:rsidRPr="00DA2DD5" w:rsidRDefault="00DA2DD5" w:rsidP="00DA2DD5">
      <w:pPr>
        <w:spacing w:before="240"/>
        <w:jc w:val="both"/>
        <w:rPr>
          <w:lang w:val="en-US"/>
        </w:rPr>
      </w:pPr>
      <w:r w:rsidRPr="00DA2DD5">
        <w:rPr>
          <w:lang w:val="en-US"/>
        </w:rPr>
        <w:t>Për katër shoqëri administruese, kostoja e përgjithshme vjetore vlerësohet në 5,4 milionë lekë, gjatë viteve 2, 3 dhe 4. Kostoja nominale për tre vjet është 16,2 milionë lekë, ndërsa vlera aktuale e saj, me normë skontimi prej 5 për qind, është rreth 14 milionë lekë.</w:t>
      </w:r>
    </w:p>
    <w:p w14:paraId="6EF7A420" w14:textId="4CA16ACA" w:rsidR="00DA2DD5" w:rsidRPr="00DA2DD5" w:rsidRDefault="00DA2DD5" w:rsidP="00DA2DD5">
      <w:pPr>
        <w:spacing w:before="240"/>
        <w:jc w:val="both"/>
        <w:rPr>
          <w:lang w:val="en-US"/>
        </w:rPr>
      </w:pPr>
      <w:r w:rsidRPr="00DA2DD5">
        <w:rPr>
          <w:lang w:val="en-US"/>
        </w:rPr>
        <w:t>Kjo përllogaritje është qëllimisht e kujdesshme</w:t>
      </w:r>
      <w:r w:rsidR="00E00611">
        <w:rPr>
          <w:lang w:val="en-US"/>
        </w:rPr>
        <w:t xml:space="preserve"> pasi</w:t>
      </w:r>
      <w:r w:rsidRPr="00DA2DD5">
        <w:rPr>
          <w:lang w:val="en-US"/>
        </w:rPr>
        <w:t xml:space="preserve"> </w:t>
      </w:r>
      <w:r w:rsidR="00E00611">
        <w:rPr>
          <w:lang w:val="en-US"/>
        </w:rPr>
        <w:t>n</w:t>
      </w:r>
      <w:r w:rsidRPr="00DA2DD5">
        <w:rPr>
          <w:lang w:val="en-US"/>
        </w:rPr>
        <w:t xml:space="preserve">uk supozohet rritje e konsiderueshme e kostove, </w:t>
      </w:r>
      <w:r w:rsidR="00E00611">
        <w:rPr>
          <w:lang w:val="en-US"/>
        </w:rPr>
        <w:t>duke qënë se</w:t>
      </w:r>
      <w:r w:rsidRPr="00DA2DD5">
        <w:rPr>
          <w:lang w:val="en-US"/>
        </w:rPr>
        <w:t xml:space="preserve"> pjesa më e madhe e kërkesave dhe e dokumentacionit do të rishikohej edhe sipas Opsionit 1.</w:t>
      </w:r>
    </w:p>
    <w:p w14:paraId="2D6052F1" w14:textId="77777777" w:rsidR="00DA2DD5" w:rsidRPr="00DA2DD5" w:rsidRDefault="00DA2DD5" w:rsidP="00DA2DD5">
      <w:pPr>
        <w:spacing w:before="240"/>
        <w:jc w:val="both"/>
        <w:rPr>
          <w:lang w:val="en-US"/>
        </w:rPr>
      </w:pPr>
      <w:r w:rsidRPr="00DA2DD5">
        <w:rPr>
          <w:lang w:val="en-US"/>
        </w:rPr>
        <w:t>Shoqëritë administruese mund të përfitojnë nga rritja e mundshme e besimit, numrit të anëtarëve dhe aktiveve nën administrim. Për këto përfitime përdoren të njëjtat supozime si në Opsionin 1, përfshirë rritjen shtesë prej 2 për qind të numrit të anëtarëve dhe të ardhurat përkatëse nga tarifat e administrimit.</w:t>
      </w:r>
    </w:p>
    <w:p w14:paraId="635AB001" w14:textId="77777777" w:rsidR="00DA2DD5" w:rsidRPr="00DA2DD5" w:rsidRDefault="00DA2DD5" w:rsidP="00DA2DD5">
      <w:pPr>
        <w:spacing w:before="240"/>
        <w:jc w:val="both"/>
        <w:rPr>
          <w:b/>
          <w:bCs/>
          <w:lang w:val="en-US"/>
        </w:rPr>
      </w:pPr>
      <w:r w:rsidRPr="00DA2DD5">
        <w:rPr>
          <w:b/>
          <w:bCs/>
          <w:lang w:val="en-US"/>
        </w:rPr>
        <w:t>Ndikimi mbi Autoritetin e Mbikëqyrjes Financiare</w:t>
      </w:r>
    </w:p>
    <w:p w14:paraId="291F0901" w14:textId="77777777" w:rsidR="00DA2DD5" w:rsidRPr="00DA2DD5" w:rsidRDefault="00DA2DD5" w:rsidP="00DA2DD5">
      <w:pPr>
        <w:spacing w:before="240"/>
        <w:jc w:val="both"/>
        <w:rPr>
          <w:lang w:val="en-US"/>
        </w:rPr>
      </w:pPr>
      <w:r w:rsidRPr="00DA2DD5">
        <w:rPr>
          <w:lang w:val="en-US"/>
        </w:rPr>
        <w:t>Autoriteti do të duhet të realizojë të gjitha veprimet e parashikuara sipas Opsionit 1: hartimin ose ndryshimin e akteve nënligjore, përditësimin e metodologjive dhe manualeve mbikëqyrëse, zhvillimin e formateve të raportimit dhe trajnimin e stafit.</w:t>
      </w:r>
    </w:p>
    <w:p w14:paraId="26A941C2" w14:textId="77777777" w:rsidR="00DA2DD5" w:rsidRPr="00DA2DD5" w:rsidRDefault="00DA2DD5" w:rsidP="00DA2DD5">
      <w:pPr>
        <w:spacing w:before="240"/>
        <w:jc w:val="both"/>
        <w:rPr>
          <w:lang w:val="en-US"/>
        </w:rPr>
      </w:pPr>
      <w:r w:rsidRPr="00DA2DD5">
        <w:rPr>
          <w:lang w:val="en-US"/>
        </w:rPr>
        <w:t>Në rastin e një ligji të ri, Autoriteti do të duhet të kryejë edhe një shqyrtim të plotë të bazës rregullatore ekzistuese për të përcaktuar:</w:t>
      </w:r>
    </w:p>
    <w:p w14:paraId="464C7383" w14:textId="77777777" w:rsidR="00DA2DD5" w:rsidRPr="00DA2DD5" w:rsidRDefault="00DA2DD5" w:rsidP="008E4E22">
      <w:pPr>
        <w:numPr>
          <w:ilvl w:val="0"/>
          <w:numId w:val="41"/>
        </w:numPr>
        <w:spacing w:before="240"/>
        <w:jc w:val="both"/>
        <w:rPr>
          <w:lang w:val="en-US"/>
        </w:rPr>
      </w:pPr>
      <w:r w:rsidRPr="00DA2DD5">
        <w:rPr>
          <w:lang w:val="en-US"/>
        </w:rPr>
        <w:t xml:space="preserve">aktet nënligjore që mund të vijojnë të zbatohen; </w:t>
      </w:r>
    </w:p>
    <w:p w14:paraId="7DF83FBA" w14:textId="77777777" w:rsidR="00DA2DD5" w:rsidRPr="00DA2DD5" w:rsidRDefault="00DA2DD5" w:rsidP="008E4E22">
      <w:pPr>
        <w:numPr>
          <w:ilvl w:val="0"/>
          <w:numId w:val="41"/>
        </w:numPr>
        <w:spacing w:before="240"/>
        <w:jc w:val="both"/>
        <w:rPr>
          <w:lang w:val="en-US"/>
        </w:rPr>
      </w:pPr>
      <w:r w:rsidRPr="00DA2DD5">
        <w:rPr>
          <w:lang w:val="en-US"/>
        </w:rPr>
        <w:t xml:space="preserve">aktet që kërkojnë ndryshim të bazës ose të referencave ligjore; </w:t>
      </w:r>
    </w:p>
    <w:p w14:paraId="37B1CC4A" w14:textId="77777777" w:rsidR="00DA2DD5" w:rsidRPr="00DA2DD5" w:rsidRDefault="00DA2DD5" w:rsidP="008E4E22">
      <w:pPr>
        <w:numPr>
          <w:ilvl w:val="0"/>
          <w:numId w:val="41"/>
        </w:numPr>
        <w:spacing w:before="240"/>
        <w:jc w:val="both"/>
        <w:rPr>
          <w:lang w:val="en-US"/>
        </w:rPr>
      </w:pPr>
      <w:r w:rsidRPr="00DA2DD5">
        <w:rPr>
          <w:lang w:val="en-US"/>
        </w:rPr>
        <w:t xml:space="preserve">aktet që duhet të shfuqizohen dhe të zëvendësohen; </w:t>
      </w:r>
    </w:p>
    <w:p w14:paraId="3AF70754" w14:textId="77777777" w:rsidR="00DA2DD5" w:rsidRPr="00DA2DD5" w:rsidRDefault="00DA2DD5" w:rsidP="008E4E22">
      <w:pPr>
        <w:numPr>
          <w:ilvl w:val="0"/>
          <w:numId w:val="41"/>
        </w:numPr>
        <w:spacing w:before="240"/>
        <w:jc w:val="both"/>
        <w:rPr>
          <w:lang w:val="en-US"/>
        </w:rPr>
      </w:pPr>
      <w:r w:rsidRPr="00DA2DD5">
        <w:rPr>
          <w:lang w:val="en-US"/>
        </w:rPr>
        <w:t xml:space="preserve">trajtimin e procedurave administrative të nisura sipas ligjit të mëparshëm; </w:t>
      </w:r>
    </w:p>
    <w:p w14:paraId="31E0F031" w14:textId="77777777" w:rsidR="00DA2DD5" w:rsidRPr="00DA2DD5" w:rsidRDefault="00DA2DD5" w:rsidP="008E4E22">
      <w:pPr>
        <w:numPr>
          <w:ilvl w:val="0"/>
          <w:numId w:val="41"/>
        </w:numPr>
        <w:spacing w:before="240"/>
        <w:jc w:val="both"/>
        <w:rPr>
          <w:lang w:val="en-US"/>
        </w:rPr>
      </w:pPr>
      <w:r w:rsidRPr="00DA2DD5">
        <w:rPr>
          <w:lang w:val="en-US"/>
        </w:rPr>
        <w:t xml:space="preserve">vijimësinë e licencave, regjistrimeve dhe miratimeve ekzistuese. </w:t>
      </w:r>
    </w:p>
    <w:p w14:paraId="1D6B5701" w14:textId="77777777" w:rsidR="00DA2DD5" w:rsidRPr="00DA2DD5" w:rsidRDefault="00DA2DD5" w:rsidP="00DA2DD5">
      <w:pPr>
        <w:spacing w:before="240"/>
        <w:jc w:val="both"/>
        <w:rPr>
          <w:lang w:val="en-US"/>
        </w:rPr>
      </w:pPr>
      <w:r w:rsidRPr="00DA2DD5">
        <w:rPr>
          <w:lang w:val="en-US"/>
        </w:rPr>
        <w:t>Kjo do të krijonte një ngarkesë administrative më të lartë se Opsioni 1. Analiza supozon se kjo ngarkesë do të përballohet me burimet ekzistuese dhe, për këtë arsye, nuk parashikon kosto shtesë të drejtpërdrejtë për buxhetin.</w:t>
      </w:r>
    </w:p>
    <w:p w14:paraId="39F5749D" w14:textId="77777777" w:rsidR="00DA2DD5" w:rsidRPr="00DA2DD5" w:rsidRDefault="00DA2DD5" w:rsidP="00DA2DD5">
      <w:pPr>
        <w:spacing w:before="240"/>
        <w:jc w:val="both"/>
        <w:rPr>
          <w:lang w:val="en-US"/>
        </w:rPr>
      </w:pPr>
      <w:r w:rsidRPr="00DA2DD5">
        <w:rPr>
          <w:lang w:val="en-US"/>
        </w:rPr>
        <w:t>Kostoja oportune e kohës së stafit nuk monetarizohet, pasi nuk disponohen të dhëna të mjaftueshme për numrin e akteve, orët e punës dhe nevojat e mundshme teknologjike.</w:t>
      </w:r>
    </w:p>
    <w:p w14:paraId="18878E2B" w14:textId="77777777" w:rsidR="00DA2DD5" w:rsidRPr="00DA2DD5" w:rsidRDefault="00DA2DD5" w:rsidP="00DA2DD5">
      <w:pPr>
        <w:spacing w:before="240"/>
        <w:jc w:val="both"/>
        <w:rPr>
          <w:b/>
          <w:bCs/>
          <w:lang w:val="en-US"/>
        </w:rPr>
      </w:pPr>
      <w:r w:rsidRPr="00DA2DD5">
        <w:rPr>
          <w:b/>
          <w:bCs/>
          <w:lang w:val="en-US"/>
        </w:rPr>
        <w:t>Ndikimi mbi depozitarët dhe ofruesit e funksioneve të deleguara</w:t>
      </w:r>
    </w:p>
    <w:p w14:paraId="2365C703" w14:textId="77777777" w:rsidR="00DA2DD5" w:rsidRPr="00DA2DD5" w:rsidRDefault="00DA2DD5" w:rsidP="00DA2DD5">
      <w:pPr>
        <w:spacing w:before="240"/>
        <w:jc w:val="both"/>
        <w:rPr>
          <w:lang w:val="en-US"/>
        </w:rPr>
      </w:pPr>
      <w:r w:rsidRPr="00DA2DD5">
        <w:rPr>
          <w:lang w:val="en-US"/>
        </w:rPr>
        <w:t>Depozitarët dhe ofruesit e funksioneve të deleguara do të përballonin të njëjtat përshtatje materiale si në Opsionin 1, përfshirë rishikimin e marrëveshjeve kontraktore, linjave të raportimit dhe mekanizmave të kontrollit.</w:t>
      </w:r>
    </w:p>
    <w:p w14:paraId="12908B32" w14:textId="77777777" w:rsidR="00DA2DD5" w:rsidRPr="00DA2DD5" w:rsidRDefault="00DA2DD5" w:rsidP="00DA2DD5">
      <w:pPr>
        <w:spacing w:before="240"/>
        <w:jc w:val="both"/>
        <w:rPr>
          <w:lang w:val="en-US"/>
        </w:rPr>
      </w:pPr>
      <w:r w:rsidRPr="00DA2DD5">
        <w:rPr>
          <w:lang w:val="en-US"/>
        </w:rPr>
        <w:t>Kalimi në një ligj të ri do të kërkonte gjithashtu përditësimin e referencave ligjore dhe verifikimin e vazhdimësisë së kontratave ekzistuese. Këto kosto nuk monetarizohen veçmas dhe supozohet se përfshihen pjesërisht në shtesën e kufizuar të kostove të shoqërive administruese.</w:t>
      </w:r>
    </w:p>
    <w:p w14:paraId="4E38AD1E" w14:textId="77777777" w:rsidR="00DA2DD5" w:rsidRPr="00DA2DD5" w:rsidRDefault="00DA2DD5" w:rsidP="00DA2DD5">
      <w:pPr>
        <w:spacing w:before="240"/>
        <w:jc w:val="both"/>
        <w:rPr>
          <w:b/>
          <w:bCs/>
          <w:lang w:val="en-US"/>
        </w:rPr>
      </w:pPr>
      <w:r w:rsidRPr="00DA2DD5">
        <w:rPr>
          <w:b/>
          <w:bCs/>
          <w:lang w:val="en-US"/>
        </w:rPr>
        <w:t>Ndikimi mbi punëdhënësit</w:t>
      </w:r>
    </w:p>
    <w:p w14:paraId="6F563B53" w14:textId="77777777" w:rsidR="00DA2DD5" w:rsidRPr="00DA2DD5" w:rsidRDefault="00DA2DD5" w:rsidP="00DA2DD5">
      <w:pPr>
        <w:spacing w:before="240"/>
        <w:jc w:val="both"/>
        <w:rPr>
          <w:lang w:val="en-US"/>
        </w:rPr>
      </w:pPr>
      <w:r w:rsidRPr="00DA2DD5">
        <w:rPr>
          <w:lang w:val="en-US"/>
        </w:rPr>
        <w:t>Opsioni 2 nuk vendos detyrim për punëdhënësit që të krijojnë një fond pensioni privat ose të kontribuojnë në emër të punëmarrësve. Për këtë arsye, nuk parashikohet kosto e drejtpërdrejtë financiare për ta.</w:t>
      </w:r>
    </w:p>
    <w:p w14:paraId="5A2EE0C7" w14:textId="77777777" w:rsidR="00DA2DD5" w:rsidRPr="00DA2DD5" w:rsidRDefault="00DA2DD5" w:rsidP="00DA2DD5">
      <w:pPr>
        <w:spacing w:before="240"/>
        <w:jc w:val="both"/>
        <w:rPr>
          <w:lang w:val="en-US"/>
        </w:rPr>
      </w:pPr>
      <w:r w:rsidRPr="00DA2DD5">
        <w:rPr>
          <w:lang w:val="en-US"/>
        </w:rPr>
        <w:t>Punëdhënësit që kontribuojnë aktualisht mund të përfitojnë nga standardet më të plota të administrimit të rrezikut dhe informimit. Nëse kontratat ose politikat e tyre të brendshme përmbajnë referenca të drejtpërdrejta ndaj ligjit nr. 76/2023, mund të nevojitet përditësimi formal i tyre. Kjo kosto pritet të jetë e kufizuar dhe nuk monetarizohet.</w:t>
      </w:r>
    </w:p>
    <w:p w14:paraId="5372156C" w14:textId="77777777" w:rsidR="00DA2DD5" w:rsidRPr="00DA2DD5" w:rsidRDefault="00DA2DD5" w:rsidP="00DA2DD5">
      <w:pPr>
        <w:spacing w:before="240"/>
        <w:jc w:val="both"/>
        <w:rPr>
          <w:b/>
          <w:bCs/>
          <w:lang w:val="en-US"/>
        </w:rPr>
      </w:pPr>
      <w:r w:rsidRPr="00DA2DD5">
        <w:rPr>
          <w:b/>
          <w:bCs/>
          <w:lang w:val="en-US"/>
        </w:rPr>
        <w:t>Ndikimi mbi qeverinë dhe procesin legjislativ</w:t>
      </w:r>
    </w:p>
    <w:p w14:paraId="5AACB5FC" w14:textId="77777777" w:rsidR="00DA2DD5" w:rsidRPr="00DA2DD5" w:rsidRDefault="00DA2DD5" w:rsidP="00DA2DD5">
      <w:pPr>
        <w:spacing w:before="240"/>
        <w:jc w:val="both"/>
        <w:rPr>
          <w:lang w:val="en-US"/>
        </w:rPr>
      </w:pPr>
      <w:r w:rsidRPr="00DA2DD5">
        <w:rPr>
          <w:lang w:val="en-US"/>
        </w:rPr>
        <w:t>Opsioni 2 realizon përafrimin e plotë me Direktivën IORP II dhe përmbush objektivin e integrimit evropian në të njëjtën masë si Opsioni 1.</w:t>
      </w:r>
    </w:p>
    <w:p w14:paraId="2ECE7803" w14:textId="77777777" w:rsidR="00DA2DD5" w:rsidRPr="00DA2DD5" w:rsidRDefault="00DA2DD5" w:rsidP="00DA2DD5">
      <w:pPr>
        <w:spacing w:before="240"/>
        <w:jc w:val="both"/>
        <w:rPr>
          <w:lang w:val="en-US"/>
        </w:rPr>
      </w:pPr>
      <w:r w:rsidRPr="00DA2DD5">
        <w:rPr>
          <w:lang w:val="en-US"/>
        </w:rPr>
        <w:t>Megjithatë, hartimi i një ligji të ri kërkon shqyrtimin dhe konsultimin e të gjithë kuadrit, duke përfshirë edhe dispozitat që nuk kanë nevojë të ndryshojnë materialisht. Duhet të kryhet kontroll i plotë i marrëdhënies me legjislacionin tjetër dhe të hartohen dispozita më të hollësishme kalimtare dhe përfundimtare.</w:t>
      </w:r>
    </w:p>
    <w:p w14:paraId="41DEE168" w14:textId="77777777" w:rsidR="00DA2DD5" w:rsidRPr="00DA2DD5" w:rsidRDefault="00DA2DD5" w:rsidP="00DA2DD5">
      <w:pPr>
        <w:spacing w:before="240"/>
        <w:jc w:val="both"/>
        <w:rPr>
          <w:lang w:val="en-US"/>
        </w:rPr>
      </w:pPr>
      <w:r w:rsidRPr="00DA2DD5">
        <w:rPr>
          <w:lang w:val="en-US"/>
        </w:rPr>
        <w:t>Ky proces mund të kërkojë më shumë kohë dhe burime institucionale. Kostoja e tij nuk monetarizohet, pasi supozohet se përballohet nga burimet ekzistuese të administratës.</w:t>
      </w:r>
    </w:p>
    <w:p w14:paraId="1E7A3637" w14:textId="77777777" w:rsidR="00DA2DD5" w:rsidRPr="00DA2DD5" w:rsidRDefault="00DA2DD5" w:rsidP="00DA2DD5">
      <w:pPr>
        <w:spacing w:before="240"/>
        <w:jc w:val="both"/>
        <w:rPr>
          <w:b/>
          <w:bCs/>
          <w:lang w:val="en-US"/>
        </w:rPr>
      </w:pPr>
      <w:r w:rsidRPr="00DA2DD5">
        <w:rPr>
          <w:b/>
          <w:bCs/>
          <w:lang w:val="en-US"/>
        </w:rPr>
        <w:t>Ndikimet jo të drejtpërdrejta</w:t>
      </w:r>
    </w:p>
    <w:p w14:paraId="517E90E1" w14:textId="77777777" w:rsidR="00DA2DD5" w:rsidRPr="00DA2DD5" w:rsidRDefault="00DA2DD5" w:rsidP="00DA2DD5">
      <w:pPr>
        <w:spacing w:before="240"/>
        <w:jc w:val="both"/>
        <w:rPr>
          <w:lang w:val="en-US"/>
        </w:rPr>
      </w:pPr>
      <w:r w:rsidRPr="00DA2DD5">
        <w:rPr>
          <w:lang w:val="en-US"/>
        </w:rPr>
        <w:t>Opsioni 2 sjell të njëjtat ndikime pozitive jo të drejtpërdrejta si Opsioni 1: forcimin e besimit në treg, uljen e mundshme të rrezikut të mangësive të qeverisjes, përmirësimin e administrimit të aktiveve dhe përgatitjen për integrimin në tregun e brendshëm evropian.</w:t>
      </w:r>
    </w:p>
    <w:p w14:paraId="7F88EAB7" w14:textId="77777777" w:rsidR="00DA2DD5" w:rsidRPr="00DA2DD5" w:rsidRDefault="00DA2DD5" w:rsidP="00DA2DD5">
      <w:pPr>
        <w:spacing w:before="240"/>
        <w:jc w:val="both"/>
        <w:rPr>
          <w:lang w:val="en-US"/>
        </w:rPr>
      </w:pPr>
      <w:r w:rsidRPr="00DA2DD5">
        <w:rPr>
          <w:lang w:val="en-US"/>
        </w:rPr>
        <w:t>Nuk identifikohet një përfitim material shtesë vetëm nga fakti se kuadri miratohet në formën e një ligji të ri. Pas miratimit të shtesave dhe ndryshimeve sipas Opsionit 1, dispozitat e ndryshuara bëhen pjesë e ligjit nr. 76/2023 dhe zbatohen së bashku me pjesën tjetër të tij. Për rrjedhojë, forma e aktit nuk sjell vetvetiu përmirësim të mbrojtjes, të mbikëqyrjes ose të rezultateve ekonomike.</w:t>
      </w:r>
    </w:p>
    <w:p w14:paraId="42A16CA9" w14:textId="77777777" w:rsidR="00DA2DD5" w:rsidRPr="00DA2DD5" w:rsidRDefault="00DA2DD5" w:rsidP="00DA2DD5">
      <w:pPr>
        <w:spacing w:before="240"/>
        <w:jc w:val="both"/>
        <w:rPr>
          <w:lang w:val="en-US"/>
        </w:rPr>
      </w:pPr>
      <w:r w:rsidRPr="00DA2DD5">
        <w:rPr>
          <w:lang w:val="en-US"/>
        </w:rPr>
        <w:t>Nga ana tjetër, shfuqizimi i një ligji të miratuar dhe të zbatuar së fundmi mund të krijojë perceptim për ndryshime të shpeshta të kuadrit rregullator. Ky ndikim mund të jetë i kufizuar, por duhet marrë parasysh, veçanërisht pasi subjektet kanë përfunduar së fundmi përshtatjen me ligjin nr. 76/2023.</w:t>
      </w:r>
    </w:p>
    <w:p w14:paraId="45D264BD" w14:textId="77777777" w:rsidR="00DA2DD5" w:rsidRPr="00DA2DD5" w:rsidRDefault="00DA2DD5" w:rsidP="00DA2DD5">
      <w:pPr>
        <w:spacing w:before="240"/>
        <w:jc w:val="both"/>
        <w:rPr>
          <w:lang w:val="en-US"/>
        </w:rPr>
      </w:pPr>
      <w:r w:rsidRPr="00DA2DD5">
        <w:rPr>
          <w:lang w:val="en-US"/>
        </w:rPr>
        <w:t>Procesi më i gjerë legjislativ mund të sjellë edhe vonesa në realizimin e përfitimeve. Ky rrezik nuk është përfshirë në përllogaritjen monetare, e cila supozon të njëjtin kalendar zbatimi si Opsioni 1.</w:t>
      </w:r>
    </w:p>
    <w:p w14:paraId="336F7C3B" w14:textId="77777777" w:rsidR="00DA2DD5" w:rsidRPr="00DA2DD5" w:rsidRDefault="00DA2DD5" w:rsidP="00DA2DD5">
      <w:pPr>
        <w:spacing w:before="240"/>
        <w:jc w:val="both"/>
        <w:rPr>
          <w:b/>
          <w:bCs/>
          <w:lang w:val="en-US"/>
        </w:rPr>
      </w:pPr>
      <w:r w:rsidRPr="00DA2DD5">
        <w:rPr>
          <w:b/>
          <w:bCs/>
          <w:lang w:val="en-US"/>
        </w:rPr>
        <w:t>Ndikimi mbi ndërmarrjet e vogla dhe të mesme</w:t>
      </w:r>
    </w:p>
    <w:p w14:paraId="56FDA78B" w14:textId="77777777" w:rsidR="00DA2DD5" w:rsidRPr="00DA2DD5" w:rsidRDefault="00DA2DD5" w:rsidP="00DA2DD5">
      <w:pPr>
        <w:spacing w:before="240"/>
        <w:jc w:val="both"/>
        <w:rPr>
          <w:lang w:val="en-US"/>
        </w:rPr>
      </w:pPr>
      <w:r w:rsidRPr="00DA2DD5">
        <w:rPr>
          <w:lang w:val="en-US"/>
        </w:rPr>
        <w:t>Nuk disponohen të dhëna të plota për klasifikimin e shoqërive administruese, depozitarëve dhe ofruesve të shërbimeve si ndërmarrje të vogla ose të mesme.</w:t>
      </w:r>
    </w:p>
    <w:p w14:paraId="5C115D9B" w14:textId="77777777" w:rsidR="00DA2DD5" w:rsidRPr="00DA2DD5" w:rsidRDefault="00DA2DD5" w:rsidP="00DA2DD5">
      <w:pPr>
        <w:spacing w:before="240"/>
        <w:jc w:val="both"/>
        <w:rPr>
          <w:lang w:val="en-US"/>
        </w:rPr>
      </w:pPr>
      <w:r w:rsidRPr="00DA2DD5">
        <w:rPr>
          <w:lang w:val="en-US"/>
        </w:rPr>
        <w:t>Një pjesë e kostove të pajtueshmërisë ka karakter fiks dhe mund të ketë peshë relativisht më të lartë për subjektet me më pak aktive, të ardhura ose personel. Sipas Opsionit 2, këtyre kostove u shtohet edhe një komponent i kufizuar për rishikimin juridik dhe administrativ të dokumentacionit.</w:t>
      </w:r>
    </w:p>
    <w:p w14:paraId="2140E28B" w14:textId="77777777" w:rsidR="00DA2DD5" w:rsidRPr="00DA2DD5" w:rsidRDefault="00DA2DD5" w:rsidP="00DA2DD5">
      <w:pPr>
        <w:spacing w:before="240"/>
        <w:jc w:val="both"/>
        <w:rPr>
          <w:lang w:val="en-US"/>
        </w:rPr>
      </w:pPr>
      <w:r w:rsidRPr="00DA2DD5">
        <w:rPr>
          <w:lang w:val="en-US"/>
        </w:rPr>
        <w:t>Diferenca prej 0,10 milionë lekësh për shoqëri në vit nuk pritet të krijojë pengesë të konsiderueshme shtesë, por e bën Opsionin 2 disi më të kushtueshëm për operatorët më të vegjël. Kjo përforcon nevojën për dispozita të qarta kalimtare dhe zbatim proporcional.</w:t>
      </w:r>
    </w:p>
    <w:p w14:paraId="513FC32A" w14:textId="77777777" w:rsidR="00DA2DD5" w:rsidRPr="00DA2DD5" w:rsidRDefault="00DA2DD5" w:rsidP="00DA2DD5">
      <w:pPr>
        <w:spacing w:before="240"/>
        <w:jc w:val="both"/>
        <w:rPr>
          <w:b/>
          <w:bCs/>
          <w:lang w:val="en-US"/>
        </w:rPr>
      </w:pPr>
      <w:r w:rsidRPr="00DA2DD5">
        <w:rPr>
          <w:b/>
          <w:bCs/>
          <w:lang w:val="en-US"/>
        </w:rPr>
        <w:t>Ndikimi mbi konkurrencën</w:t>
      </w:r>
    </w:p>
    <w:p w14:paraId="162F05D7" w14:textId="77777777" w:rsidR="00DA2DD5" w:rsidRPr="00DA2DD5" w:rsidRDefault="00DA2DD5" w:rsidP="00DA2DD5">
      <w:pPr>
        <w:spacing w:before="240"/>
        <w:jc w:val="both"/>
        <w:rPr>
          <w:lang w:val="en-US"/>
        </w:rPr>
      </w:pPr>
      <w:r w:rsidRPr="00DA2DD5">
        <w:rPr>
          <w:lang w:val="en-US"/>
        </w:rPr>
        <w:t>Në afat të shkurtër, Opsioni 2 nuk ndryshon materialisht kushtet e konkurrencës në krahasim me Opsionin 1. Të gjitha shoqëritë administruese do t’u nënshtrohen të njëjtave kërkesa.</w:t>
      </w:r>
    </w:p>
    <w:p w14:paraId="24FFCBF2" w14:textId="77777777" w:rsidR="00DA2DD5" w:rsidRPr="00DA2DD5" w:rsidRDefault="00DA2DD5" w:rsidP="00DA2DD5">
      <w:pPr>
        <w:spacing w:before="240"/>
        <w:jc w:val="both"/>
        <w:rPr>
          <w:lang w:val="en-US"/>
        </w:rPr>
      </w:pPr>
      <w:r w:rsidRPr="00DA2DD5">
        <w:rPr>
          <w:lang w:val="en-US"/>
        </w:rPr>
        <w:t>Kostoja lehtësisht më e lartë e tranzicionit mund të ketë ndikim relativisht më të madh mbi subjektet me shkallë më të vogël veprimtarie. Megjithatë, diferenca nuk është e tillë që të pritet të ndryshojë vetë strukturën e tregut.</w:t>
      </w:r>
    </w:p>
    <w:p w14:paraId="043FB74B" w14:textId="77777777" w:rsidR="00DA2DD5" w:rsidRPr="00DA2DD5" w:rsidRDefault="00DA2DD5" w:rsidP="00DA2DD5">
      <w:pPr>
        <w:spacing w:before="240"/>
        <w:jc w:val="both"/>
        <w:rPr>
          <w:lang w:val="en-US"/>
        </w:rPr>
      </w:pPr>
      <w:r w:rsidRPr="00DA2DD5">
        <w:rPr>
          <w:lang w:val="en-US"/>
        </w:rPr>
        <w:t>Pas anëtarësimit në Bashkimin Evropian, rregullat për veprimtarinë ndërkufitare mund të krijojnë mundësi për hyrjen e operatorëve të rinj dhe rritjen e konkurrencës. Ky ndikim është i njëjtë në Opsionin 1 dhe në Opsionin 2.</w:t>
      </w:r>
    </w:p>
    <w:p w14:paraId="46623E6A" w14:textId="77777777" w:rsidR="00DA2DD5" w:rsidRPr="00DA2DD5" w:rsidRDefault="00DA2DD5" w:rsidP="00DA2DD5">
      <w:pPr>
        <w:spacing w:before="240"/>
        <w:jc w:val="both"/>
        <w:rPr>
          <w:b/>
          <w:bCs/>
          <w:lang w:val="en-US"/>
        </w:rPr>
      </w:pPr>
      <w:r w:rsidRPr="00DA2DD5">
        <w:rPr>
          <w:b/>
          <w:bCs/>
          <w:lang w:val="en-US"/>
        </w:rPr>
        <w:t>Tabela e analizës së ndikimeve për Opsionin 2</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60"/>
        <w:gridCol w:w="1575"/>
        <w:gridCol w:w="3090"/>
        <w:gridCol w:w="3570"/>
      </w:tblGrid>
      <w:tr w:rsidR="00DA2DD5" w:rsidRPr="00DA2DD5" w14:paraId="1D25BE05" w14:textId="77777777" w:rsidTr="00C5347D">
        <w:trPr>
          <w:tblHeader/>
          <w:tblCellSpacing w:w="15" w:type="dxa"/>
        </w:trPr>
        <w:tc>
          <w:tcPr>
            <w:tcW w:w="0" w:type="auto"/>
            <w:vAlign w:val="center"/>
            <w:hideMark/>
          </w:tcPr>
          <w:p w14:paraId="42013ED3" w14:textId="77777777" w:rsidR="00DA2DD5" w:rsidRPr="00DA2DD5" w:rsidRDefault="00DA2DD5" w:rsidP="00DA2DD5">
            <w:pPr>
              <w:spacing w:before="240"/>
              <w:jc w:val="both"/>
              <w:rPr>
                <w:b/>
                <w:bCs/>
                <w:lang w:val="en-US"/>
              </w:rPr>
            </w:pPr>
            <w:r w:rsidRPr="00DA2DD5">
              <w:rPr>
                <w:b/>
                <w:bCs/>
                <w:lang w:val="en-US"/>
              </w:rPr>
              <w:t>Grupi i prekur</w:t>
            </w:r>
          </w:p>
        </w:tc>
        <w:tc>
          <w:tcPr>
            <w:tcW w:w="0" w:type="auto"/>
            <w:vAlign w:val="center"/>
            <w:hideMark/>
          </w:tcPr>
          <w:p w14:paraId="44D40815" w14:textId="77777777" w:rsidR="00DA2DD5" w:rsidRPr="00DA2DD5" w:rsidRDefault="00DA2DD5" w:rsidP="00DA2DD5">
            <w:pPr>
              <w:spacing w:before="240"/>
              <w:jc w:val="both"/>
              <w:rPr>
                <w:b/>
                <w:bCs/>
                <w:lang w:val="en-US"/>
              </w:rPr>
            </w:pPr>
            <w:r w:rsidRPr="00DA2DD5">
              <w:rPr>
                <w:b/>
                <w:bCs/>
                <w:lang w:val="en-US"/>
              </w:rPr>
              <w:t>Lloji i ndikimit</w:t>
            </w:r>
          </w:p>
        </w:tc>
        <w:tc>
          <w:tcPr>
            <w:tcW w:w="0" w:type="auto"/>
            <w:vAlign w:val="center"/>
            <w:hideMark/>
          </w:tcPr>
          <w:p w14:paraId="1546E8E5" w14:textId="77777777" w:rsidR="00DA2DD5" w:rsidRPr="00DA2DD5" w:rsidRDefault="00DA2DD5" w:rsidP="00DA2DD5">
            <w:pPr>
              <w:spacing w:before="240"/>
              <w:jc w:val="both"/>
              <w:rPr>
                <w:b/>
                <w:bCs/>
                <w:lang w:val="en-US"/>
              </w:rPr>
            </w:pPr>
            <w:r w:rsidRPr="00DA2DD5">
              <w:rPr>
                <w:b/>
                <w:bCs/>
                <w:lang w:val="en-US"/>
              </w:rPr>
              <w:t>Përshkrimi cilësor</w:t>
            </w:r>
          </w:p>
        </w:tc>
        <w:tc>
          <w:tcPr>
            <w:tcW w:w="0" w:type="auto"/>
            <w:vAlign w:val="center"/>
            <w:hideMark/>
          </w:tcPr>
          <w:p w14:paraId="5C6155CF" w14:textId="77777777" w:rsidR="00DA2DD5" w:rsidRPr="00DA2DD5" w:rsidRDefault="00DA2DD5" w:rsidP="00DA2DD5">
            <w:pPr>
              <w:spacing w:before="240"/>
              <w:jc w:val="both"/>
              <w:rPr>
                <w:b/>
                <w:bCs/>
                <w:lang w:val="en-US"/>
              </w:rPr>
            </w:pPr>
            <w:r w:rsidRPr="00DA2DD5">
              <w:rPr>
                <w:b/>
                <w:bCs/>
                <w:lang w:val="en-US"/>
              </w:rPr>
              <w:t>Vlerësimi sasior dhe monetar</w:t>
            </w:r>
          </w:p>
        </w:tc>
      </w:tr>
      <w:tr w:rsidR="00DA2DD5" w:rsidRPr="00DA2DD5" w14:paraId="005BE7AA" w14:textId="77777777" w:rsidTr="00C5347D">
        <w:trPr>
          <w:tblCellSpacing w:w="15" w:type="dxa"/>
        </w:trPr>
        <w:tc>
          <w:tcPr>
            <w:tcW w:w="0" w:type="auto"/>
            <w:vAlign w:val="center"/>
            <w:hideMark/>
          </w:tcPr>
          <w:p w14:paraId="4BF774CC" w14:textId="77777777" w:rsidR="00DA2DD5" w:rsidRPr="00DA2DD5" w:rsidRDefault="00DA2DD5" w:rsidP="00DA2DD5">
            <w:pPr>
              <w:spacing w:before="240"/>
              <w:jc w:val="both"/>
              <w:rPr>
                <w:lang w:val="en-US"/>
              </w:rPr>
            </w:pPr>
            <w:r w:rsidRPr="00DA2DD5">
              <w:rPr>
                <w:lang w:val="en-US"/>
              </w:rPr>
              <w:t>Anëtarët dhe përfituesit</w:t>
            </w:r>
          </w:p>
        </w:tc>
        <w:tc>
          <w:tcPr>
            <w:tcW w:w="0" w:type="auto"/>
            <w:vAlign w:val="center"/>
            <w:hideMark/>
          </w:tcPr>
          <w:p w14:paraId="6F488BAD" w14:textId="77777777" w:rsidR="00DA2DD5" w:rsidRPr="00DA2DD5" w:rsidRDefault="00DA2DD5" w:rsidP="00DA2DD5">
            <w:pPr>
              <w:spacing w:before="240"/>
              <w:jc w:val="both"/>
              <w:rPr>
                <w:lang w:val="en-US"/>
              </w:rPr>
            </w:pPr>
            <w:r w:rsidRPr="00DA2DD5">
              <w:rPr>
                <w:lang w:val="en-US"/>
              </w:rPr>
              <w:t>Drejtpërdrejtë</w:t>
            </w:r>
          </w:p>
        </w:tc>
        <w:tc>
          <w:tcPr>
            <w:tcW w:w="0" w:type="auto"/>
            <w:vAlign w:val="center"/>
            <w:hideMark/>
          </w:tcPr>
          <w:p w14:paraId="4D235652" w14:textId="77777777" w:rsidR="00DA2DD5" w:rsidRPr="00DA2DD5" w:rsidRDefault="00DA2DD5" w:rsidP="00DA2DD5">
            <w:pPr>
              <w:spacing w:before="240"/>
              <w:jc w:val="both"/>
              <w:rPr>
                <w:lang w:val="en-US"/>
              </w:rPr>
            </w:pPr>
            <w:r w:rsidRPr="00DA2DD5">
              <w:rPr>
                <w:lang w:val="en-US"/>
              </w:rPr>
              <w:t>Të njëjtat përmirësime si në Opsionin 1 për qeverisjen, administrimin e rrezikut, mbikëqyrjen dhe informacionin.</w:t>
            </w:r>
          </w:p>
        </w:tc>
        <w:tc>
          <w:tcPr>
            <w:tcW w:w="0" w:type="auto"/>
            <w:vAlign w:val="center"/>
            <w:hideMark/>
          </w:tcPr>
          <w:p w14:paraId="5FB365F9" w14:textId="77777777" w:rsidR="00DA2DD5" w:rsidRPr="00DA2DD5" w:rsidRDefault="00DA2DD5" w:rsidP="00DA2DD5">
            <w:pPr>
              <w:spacing w:before="240"/>
              <w:jc w:val="both"/>
              <w:rPr>
                <w:lang w:val="en-US"/>
              </w:rPr>
            </w:pPr>
            <w:r w:rsidRPr="00DA2DD5">
              <w:rPr>
                <w:lang w:val="en-US"/>
              </w:rPr>
              <w:t>49 218 anëtarë dhe rreth 9,86 miliardë lekë aktive neto. Përfitimet monetarizohen pjesërisht përmes supozimit për rritje prej 0,1 pikë përqindjeje të kthimit real.</w:t>
            </w:r>
          </w:p>
        </w:tc>
      </w:tr>
      <w:tr w:rsidR="00DA2DD5" w:rsidRPr="00DA2DD5" w14:paraId="5FD254EF" w14:textId="77777777" w:rsidTr="00C5347D">
        <w:trPr>
          <w:tblCellSpacing w:w="15" w:type="dxa"/>
        </w:trPr>
        <w:tc>
          <w:tcPr>
            <w:tcW w:w="0" w:type="auto"/>
            <w:vAlign w:val="center"/>
            <w:hideMark/>
          </w:tcPr>
          <w:p w14:paraId="60D30EF1" w14:textId="77777777" w:rsidR="00DA2DD5" w:rsidRPr="00DA2DD5" w:rsidRDefault="00DA2DD5" w:rsidP="00DA2DD5">
            <w:pPr>
              <w:spacing w:before="240"/>
              <w:jc w:val="both"/>
              <w:rPr>
                <w:lang w:val="en-US"/>
              </w:rPr>
            </w:pPr>
            <w:r w:rsidRPr="00DA2DD5">
              <w:rPr>
                <w:lang w:val="en-US"/>
              </w:rPr>
              <w:t>Anëtarët dhe përfituesit</w:t>
            </w:r>
          </w:p>
        </w:tc>
        <w:tc>
          <w:tcPr>
            <w:tcW w:w="0" w:type="auto"/>
            <w:vAlign w:val="center"/>
            <w:hideMark/>
          </w:tcPr>
          <w:p w14:paraId="1BF11782" w14:textId="77777777" w:rsidR="00DA2DD5" w:rsidRPr="00DA2DD5" w:rsidRDefault="00DA2DD5" w:rsidP="00DA2DD5">
            <w:pPr>
              <w:spacing w:before="240"/>
              <w:jc w:val="both"/>
              <w:rPr>
                <w:lang w:val="en-US"/>
              </w:rPr>
            </w:pPr>
            <w:r w:rsidRPr="00DA2DD5">
              <w:rPr>
                <w:lang w:val="en-US"/>
              </w:rPr>
              <w:t>Jo i drejtpërdrejtë</w:t>
            </w:r>
          </w:p>
        </w:tc>
        <w:tc>
          <w:tcPr>
            <w:tcW w:w="0" w:type="auto"/>
            <w:vAlign w:val="center"/>
            <w:hideMark/>
          </w:tcPr>
          <w:p w14:paraId="0B1FA3EE" w14:textId="77777777" w:rsidR="00DA2DD5" w:rsidRPr="00DA2DD5" w:rsidRDefault="00DA2DD5" w:rsidP="00DA2DD5">
            <w:pPr>
              <w:spacing w:before="240"/>
              <w:jc w:val="both"/>
              <w:rPr>
                <w:lang w:val="en-US"/>
              </w:rPr>
            </w:pPr>
            <w:r w:rsidRPr="00DA2DD5">
              <w:rPr>
                <w:lang w:val="en-US"/>
              </w:rPr>
              <w:t>Rritje e mundshme e besimit dhe ulje e rrezikut të humbjeve; rrezik për paqartësi të kufizuara gjatë tranzicionit.</w:t>
            </w:r>
          </w:p>
        </w:tc>
        <w:tc>
          <w:tcPr>
            <w:tcW w:w="0" w:type="auto"/>
            <w:vAlign w:val="center"/>
            <w:hideMark/>
          </w:tcPr>
          <w:p w14:paraId="57E0A2CC" w14:textId="77777777" w:rsidR="00DA2DD5" w:rsidRPr="00DA2DD5" w:rsidRDefault="00DA2DD5" w:rsidP="00DA2DD5">
            <w:pPr>
              <w:spacing w:before="240"/>
              <w:jc w:val="both"/>
              <w:rPr>
                <w:lang w:val="en-US"/>
              </w:rPr>
            </w:pPr>
            <w:r w:rsidRPr="00DA2DD5">
              <w:rPr>
                <w:lang w:val="en-US"/>
              </w:rPr>
              <w:t>Nuk monetarizohet veçmas.</w:t>
            </w:r>
          </w:p>
        </w:tc>
      </w:tr>
      <w:tr w:rsidR="00DA2DD5" w:rsidRPr="00DA2DD5" w14:paraId="4C737042" w14:textId="77777777" w:rsidTr="00C5347D">
        <w:trPr>
          <w:tblCellSpacing w:w="15" w:type="dxa"/>
        </w:trPr>
        <w:tc>
          <w:tcPr>
            <w:tcW w:w="0" w:type="auto"/>
            <w:vAlign w:val="center"/>
            <w:hideMark/>
          </w:tcPr>
          <w:p w14:paraId="23113316" w14:textId="77777777" w:rsidR="00DA2DD5" w:rsidRPr="00DA2DD5" w:rsidRDefault="00DA2DD5" w:rsidP="00DA2DD5">
            <w:pPr>
              <w:spacing w:before="240"/>
              <w:jc w:val="both"/>
              <w:rPr>
                <w:lang w:val="en-US"/>
              </w:rPr>
            </w:pPr>
            <w:r w:rsidRPr="00DA2DD5">
              <w:rPr>
                <w:lang w:val="en-US"/>
              </w:rPr>
              <w:t>Shoqëritë administruese</w:t>
            </w:r>
          </w:p>
        </w:tc>
        <w:tc>
          <w:tcPr>
            <w:tcW w:w="0" w:type="auto"/>
            <w:vAlign w:val="center"/>
            <w:hideMark/>
          </w:tcPr>
          <w:p w14:paraId="65E199CC" w14:textId="77777777" w:rsidR="00DA2DD5" w:rsidRPr="00DA2DD5" w:rsidRDefault="00DA2DD5" w:rsidP="00DA2DD5">
            <w:pPr>
              <w:spacing w:before="240"/>
              <w:jc w:val="both"/>
              <w:rPr>
                <w:lang w:val="en-US"/>
              </w:rPr>
            </w:pPr>
            <w:r w:rsidRPr="00DA2DD5">
              <w:rPr>
                <w:lang w:val="en-US"/>
              </w:rPr>
              <w:t>Drejtpërdrejtë – kosto</w:t>
            </w:r>
          </w:p>
        </w:tc>
        <w:tc>
          <w:tcPr>
            <w:tcW w:w="0" w:type="auto"/>
            <w:vAlign w:val="center"/>
            <w:hideMark/>
          </w:tcPr>
          <w:p w14:paraId="1AD619E7" w14:textId="77777777" w:rsidR="00DA2DD5" w:rsidRPr="00DA2DD5" w:rsidRDefault="00DA2DD5" w:rsidP="00DA2DD5">
            <w:pPr>
              <w:spacing w:before="240"/>
              <w:jc w:val="both"/>
              <w:rPr>
                <w:lang w:val="en-US"/>
              </w:rPr>
            </w:pPr>
            <w:r w:rsidRPr="00DA2DD5">
              <w:rPr>
                <w:lang w:val="en-US"/>
              </w:rPr>
              <w:t>Përshtatje e kërkesave materiale dhe rishikim shtesë i dokumentacionit për kalimin në një bazë të re ligjore.</w:t>
            </w:r>
          </w:p>
        </w:tc>
        <w:tc>
          <w:tcPr>
            <w:tcW w:w="0" w:type="auto"/>
            <w:vAlign w:val="center"/>
            <w:hideMark/>
          </w:tcPr>
          <w:p w14:paraId="22AC70E3" w14:textId="77777777" w:rsidR="00DA2DD5" w:rsidRPr="00DA2DD5" w:rsidRDefault="00DA2DD5" w:rsidP="00DA2DD5">
            <w:pPr>
              <w:spacing w:before="240"/>
              <w:jc w:val="both"/>
              <w:rPr>
                <w:lang w:val="en-US"/>
              </w:rPr>
            </w:pPr>
            <w:r w:rsidRPr="00DA2DD5">
              <w:rPr>
                <w:lang w:val="en-US"/>
              </w:rPr>
              <w:t>1,35 milionë lekë për shoqëri në vit; 4 shoqëri; 5,4 milionë lekë në vit gjatë viteve 2–4; 16,2 milionë lekë nominalisht; rreth 14 milionë lekë në vlerë aktuale.</w:t>
            </w:r>
          </w:p>
        </w:tc>
      </w:tr>
      <w:tr w:rsidR="00DA2DD5" w:rsidRPr="00DA2DD5" w14:paraId="1FAD2DBC" w14:textId="77777777" w:rsidTr="00C5347D">
        <w:trPr>
          <w:tblCellSpacing w:w="15" w:type="dxa"/>
        </w:trPr>
        <w:tc>
          <w:tcPr>
            <w:tcW w:w="0" w:type="auto"/>
            <w:vAlign w:val="center"/>
            <w:hideMark/>
          </w:tcPr>
          <w:p w14:paraId="03A66BDF" w14:textId="77777777" w:rsidR="00DA2DD5" w:rsidRPr="00DA2DD5" w:rsidRDefault="00DA2DD5" w:rsidP="00DA2DD5">
            <w:pPr>
              <w:spacing w:before="240"/>
              <w:jc w:val="both"/>
              <w:rPr>
                <w:lang w:val="en-US"/>
              </w:rPr>
            </w:pPr>
            <w:r w:rsidRPr="00DA2DD5">
              <w:rPr>
                <w:lang w:val="en-US"/>
              </w:rPr>
              <w:t>Shoqëritë administruese</w:t>
            </w:r>
          </w:p>
        </w:tc>
        <w:tc>
          <w:tcPr>
            <w:tcW w:w="0" w:type="auto"/>
            <w:vAlign w:val="center"/>
            <w:hideMark/>
          </w:tcPr>
          <w:p w14:paraId="2284FFF6" w14:textId="77777777" w:rsidR="00DA2DD5" w:rsidRPr="00DA2DD5" w:rsidRDefault="00DA2DD5" w:rsidP="00DA2DD5">
            <w:pPr>
              <w:spacing w:before="240"/>
              <w:jc w:val="both"/>
              <w:rPr>
                <w:lang w:val="en-US"/>
              </w:rPr>
            </w:pPr>
            <w:r w:rsidRPr="00DA2DD5">
              <w:rPr>
                <w:lang w:val="en-US"/>
              </w:rPr>
              <w:t>Drejtpërdrejtë – përfitim</w:t>
            </w:r>
          </w:p>
        </w:tc>
        <w:tc>
          <w:tcPr>
            <w:tcW w:w="0" w:type="auto"/>
            <w:vAlign w:val="center"/>
            <w:hideMark/>
          </w:tcPr>
          <w:p w14:paraId="635C51D0" w14:textId="77777777" w:rsidR="00DA2DD5" w:rsidRPr="00DA2DD5" w:rsidRDefault="00DA2DD5" w:rsidP="00DA2DD5">
            <w:pPr>
              <w:spacing w:before="240"/>
              <w:jc w:val="both"/>
              <w:rPr>
                <w:lang w:val="en-US"/>
              </w:rPr>
            </w:pPr>
            <w:r w:rsidRPr="00DA2DD5">
              <w:rPr>
                <w:lang w:val="en-US"/>
              </w:rPr>
              <w:t>Të ardhura të mundshme shtesë nga rritja e numrit të anëtarëve dhe e aktiveve nën administrim.</w:t>
            </w:r>
          </w:p>
        </w:tc>
        <w:tc>
          <w:tcPr>
            <w:tcW w:w="0" w:type="auto"/>
            <w:vAlign w:val="center"/>
            <w:hideMark/>
          </w:tcPr>
          <w:p w14:paraId="67BB8368" w14:textId="77777777" w:rsidR="00DA2DD5" w:rsidRPr="00DA2DD5" w:rsidRDefault="00DA2DD5" w:rsidP="00DA2DD5">
            <w:pPr>
              <w:spacing w:before="240"/>
              <w:jc w:val="both"/>
              <w:rPr>
                <w:lang w:val="en-US"/>
              </w:rPr>
            </w:pPr>
            <w:r w:rsidRPr="00DA2DD5">
              <w:rPr>
                <w:lang w:val="en-US"/>
              </w:rPr>
              <w:t>Të njëjtat supozime si Opsioni 1: rritje shtesë 2 për qind dhe tarifë administrimi 2 për qind.</w:t>
            </w:r>
          </w:p>
        </w:tc>
      </w:tr>
      <w:tr w:rsidR="00DA2DD5" w:rsidRPr="00DA2DD5" w14:paraId="40FE475E" w14:textId="77777777" w:rsidTr="00C5347D">
        <w:trPr>
          <w:tblCellSpacing w:w="15" w:type="dxa"/>
        </w:trPr>
        <w:tc>
          <w:tcPr>
            <w:tcW w:w="0" w:type="auto"/>
            <w:vAlign w:val="center"/>
            <w:hideMark/>
          </w:tcPr>
          <w:p w14:paraId="51C04FED" w14:textId="77777777" w:rsidR="00DA2DD5" w:rsidRPr="00DA2DD5" w:rsidRDefault="00DA2DD5" w:rsidP="00DA2DD5">
            <w:pPr>
              <w:spacing w:before="240"/>
              <w:jc w:val="both"/>
              <w:rPr>
                <w:lang w:val="en-US"/>
              </w:rPr>
            </w:pPr>
            <w:r w:rsidRPr="00DA2DD5">
              <w:rPr>
                <w:lang w:val="en-US"/>
              </w:rPr>
              <w:t>Autoriteti i Mbikëqyrjes Financiare</w:t>
            </w:r>
          </w:p>
        </w:tc>
        <w:tc>
          <w:tcPr>
            <w:tcW w:w="0" w:type="auto"/>
            <w:vAlign w:val="center"/>
            <w:hideMark/>
          </w:tcPr>
          <w:p w14:paraId="59C70DA3" w14:textId="77777777" w:rsidR="00DA2DD5" w:rsidRPr="00DA2DD5" w:rsidRDefault="00DA2DD5" w:rsidP="00DA2DD5">
            <w:pPr>
              <w:spacing w:before="240"/>
              <w:jc w:val="both"/>
              <w:rPr>
                <w:lang w:val="en-US"/>
              </w:rPr>
            </w:pPr>
            <w:r w:rsidRPr="00DA2DD5">
              <w:rPr>
                <w:lang w:val="en-US"/>
              </w:rPr>
              <w:t>Drejtpërdrejtë</w:t>
            </w:r>
          </w:p>
        </w:tc>
        <w:tc>
          <w:tcPr>
            <w:tcW w:w="0" w:type="auto"/>
            <w:vAlign w:val="center"/>
            <w:hideMark/>
          </w:tcPr>
          <w:p w14:paraId="44631E8D" w14:textId="77777777" w:rsidR="00DA2DD5" w:rsidRPr="00DA2DD5" w:rsidRDefault="00DA2DD5" w:rsidP="00DA2DD5">
            <w:pPr>
              <w:spacing w:before="240"/>
              <w:jc w:val="both"/>
              <w:rPr>
                <w:lang w:val="en-US"/>
              </w:rPr>
            </w:pPr>
            <w:r w:rsidRPr="00DA2DD5">
              <w:rPr>
                <w:lang w:val="en-US"/>
              </w:rPr>
              <w:t>Hartim aktesh nënligjore dhe rishikim më i gjerë i kuadrit ekzistues, licencave, procedurave dhe formularëve.</w:t>
            </w:r>
          </w:p>
        </w:tc>
        <w:tc>
          <w:tcPr>
            <w:tcW w:w="0" w:type="auto"/>
            <w:vAlign w:val="center"/>
            <w:hideMark/>
          </w:tcPr>
          <w:p w14:paraId="2997D620" w14:textId="77777777" w:rsidR="00DA2DD5" w:rsidRPr="00DA2DD5" w:rsidRDefault="00DA2DD5" w:rsidP="00DA2DD5">
            <w:pPr>
              <w:spacing w:before="240"/>
              <w:jc w:val="both"/>
              <w:rPr>
                <w:lang w:val="en-US"/>
              </w:rPr>
            </w:pPr>
            <w:r w:rsidRPr="00DA2DD5">
              <w:rPr>
                <w:lang w:val="en-US"/>
              </w:rPr>
              <w:t>Kosto shtesë buxhetore e monetarizuar: 0 lekë. Kostoja oportune nuk monetarizohet.</w:t>
            </w:r>
          </w:p>
        </w:tc>
      </w:tr>
      <w:tr w:rsidR="00DA2DD5" w:rsidRPr="00DA2DD5" w14:paraId="7A8C4009" w14:textId="77777777" w:rsidTr="00C5347D">
        <w:trPr>
          <w:tblCellSpacing w:w="15" w:type="dxa"/>
        </w:trPr>
        <w:tc>
          <w:tcPr>
            <w:tcW w:w="0" w:type="auto"/>
            <w:vAlign w:val="center"/>
            <w:hideMark/>
          </w:tcPr>
          <w:p w14:paraId="7604AE66" w14:textId="77777777" w:rsidR="00DA2DD5" w:rsidRPr="00DA2DD5" w:rsidRDefault="00DA2DD5" w:rsidP="00DA2DD5">
            <w:pPr>
              <w:spacing w:before="240"/>
              <w:jc w:val="both"/>
              <w:rPr>
                <w:lang w:val="en-US"/>
              </w:rPr>
            </w:pPr>
            <w:r w:rsidRPr="00DA2DD5">
              <w:rPr>
                <w:lang w:val="en-US"/>
              </w:rPr>
              <w:t>Depozitarët dhe ofruesit e funksioneve të deleguara</w:t>
            </w:r>
          </w:p>
        </w:tc>
        <w:tc>
          <w:tcPr>
            <w:tcW w:w="0" w:type="auto"/>
            <w:vAlign w:val="center"/>
            <w:hideMark/>
          </w:tcPr>
          <w:p w14:paraId="2CA3634F" w14:textId="77777777" w:rsidR="00DA2DD5" w:rsidRPr="00DA2DD5" w:rsidRDefault="00DA2DD5" w:rsidP="00DA2DD5">
            <w:pPr>
              <w:spacing w:before="240"/>
              <w:jc w:val="both"/>
              <w:rPr>
                <w:lang w:val="en-US"/>
              </w:rPr>
            </w:pPr>
            <w:r w:rsidRPr="00DA2DD5">
              <w:rPr>
                <w:lang w:val="en-US"/>
              </w:rPr>
              <w:t>Drejtpërdrejtë</w:t>
            </w:r>
          </w:p>
        </w:tc>
        <w:tc>
          <w:tcPr>
            <w:tcW w:w="0" w:type="auto"/>
            <w:vAlign w:val="center"/>
            <w:hideMark/>
          </w:tcPr>
          <w:p w14:paraId="1325A90A" w14:textId="77777777" w:rsidR="00DA2DD5" w:rsidRPr="00DA2DD5" w:rsidRDefault="00DA2DD5" w:rsidP="00DA2DD5">
            <w:pPr>
              <w:spacing w:before="240"/>
              <w:jc w:val="both"/>
              <w:rPr>
                <w:lang w:val="en-US"/>
              </w:rPr>
            </w:pPr>
            <w:r w:rsidRPr="00DA2DD5">
              <w:rPr>
                <w:lang w:val="en-US"/>
              </w:rPr>
              <w:t>Rishikim i kontratave, procedurave dhe referencave ndaj ligjit të shfuqizuar.</w:t>
            </w:r>
          </w:p>
        </w:tc>
        <w:tc>
          <w:tcPr>
            <w:tcW w:w="0" w:type="auto"/>
            <w:vAlign w:val="center"/>
            <w:hideMark/>
          </w:tcPr>
          <w:p w14:paraId="26D2A838" w14:textId="77777777" w:rsidR="00DA2DD5" w:rsidRPr="00DA2DD5" w:rsidRDefault="00DA2DD5" w:rsidP="00DA2DD5">
            <w:pPr>
              <w:spacing w:before="240"/>
              <w:jc w:val="both"/>
              <w:rPr>
                <w:lang w:val="en-US"/>
              </w:rPr>
            </w:pPr>
            <w:r w:rsidRPr="00DA2DD5">
              <w:rPr>
                <w:lang w:val="en-US"/>
              </w:rPr>
              <w:t>Nuk monetarizohet veçmas.</w:t>
            </w:r>
          </w:p>
        </w:tc>
      </w:tr>
      <w:tr w:rsidR="00DA2DD5" w:rsidRPr="00DA2DD5" w14:paraId="353A6E14" w14:textId="77777777" w:rsidTr="00C5347D">
        <w:trPr>
          <w:tblCellSpacing w:w="15" w:type="dxa"/>
        </w:trPr>
        <w:tc>
          <w:tcPr>
            <w:tcW w:w="0" w:type="auto"/>
            <w:vAlign w:val="center"/>
            <w:hideMark/>
          </w:tcPr>
          <w:p w14:paraId="71819559" w14:textId="77777777" w:rsidR="00DA2DD5" w:rsidRPr="00DA2DD5" w:rsidRDefault="00DA2DD5" w:rsidP="00DA2DD5">
            <w:pPr>
              <w:spacing w:before="240"/>
              <w:jc w:val="both"/>
              <w:rPr>
                <w:lang w:val="en-US"/>
              </w:rPr>
            </w:pPr>
            <w:r w:rsidRPr="00DA2DD5">
              <w:rPr>
                <w:lang w:val="en-US"/>
              </w:rPr>
              <w:t>Punëdhënësit kontribues</w:t>
            </w:r>
          </w:p>
        </w:tc>
        <w:tc>
          <w:tcPr>
            <w:tcW w:w="0" w:type="auto"/>
            <w:vAlign w:val="center"/>
            <w:hideMark/>
          </w:tcPr>
          <w:p w14:paraId="134B6FBF" w14:textId="77777777" w:rsidR="00DA2DD5" w:rsidRPr="00DA2DD5" w:rsidRDefault="00DA2DD5" w:rsidP="00DA2DD5">
            <w:pPr>
              <w:spacing w:before="240"/>
              <w:jc w:val="both"/>
              <w:rPr>
                <w:lang w:val="en-US"/>
              </w:rPr>
            </w:pPr>
            <w:r w:rsidRPr="00DA2DD5">
              <w:rPr>
                <w:lang w:val="en-US"/>
              </w:rPr>
              <w:t>Drejtpërdrejtë</w:t>
            </w:r>
          </w:p>
        </w:tc>
        <w:tc>
          <w:tcPr>
            <w:tcW w:w="0" w:type="auto"/>
            <w:vAlign w:val="center"/>
            <w:hideMark/>
          </w:tcPr>
          <w:p w14:paraId="500AA1F7" w14:textId="77777777" w:rsidR="00DA2DD5" w:rsidRPr="00DA2DD5" w:rsidRDefault="00DA2DD5" w:rsidP="00DA2DD5">
            <w:pPr>
              <w:spacing w:before="240"/>
              <w:jc w:val="both"/>
              <w:rPr>
                <w:lang w:val="en-US"/>
              </w:rPr>
            </w:pPr>
            <w:r w:rsidRPr="00DA2DD5">
              <w:rPr>
                <w:lang w:val="en-US"/>
              </w:rPr>
              <w:t>Nuk krijohen detyrime të reja për kontribute; mund të kërkohet përditësim formal i disa dokumenteve.</w:t>
            </w:r>
          </w:p>
        </w:tc>
        <w:tc>
          <w:tcPr>
            <w:tcW w:w="0" w:type="auto"/>
            <w:vAlign w:val="center"/>
            <w:hideMark/>
          </w:tcPr>
          <w:p w14:paraId="42F467AF" w14:textId="77777777" w:rsidR="00DA2DD5" w:rsidRPr="00DA2DD5" w:rsidRDefault="00DA2DD5" w:rsidP="00DA2DD5">
            <w:pPr>
              <w:spacing w:before="240"/>
              <w:jc w:val="both"/>
              <w:rPr>
                <w:lang w:val="en-US"/>
              </w:rPr>
            </w:pPr>
            <w:r w:rsidRPr="00DA2DD5">
              <w:rPr>
                <w:lang w:val="en-US"/>
              </w:rPr>
              <w:t>Kosto shtesë e monetarizuar: 0 lekë.</w:t>
            </w:r>
          </w:p>
        </w:tc>
      </w:tr>
      <w:tr w:rsidR="00DA2DD5" w:rsidRPr="00DA2DD5" w14:paraId="484FDB9C" w14:textId="77777777" w:rsidTr="00C5347D">
        <w:trPr>
          <w:tblCellSpacing w:w="15" w:type="dxa"/>
        </w:trPr>
        <w:tc>
          <w:tcPr>
            <w:tcW w:w="0" w:type="auto"/>
            <w:vAlign w:val="center"/>
            <w:hideMark/>
          </w:tcPr>
          <w:p w14:paraId="1D9DD660" w14:textId="77777777" w:rsidR="00DA2DD5" w:rsidRPr="00DA2DD5" w:rsidRDefault="00DA2DD5" w:rsidP="00DA2DD5">
            <w:pPr>
              <w:spacing w:before="240"/>
              <w:jc w:val="both"/>
              <w:rPr>
                <w:lang w:val="en-US"/>
              </w:rPr>
            </w:pPr>
            <w:r w:rsidRPr="00DA2DD5">
              <w:rPr>
                <w:lang w:val="en-US"/>
              </w:rPr>
              <w:t>Qeveria dhe procesi i integrimit</w:t>
            </w:r>
          </w:p>
        </w:tc>
        <w:tc>
          <w:tcPr>
            <w:tcW w:w="0" w:type="auto"/>
            <w:vAlign w:val="center"/>
            <w:hideMark/>
          </w:tcPr>
          <w:p w14:paraId="4B35E3EF" w14:textId="77777777" w:rsidR="00DA2DD5" w:rsidRPr="00DA2DD5" w:rsidRDefault="00DA2DD5" w:rsidP="00DA2DD5">
            <w:pPr>
              <w:spacing w:before="240"/>
              <w:jc w:val="both"/>
              <w:rPr>
                <w:lang w:val="en-US"/>
              </w:rPr>
            </w:pPr>
            <w:r w:rsidRPr="00DA2DD5">
              <w:rPr>
                <w:lang w:val="en-US"/>
              </w:rPr>
              <w:t>Drejtpërdrejtë</w:t>
            </w:r>
          </w:p>
        </w:tc>
        <w:tc>
          <w:tcPr>
            <w:tcW w:w="0" w:type="auto"/>
            <w:vAlign w:val="center"/>
            <w:hideMark/>
          </w:tcPr>
          <w:p w14:paraId="6D763777" w14:textId="77777777" w:rsidR="00DA2DD5" w:rsidRPr="00DA2DD5" w:rsidRDefault="00DA2DD5" w:rsidP="00DA2DD5">
            <w:pPr>
              <w:spacing w:before="240"/>
              <w:jc w:val="both"/>
              <w:rPr>
                <w:lang w:val="en-US"/>
              </w:rPr>
            </w:pPr>
            <w:r w:rsidRPr="00DA2DD5">
              <w:rPr>
                <w:lang w:val="en-US"/>
              </w:rPr>
              <w:t>Realizohet përafrimi i plotë me IORP II, por përmes një procesi legjislativ dhe kalimtar më të gjerë.</w:t>
            </w:r>
          </w:p>
        </w:tc>
        <w:tc>
          <w:tcPr>
            <w:tcW w:w="0" w:type="auto"/>
            <w:vAlign w:val="center"/>
            <w:hideMark/>
          </w:tcPr>
          <w:p w14:paraId="6B3AC2CB" w14:textId="77777777" w:rsidR="00DA2DD5" w:rsidRPr="00DA2DD5" w:rsidRDefault="00DA2DD5" w:rsidP="00DA2DD5">
            <w:pPr>
              <w:spacing w:before="240"/>
              <w:jc w:val="both"/>
              <w:rPr>
                <w:lang w:val="en-US"/>
              </w:rPr>
            </w:pPr>
            <w:r w:rsidRPr="00DA2DD5">
              <w:rPr>
                <w:lang w:val="en-US"/>
              </w:rPr>
              <w:t>Nuk monetarizohet.</w:t>
            </w:r>
          </w:p>
        </w:tc>
      </w:tr>
      <w:tr w:rsidR="00DA2DD5" w:rsidRPr="00DA2DD5" w14:paraId="79DFF11E" w14:textId="77777777" w:rsidTr="00C5347D">
        <w:trPr>
          <w:tblCellSpacing w:w="15" w:type="dxa"/>
        </w:trPr>
        <w:tc>
          <w:tcPr>
            <w:tcW w:w="0" w:type="auto"/>
            <w:vAlign w:val="center"/>
            <w:hideMark/>
          </w:tcPr>
          <w:p w14:paraId="3AA8BEDF" w14:textId="77777777" w:rsidR="00DA2DD5" w:rsidRPr="00DA2DD5" w:rsidRDefault="00DA2DD5" w:rsidP="00DA2DD5">
            <w:pPr>
              <w:spacing w:before="240"/>
              <w:jc w:val="both"/>
              <w:rPr>
                <w:lang w:val="en-US"/>
              </w:rPr>
            </w:pPr>
            <w:r w:rsidRPr="00DA2DD5">
              <w:rPr>
                <w:lang w:val="en-US"/>
              </w:rPr>
              <w:t>Operatorët potencialë dhe ndërkufitarë</w:t>
            </w:r>
          </w:p>
        </w:tc>
        <w:tc>
          <w:tcPr>
            <w:tcW w:w="0" w:type="auto"/>
            <w:vAlign w:val="center"/>
            <w:hideMark/>
          </w:tcPr>
          <w:p w14:paraId="76AF4A9F" w14:textId="77777777" w:rsidR="00DA2DD5" w:rsidRPr="00DA2DD5" w:rsidRDefault="00DA2DD5" w:rsidP="00DA2DD5">
            <w:pPr>
              <w:spacing w:before="240"/>
              <w:jc w:val="both"/>
              <w:rPr>
                <w:lang w:val="en-US"/>
              </w:rPr>
            </w:pPr>
            <w:r w:rsidRPr="00DA2DD5">
              <w:rPr>
                <w:lang w:val="en-US"/>
              </w:rPr>
              <w:t>Jo i drejtpërdrejtë</w:t>
            </w:r>
          </w:p>
        </w:tc>
        <w:tc>
          <w:tcPr>
            <w:tcW w:w="0" w:type="auto"/>
            <w:vAlign w:val="center"/>
            <w:hideMark/>
          </w:tcPr>
          <w:p w14:paraId="3DCEBF41" w14:textId="77777777" w:rsidR="00DA2DD5" w:rsidRPr="00DA2DD5" w:rsidRDefault="00DA2DD5" w:rsidP="00DA2DD5">
            <w:pPr>
              <w:spacing w:before="240"/>
              <w:jc w:val="both"/>
              <w:rPr>
                <w:lang w:val="en-US"/>
              </w:rPr>
            </w:pPr>
            <w:r w:rsidRPr="00DA2DD5">
              <w:rPr>
                <w:lang w:val="en-US"/>
              </w:rPr>
              <w:t>Krijohen të njëjtat mundësi ndërkufitare si në Opsionin 1; mund të ketë pasiguri të përkohshme gjatë tranzicionit.</w:t>
            </w:r>
          </w:p>
        </w:tc>
        <w:tc>
          <w:tcPr>
            <w:tcW w:w="0" w:type="auto"/>
            <w:vAlign w:val="center"/>
            <w:hideMark/>
          </w:tcPr>
          <w:p w14:paraId="3F8C0671" w14:textId="77777777" w:rsidR="00DA2DD5" w:rsidRPr="00DA2DD5" w:rsidRDefault="00DA2DD5" w:rsidP="00DA2DD5">
            <w:pPr>
              <w:spacing w:before="240"/>
              <w:jc w:val="both"/>
              <w:rPr>
                <w:lang w:val="en-US"/>
              </w:rPr>
            </w:pPr>
            <w:r w:rsidRPr="00DA2DD5">
              <w:rPr>
                <w:lang w:val="en-US"/>
              </w:rPr>
              <w:t>Nuk monetarizohet.</w:t>
            </w:r>
          </w:p>
        </w:tc>
      </w:tr>
      <w:tr w:rsidR="00DA2DD5" w:rsidRPr="00DA2DD5" w14:paraId="1A85267E" w14:textId="77777777" w:rsidTr="00C5347D">
        <w:trPr>
          <w:tblCellSpacing w:w="15" w:type="dxa"/>
        </w:trPr>
        <w:tc>
          <w:tcPr>
            <w:tcW w:w="0" w:type="auto"/>
            <w:vAlign w:val="center"/>
            <w:hideMark/>
          </w:tcPr>
          <w:p w14:paraId="1F320476" w14:textId="77777777" w:rsidR="00DA2DD5" w:rsidRPr="00DA2DD5" w:rsidRDefault="00DA2DD5" w:rsidP="00DA2DD5">
            <w:pPr>
              <w:spacing w:before="240"/>
              <w:jc w:val="both"/>
              <w:rPr>
                <w:lang w:val="en-US"/>
              </w:rPr>
            </w:pPr>
            <w:r w:rsidRPr="00DA2DD5">
              <w:rPr>
                <w:lang w:val="en-US"/>
              </w:rPr>
              <w:t>Tregu financiar dhe ekonomia</w:t>
            </w:r>
          </w:p>
        </w:tc>
        <w:tc>
          <w:tcPr>
            <w:tcW w:w="0" w:type="auto"/>
            <w:vAlign w:val="center"/>
            <w:hideMark/>
          </w:tcPr>
          <w:p w14:paraId="5CE1E062" w14:textId="77777777" w:rsidR="00DA2DD5" w:rsidRPr="00DA2DD5" w:rsidRDefault="00DA2DD5" w:rsidP="00DA2DD5">
            <w:pPr>
              <w:spacing w:before="240"/>
              <w:jc w:val="both"/>
              <w:rPr>
                <w:lang w:val="en-US"/>
              </w:rPr>
            </w:pPr>
            <w:r w:rsidRPr="00DA2DD5">
              <w:rPr>
                <w:lang w:val="en-US"/>
              </w:rPr>
              <w:t>Jo i drejtpërdrejtë</w:t>
            </w:r>
          </w:p>
        </w:tc>
        <w:tc>
          <w:tcPr>
            <w:tcW w:w="0" w:type="auto"/>
            <w:vAlign w:val="center"/>
            <w:hideMark/>
          </w:tcPr>
          <w:p w14:paraId="6069EE4F" w14:textId="77777777" w:rsidR="00DA2DD5" w:rsidRPr="00DA2DD5" w:rsidRDefault="00DA2DD5" w:rsidP="00DA2DD5">
            <w:pPr>
              <w:spacing w:before="240"/>
              <w:jc w:val="both"/>
              <w:rPr>
                <w:lang w:val="en-US"/>
              </w:rPr>
            </w:pPr>
            <w:r w:rsidRPr="00DA2DD5">
              <w:rPr>
                <w:lang w:val="en-US"/>
              </w:rPr>
              <w:t>Përfitime nga standardet e përmirësuara dhe integrimi evropian, por pa përfitim shtesë material kundrejt Opsionit 1.</w:t>
            </w:r>
          </w:p>
        </w:tc>
        <w:tc>
          <w:tcPr>
            <w:tcW w:w="0" w:type="auto"/>
            <w:vAlign w:val="center"/>
            <w:hideMark/>
          </w:tcPr>
          <w:p w14:paraId="5AE83D51" w14:textId="77777777" w:rsidR="00DA2DD5" w:rsidRPr="00DA2DD5" w:rsidRDefault="00DA2DD5" w:rsidP="00DA2DD5">
            <w:pPr>
              <w:spacing w:before="240"/>
              <w:jc w:val="both"/>
              <w:rPr>
                <w:lang w:val="en-US"/>
              </w:rPr>
            </w:pPr>
            <w:r w:rsidRPr="00DA2DD5">
              <w:rPr>
                <w:lang w:val="en-US"/>
              </w:rPr>
              <w:t>Nuk monetarizohet në mënyrë të besueshme.</w:t>
            </w:r>
          </w:p>
        </w:tc>
      </w:tr>
    </w:tbl>
    <w:p w14:paraId="212F09F0" w14:textId="77777777" w:rsidR="00DA2DD5" w:rsidRPr="00DA2DD5" w:rsidRDefault="00DA2DD5" w:rsidP="00DA2DD5">
      <w:pPr>
        <w:spacing w:before="240"/>
        <w:jc w:val="both"/>
        <w:rPr>
          <w:lang w:val="en-US"/>
        </w:rPr>
      </w:pPr>
      <w:r w:rsidRPr="00DA2DD5">
        <w:rPr>
          <w:lang w:val="en-US"/>
        </w:rPr>
        <w:t>Vlerat paraqiten në milionë lekë dhe kundrejt status quo-së.</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68"/>
        <w:gridCol w:w="1660"/>
        <w:gridCol w:w="2642"/>
      </w:tblGrid>
      <w:tr w:rsidR="00DA2DD5" w:rsidRPr="00DA2DD5" w14:paraId="13B5C39B" w14:textId="77777777" w:rsidTr="00A4455F">
        <w:trPr>
          <w:tblHeader/>
          <w:tblCellSpacing w:w="15" w:type="dxa"/>
        </w:trPr>
        <w:tc>
          <w:tcPr>
            <w:tcW w:w="0" w:type="auto"/>
            <w:vAlign w:val="center"/>
            <w:hideMark/>
          </w:tcPr>
          <w:p w14:paraId="249D0B8A" w14:textId="77777777" w:rsidR="00DA2DD5" w:rsidRPr="00DA2DD5" w:rsidRDefault="00DA2DD5" w:rsidP="00DA2DD5">
            <w:pPr>
              <w:spacing w:before="240"/>
              <w:jc w:val="both"/>
              <w:rPr>
                <w:b/>
                <w:bCs/>
                <w:lang w:val="en-US"/>
              </w:rPr>
            </w:pPr>
            <w:r w:rsidRPr="00DA2DD5">
              <w:rPr>
                <w:b/>
                <w:bCs/>
                <w:lang w:val="en-US"/>
              </w:rPr>
              <w:t>Kategoria</w:t>
            </w:r>
          </w:p>
        </w:tc>
        <w:tc>
          <w:tcPr>
            <w:tcW w:w="0" w:type="auto"/>
            <w:vAlign w:val="center"/>
            <w:hideMark/>
          </w:tcPr>
          <w:p w14:paraId="37D079D3" w14:textId="77777777" w:rsidR="00DA2DD5" w:rsidRPr="00DA2DD5" w:rsidRDefault="00DA2DD5" w:rsidP="00DA2DD5">
            <w:pPr>
              <w:spacing w:before="240"/>
              <w:jc w:val="both"/>
              <w:rPr>
                <w:b/>
                <w:bCs/>
                <w:lang w:val="en-US"/>
              </w:rPr>
            </w:pPr>
            <w:r w:rsidRPr="00DA2DD5">
              <w:rPr>
                <w:b/>
                <w:bCs/>
                <w:lang w:val="en-US"/>
              </w:rPr>
              <w:t>Vlera nominale</w:t>
            </w:r>
          </w:p>
        </w:tc>
        <w:tc>
          <w:tcPr>
            <w:tcW w:w="0" w:type="auto"/>
            <w:vAlign w:val="center"/>
            <w:hideMark/>
          </w:tcPr>
          <w:p w14:paraId="53DE56D3" w14:textId="77777777" w:rsidR="00DA2DD5" w:rsidRPr="00DA2DD5" w:rsidRDefault="00DA2DD5" w:rsidP="00DA2DD5">
            <w:pPr>
              <w:spacing w:before="240"/>
              <w:jc w:val="both"/>
              <w:rPr>
                <w:b/>
                <w:bCs/>
                <w:lang w:val="en-US"/>
              </w:rPr>
            </w:pPr>
            <w:r w:rsidRPr="00DA2DD5">
              <w:rPr>
                <w:b/>
                <w:bCs/>
                <w:lang w:val="en-US"/>
              </w:rPr>
              <w:t>Vlera aktuale për 10 vjet</w:t>
            </w:r>
          </w:p>
        </w:tc>
      </w:tr>
      <w:tr w:rsidR="00DA2DD5" w:rsidRPr="00DA2DD5" w14:paraId="3ACE3737" w14:textId="77777777" w:rsidTr="00A4455F">
        <w:trPr>
          <w:tblCellSpacing w:w="15" w:type="dxa"/>
        </w:trPr>
        <w:tc>
          <w:tcPr>
            <w:tcW w:w="0" w:type="auto"/>
            <w:vAlign w:val="center"/>
            <w:hideMark/>
          </w:tcPr>
          <w:p w14:paraId="3F1DDAD0" w14:textId="77777777" w:rsidR="00DA2DD5" w:rsidRPr="00DA2DD5" w:rsidRDefault="00DA2DD5" w:rsidP="00DA2DD5">
            <w:pPr>
              <w:spacing w:before="240"/>
              <w:jc w:val="both"/>
              <w:rPr>
                <w:lang w:val="en-US"/>
              </w:rPr>
            </w:pPr>
            <w:r w:rsidRPr="00DA2DD5">
              <w:rPr>
                <w:lang w:val="en-US"/>
              </w:rPr>
              <w:t>Kosto shtesë për buxhetin</w:t>
            </w:r>
          </w:p>
        </w:tc>
        <w:tc>
          <w:tcPr>
            <w:tcW w:w="0" w:type="auto"/>
            <w:vAlign w:val="center"/>
            <w:hideMark/>
          </w:tcPr>
          <w:p w14:paraId="77603EAB" w14:textId="77777777" w:rsidR="00DA2DD5" w:rsidRPr="00DA2DD5" w:rsidRDefault="00DA2DD5" w:rsidP="00DA2DD5">
            <w:pPr>
              <w:spacing w:before="240"/>
              <w:jc w:val="both"/>
              <w:rPr>
                <w:lang w:val="en-US"/>
              </w:rPr>
            </w:pPr>
            <w:r w:rsidRPr="00DA2DD5">
              <w:rPr>
                <w:lang w:val="en-US"/>
              </w:rPr>
              <w:t>0</w:t>
            </w:r>
          </w:p>
        </w:tc>
        <w:tc>
          <w:tcPr>
            <w:tcW w:w="0" w:type="auto"/>
            <w:vAlign w:val="center"/>
            <w:hideMark/>
          </w:tcPr>
          <w:p w14:paraId="42510F8C" w14:textId="77777777" w:rsidR="00DA2DD5" w:rsidRPr="00DA2DD5" w:rsidRDefault="00DA2DD5" w:rsidP="00DA2DD5">
            <w:pPr>
              <w:spacing w:before="240"/>
              <w:jc w:val="both"/>
              <w:rPr>
                <w:lang w:val="en-US"/>
              </w:rPr>
            </w:pPr>
            <w:r w:rsidRPr="00DA2DD5">
              <w:rPr>
                <w:lang w:val="en-US"/>
              </w:rPr>
              <w:t>0</w:t>
            </w:r>
          </w:p>
        </w:tc>
      </w:tr>
      <w:tr w:rsidR="00DA2DD5" w:rsidRPr="00DA2DD5" w14:paraId="073CC7A9" w14:textId="77777777" w:rsidTr="00A4455F">
        <w:trPr>
          <w:tblCellSpacing w:w="15" w:type="dxa"/>
        </w:trPr>
        <w:tc>
          <w:tcPr>
            <w:tcW w:w="0" w:type="auto"/>
            <w:vAlign w:val="center"/>
            <w:hideMark/>
          </w:tcPr>
          <w:p w14:paraId="14290C27" w14:textId="77777777" w:rsidR="00DA2DD5" w:rsidRPr="00DA2DD5" w:rsidRDefault="00DA2DD5" w:rsidP="00DA2DD5">
            <w:pPr>
              <w:spacing w:before="240"/>
              <w:jc w:val="both"/>
              <w:rPr>
                <w:lang w:val="en-US"/>
              </w:rPr>
            </w:pPr>
            <w:r w:rsidRPr="00DA2DD5">
              <w:rPr>
                <w:lang w:val="en-US"/>
              </w:rPr>
              <w:t>Kosto për shoqëritë administruese</w:t>
            </w:r>
          </w:p>
        </w:tc>
        <w:tc>
          <w:tcPr>
            <w:tcW w:w="0" w:type="auto"/>
            <w:vAlign w:val="center"/>
            <w:hideMark/>
          </w:tcPr>
          <w:p w14:paraId="05C3FF7A" w14:textId="77777777" w:rsidR="00DA2DD5" w:rsidRPr="00DA2DD5" w:rsidRDefault="00DA2DD5" w:rsidP="00DA2DD5">
            <w:pPr>
              <w:spacing w:before="240"/>
              <w:jc w:val="both"/>
              <w:rPr>
                <w:lang w:val="en-US"/>
              </w:rPr>
            </w:pPr>
            <w:r w:rsidRPr="00DA2DD5">
              <w:rPr>
                <w:lang w:val="en-US"/>
              </w:rPr>
              <w:t>16,2</w:t>
            </w:r>
          </w:p>
        </w:tc>
        <w:tc>
          <w:tcPr>
            <w:tcW w:w="0" w:type="auto"/>
            <w:vAlign w:val="center"/>
            <w:hideMark/>
          </w:tcPr>
          <w:p w14:paraId="4B2C8D7D" w14:textId="77777777" w:rsidR="00DA2DD5" w:rsidRPr="00DA2DD5" w:rsidRDefault="00DA2DD5" w:rsidP="00DA2DD5">
            <w:pPr>
              <w:spacing w:before="240"/>
              <w:jc w:val="both"/>
              <w:rPr>
                <w:lang w:val="en-US"/>
              </w:rPr>
            </w:pPr>
            <w:r w:rsidRPr="00DA2DD5">
              <w:rPr>
                <w:lang w:val="en-US"/>
              </w:rPr>
              <w:t>14,0</w:t>
            </w:r>
          </w:p>
        </w:tc>
      </w:tr>
      <w:tr w:rsidR="00DA2DD5" w:rsidRPr="00DA2DD5" w14:paraId="20AA687A" w14:textId="77777777" w:rsidTr="00A4455F">
        <w:trPr>
          <w:tblCellSpacing w:w="15" w:type="dxa"/>
        </w:trPr>
        <w:tc>
          <w:tcPr>
            <w:tcW w:w="0" w:type="auto"/>
            <w:vAlign w:val="center"/>
            <w:hideMark/>
          </w:tcPr>
          <w:p w14:paraId="41C44A4D" w14:textId="77777777" w:rsidR="00DA2DD5" w:rsidRPr="00DA2DD5" w:rsidRDefault="00DA2DD5" w:rsidP="00DA2DD5">
            <w:pPr>
              <w:spacing w:before="240"/>
              <w:jc w:val="both"/>
              <w:rPr>
                <w:lang w:val="en-US"/>
              </w:rPr>
            </w:pPr>
            <w:r w:rsidRPr="00DA2DD5">
              <w:rPr>
                <w:lang w:val="en-US"/>
              </w:rPr>
              <w:t>Kosto të tjera të monetarizuara</w:t>
            </w:r>
          </w:p>
        </w:tc>
        <w:tc>
          <w:tcPr>
            <w:tcW w:w="0" w:type="auto"/>
            <w:vAlign w:val="center"/>
            <w:hideMark/>
          </w:tcPr>
          <w:p w14:paraId="226356BF" w14:textId="77777777" w:rsidR="00DA2DD5" w:rsidRPr="00DA2DD5" w:rsidRDefault="00DA2DD5" w:rsidP="00DA2DD5">
            <w:pPr>
              <w:spacing w:before="240"/>
              <w:jc w:val="both"/>
              <w:rPr>
                <w:lang w:val="en-US"/>
              </w:rPr>
            </w:pPr>
            <w:r w:rsidRPr="00DA2DD5">
              <w:rPr>
                <w:lang w:val="en-US"/>
              </w:rPr>
              <w:t>0</w:t>
            </w:r>
          </w:p>
        </w:tc>
        <w:tc>
          <w:tcPr>
            <w:tcW w:w="0" w:type="auto"/>
            <w:vAlign w:val="center"/>
            <w:hideMark/>
          </w:tcPr>
          <w:p w14:paraId="5803B101" w14:textId="77777777" w:rsidR="00DA2DD5" w:rsidRPr="00DA2DD5" w:rsidRDefault="00DA2DD5" w:rsidP="00DA2DD5">
            <w:pPr>
              <w:spacing w:before="240"/>
              <w:jc w:val="both"/>
              <w:rPr>
                <w:lang w:val="en-US"/>
              </w:rPr>
            </w:pPr>
            <w:r w:rsidRPr="00DA2DD5">
              <w:rPr>
                <w:lang w:val="en-US"/>
              </w:rPr>
              <w:t>0</w:t>
            </w:r>
          </w:p>
        </w:tc>
      </w:tr>
      <w:tr w:rsidR="00DA2DD5" w:rsidRPr="00DA2DD5" w14:paraId="5D9F7C77" w14:textId="77777777" w:rsidTr="00A4455F">
        <w:trPr>
          <w:tblCellSpacing w:w="15" w:type="dxa"/>
        </w:trPr>
        <w:tc>
          <w:tcPr>
            <w:tcW w:w="0" w:type="auto"/>
            <w:vAlign w:val="center"/>
            <w:hideMark/>
          </w:tcPr>
          <w:p w14:paraId="4476E67D" w14:textId="77777777" w:rsidR="00DA2DD5" w:rsidRPr="00DA2DD5" w:rsidRDefault="00DA2DD5" w:rsidP="00DA2DD5">
            <w:pPr>
              <w:spacing w:before="240"/>
              <w:jc w:val="both"/>
              <w:rPr>
                <w:lang w:val="en-US"/>
              </w:rPr>
            </w:pPr>
            <w:r w:rsidRPr="00DA2DD5">
              <w:rPr>
                <w:lang w:val="en-US"/>
              </w:rPr>
              <w:t>Përfitime të monetarizuara</w:t>
            </w:r>
          </w:p>
        </w:tc>
        <w:tc>
          <w:tcPr>
            <w:tcW w:w="0" w:type="auto"/>
            <w:vAlign w:val="center"/>
            <w:hideMark/>
          </w:tcPr>
          <w:p w14:paraId="20751EE8" w14:textId="77777777" w:rsidR="00DA2DD5" w:rsidRPr="00DA2DD5" w:rsidRDefault="00DA2DD5" w:rsidP="00DA2DD5">
            <w:pPr>
              <w:spacing w:before="240"/>
              <w:jc w:val="both"/>
              <w:rPr>
                <w:lang w:val="en-US"/>
              </w:rPr>
            </w:pPr>
            <w:r w:rsidRPr="00DA2DD5">
              <w:rPr>
                <w:lang w:val="en-US"/>
              </w:rPr>
              <w:t>—</w:t>
            </w:r>
          </w:p>
        </w:tc>
        <w:tc>
          <w:tcPr>
            <w:tcW w:w="0" w:type="auto"/>
            <w:vAlign w:val="center"/>
            <w:hideMark/>
          </w:tcPr>
          <w:p w14:paraId="482F676C" w14:textId="77777777" w:rsidR="00DA2DD5" w:rsidRPr="00DA2DD5" w:rsidRDefault="00DA2DD5" w:rsidP="00DA2DD5">
            <w:pPr>
              <w:spacing w:before="240"/>
              <w:jc w:val="both"/>
              <w:rPr>
                <w:lang w:val="en-US"/>
              </w:rPr>
            </w:pPr>
            <w:r w:rsidRPr="00DA2DD5">
              <w:rPr>
                <w:lang w:val="en-US"/>
              </w:rPr>
              <w:t>85,7</w:t>
            </w:r>
          </w:p>
        </w:tc>
      </w:tr>
      <w:tr w:rsidR="00DA2DD5" w:rsidRPr="00DA2DD5" w14:paraId="7173F089" w14:textId="77777777" w:rsidTr="00A4455F">
        <w:trPr>
          <w:tblCellSpacing w:w="15" w:type="dxa"/>
        </w:trPr>
        <w:tc>
          <w:tcPr>
            <w:tcW w:w="0" w:type="auto"/>
            <w:vAlign w:val="center"/>
            <w:hideMark/>
          </w:tcPr>
          <w:p w14:paraId="4A76C017" w14:textId="77777777" w:rsidR="00DA2DD5" w:rsidRPr="00DA2DD5" w:rsidRDefault="00DA2DD5" w:rsidP="00DA2DD5">
            <w:pPr>
              <w:spacing w:before="240"/>
              <w:jc w:val="both"/>
              <w:rPr>
                <w:lang w:val="en-US"/>
              </w:rPr>
            </w:pPr>
            <w:r w:rsidRPr="00DA2DD5">
              <w:rPr>
                <w:b/>
                <w:bCs/>
                <w:lang w:val="en-US"/>
              </w:rPr>
              <w:t>Vlera aktuale neto</w:t>
            </w:r>
          </w:p>
        </w:tc>
        <w:tc>
          <w:tcPr>
            <w:tcW w:w="0" w:type="auto"/>
            <w:vAlign w:val="center"/>
            <w:hideMark/>
          </w:tcPr>
          <w:p w14:paraId="48B40A8C" w14:textId="77777777" w:rsidR="00DA2DD5" w:rsidRPr="00DA2DD5" w:rsidRDefault="00DA2DD5" w:rsidP="00DA2DD5">
            <w:pPr>
              <w:spacing w:before="240"/>
              <w:jc w:val="both"/>
              <w:rPr>
                <w:lang w:val="en-US"/>
              </w:rPr>
            </w:pPr>
            <w:r w:rsidRPr="00DA2DD5">
              <w:rPr>
                <w:lang w:val="en-US"/>
              </w:rPr>
              <w:t>—</w:t>
            </w:r>
          </w:p>
        </w:tc>
        <w:tc>
          <w:tcPr>
            <w:tcW w:w="0" w:type="auto"/>
            <w:vAlign w:val="center"/>
            <w:hideMark/>
          </w:tcPr>
          <w:p w14:paraId="3E056EAE" w14:textId="77777777" w:rsidR="00DA2DD5" w:rsidRPr="00DA2DD5" w:rsidRDefault="00DA2DD5" w:rsidP="00DA2DD5">
            <w:pPr>
              <w:spacing w:before="240"/>
              <w:jc w:val="both"/>
              <w:rPr>
                <w:lang w:val="en-US"/>
              </w:rPr>
            </w:pPr>
            <w:r w:rsidRPr="00DA2DD5">
              <w:rPr>
                <w:b/>
                <w:bCs/>
                <w:lang w:val="en-US"/>
              </w:rPr>
              <w:t>71,7</w:t>
            </w:r>
          </w:p>
        </w:tc>
      </w:tr>
    </w:tbl>
    <w:p w14:paraId="07DFA41F" w14:textId="21A5F930" w:rsidR="00DA2DD5" w:rsidRPr="00DA2DD5" w:rsidRDefault="00DA2DD5" w:rsidP="00DA2DD5">
      <w:pPr>
        <w:spacing w:before="240"/>
        <w:jc w:val="both"/>
        <w:rPr>
          <w:lang w:val="en-US"/>
        </w:rPr>
      </w:pPr>
      <w:r w:rsidRPr="00DA2DD5">
        <w:rPr>
          <w:lang w:val="en-US"/>
        </w:rPr>
        <w:t>Sipas</w:t>
      </w:r>
      <w:r w:rsidR="004052CA" w:rsidRPr="00A37404">
        <w:rPr>
          <w:lang w:val="en-US"/>
        </w:rPr>
        <w:t xml:space="preserve"> këtij</w:t>
      </w:r>
      <w:r w:rsidRPr="00DA2DD5">
        <w:rPr>
          <w:lang w:val="en-US"/>
        </w:rPr>
        <w:t xml:space="preserve"> skenari, vlera aktuale e kostove të Opsionit 2 është rreth 14 milionë lekë, ndërsa vlera aktuale e përfitimeve të monetarizuara është rreth 85,7 milionë lekë. Për rrjedhojë, vlera aktuale neto e këtij opsioni vlerësohet në rreth 71,7 milionë lekë.</w:t>
      </w:r>
    </w:p>
    <w:p w14:paraId="2837F718" w14:textId="77777777" w:rsidR="00DA2DD5" w:rsidRPr="00DA2DD5" w:rsidRDefault="00DA2DD5" w:rsidP="00DA2DD5">
      <w:pPr>
        <w:spacing w:before="240"/>
        <w:jc w:val="both"/>
        <w:rPr>
          <w:lang w:val="en-US"/>
        </w:rPr>
      </w:pPr>
      <w:r w:rsidRPr="00DA2DD5">
        <w:rPr>
          <w:lang w:val="en-US"/>
        </w:rPr>
        <w:t>Opsioni 2 nuk sjell përfitime materiale shtesë kundrejt Opsionit 1 në drejtim të përafrimit, mbrojtjes së anëtarëve, cilësisë së mbikëqyrjes ose zhvillimit të tregut. Përkundrazi, ai kërkon një proces më të gjerë legjislativ dhe rregullator, rrit ngarkesën kalimtare dhe krijon rrezik më të lartë për vonesa dhe paqartësi gjatë zbatimit. Për këto arsye, edhe pse ekonomikisht i favorshëm kundrejt status quo-së, Opsioni 2 paraqet raport më pak të favorshëm ndërmjet kostove, përfitimeve dhe zbatueshmërisë sesa Opsioni 1.</w:t>
      </w:r>
    </w:p>
    <w:p w14:paraId="4E61A7CA" w14:textId="77777777" w:rsidR="004052CA" w:rsidRPr="00DA2DD5" w:rsidRDefault="004052CA" w:rsidP="004052CA">
      <w:pPr>
        <w:spacing w:before="240"/>
        <w:jc w:val="both"/>
        <w:rPr>
          <w:b/>
          <w:bCs/>
          <w:lang w:val="en-US"/>
        </w:rPr>
      </w:pPr>
      <w:r w:rsidRPr="00DA2DD5">
        <w:rPr>
          <w:b/>
          <w:bCs/>
          <w:lang w:val="en-US"/>
        </w:rPr>
        <w:t>Kufizimet, supozimet dhe rreziqet e analizës</w:t>
      </w:r>
    </w:p>
    <w:p w14:paraId="136EBF6F" w14:textId="77777777" w:rsidR="004052CA" w:rsidRPr="00DA2DD5" w:rsidRDefault="004052CA" w:rsidP="004052CA">
      <w:pPr>
        <w:spacing w:before="240"/>
        <w:jc w:val="both"/>
        <w:rPr>
          <w:lang w:val="en-US"/>
        </w:rPr>
      </w:pPr>
      <w:r w:rsidRPr="00DA2DD5">
        <w:rPr>
          <w:lang w:val="en-US"/>
        </w:rPr>
        <w:t>Përllogaritja monetare e Opsionit 2 mbështetet në këto supozime:</w:t>
      </w:r>
    </w:p>
    <w:p w14:paraId="1AB2D101" w14:textId="77777777" w:rsidR="004052CA" w:rsidRPr="00DA2DD5" w:rsidRDefault="004052CA" w:rsidP="008E4E22">
      <w:pPr>
        <w:numPr>
          <w:ilvl w:val="0"/>
          <w:numId w:val="42"/>
        </w:numPr>
        <w:spacing w:before="240"/>
        <w:jc w:val="both"/>
        <w:rPr>
          <w:lang w:val="en-US"/>
        </w:rPr>
      </w:pPr>
      <w:r w:rsidRPr="00DA2DD5">
        <w:rPr>
          <w:lang w:val="en-US"/>
        </w:rPr>
        <w:t xml:space="preserve">periudhë vlerësimi 10-vjeçare; </w:t>
      </w:r>
    </w:p>
    <w:p w14:paraId="5908D85F" w14:textId="77777777" w:rsidR="004052CA" w:rsidRPr="00DA2DD5" w:rsidRDefault="004052CA" w:rsidP="008E4E22">
      <w:pPr>
        <w:numPr>
          <w:ilvl w:val="0"/>
          <w:numId w:val="42"/>
        </w:numPr>
        <w:spacing w:before="240"/>
        <w:jc w:val="both"/>
        <w:rPr>
          <w:lang w:val="en-US"/>
        </w:rPr>
      </w:pPr>
      <w:r w:rsidRPr="00DA2DD5">
        <w:rPr>
          <w:lang w:val="en-US"/>
        </w:rPr>
        <w:t xml:space="preserve">normë skontimi 5 për qind; </w:t>
      </w:r>
    </w:p>
    <w:p w14:paraId="43619984" w14:textId="77777777" w:rsidR="004052CA" w:rsidRPr="00DA2DD5" w:rsidRDefault="004052CA" w:rsidP="008E4E22">
      <w:pPr>
        <w:numPr>
          <w:ilvl w:val="0"/>
          <w:numId w:val="42"/>
        </w:numPr>
        <w:spacing w:before="240"/>
        <w:jc w:val="both"/>
        <w:rPr>
          <w:lang w:val="en-US"/>
        </w:rPr>
      </w:pPr>
      <w:r w:rsidRPr="00DA2DD5">
        <w:rPr>
          <w:lang w:val="en-US"/>
        </w:rPr>
        <w:t xml:space="preserve">katër shoqëri administruese; </w:t>
      </w:r>
    </w:p>
    <w:p w14:paraId="124B311A" w14:textId="77777777" w:rsidR="004052CA" w:rsidRPr="00DA2DD5" w:rsidRDefault="004052CA" w:rsidP="008E4E22">
      <w:pPr>
        <w:numPr>
          <w:ilvl w:val="0"/>
          <w:numId w:val="42"/>
        </w:numPr>
        <w:spacing w:before="240"/>
        <w:jc w:val="both"/>
        <w:rPr>
          <w:lang w:val="en-US"/>
        </w:rPr>
      </w:pPr>
      <w:r w:rsidRPr="00DA2DD5">
        <w:rPr>
          <w:lang w:val="en-US"/>
        </w:rPr>
        <w:t xml:space="preserve">kosto prej 1,35 milionë lekësh për shoqëri në vit; </w:t>
      </w:r>
    </w:p>
    <w:p w14:paraId="69A7653F" w14:textId="77777777" w:rsidR="004052CA" w:rsidRPr="00DA2DD5" w:rsidRDefault="004052CA" w:rsidP="008E4E22">
      <w:pPr>
        <w:numPr>
          <w:ilvl w:val="0"/>
          <w:numId w:val="42"/>
        </w:numPr>
        <w:spacing w:before="240"/>
        <w:jc w:val="both"/>
        <w:rPr>
          <w:lang w:val="en-US"/>
        </w:rPr>
      </w:pPr>
      <w:r w:rsidRPr="00DA2DD5">
        <w:rPr>
          <w:lang w:val="en-US"/>
        </w:rPr>
        <w:t xml:space="preserve">kosto të zbatuara gjatë viteve 2, 3 dhe 4; </w:t>
      </w:r>
    </w:p>
    <w:p w14:paraId="55E40192" w14:textId="77777777" w:rsidR="004052CA" w:rsidRPr="00DA2DD5" w:rsidRDefault="004052CA" w:rsidP="008E4E22">
      <w:pPr>
        <w:numPr>
          <w:ilvl w:val="0"/>
          <w:numId w:val="42"/>
        </w:numPr>
        <w:spacing w:before="240"/>
        <w:jc w:val="both"/>
        <w:rPr>
          <w:lang w:val="en-US"/>
        </w:rPr>
      </w:pPr>
      <w:r w:rsidRPr="00DA2DD5">
        <w:rPr>
          <w:lang w:val="en-US"/>
        </w:rPr>
        <w:t xml:space="preserve">kosto nominale e përgjithshme prej 16,2 milionë lekësh; </w:t>
      </w:r>
    </w:p>
    <w:p w14:paraId="271D1628" w14:textId="77777777" w:rsidR="004052CA" w:rsidRPr="00DA2DD5" w:rsidRDefault="004052CA" w:rsidP="008E4E22">
      <w:pPr>
        <w:numPr>
          <w:ilvl w:val="0"/>
          <w:numId w:val="42"/>
        </w:numPr>
        <w:spacing w:before="240"/>
        <w:jc w:val="both"/>
        <w:rPr>
          <w:lang w:val="en-US"/>
        </w:rPr>
      </w:pPr>
      <w:r w:rsidRPr="00DA2DD5">
        <w:rPr>
          <w:lang w:val="en-US"/>
        </w:rPr>
        <w:t xml:space="preserve">rritje bazë vjetore prej 7 për qind e numrit të anëtarëve dhe aktiveve; </w:t>
      </w:r>
    </w:p>
    <w:p w14:paraId="21E7C763" w14:textId="77777777" w:rsidR="004052CA" w:rsidRPr="00DA2DD5" w:rsidRDefault="004052CA" w:rsidP="008E4E22">
      <w:pPr>
        <w:numPr>
          <w:ilvl w:val="0"/>
          <w:numId w:val="42"/>
        </w:numPr>
        <w:spacing w:before="240"/>
        <w:jc w:val="both"/>
        <w:rPr>
          <w:lang w:val="en-US"/>
        </w:rPr>
      </w:pPr>
      <w:r w:rsidRPr="00DA2DD5">
        <w:rPr>
          <w:lang w:val="en-US"/>
        </w:rPr>
        <w:t xml:space="preserve">rritje shtesë prej 2 për qind e numrit të anëtarëve; </w:t>
      </w:r>
    </w:p>
    <w:p w14:paraId="53D8E60C" w14:textId="77777777" w:rsidR="004052CA" w:rsidRPr="00DA2DD5" w:rsidRDefault="004052CA" w:rsidP="008E4E22">
      <w:pPr>
        <w:numPr>
          <w:ilvl w:val="0"/>
          <w:numId w:val="42"/>
        </w:numPr>
        <w:spacing w:before="240"/>
        <w:jc w:val="both"/>
        <w:rPr>
          <w:lang w:val="en-US"/>
        </w:rPr>
      </w:pPr>
      <w:r w:rsidRPr="00DA2DD5">
        <w:rPr>
          <w:lang w:val="en-US"/>
        </w:rPr>
        <w:t xml:space="preserve">tarifë administrimi prej 2 për qind mbi kontributet dhe aktivet shtesë; </w:t>
      </w:r>
    </w:p>
    <w:p w14:paraId="42FE4655" w14:textId="77777777" w:rsidR="004052CA" w:rsidRPr="00DA2DD5" w:rsidRDefault="004052CA" w:rsidP="008E4E22">
      <w:pPr>
        <w:numPr>
          <w:ilvl w:val="0"/>
          <w:numId w:val="42"/>
        </w:numPr>
        <w:spacing w:before="240"/>
        <w:jc w:val="both"/>
        <w:rPr>
          <w:lang w:val="en-US"/>
        </w:rPr>
      </w:pPr>
      <w:r w:rsidRPr="00DA2DD5">
        <w:rPr>
          <w:lang w:val="en-US"/>
        </w:rPr>
        <w:t xml:space="preserve">përmirësim prej 0,1 pikë përqindjeje i kthimit real vjetor; </w:t>
      </w:r>
    </w:p>
    <w:p w14:paraId="2FDCFAE7" w14:textId="77777777" w:rsidR="004052CA" w:rsidRPr="00DA2DD5" w:rsidRDefault="004052CA" w:rsidP="008E4E22">
      <w:pPr>
        <w:numPr>
          <w:ilvl w:val="0"/>
          <w:numId w:val="42"/>
        </w:numPr>
        <w:spacing w:before="240"/>
        <w:jc w:val="both"/>
        <w:rPr>
          <w:lang w:val="en-US"/>
        </w:rPr>
      </w:pPr>
      <w:r w:rsidRPr="00DA2DD5">
        <w:rPr>
          <w:lang w:val="en-US"/>
        </w:rPr>
        <w:t xml:space="preserve">të njëjtat përfitime të monetarizuara si në Opsionin 1; </w:t>
      </w:r>
    </w:p>
    <w:p w14:paraId="4B924975" w14:textId="77777777" w:rsidR="004052CA" w:rsidRPr="00DA2DD5" w:rsidRDefault="004052CA" w:rsidP="008E4E22">
      <w:pPr>
        <w:numPr>
          <w:ilvl w:val="0"/>
          <w:numId w:val="42"/>
        </w:numPr>
        <w:spacing w:before="240"/>
        <w:jc w:val="both"/>
        <w:rPr>
          <w:lang w:val="en-US"/>
        </w:rPr>
      </w:pPr>
      <w:r w:rsidRPr="00DA2DD5">
        <w:rPr>
          <w:lang w:val="en-US"/>
        </w:rPr>
        <w:t xml:space="preserve">mungesë e kostove të drejtpërdrejta shtesë për buxhetin; </w:t>
      </w:r>
    </w:p>
    <w:p w14:paraId="4618E9AA" w14:textId="77777777" w:rsidR="004052CA" w:rsidRPr="00DA2DD5" w:rsidRDefault="004052CA" w:rsidP="008E4E22">
      <w:pPr>
        <w:numPr>
          <w:ilvl w:val="0"/>
          <w:numId w:val="42"/>
        </w:numPr>
        <w:spacing w:before="240"/>
        <w:jc w:val="both"/>
        <w:rPr>
          <w:lang w:val="en-US"/>
        </w:rPr>
      </w:pPr>
      <w:r w:rsidRPr="00DA2DD5">
        <w:rPr>
          <w:lang w:val="en-US"/>
        </w:rPr>
        <w:t xml:space="preserve">të njëjtin kalendar zbatimi si Opsioni 1. </w:t>
      </w:r>
    </w:p>
    <w:p w14:paraId="44C908A2" w14:textId="73C9A858" w:rsidR="004052CA" w:rsidRPr="00DA2DD5" w:rsidRDefault="004052CA" w:rsidP="004052CA">
      <w:pPr>
        <w:spacing w:before="240"/>
        <w:jc w:val="both"/>
        <w:rPr>
          <w:lang w:val="en-US"/>
        </w:rPr>
      </w:pPr>
      <w:r w:rsidRPr="00DA2DD5">
        <w:rPr>
          <w:lang w:val="en-US"/>
        </w:rPr>
        <w:t xml:space="preserve">Shtesa prej 0,10 milionë lekësh për shoqëri në vit është një supozim analitik </w:t>
      </w:r>
      <w:r w:rsidR="00D53F52">
        <w:rPr>
          <w:lang w:val="en-US"/>
        </w:rPr>
        <w:t>pasi</w:t>
      </w:r>
      <w:r w:rsidRPr="00DA2DD5">
        <w:rPr>
          <w:lang w:val="en-US"/>
        </w:rPr>
        <w:t xml:space="preserve"> </w:t>
      </w:r>
      <w:r w:rsidR="00D53F52">
        <w:rPr>
          <w:lang w:val="en-US"/>
        </w:rPr>
        <w:t>n</w:t>
      </w:r>
      <w:r w:rsidRPr="00DA2DD5">
        <w:rPr>
          <w:lang w:val="en-US"/>
        </w:rPr>
        <w:t xml:space="preserve">uk disponohen të dhëna të raportuara nga subjektet për kostot e </w:t>
      </w:r>
      <w:r w:rsidR="003F35F5">
        <w:rPr>
          <w:lang w:val="en-US"/>
        </w:rPr>
        <w:t>pajtueshmërisë me një ligj të ri</w:t>
      </w:r>
      <w:r w:rsidRPr="00DA2DD5">
        <w:rPr>
          <w:lang w:val="en-US"/>
        </w:rPr>
        <w:t>. Për këtë arsye, ajo përdoret vetëm për të pasqyruar diferencën e kufizuar ndërmjet ndryshimit të ligjit në fuqi dhe kalimit në një bazë të re ligjore.</w:t>
      </w:r>
    </w:p>
    <w:p w14:paraId="6F5CFB93" w14:textId="77777777" w:rsidR="004052CA" w:rsidRPr="00DA2DD5" w:rsidRDefault="004052CA" w:rsidP="004052CA">
      <w:pPr>
        <w:spacing w:before="240"/>
        <w:jc w:val="both"/>
        <w:rPr>
          <w:lang w:val="en-US"/>
        </w:rPr>
      </w:pPr>
      <w:r w:rsidRPr="00DA2DD5">
        <w:rPr>
          <w:lang w:val="en-US"/>
        </w:rPr>
        <w:t>Kostot mund të rriten ose përfitimet mund të vonohen për shkak të:</w:t>
      </w:r>
    </w:p>
    <w:p w14:paraId="5D2C369A" w14:textId="77777777" w:rsidR="004052CA" w:rsidRPr="00DA2DD5" w:rsidRDefault="004052CA" w:rsidP="008E4E22">
      <w:pPr>
        <w:numPr>
          <w:ilvl w:val="0"/>
          <w:numId w:val="43"/>
        </w:numPr>
        <w:spacing w:before="240"/>
        <w:jc w:val="both"/>
        <w:rPr>
          <w:lang w:val="en-US"/>
        </w:rPr>
      </w:pPr>
      <w:r w:rsidRPr="00DA2DD5">
        <w:rPr>
          <w:lang w:val="en-US"/>
        </w:rPr>
        <w:t xml:space="preserve">dispozitave të pamjaftueshme kalimtare; </w:t>
      </w:r>
    </w:p>
    <w:p w14:paraId="0437AA0F" w14:textId="77777777" w:rsidR="004052CA" w:rsidRPr="00DA2DD5" w:rsidRDefault="004052CA" w:rsidP="008E4E22">
      <w:pPr>
        <w:numPr>
          <w:ilvl w:val="0"/>
          <w:numId w:val="43"/>
        </w:numPr>
        <w:spacing w:before="240"/>
        <w:jc w:val="both"/>
        <w:rPr>
          <w:lang w:val="en-US"/>
        </w:rPr>
      </w:pPr>
      <w:r w:rsidRPr="00DA2DD5">
        <w:rPr>
          <w:lang w:val="en-US"/>
        </w:rPr>
        <w:t xml:space="preserve">paqartësive për vijimësinë e licencave, kontratave dhe miratimeve; </w:t>
      </w:r>
    </w:p>
    <w:p w14:paraId="6683BB71" w14:textId="77777777" w:rsidR="004052CA" w:rsidRPr="00DA2DD5" w:rsidRDefault="004052CA" w:rsidP="008E4E22">
      <w:pPr>
        <w:numPr>
          <w:ilvl w:val="0"/>
          <w:numId w:val="43"/>
        </w:numPr>
        <w:spacing w:before="240"/>
        <w:jc w:val="both"/>
        <w:rPr>
          <w:lang w:val="en-US"/>
        </w:rPr>
      </w:pPr>
      <w:r w:rsidRPr="00DA2DD5">
        <w:rPr>
          <w:lang w:val="en-US"/>
        </w:rPr>
        <w:t xml:space="preserve">nevojës për zëvendësimin e një numri më të madh aktesh nënligjore; </w:t>
      </w:r>
    </w:p>
    <w:p w14:paraId="66BACE84" w14:textId="77777777" w:rsidR="004052CA" w:rsidRPr="00DA2DD5" w:rsidRDefault="004052CA" w:rsidP="008E4E22">
      <w:pPr>
        <w:numPr>
          <w:ilvl w:val="0"/>
          <w:numId w:val="43"/>
        </w:numPr>
        <w:spacing w:before="240"/>
        <w:jc w:val="both"/>
        <w:rPr>
          <w:lang w:val="en-US"/>
        </w:rPr>
      </w:pPr>
      <w:r w:rsidRPr="00DA2DD5">
        <w:rPr>
          <w:lang w:val="en-US"/>
        </w:rPr>
        <w:t xml:space="preserve">ndryshimeve të paqëllimshme në dispozitat që nuk lidhen me transpozimin; </w:t>
      </w:r>
    </w:p>
    <w:p w14:paraId="27919072" w14:textId="77777777" w:rsidR="004052CA" w:rsidRPr="00DA2DD5" w:rsidRDefault="004052CA" w:rsidP="008E4E22">
      <w:pPr>
        <w:numPr>
          <w:ilvl w:val="0"/>
          <w:numId w:val="43"/>
        </w:numPr>
        <w:spacing w:before="240"/>
        <w:jc w:val="both"/>
        <w:rPr>
          <w:lang w:val="en-US"/>
        </w:rPr>
      </w:pPr>
      <w:r w:rsidRPr="00DA2DD5">
        <w:rPr>
          <w:lang w:val="en-US"/>
        </w:rPr>
        <w:t xml:space="preserve">vonesave në miratimin e ligjit dhe akteve nënligjore; </w:t>
      </w:r>
    </w:p>
    <w:p w14:paraId="165F2DDF" w14:textId="77777777" w:rsidR="004052CA" w:rsidRPr="00DA2DD5" w:rsidRDefault="004052CA" w:rsidP="008E4E22">
      <w:pPr>
        <w:numPr>
          <w:ilvl w:val="0"/>
          <w:numId w:val="43"/>
        </w:numPr>
        <w:spacing w:before="240"/>
        <w:jc w:val="both"/>
        <w:rPr>
          <w:lang w:val="en-US"/>
        </w:rPr>
      </w:pPr>
      <w:r w:rsidRPr="00DA2DD5">
        <w:rPr>
          <w:lang w:val="en-US"/>
        </w:rPr>
        <w:t xml:space="preserve">nevojës për rishikim më të gjerë të dokumentacionit; </w:t>
      </w:r>
    </w:p>
    <w:p w14:paraId="5C6F904A" w14:textId="77777777" w:rsidR="004052CA" w:rsidRPr="00DA2DD5" w:rsidRDefault="004052CA" w:rsidP="008E4E22">
      <w:pPr>
        <w:numPr>
          <w:ilvl w:val="0"/>
          <w:numId w:val="43"/>
        </w:numPr>
        <w:spacing w:before="240"/>
        <w:jc w:val="both"/>
        <w:rPr>
          <w:lang w:val="en-US"/>
        </w:rPr>
      </w:pPr>
      <w:r w:rsidRPr="00DA2DD5">
        <w:rPr>
          <w:lang w:val="en-US"/>
        </w:rPr>
        <w:t xml:space="preserve">zhvendosjes së burimeve të Autoritetit nga detyra të tjera mbikëqyrëse. </w:t>
      </w:r>
    </w:p>
    <w:p w14:paraId="283BB13E" w14:textId="77777777" w:rsidR="00B4788B" w:rsidRPr="007C4F70" w:rsidRDefault="00B4788B">
      <w:pPr>
        <w:spacing w:before="240"/>
        <w:jc w:val="both"/>
        <w:rPr>
          <w:lang w:val="en-US"/>
        </w:rPr>
      </w:pPr>
    </w:p>
    <w:p w14:paraId="4BE89C82" w14:textId="5666330A" w:rsidR="001226EB" w:rsidRPr="007A737A" w:rsidRDefault="004F6C9E">
      <w:pPr>
        <w:pStyle w:val="Heading1"/>
        <w:spacing w:line="276" w:lineRule="auto"/>
        <w:rPr>
          <w:rFonts w:ascii="Times New Roman" w:eastAsia="Times New Roman" w:hAnsi="Times New Roman" w:cs="Times New Roman"/>
          <w:sz w:val="24"/>
          <w:szCs w:val="24"/>
          <w:lang w:val="sq-AL"/>
        </w:rPr>
      </w:pPr>
      <w:r w:rsidRPr="007A737A">
        <w:rPr>
          <w:rFonts w:ascii="Times New Roman" w:eastAsia="Times New Roman" w:hAnsi="Times New Roman" w:cs="Times New Roman"/>
          <w:sz w:val="24"/>
          <w:szCs w:val="24"/>
          <w:lang w:val="sq-AL"/>
        </w:rPr>
        <w:t>Arsyetimi i opsionit të preferuar</w:t>
      </w:r>
    </w:p>
    <w:p w14:paraId="35C8F334" w14:textId="77777777" w:rsidR="001226EB" w:rsidRPr="007D1172" w:rsidRDefault="004F6C9E" w:rsidP="008E4E22">
      <w:pPr>
        <w:numPr>
          <w:ilvl w:val="0"/>
          <w:numId w:val="12"/>
        </w:numPr>
        <w:pBdr>
          <w:top w:val="nil"/>
          <w:left w:val="nil"/>
          <w:bottom w:val="nil"/>
          <w:right w:val="nil"/>
          <w:between w:val="nil"/>
        </w:pBdr>
        <w:tabs>
          <w:tab w:val="left" w:pos="567"/>
        </w:tabs>
        <w:spacing w:line="276" w:lineRule="auto"/>
        <w:rPr>
          <w:i/>
          <w:color w:val="000000"/>
          <w:lang w:val="sq-AL"/>
        </w:rPr>
      </w:pPr>
      <w:r w:rsidRPr="007D1172">
        <w:rPr>
          <w:i/>
          <w:color w:val="000000"/>
          <w:lang w:val="sq-AL"/>
        </w:rPr>
        <w:t xml:space="preserve">Zgjidhni opsionin e preferuar, bazuar në analizë. </w:t>
      </w:r>
    </w:p>
    <w:p w14:paraId="7A499112" w14:textId="09ABA079" w:rsidR="00266D14" w:rsidRDefault="004F6C9E" w:rsidP="008E4E22">
      <w:pPr>
        <w:numPr>
          <w:ilvl w:val="0"/>
          <w:numId w:val="12"/>
        </w:numPr>
        <w:pBdr>
          <w:top w:val="nil"/>
          <w:left w:val="nil"/>
          <w:bottom w:val="nil"/>
          <w:right w:val="nil"/>
          <w:between w:val="nil"/>
        </w:pBdr>
        <w:tabs>
          <w:tab w:val="left" w:pos="567"/>
        </w:tabs>
        <w:spacing w:line="276" w:lineRule="auto"/>
        <w:rPr>
          <w:i/>
          <w:iCs/>
          <w:color w:val="000000"/>
          <w:lang w:val="sq-AL"/>
        </w:rPr>
      </w:pPr>
      <w:r w:rsidRPr="007A737A">
        <w:rPr>
          <w:i/>
          <w:iCs/>
          <w:color w:val="000000"/>
          <w:lang w:val="sq-AL"/>
        </w:rPr>
        <w:t>Shpjegoni arsyetimin tuaj.</w:t>
      </w:r>
    </w:p>
    <w:p w14:paraId="7AB43A69" w14:textId="77777777" w:rsidR="00766836" w:rsidRDefault="00766836" w:rsidP="00C52A8B">
      <w:pPr>
        <w:pBdr>
          <w:top w:val="nil"/>
          <w:left w:val="nil"/>
          <w:bottom w:val="nil"/>
          <w:right w:val="nil"/>
          <w:between w:val="nil"/>
        </w:pBdr>
        <w:tabs>
          <w:tab w:val="left" w:pos="567"/>
        </w:tabs>
        <w:spacing w:line="276" w:lineRule="auto"/>
        <w:jc w:val="both"/>
        <w:rPr>
          <w:i/>
          <w:iCs/>
          <w:color w:val="000000"/>
          <w:lang w:val="sq-AL"/>
        </w:rPr>
      </w:pPr>
    </w:p>
    <w:p w14:paraId="08BCB51C" w14:textId="7FCB61FB" w:rsidR="00D3741B" w:rsidRPr="00D3741B" w:rsidRDefault="00D3741B" w:rsidP="00C52A8B">
      <w:pPr>
        <w:pBdr>
          <w:top w:val="nil"/>
          <w:left w:val="nil"/>
          <w:bottom w:val="nil"/>
          <w:right w:val="nil"/>
          <w:between w:val="nil"/>
        </w:pBdr>
        <w:tabs>
          <w:tab w:val="left" w:pos="567"/>
        </w:tabs>
        <w:spacing w:line="276" w:lineRule="auto"/>
        <w:jc w:val="both"/>
        <w:rPr>
          <w:color w:val="000000"/>
          <w:lang w:val="en-US"/>
        </w:rPr>
      </w:pPr>
      <w:r w:rsidRPr="00D3741B">
        <w:rPr>
          <w:color w:val="000000"/>
          <w:lang w:val="en-US"/>
        </w:rPr>
        <w:t>Bazuar në analizën e ndikimeve, Opsioni 1 – miratimi i shtesave dhe ndryshimeve në ligjin nr. 76/2023, “Për fondet e pensionit privat”</w:t>
      </w:r>
      <w:r w:rsidRPr="00D3741B">
        <w:rPr>
          <w:b/>
          <w:bCs/>
          <w:color w:val="000000"/>
          <w:lang w:val="en-US"/>
        </w:rPr>
        <w:t xml:space="preserve"> </w:t>
      </w:r>
      <w:r w:rsidRPr="00D3741B">
        <w:rPr>
          <w:color w:val="000000"/>
          <w:lang w:val="en-US"/>
        </w:rPr>
        <w:t>përzgjidhet si opsioni i preferuar.</w:t>
      </w:r>
    </w:p>
    <w:p w14:paraId="3DC1B1AE" w14:textId="77777777" w:rsidR="00C52A8B" w:rsidRDefault="00C52A8B" w:rsidP="00047A68">
      <w:pPr>
        <w:pBdr>
          <w:top w:val="nil"/>
          <w:left w:val="nil"/>
          <w:bottom w:val="nil"/>
          <w:right w:val="nil"/>
          <w:between w:val="nil"/>
        </w:pBdr>
        <w:tabs>
          <w:tab w:val="left" w:pos="567"/>
        </w:tabs>
        <w:spacing w:line="276" w:lineRule="auto"/>
        <w:jc w:val="both"/>
        <w:rPr>
          <w:color w:val="000000"/>
          <w:lang w:val="en-US"/>
        </w:rPr>
      </w:pPr>
    </w:p>
    <w:p w14:paraId="4A7CA034" w14:textId="51CCED8A" w:rsidR="00D3741B" w:rsidRPr="00D3741B" w:rsidRDefault="00D3741B" w:rsidP="00047A68">
      <w:pPr>
        <w:pBdr>
          <w:top w:val="nil"/>
          <w:left w:val="nil"/>
          <w:bottom w:val="nil"/>
          <w:right w:val="nil"/>
          <w:between w:val="nil"/>
        </w:pBdr>
        <w:tabs>
          <w:tab w:val="left" w:pos="567"/>
        </w:tabs>
        <w:spacing w:line="276" w:lineRule="auto"/>
        <w:jc w:val="both"/>
        <w:rPr>
          <w:color w:val="000000"/>
          <w:lang w:val="en-US"/>
        </w:rPr>
      </w:pPr>
      <w:r w:rsidRPr="00D3741B">
        <w:rPr>
          <w:color w:val="000000"/>
          <w:lang w:val="en-US"/>
        </w:rPr>
        <w:t>Ky opsion realizon përafrimin e plotë të legjislacionit shqiptar me Direktivën IORP II, forcon mbrojtjen e anëtarëve dhe përfituesve dhe plotëson kuadrin për qeverisjen, administrimin e rrezikut, informimin, mbikëqyrjen dhe veprimtarinë ndërkufitare. Në të njëjtën kohë, ai ruan strukturën bazë të ligjit në fuqi dhe kufizon ndërhyrjen në dispozitat për të cilat është identifikuar nevoja për ndryshim ose plotësim.</w:t>
      </w:r>
    </w:p>
    <w:p w14:paraId="2A1ACB1A" w14:textId="77777777" w:rsidR="00D3741B" w:rsidRPr="00D3741B" w:rsidRDefault="00D3741B" w:rsidP="00047A68">
      <w:pPr>
        <w:pBdr>
          <w:top w:val="nil"/>
          <w:left w:val="nil"/>
          <w:bottom w:val="nil"/>
          <w:right w:val="nil"/>
          <w:between w:val="nil"/>
        </w:pBdr>
        <w:tabs>
          <w:tab w:val="left" w:pos="567"/>
        </w:tabs>
        <w:spacing w:line="276" w:lineRule="auto"/>
        <w:jc w:val="both"/>
        <w:rPr>
          <w:color w:val="000000"/>
          <w:lang w:val="en-US"/>
        </w:rPr>
      </w:pPr>
      <w:r w:rsidRPr="00D3741B">
        <w:rPr>
          <w:color w:val="000000"/>
          <w:lang w:val="en-US"/>
        </w:rPr>
        <w:t>Përzgjedhja e Opsionit 1 mbështetet në vlerësimin e efektivitetit, proporcionalitetit, kostove dhe përfitimeve, zbatueshmërisë administrative, sigurisë juridike dhe ndikimit mbi subjektet e prekura.</w:t>
      </w:r>
    </w:p>
    <w:p w14:paraId="4CD102FF" w14:textId="77777777" w:rsidR="00C52A8B" w:rsidRDefault="00C52A8B" w:rsidP="00047A68">
      <w:pPr>
        <w:pBdr>
          <w:top w:val="nil"/>
          <w:left w:val="nil"/>
          <w:bottom w:val="nil"/>
          <w:right w:val="nil"/>
          <w:between w:val="nil"/>
        </w:pBdr>
        <w:tabs>
          <w:tab w:val="left" w:pos="567"/>
        </w:tabs>
        <w:spacing w:line="276" w:lineRule="auto"/>
        <w:jc w:val="both"/>
        <w:rPr>
          <w:b/>
          <w:bCs/>
          <w:color w:val="000000"/>
          <w:lang w:val="en-US"/>
        </w:rPr>
      </w:pPr>
    </w:p>
    <w:p w14:paraId="60EE609C" w14:textId="4ACA454A" w:rsidR="00D3741B" w:rsidRPr="00DC2129" w:rsidRDefault="00D3741B" w:rsidP="00047A68">
      <w:pPr>
        <w:pBdr>
          <w:top w:val="nil"/>
          <w:left w:val="nil"/>
          <w:bottom w:val="nil"/>
          <w:right w:val="nil"/>
          <w:between w:val="nil"/>
        </w:pBdr>
        <w:tabs>
          <w:tab w:val="left" w:pos="567"/>
        </w:tabs>
        <w:spacing w:line="276" w:lineRule="auto"/>
        <w:jc w:val="both"/>
        <w:rPr>
          <w:b/>
          <w:bCs/>
          <w:i/>
          <w:iCs/>
          <w:color w:val="000000"/>
          <w:lang w:val="en-US"/>
        </w:rPr>
      </w:pPr>
      <w:r w:rsidRPr="00DC2129">
        <w:rPr>
          <w:b/>
          <w:bCs/>
          <w:i/>
          <w:iCs/>
          <w:color w:val="000000"/>
          <w:lang w:val="en-US"/>
        </w:rPr>
        <w:t>Efektiviteti në arritjen e objektivave</w:t>
      </w:r>
    </w:p>
    <w:p w14:paraId="5C201834" w14:textId="77777777" w:rsidR="00F85F1C" w:rsidRDefault="00F85F1C" w:rsidP="00047A68">
      <w:pPr>
        <w:pBdr>
          <w:top w:val="nil"/>
          <w:left w:val="nil"/>
          <w:bottom w:val="nil"/>
          <w:right w:val="nil"/>
          <w:between w:val="nil"/>
        </w:pBdr>
        <w:tabs>
          <w:tab w:val="left" w:pos="567"/>
        </w:tabs>
        <w:spacing w:line="276" w:lineRule="auto"/>
        <w:jc w:val="both"/>
        <w:rPr>
          <w:color w:val="000000"/>
          <w:lang w:val="en-US"/>
        </w:rPr>
      </w:pPr>
    </w:p>
    <w:p w14:paraId="33FD3B68" w14:textId="20123816" w:rsidR="00D3741B" w:rsidRPr="00D3741B" w:rsidRDefault="00D3741B" w:rsidP="00047A68">
      <w:pPr>
        <w:pBdr>
          <w:top w:val="nil"/>
          <w:left w:val="nil"/>
          <w:bottom w:val="nil"/>
          <w:right w:val="nil"/>
          <w:between w:val="nil"/>
        </w:pBdr>
        <w:tabs>
          <w:tab w:val="left" w:pos="567"/>
        </w:tabs>
        <w:spacing w:line="276" w:lineRule="auto"/>
        <w:jc w:val="both"/>
        <w:rPr>
          <w:color w:val="000000"/>
          <w:lang w:val="en-US"/>
        </w:rPr>
      </w:pPr>
      <w:r w:rsidRPr="00D3741B">
        <w:rPr>
          <w:color w:val="000000"/>
          <w:lang w:val="en-US"/>
        </w:rPr>
        <w:t xml:space="preserve">Opsioni 1 </w:t>
      </w:r>
      <w:r w:rsidR="00F85F1C">
        <w:rPr>
          <w:color w:val="000000"/>
          <w:lang w:val="en-US"/>
        </w:rPr>
        <w:t xml:space="preserve">realizon </w:t>
      </w:r>
      <w:r w:rsidRPr="00D3741B">
        <w:rPr>
          <w:color w:val="000000"/>
          <w:lang w:val="en-US"/>
        </w:rPr>
        <w:t>të gjitha objektivat kryesore të politikës. Nëpërmjet ndryshimeve në ligjin nr. 76/2023:</w:t>
      </w:r>
    </w:p>
    <w:p w14:paraId="14DCCC7E" w14:textId="77777777" w:rsidR="00D3741B" w:rsidRPr="00D3741B" w:rsidRDefault="00D3741B" w:rsidP="008E4E22">
      <w:pPr>
        <w:numPr>
          <w:ilvl w:val="0"/>
          <w:numId w:val="44"/>
        </w:numPr>
        <w:pBdr>
          <w:top w:val="nil"/>
          <w:left w:val="nil"/>
          <w:bottom w:val="nil"/>
          <w:right w:val="nil"/>
          <w:between w:val="nil"/>
        </w:pBdr>
        <w:tabs>
          <w:tab w:val="left" w:pos="567"/>
        </w:tabs>
        <w:spacing w:line="276" w:lineRule="auto"/>
        <w:jc w:val="both"/>
        <w:rPr>
          <w:color w:val="000000"/>
          <w:lang w:val="en-US"/>
        </w:rPr>
      </w:pPr>
      <w:r w:rsidRPr="00D3741B">
        <w:rPr>
          <w:color w:val="000000"/>
          <w:lang w:val="en-US"/>
        </w:rPr>
        <w:t xml:space="preserve">plotësohen boshllëqet e identifikuara në transpozimin e Direktivës IORP II; </w:t>
      </w:r>
    </w:p>
    <w:p w14:paraId="759DAABA" w14:textId="77777777" w:rsidR="00D3741B" w:rsidRPr="00D3741B" w:rsidRDefault="00D3741B" w:rsidP="008E4E22">
      <w:pPr>
        <w:numPr>
          <w:ilvl w:val="0"/>
          <w:numId w:val="44"/>
        </w:numPr>
        <w:pBdr>
          <w:top w:val="nil"/>
          <w:left w:val="nil"/>
          <w:bottom w:val="nil"/>
          <w:right w:val="nil"/>
          <w:between w:val="nil"/>
        </w:pBdr>
        <w:tabs>
          <w:tab w:val="left" w:pos="567"/>
        </w:tabs>
        <w:spacing w:line="276" w:lineRule="auto"/>
        <w:jc w:val="both"/>
        <w:rPr>
          <w:color w:val="000000"/>
          <w:lang w:val="en-US"/>
        </w:rPr>
      </w:pPr>
      <w:r w:rsidRPr="00D3741B">
        <w:rPr>
          <w:color w:val="000000"/>
          <w:lang w:val="en-US"/>
        </w:rPr>
        <w:t xml:space="preserve">forcohet sistemi i qeverisjes dhe qartësohen përgjegjësitë e organeve drejtuese; </w:t>
      </w:r>
    </w:p>
    <w:p w14:paraId="3CABA12C" w14:textId="77777777" w:rsidR="00D3741B" w:rsidRPr="00D3741B" w:rsidRDefault="00D3741B" w:rsidP="008E4E22">
      <w:pPr>
        <w:numPr>
          <w:ilvl w:val="0"/>
          <w:numId w:val="44"/>
        </w:numPr>
        <w:pBdr>
          <w:top w:val="nil"/>
          <w:left w:val="nil"/>
          <w:bottom w:val="nil"/>
          <w:right w:val="nil"/>
          <w:between w:val="nil"/>
        </w:pBdr>
        <w:tabs>
          <w:tab w:val="left" w:pos="567"/>
        </w:tabs>
        <w:spacing w:line="276" w:lineRule="auto"/>
        <w:jc w:val="both"/>
        <w:rPr>
          <w:color w:val="000000"/>
          <w:lang w:val="en-US"/>
        </w:rPr>
      </w:pPr>
      <w:r w:rsidRPr="00D3741B">
        <w:rPr>
          <w:color w:val="000000"/>
          <w:lang w:val="en-US"/>
        </w:rPr>
        <w:t xml:space="preserve">plotësohen funksionet kryesore dhe vetëvlerësimi i rrezikut; </w:t>
      </w:r>
    </w:p>
    <w:p w14:paraId="1F52FBB7" w14:textId="77777777" w:rsidR="00D3741B" w:rsidRPr="00D3741B" w:rsidRDefault="00D3741B" w:rsidP="008E4E22">
      <w:pPr>
        <w:numPr>
          <w:ilvl w:val="0"/>
          <w:numId w:val="44"/>
        </w:numPr>
        <w:pBdr>
          <w:top w:val="nil"/>
          <w:left w:val="nil"/>
          <w:bottom w:val="nil"/>
          <w:right w:val="nil"/>
          <w:between w:val="nil"/>
        </w:pBdr>
        <w:tabs>
          <w:tab w:val="left" w:pos="567"/>
        </w:tabs>
        <w:spacing w:line="276" w:lineRule="auto"/>
        <w:jc w:val="both"/>
        <w:rPr>
          <w:color w:val="000000"/>
          <w:lang w:val="en-US"/>
        </w:rPr>
      </w:pPr>
      <w:r w:rsidRPr="00D3741B">
        <w:rPr>
          <w:color w:val="000000"/>
          <w:lang w:val="en-US"/>
        </w:rPr>
        <w:t xml:space="preserve">përmirësohen standardet për administrimin e investimeve; </w:t>
      </w:r>
    </w:p>
    <w:p w14:paraId="4D8F5014" w14:textId="77777777" w:rsidR="00D3741B" w:rsidRPr="00D3741B" w:rsidRDefault="00D3741B" w:rsidP="008E4E22">
      <w:pPr>
        <w:numPr>
          <w:ilvl w:val="0"/>
          <w:numId w:val="44"/>
        </w:numPr>
        <w:pBdr>
          <w:top w:val="nil"/>
          <w:left w:val="nil"/>
          <w:bottom w:val="nil"/>
          <w:right w:val="nil"/>
          <w:between w:val="nil"/>
        </w:pBdr>
        <w:tabs>
          <w:tab w:val="left" w:pos="567"/>
        </w:tabs>
        <w:spacing w:line="276" w:lineRule="auto"/>
        <w:jc w:val="both"/>
        <w:rPr>
          <w:color w:val="000000"/>
          <w:lang w:val="en-US"/>
        </w:rPr>
      </w:pPr>
      <w:r w:rsidRPr="00D3741B">
        <w:rPr>
          <w:color w:val="000000"/>
          <w:lang w:val="en-US"/>
        </w:rPr>
        <w:t xml:space="preserve">standardizohet informacioni që u jepet anëtarëve dhe përfituesve; </w:t>
      </w:r>
    </w:p>
    <w:p w14:paraId="0DFFFCBD" w14:textId="77777777" w:rsidR="00D3741B" w:rsidRPr="00D3741B" w:rsidRDefault="00D3741B" w:rsidP="008E4E22">
      <w:pPr>
        <w:numPr>
          <w:ilvl w:val="0"/>
          <w:numId w:val="44"/>
        </w:numPr>
        <w:pBdr>
          <w:top w:val="nil"/>
          <w:left w:val="nil"/>
          <w:bottom w:val="nil"/>
          <w:right w:val="nil"/>
          <w:between w:val="nil"/>
        </w:pBdr>
        <w:tabs>
          <w:tab w:val="left" w:pos="567"/>
        </w:tabs>
        <w:spacing w:line="276" w:lineRule="auto"/>
        <w:jc w:val="both"/>
        <w:rPr>
          <w:color w:val="000000"/>
          <w:lang w:val="en-US"/>
        </w:rPr>
      </w:pPr>
      <w:r w:rsidRPr="00D3741B">
        <w:rPr>
          <w:color w:val="000000"/>
          <w:lang w:val="en-US"/>
        </w:rPr>
        <w:t xml:space="preserve">konsolidohet mbikëqyrja me qasje perspektive dhe me bazë rreziku; </w:t>
      </w:r>
    </w:p>
    <w:p w14:paraId="308FA099" w14:textId="77777777" w:rsidR="00D3741B" w:rsidRPr="00D3741B" w:rsidRDefault="00D3741B" w:rsidP="008E4E22">
      <w:pPr>
        <w:numPr>
          <w:ilvl w:val="0"/>
          <w:numId w:val="44"/>
        </w:numPr>
        <w:pBdr>
          <w:top w:val="nil"/>
          <w:left w:val="nil"/>
          <w:bottom w:val="nil"/>
          <w:right w:val="nil"/>
          <w:between w:val="nil"/>
        </w:pBdr>
        <w:tabs>
          <w:tab w:val="left" w:pos="567"/>
        </w:tabs>
        <w:spacing w:line="276" w:lineRule="auto"/>
        <w:jc w:val="both"/>
        <w:rPr>
          <w:color w:val="000000"/>
          <w:lang w:val="en-US"/>
        </w:rPr>
      </w:pPr>
      <w:r w:rsidRPr="00D3741B">
        <w:rPr>
          <w:color w:val="000000"/>
          <w:lang w:val="en-US"/>
        </w:rPr>
        <w:t xml:space="preserve">krijohet baza ligjore për veprimtarinë dhe transferimet ndërkufitare; </w:t>
      </w:r>
    </w:p>
    <w:p w14:paraId="1110E16E" w14:textId="77777777" w:rsidR="00D3741B" w:rsidRPr="00D3741B" w:rsidRDefault="00D3741B" w:rsidP="008E4E22">
      <w:pPr>
        <w:numPr>
          <w:ilvl w:val="0"/>
          <w:numId w:val="44"/>
        </w:numPr>
        <w:pBdr>
          <w:top w:val="nil"/>
          <w:left w:val="nil"/>
          <w:bottom w:val="nil"/>
          <w:right w:val="nil"/>
          <w:between w:val="nil"/>
        </w:pBdr>
        <w:tabs>
          <w:tab w:val="left" w:pos="567"/>
        </w:tabs>
        <w:spacing w:line="276" w:lineRule="auto"/>
        <w:jc w:val="both"/>
        <w:rPr>
          <w:color w:val="000000"/>
          <w:lang w:val="en-US"/>
        </w:rPr>
      </w:pPr>
      <w:r w:rsidRPr="00D3741B">
        <w:rPr>
          <w:color w:val="000000"/>
          <w:lang w:val="en-US"/>
        </w:rPr>
        <w:t xml:space="preserve">mundësohet bashkëpunimi me autoritetet e shteteve anëtare dhe me EIOPA-n. </w:t>
      </w:r>
    </w:p>
    <w:p w14:paraId="21A4914D" w14:textId="77777777" w:rsidR="00047A68" w:rsidRDefault="00047A68" w:rsidP="00047A68">
      <w:pPr>
        <w:pBdr>
          <w:top w:val="nil"/>
          <w:left w:val="nil"/>
          <w:bottom w:val="nil"/>
          <w:right w:val="nil"/>
          <w:between w:val="nil"/>
        </w:pBdr>
        <w:tabs>
          <w:tab w:val="left" w:pos="567"/>
        </w:tabs>
        <w:spacing w:line="276" w:lineRule="auto"/>
        <w:jc w:val="both"/>
        <w:rPr>
          <w:color w:val="000000"/>
          <w:lang w:val="en-US"/>
        </w:rPr>
      </w:pPr>
    </w:p>
    <w:p w14:paraId="4FA4F640" w14:textId="28ECDB44" w:rsidR="00D3741B" w:rsidRPr="00D3741B" w:rsidRDefault="00D3741B" w:rsidP="00047A68">
      <w:pPr>
        <w:pBdr>
          <w:top w:val="nil"/>
          <w:left w:val="nil"/>
          <w:bottom w:val="nil"/>
          <w:right w:val="nil"/>
          <w:between w:val="nil"/>
        </w:pBdr>
        <w:tabs>
          <w:tab w:val="left" w:pos="567"/>
        </w:tabs>
        <w:spacing w:line="276" w:lineRule="auto"/>
        <w:jc w:val="both"/>
        <w:rPr>
          <w:color w:val="000000"/>
          <w:lang w:val="en-US"/>
        </w:rPr>
      </w:pPr>
      <w:r w:rsidRPr="00D3741B">
        <w:rPr>
          <w:color w:val="000000"/>
          <w:lang w:val="en-US"/>
        </w:rPr>
        <w:t>Opsioni 0 nuk i realizon këto objektiva, pasi ruan përafrimin e pjesshëm dhe boshllëqet e kuadrit aktual. Opsioni jorregullator mund të mbështesë zbatimin e praktikave më të mira, por nuk mund të krijojë detyrime të reja ligjore, kompetenca mbikëqyrëse ose mekanizma ndërkufitarë. Opsioni 2 i realizon të njëjtat objektiva si Opsioni 1, por nëpërmjet shfuqizimit dhe rimiratimit të të gjithë kuadrit.</w:t>
      </w:r>
    </w:p>
    <w:p w14:paraId="2CE88445" w14:textId="77777777" w:rsidR="00C52A8B" w:rsidRDefault="00C52A8B" w:rsidP="00D3741B">
      <w:pPr>
        <w:pBdr>
          <w:top w:val="nil"/>
          <w:left w:val="nil"/>
          <w:bottom w:val="nil"/>
          <w:right w:val="nil"/>
          <w:between w:val="nil"/>
        </w:pBdr>
        <w:tabs>
          <w:tab w:val="left" w:pos="567"/>
        </w:tabs>
        <w:spacing w:line="276" w:lineRule="auto"/>
        <w:rPr>
          <w:b/>
          <w:bCs/>
          <w:color w:val="000000"/>
          <w:lang w:val="en-US"/>
        </w:rPr>
      </w:pPr>
    </w:p>
    <w:p w14:paraId="0687E56C" w14:textId="096CC5AF" w:rsidR="00D3741B" w:rsidRPr="00D3741B" w:rsidRDefault="00D3741B" w:rsidP="00D3741B">
      <w:pPr>
        <w:pBdr>
          <w:top w:val="nil"/>
          <w:left w:val="nil"/>
          <w:bottom w:val="nil"/>
          <w:right w:val="nil"/>
          <w:between w:val="nil"/>
        </w:pBdr>
        <w:tabs>
          <w:tab w:val="left" w:pos="567"/>
        </w:tabs>
        <w:spacing w:line="276" w:lineRule="auto"/>
        <w:rPr>
          <w:b/>
          <w:bCs/>
          <w:color w:val="000000"/>
          <w:lang w:val="en-US"/>
        </w:rPr>
      </w:pPr>
      <w:r w:rsidRPr="00D3741B">
        <w:rPr>
          <w:b/>
          <w:bCs/>
          <w:color w:val="000000"/>
          <w:lang w:val="en-US"/>
        </w:rPr>
        <w:t>Proporcionaliteti i ndërhyrjes</w:t>
      </w:r>
    </w:p>
    <w:p w14:paraId="6A7EA2D8" w14:textId="77777777" w:rsidR="00F85F1C" w:rsidRDefault="00F85F1C" w:rsidP="00634FEE">
      <w:pPr>
        <w:pBdr>
          <w:top w:val="nil"/>
          <w:left w:val="nil"/>
          <w:bottom w:val="nil"/>
          <w:right w:val="nil"/>
          <w:between w:val="nil"/>
        </w:pBdr>
        <w:tabs>
          <w:tab w:val="left" w:pos="567"/>
        </w:tabs>
        <w:spacing w:line="276" w:lineRule="auto"/>
        <w:jc w:val="both"/>
        <w:rPr>
          <w:color w:val="000000"/>
          <w:lang w:val="en-US"/>
        </w:rPr>
      </w:pPr>
    </w:p>
    <w:p w14:paraId="2679107D" w14:textId="144C3B04" w:rsidR="00D3741B" w:rsidRPr="00D3741B" w:rsidRDefault="00D3741B" w:rsidP="00634FEE">
      <w:pPr>
        <w:pBdr>
          <w:top w:val="nil"/>
          <w:left w:val="nil"/>
          <w:bottom w:val="nil"/>
          <w:right w:val="nil"/>
          <w:between w:val="nil"/>
        </w:pBdr>
        <w:tabs>
          <w:tab w:val="left" w:pos="567"/>
        </w:tabs>
        <w:spacing w:line="276" w:lineRule="auto"/>
        <w:jc w:val="both"/>
        <w:rPr>
          <w:color w:val="000000"/>
          <w:lang w:val="en-US"/>
        </w:rPr>
      </w:pPr>
      <w:r w:rsidRPr="00D3741B">
        <w:rPr>
          <w:color w:val="000000"/>
          <w:lang w:val="en-US"/>
        </w:rPr>
        <w:t>Opsioni 1 për</w:t>
      </w:r>
      <w:r w:rsidR="00F85F1C">
        <w:rPr>
          <w:color w:val="000000"/>
          <w:lang w:val="en-US"/>
        </w:rPr>
        <w:t xml:space="preserve">faqëson </w:t>
      </w:r>
      <w:r w:rsidRPr="00D3741B">
        <w:rPr>
          <w:color w:val="000000"/>
          <w:lang w:val="en-US"/>
        </w:rPr>
        <w:t xml:space="preserve">ndërhyrjen më proporcionale </w:t>
      </w:r>
      <w:r w:rsidR="00F85F1C">
        <w:rPr>
          <w:color w:val="000000"/>
          <w:lang w:val="en-US"/>
        </w:rPr>
        <w:t>në raport me</w:t>
      </w:r>
      <w:r w:rsidRPr="00D3741B">
        <w:rPr>
          <w:color w:val="000000"/>
          <w:lang w:val="en-US"/>
        </w:rPr>
        <w:t xml:space="preserve"> natyrën dhe shtrirjen e problemit. Ligji nr. 76/2023 përmban tashmë</w:t>
      </w:r>
      <w:r w:rsidR="00F14D4D">
        <w:rPr>
          <w:color w:val="000000"/>
          <w:lang w:val="en-US"/>
        </w:rPr>
        <w:t xml:space="preserve"> dispozitat që rregullojnë veprimtaritë në këtë treg dhe</w:t>
      </w:r>
      <w:r w:rsidRPr="00D3741B">
        <w:rPr>
          <w:color w:val="000000"/>
          <w:lang w:val="en-US"/>
        </w:rPr>
        <w:t xml:space="preserve"> transpozon një pjesë të konsiderueshme të Direktivës IORP II. Problemi i identifikuar nuk kërkon ndryshimin e modelit institucional ose rregullator të pensioneve private, por plotësimin e dispozitave të caktuara.</w:t>
      </w:r>
    </w:p>
    <w:p w14:paraId="7AF714FB" w14:textId="77777777" w:rsidR="00F85F1C" w:rsidRDefault="00F85F1C" w:rsidP="00634FEE">
      <w:pPr>
        <w:pBdr>
          <w:top w:val="nil"/>
          <w:left w:val="nil"/>
          <w:bottom w:val="nil"/>
          <w:right w:val="nil"/>
          <w:between w:val="nil"/>
        </w:pBdr>
        <w:tabs>
          <w:tab w:val="left" w:pos="567"/>
        </w:tabs>
        <w:spacing w:line="276" w:lineRule="auto"/>
        <w:jc w:val="both"/>
        <w:rPr>
          <w:color w:val="000000"/>
          <w:lang w:val="en-US"/>
        </w:rPr>
      </w:pPr>
    </w:p>
    <w:p w14:paraId="0D7A645A" w14:textId="0F4D2150" w:rsidR="00D3741B" w:rsidRPr="00D3741B" w:rsidRDefault="00D3741B" w:rsidP="00634FEE">
      <w:pPr>
        <w:pBdr>
          <w:top w:val="nil"/>
          <w:left w:val="nil"/>
          <w:bottom w:val="nil"/>
          <w:right w:val="nil"/>
          <w:between w:val="nil"/>
        </w:pBdr>
        <w:tabs>
          <w:tab w:val="left" w:pos="567"/>
        </w:tabs>
        <w:spacing w:line="276" w:lineRule="auto"/>
        <w:jc w:val="both"/>
        <w:rPr>
          <w:color w:val="000000"/>
          <w:lang w:val="en-US"/>
        </w:rPr>
      </w:pPr>
      <w:r w:rsidRPr="00D3741B">
        <w:rPr>
          <w:color w:val="000000"/>
          <w:lang w:val="en-US"/>
        </w:rPr>
        <w:t>Ndryshimi i ligjit ekzistues shmang rihapjen e dispozitave që</w:t>
      </w:r>
      <w:r w:rsidR="00634FEE">
        <w:rPr>
          <w:color w:val="000000"/>
          <w:lang w:val="en-US"/>
        </w:rPr>
        <w:t xml:space="preserve"> janë funksionale në praktikë</w:t>
      </w:r>
      <w:r w:rsidRPr="00D3741B">
        <w:rPr>
          <w:color w:val="000000"/>
          <w:lang w:val="en-US"/>
        </w:rPr>
        <w:t xml:space="preserve"> dhe që nuk lidhen me boshllëqet </w:t>
      </w:r>
      <w:r w:rsidR="00634FEE">
        <w:rPr>
          <w:color w:val="000000"/>
          <w:lang w:val="en-US"/>
        </w:rPr>
        <w:t>në kuadër të</w:t>
      </w:r>
      <w:r w:rsidRPr="00D3741B">
        <w:rPr>
          <w:color w:val="000000"/>
          <w:lang w:val="en-US"/>
        </w:rPr>
        <w:t xml:space="preserve"> transpozimit</w:t>
      </w:r>
      <w:r w:rsidR="00634FEE">
        <w:rPr>
          <w:color w:val="000000"/>
          <w:lang w:val="en-US"/>
        </w:rPr>
        <w:t xml:space="preserve"> të </w:t>
      </w:r>
      <w:r w:rsidR="00634FEE" w:rsidRPr="00634FEE">
        <w:rPr>
          <w:i/>
          <w:iCs/>
          <w:color w:val="000000"/>
          <w:lang w:val="en-US"/>
        </w:rPr>
        <w:t>acquis</w:t>
      </w:r>
      <w:r w:rsidR="00634FEE">
        <w:rPr>
          <w:color w:val="000000"/>
          <w:lang w:val="en-US"/>
        </w:rPr>
        <w:t xml:space="preserve"> së BE</w:t>
      </w:r>
      <w:r w:rsidRPr="00D3741B">
        <w:rPr>
          <w:color w:val="000000"/>
          <w:lang w:val="en-US"/>
        </w:rPr>
        <w:t>. Ai ruan gjithashtu modelin vendas të fondeve të pensionit privat me kontribute të përcaktuara dhe nuk vendos detyrim për punëdhënësit apo individët që të krijojnë ose t’i bashkohen një fondi pensioni privat.</w:t>
      </w:r>
    </w:p>
    <w:p w14:paraId="0A346D75" w14:textId="77777777" w:rsidR="00634FEE" w:rsidRDefault="00634FEE" w:rsidP="00634FEE">
      <w:pPr>
        <w:pBdr>
          <w:top w:val="nil"/>
          <w:left w:val="nil"/>
          <w:bottom w:val="nil"/>
          <w:right w:val="nil"/>
          <w:between w:val="nil"/>
        </w:pBdr>
        <w:tabs>
          <w:tab w:val="left" w:pos="567"/>
        </w:tabs>
        <w:spacing w:line="276" w:lineRule="auto"/>
        <w:jc w:val="both"/>
        <w:rPr>
          <w:color w:val="000000"/>
          <w:lang w:val="en-US"/>
        </w:rPr>
      </w:pPr>
    </w:p>
    <w:p w14:paraId="2B689B7A" w14:textId="2AF4BE47" w:rsidR="00D3741B" w:rsidRPr="00D3741B" w:rsidRDefault="00D3741B" w:rsidP="00634FEE">
      <w:pPr>
        <w:pBdr>
          <w:top w:val="nil"/>
          <w:left w:val="nil"/>
          <w:bottom w:val="nil"/>
          <w:right w:val="nil"/>
          <w:between w:val="nil"/>
        </w:pBdr>
        <w:tabs>
          <w:tab w:val="left" w:pos="567"/>
        </w:tabs>
        <w:spacing w:line="276" w:lineRule="auto"/>
        <w:jc w:val="both"/>
        <w:rPr>
          <w:color w:val="000000"/>
          <w:lang w:val="en-US"/>
        </w:rPr>
      </w:pPr>
      <w:r w:rsidRPr="00D3741B">
        <w:rPr>
          <w:color w:val="000000"/>
          <w:lang w:val="en-US"/>
        </w:rPr>
        <w:t>Skemat me përfitime të përcaktuara trajtohen vetëm për rastet e veprimtarisë ndërkufitare dhe nuk prezantohen si produkt i ri për tregun vendas. Dispozitat që varen nga pjesëmarrja e Shqipërisë në tregun e brendshëm të Bashkimit Evropian do të zbatohen nga data e anëtarësimit.</w:t>
      </w:r>
    </w:p>
    <w:p w14:paraId="7CB2116E" w14:textId="77777777" w:rsidR="00634FEE" w:rsidRDefault="00634FEE" w:rsidP="00634FEE">
      <w:pPr>
        <w:pBdr>
          <w:top w:val="nil"/>
          <w:left w:val="nil"/>
          <w:bottom w:val="nil"/>
          <w:right w:val="nil"/>
          <w:between w:val="nil"/>
        </w:pBdr>
        <w:tabs>
          <w:tab w:val="left" w:pos="567"/>
        </w:tabs>
        <w:spacing w:line="276" w:lineRule="auto"/>
        <w:jc w:val="both"/>
        <w:rPr>
          <w:color w:val="000000"/>
          <w:lang w:val="en-US"/>
        </w:rPr>
      </w:pPr>
    </w:p>
    <w:p w14:paraId="6721556F" w14:textId="1857D5CE" w:rsidR="00D3741B" w:rsidRPr="00D3741B" w:rsidRDefault="00D3741B" w:rsidP="00634FEE">
      <w:pPr>
        <w:pBdr>
          <w:top w:val="nil"/>
          <w:left w:val="nil"/>
          <w:bottom w:val="nil"/>
          <w:right w:val="nil"/>
          <w:between w:val="nil"/>
        </w:pBdr>
        <w:tabs>
          <w:tab w:val="left" w:pos="567"/>
        </w:tabs>
        <w:spacing w:line="276" w:lineRule="auto"/>
        <w:jc w:val="both"/>
        <w:rPr>
          <w:color w:val="000000"/>
          <w:lang w:val="en-US"/>
        </w:rPr>
      </w:pPr>
      <w:r w:rsidRPr="00D3741B">
        <w:rPr>
          <w:color w:val="000000"/>
          <w:lang w:val="en-US"/>
        </w:rPr>
        <w:t>Për rrjedhojë, Opsioni 1 arrin rezultatin e kërkuar pa shkuar përtej masës së nevojshme për trajtimin e problemit.</w:t>
      </w:r>
    </w:p>
    <w:p w14:paraId="326D0A10" w14:textId="77777777" w:rsidR="00634FEE" w:rsidRDefault="00634FEE" w:rsidP="00D3741B">
      <w:pPr>
        <w:pBdr>
          <w:top w:val="nil"/>
          <w:left w:val="nil"/>
          <w:bottom w:val="nil"/>
          <w:right w:val="nil"/>
          <w:between w:val="nil"/>
        </w:pBdr>
        <w:tabs>
          <w:tab w:val="left" w:pos="567"/>
        </w:tabs>
        <w:spacing w:line="276" w:lineRule="auto"/>
        <w:rPr>
          <w:b/>
          <w:bCs/>
          <w:color w:val="000000"/>
          <w:lang w:val="en-US"/>
        </w:rPr>
      </w:pPr>
    </w:p>
    <w:p w14:paraId="04D7736C" w14:textId="1D03B615" w:rsidR="00D3741B" w:rsidRPr="00D3741B" w:rsidRDefault="00D3741B" w:rsidP="00D3741B">
      <w:pPr>
        <w:pBdr>
          <w:top w:val="nil"/>
          <w:left w:val="nil"/>
          <w:bottom w:val="nil"/>
          <w:right w:val="nil"/>
          <w:between w:val="nil"/>
        </w:pBdr>
        <w:tabs>
          <w:tab w:val="left" w:pos="567"/>
        </w:tabs>
        <w:spacing w:line="276" w:lineRule="auto"/>
        <w:rPr>
          <w:b/>
          <w:bCs/>
          <w:color w:val="000000"/>
          <w:lang w:val="en-US"/>
        </w:rPr>
      </w:pPr>
      <w:r w:rsidRPr="00D3741B">
        <w:rPr>
          <w:b/>
          <w:bCs/>
          <w:color w:val="000000"/>
          <w:lang w:val="en-US"/>
        </w:rPr>
        <w:t>Krahasimi i kostove dhe përfitimeve</w:t>
      </w:r>
    </w:p>
    <w:p w14:paraId="1D3F8563" w14:textId="77777777" w:rsidR="00047A68" w:rsidRDefault="00047A68" w:rsidP="00D3741B">
      <w:pPr>
        <w:pBdr>
          <w:top w:val="nil"/>
          <w:left w:val="nil"/>
          <w:bottom w:val="nil"/>
          <w:right w:val="nil"/>
          <w:between w:val="nil"/>
        </w:pBdr>
        <w:tabs>
          <w:tab w:val="left" w:pos="567"/>
        </w:tabs>
        <w:spacing w:line="276" w:lineRule="auto"/>
        <w:rPr>
          <w:color w:val="000000"/>
          <w:lang w:val="en-US"/>
        </w:rPr>
      </w:pPr>
    </w:p>
    <w:p w14:paraId="58739F85" w14:textId="7B77C976" w:rsidR="00D3741B" w:rsidRPr="00D3741B" w:rsidRDefault="00D3741B" w:rsidP="005540FF">
      <w:pPr>
        <w:pBdr>
          <w:top w:val="nil"/>
          <w:left w:val="nil"/>
          <w:bottom w:val="nil"/>
          <w:right w:val="nil"/>
          <w:between w:val="nil"/>
        </w:pBdr>
        <w:tabs>
          <w:tab w:val="left" w:pos="567"/>
        </w:tabs>
        <w:spacing w:line="276" w:lineRule="auto"/>
        <w:jc w:val="both"/>
        <w:rPr>
          <w:color w:val="000000"/>
          <w:lang w:val="en-US"/>
        </w:rPr>
      </w:pPr>
      <w:r w:rsidRPr="00D3741B">
        <w:rPr>
          <w:color w:val="000000"/>
          <w:lang w:val="en-US"/>
        </w:rPr>
        <w:t>Sipas skenarit qendror të përdorur në analizë, Opsioni 1 krijon kosto nominale të pajtueshmërisë prej rreth 15 milionë lekësh për shoqëritë administruese gjatë viteve të përshtatjes. Vlera aktuale e këtyre kostove, për një periudhë vlerësimi 10-vjeçare dhe me normë skontimi prej 5 për qind, është rreth 13 milionë lekë.</w:t>
      </w:r>
    </w:p>
    <w:p w14:paraId="5948F712" w14:textId="77777777" w:rsidR="005540FF" w:rsidRPr="005540FF" w:rsidRDefault="005540FF" w:rsidP="005540FF">
      <w:pPr>
        <w:pBdr>
          <w:top w:val="nil"/>
          <w:left w:val="nil"/>
          <w:bottom w:val="nil"/>
          <w:right w:val="nil"/>
          <w:between w:val="nil"/>
        </w:pBdr>
        <w:tabs>
          <w:tab w:val="left" w:pos="567"/>
        </w:tabs>
        <w:spacing w:line="276" w:lineRule="auto"/>
        <w:jc w:val="both"/>
        <w:rPr>
          <w:color w:val="000000"/>
          <w:lang w:val="en-US"/>
        </w:rPr>
      </w:pPr>
    </w:p>
    <w:p w14:paraId="66BB8E60" w14:textId="2E93058E" w:rsidR="00D3741B" w:rsidRPr="00D3741B" w:rsidRDefault="00D3741B" w:rsidP="005540FF">
      <w:pPr>
        <w:pBdr>
          <w:top w:val="nil"/>
          <w:left w:val="nil"/>
          <w:bottom w:val="nil"/>
          <w:right w:val="nil"/>
          <w:between w:val="nil"/>
        </w:pBdr>
        <w:tabs>
          <w:tab w:val="left" w:pos="567"/>
        </w:tabs>
        <w:spacing w:line="276" w:lineRule="auto"/>
        <w:jc w:val="both"/>
        <w:rPr>
          <w:color w:val="000000"/>
          <w:lang w:val="en-US"/>
        </w:rPr>
      </w:pPr>
      <w:r w:rsidRPr="00D3741B">
        <w:rPr>
          <w:color w:val="000000"/>
          <w:lang w:val="en-US"/>
        </w:rPr>
        <w:t>Vlera aktuale e përfitimeve të monetarizuara vlerësohet në rreth 85,7 milionë lekë, ndërsa vlera aktuale neto e Opsionit 1 është rreth 72,7 milionë lekë.</w:t>
      </w:r>
    </w:p>
    <w:p w14:paraId="007602AE" w14:textId="77777777" w:rsidR="005540FF" w:rsidRPr="005540FF" w:rsidRDefault="005540FF" w:rsidP="005540FF">
      <w:pPr>
        <w:pBdr>
          <w:top w:val="nil"/>
          <w:left w:val="nil"/>
          <w:bottom w:val="nil"/>
          <w:right w:val="nil"/>
          <w:between w:val="nil"/>
        </w:pBdr>
        <w:tabs>
          <w:tab w:val="left" w:pos="567"/>
        </w:tabs>
        <w:spacing w:line="276" w:lineRule="auto"/>
        <w:jc w:val="both"/>
        <w:rPr>
          <w:color w:val="000000"/>
          <w:lang w:val="en-US"/>
        </w:rPr>
      </w:pPr>
    </w:p>
    <w:p w14:paraId="4451E9A4" w14:textId="5F3B4940" w:rsidR="00D3741B" w:rsidRPr="00D3741B" w:rsidRDefault="00D3741B" w:rsidP="005540FF">
      <w:pPr>
        <w:pBdr>
          <w:top w:val="nil"/>
          <w:left w:val="nil"/>
          <w:bottom w:val="nil"/>
          <w:right w:val="nil"/>
          <w:between w:val="nil"/>
        </w:pBdr>
        <w:tabs>
          <w:tab w:val="left" w:pos="567"/>
        </w:tabs>
        <w:spacing w:line="276" w:lineRule="auto"/>
        <w:jc w:val="both"/>
        <w:rPr>
          <w:color w:val="000000"/>
          <w:lang w:val="en-US"/>
        </w:rPr>
      </w:pPr>
      <w:r w:rsidRPr="00D3741B">
        <w:rPr>
          <w:color w:val="000000"/>
          <w:lang w:val="en-US"/>
        </w:rPr>
        <w:t>Opsioni 2 krijon të njëjtat përfitime materiale, pasi përmban të njëjtat kërkesa prudenciale dhe mbikëqyrëse. Megjithatë, kalimi në një ligj tërësisht të ri kërkon rishikim shtesë të dokumentacionit, kontratave, procedurave, referencave ligjore dhe vijimësisë së akteve dhe miratimeve ekzistuese. Për këtë arsye, vlera aktuale e kostove të Opsionit 2 vlerësohet në rreth 14 milionë lekë, ndërsa vlera aktuale neto në rreth 71,7 milionë lekë.</w:t>
      </w:r>
    </w:p>
    <w:p w14:paraId="35803D91" w14:textId="77777777" w:rsidR="005540FF" w:rsidRPr="005540FF" w:rsidRDefault="005540FF" w:rsidP="005540FF">
      <w:pPr>
        <w:pBdr>
          <w:top w:val="nil"/>
          <w:left w:val="nil"/>
          <w:bottom w:val="nil"/>
          <w:right w:val="nil"/>
          <w:between w:val="nil"/>
        </w:pBdr>
        <w:tabs>
          <w:tab w:val="left" w:pos="567"/>
        </w:tabs>
        <w:spacing w:line="276" w:lineRule="auto"/>
        <w:jc w:val="both"/>
        <w:rPr>
          <w:color w:val="000000"/>
          <w:lang w:val="en-US"/>
        </w:rPr>
      </w:pPr>
    </w:p>
    <w:p w14:paraId="157D2095" w14:textId="4A518C4D" w:rsidR="00D3741B" w:rsidRDefault="00D3741B" w:rsidP="005540FF">
      <w:pPr>
        <w:pBdr>
          <w:top w:val="nil"/>
          <w:left w:val="nil"/>
          <w:bottom w:val="nil"/>
          <w:right w:val="nil"/>
          <w:between w:val="nil"/>
        </w:pBdr>
        <w:tabs>
          <w:tab w:val="left" w:pos="567"/>
        </w:tabs>
        <w:spacing w:line="276" w:lineRule="auto"/>
        <w:jc w:val="both"/>
        <w:rPr>
          <w:color w:val="000000"/>
          <w:lang w:val="en-US"/>
        </w:rPr>
      </w:pPr>
      <w:r w:rsidRPr="00D3741B">
        <w:rPr>
          <w:color w:val="000000"/>
          <w:lang w:val="en-US"/>
        </w:rPr>
        <w:t>Diferenca monetare ndërmjet dy opsioneve është e kufizuar, por favorizon Opsionin 1. Ky rezultat mbështetet edhe nga ndikimet cilësore, të cilat tregojnë se Opsioni 1 krijon më pak ngarkesë administrative dhe më pak rrezik tranzicioni, pa sjellë ulje të përfitimeve.</w:t>
      </w:r>
    </w:p>
    <w:p w14:paraId="58F77B6D" w14:textId="77777777" w:rsidR="005540FF" w:rsidRDefault="005540FF" w:rsidP="005540FF">
      <w:pPr>
        <w:pBdr>
          <w:top w:val="nil"/>
          <w:left w:val="nil"/>
          <w:bottom w:val="nil"/>
          <w:right w:val="nil"/>
          <w:between w:val="nil"/>
        </w:pBdr>
        <w:tabs>
          <w:tab w:val="left" w:pos="567"/>
        </w:tabs>
        <w:spacing w:line="276" w:lineRule="auto"/>
        <w:jc w:val="both"/>
        <w:rPr>
          <w:color w:val="000000"/>
          <w:lang w:val="en-US"/>
        </w:rPr>
      </w:pPr>
    </w:p>
    <w:p w14:paraId="6AC0A46B" w14:textId="77777777" w:rsidR="00EE1EE1" w:rsidRDefault="00EE1EE1" w:rsidP="005540FF">
      <w:pPr>
        <w:pBdr>
          <w:top w:val="nil"/>
          <w:left w:val="nil"/>
          <w:bottom w:val="nil"/>
          <w:right w:val="nil"/>
          <w:between w:val="nil"/>
        </w:pBdr>
        <w:tabs>
          <w:tab w:val="left" w:pos="567"/>
        </w:tabs>
        <w:spacing w:line="276" w:lineRule="auto"/>
        <w:jc w:val="both"/>
        <w:rPr>
          <w:color w:val="000000"/>
          <w:lang w:val="en-US"/>
        </w:rPr>
      </w:pPr>
    </w:p>
    <w:p w14:paraId="2949BEF5" w14:textId="77777777" w:rsidR="00EE1EE1" w:rsidRDefault="00EE1EE1" w:rsidP="005540FF">
      <w:pPr>
        <w:pBdr>
          <w:top w:val="nil"/>
          <w:left w:val="nil"/>
          <w:bottom w:val="nil"/>
          <w:right w:val="nil"/>
          <w:between w:val="nil"/>
        </w:pBdr>
        <w:tabs>
          <w:tab w:val="left" w:pos="567"/>
        </w:tabs>
        <w:spacing w:line="276" w:lineRule="auto"/>
        <w:jc w:val="both"/>
        <w:rPr>
          <w:color w:val="000000"/>
          <w:lang w:val="en-US"/>
        </w:rPr>
      </w:pPr>
    </w:p>
    <w:p w14:paraId="728A52DE" w14:textId="77777777" w:rsidR="00EE1EE1" w:rsidRDefault="00EE1EE1" w:rsidP="005540FF">
      <w:pPr>
        <w:pBdr>
          <w:top w:val="nil"/>
          <w:left w:val="nil"/>
          <w:bottom w:val="nil"/>
          <w:right w:val="nil"/>
          <w:between w:val="nil"/>
        </w:pBdr>
        <w:tabs>
          <w:tab w:val="left" w:pos="567"/>
        </w:tabs>
        <w:spacing w:line="276" w:lineRule="auto"/>
        <w:jc w:val="both"/>
        <w:rPr>
          <w:color w:val="000000"/>
          <w:lang w:val="en-US"/>
        </w:rPr>
      </w:pPr>
    </w:p>
    <w:p w14:paraId="1152F450" w14:textId="77777777" w:rsidR="00EE1EE1" w:rsidRDefault="00EE1EE1" w:rsidP="005540FF">
      <w:pPr>
        <w:pBdr>
          <w:top w:val="nil"/>
          <w:left w:val="nil"/>
          <w:bottom w:val="nil"/>
          <w:right w:val="nil"/>
          <w:between w:val="nil"/>
        </w:pBdr>
        <w:tabs>
          <w:tab w:val="left" w:pos="567"/>
        </w:tabs>
        <w:spacing w:line="276" w:lineRule="auto"/>
        <w:jc w:val="both"/>
        <w:rPr>
          <w:color w:val="000000"/>
          <w:lang w:val="en-US"/>
        </w:rPr>
      </w:pPr>
    </w:p>
    <w:p w14:paraId="00D56B70" w14:textId="77777777" w:rsidR="00EE1EE1" w:rsidRDefault="00EE1EE1" w:rsidP="005540FF">
      <w:pPr>
        <w:pBdr>
          <w:top w:val="nil"/>
          <w:left w:val="nil"/>
          <w:bottom w:val="nil"/>
          <w:right w:val="nil"/>
          <w:between w:val="nil"/>
        </w:pBdr>
        <w:tabs>
          <w:tab w:val="left" w:pos="567"/>
        </w:tabs>
        <w:spacing w:line="276" w:lineRule="auto"/>
        <w:jc w:val="both"/>
        <w:rPr>
          <w:color w:val="000000"/>
          <w:lang w:val="en-US"/>
        </w:rPr>
      </w:pPr>
    </w:p>
    <w:p w14:paraId="63A13655" w14:textId="77777777" w:rsidR="00EE1EE1" w:rsidRDefault="00EE1EE1" w:rsidP="005540FF">
      <w:pPr>
        <w:pBdr>
          <w:top w:val="nil"/>
          <w:left w:val="nil"/>
          <w:bottom w:val="nil"/>
          <w:right w:val="nil"/>
          <w:between w:val="nil"/>
        </w:pBdr>
        <w:tabs>
          <w:tab w:val="left" w:pos="567"/>
        </w:tabs>
        <w:spacing w:line="276" w:lineRule="auto"/>
        <w:jc w:val="both"/>
        <w:rPr>
          <w:color w:val="000000"/>
          <w:lang w:val="en-US"/>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62"/>
        <w:gridCol w:w="1794"/>
        <w:gridCol w:w="2489"/>
        <w:gridCol w:w="1507"/>
        <w:gridCol w:w="1843"/>
      </w:tblGrid>
      <w:tr w:rsidR="001F37F3" w:rsidRPr="00EE1EE1" w14:paraId="386CECF4" w14:textId="77777777" w:rsidTr="001F37F3">
        <w:trPr>
          <w:tblHeader/>
          <w:tblCellSpacing w:w="15" w:type="dxa"/>
        </w:trPr>
        <w:tc>
          <w:tcPr>
            <w:tcW w:w="0" w:type="auto"/>
            <w:vAlign w:val="center"/>
            <w:hideMark/>
          </w:tcPr>
          <w:p w14:paraId="7A67CB7F" w14:textId="77777777" w:rsidR="00EE1EE1" w:rsidRPr="00EE1EE1" w:rsidRDefault="00EE1EE1" w:rsidP="00EE1EE1">
            <w:pPr>
              <w:pBdr>
                <w:top w:val="nil"/>
                <w:left w:val="nil"/>
                <w:bottom w:val="nil"/>
                <w:right w:val="nil"/>
                <w:between w:val="nil"/>
              </w:pBdr>
              <w:tabs>
                <w:tab w:val="left" w:pos="567"/>
              </w:tabs>
              <w:spacing w:line="276" w:lineRule="auto"/>
              <w:jc w:val="both"/>
              <w:rPr>
                <w:b/>
                <w:bCs/>
                <w:color w:val="000000"/>
                <w:lang w:val="en-US"/>
              </w:rPr>
            </w:pPr>
            <w:r w:rsidRPr="00EE1EE1">
              <w:rPr>
                <w:b/>
                <w:bCs/>
                <w:color w:val="000000"/>
                <w:lang w:val="en-US"/>
              </w:rPr>
              <w:t>Kriteri</w:t>
            </w:r>
          </w:p>
        </w:tc>
        <w:tc>
          <w:tcPr>
            <w:tcW w:w="0" w:type="auto"/>
            <w:vAlign w:val="center"/>
            <w:hideMark/>
          </w:tcPr>
          <w:p w14:paraId="7AF6D220" w14:textId="77777777" w:rsidR="00EE1EE1" w:rsidRPr="00EE1EE1" w:rsidRDefault="00EE1EE1" w:rsidP="00EE1EE1">
            <w:pPr>
              <w:pBdr>
                <w:top w:val="nil"/>
                <w:left w:val="nil"/>
                <w:bottom w:val="nil"/>
                <w:right w:val="nil"/>
                <w:between w:val="nil"/>
              </w:pBdr>
              <w:tabs>
                <w:tab w:val="left" w:pos="567"/>
              </w:tabs>
              <w:spacing w:line="276" w:lineRule="auto"/>
              <w:jc w:val="both"/>
              <w:rPr>
                <w:b/>
                <w:bCs/>
                <w:color w:val="000000"/>
                <w:lang w:val="en-US"/>
              </w:rPr>
            </w:pPr>
            <w:r w:rsidRPr="00EE1EE1">
              <w:rPr>
                <w:b/>
                <w:bCs/>
                <w:color w:val="000000"/>
                <w:lang w:val="en-US"/>
              </w:rPr>
              <w:t>Opsioni 0</w:t>
            </w:r>
          </w:p>
        </w:tc>
        <w:tc>
          <w:tcPr>
            <w:tcW w:w="0" w:type="auto"/>
            <w:vAlign w:val="center"/>
            <w:hideMark/>
          </w:tcPr>
          <w:p w14:paraId="69E813BA" w14:textId="77777777" w:rsidR="00EE1EE1" w:rsidRPr="00EE1EE1" w:rsidRDefault="00EE1EE1" w:rsidP="00EE1EE1">
            <w:pPr>
              <w:pBdr>
                <w:top w:val="nil"/>
                <w:left w:val="nil"/>
                <w:bottom w:val="nil"/>
                <w:right w:val="nil"/>
                <w:between w:val="nil"/>
              </w:pBdr>
              <w:tabs>
                <w:tab w:val="left" w:pos="567"/>
              </w:tabs>
              <w:spacing w:line="276" w:lineRule="auto"/>
              <w:jc w:val="both"/>
              <w:rPr>
                <w:b/>
                <w:bCs/>
                <w:color w:val="000000"/>
                <w:lang w:val="en-US"/>
              </w:rPr>
            </w:pPr>
            <w:r w:rsidRPr="00EE1EE1">
              <w:rPr>
                <w:b/>
                <w:bCs/>
                <w:color w:val="000000"/>
                <w:lang w:val="en-US"/>
              </w:rPr>
              <w:t>Opsioni jorregullator</w:t>
            </w:r>
          </w:p>
        </w:tc>
        <w:tc>
          <w:tcPr>
            <w:tcW w:w="0" w:type="auto"/>
            <w:vAlign w:val="center"/>
            <w:hideMark/>
          </w:tcPr>
          <w:p w14:paraId="0749BB63" w14:textId="77777777" w:rsidR="00EE1EE1" w:rsidRPr="00EE1EE1" w:rsidRDefault="00EE1EE1" w:rsidP="00EE1EE1">
            <w:pPr>
              <w:pBdr>
                <w:top w:val="nil"/>
                <w:left w:val="nil"/>
                <w:bottom w:val="nil"/>
                <w:right w:val="nil"/>
                <w:between w:val="nil"/>
              </w:pBdr>
              <w:tabs>
                <w:tab w:val="left" w:pos="567"/>
              </w:tabs>
              <w:spacing w:line="276" w:lineRule="auto"/>
              <w:jc w:val="both"/>
              <w:rPr>
                <w:b/>
                <w:bCs/>
                <w:color w:val="000000"/>
                <w:lang w:val="en-US"/>
              </w:rPr>
            </w:pPr>
            <w:r w:rsidRPr="00EE1EE1">
              <w:rPr>
                <w:b/>
                <w:bCs/>
                <w:color w:val="000000"/>
                <w:lang w:val="en-US"/>
              </w:rPr>
              <w:t>Opsioni 1</w:t>
            </w:r>
          </w:p>
        </w:tc>
        <w:tc>
          <w:tcPr>
            <w:tcW w:w="0" w:type="auto"/>
            <w:vAlign w:val="center"/>
            <w:hideMark/>
          </w:tcPr>
          <w:p w14:paraId="32A67F43" w14:textId="77777777" w:rsidR="00EE1EE1" w:rsidRPr="00EE1EE1" w:rsidRDefault="00EE1EE1" w:rsidP="00EE1EE1">
            <w:pPr>
              <w:pBdr>
                <w:top w:val="nil"/>
                <w:left w:val="nil"/>
                <w:bottom w:val="nil"/>
                <w:right w:val="nil"/>
                <w:between w:val="nil"/>
              </w:pBdr>
              <w:tabs>
                <w:tab w:val="left" w:pos="567"/>
              </w:tabs>
              <w:spacing w:line="276" w:lineRule="auto"/>
              <w:jc w:val="both"/>
              <w:rPr>
                <w:b/>
                <w:bCs/>
                <w:color w:val="000000"/>
                <w:lang w:val="en-US"/>
              </w:rPr>
            </w:pPr>
            <w:r w:rsidRPr="00EE1EE1">
              <w:rPr>
                <w:b/>
                <w:bCs/>
                <w:color w:val="000000"/>
                <w:lang w:val="en-US"/>
              </w:rPr>
              <w:t>Opsioni 2</w:t>
            </w:r>
          </w:p>
        </w:tc>
      </w:tr>
      <w:tr w:rsidR="00EE1EE1" w:rsidRPr="00EE1EE1" w14:paraId="60D565AD" w14:textId="77777777" w:rsidTr="001F37F3">
        <w:trPr>
          <w:tblCellSpacing w:w="15" w:type="dxa"/>
        </w:trPr>
        <w:tc>
          <w:tcPr>
            <w:tcW w:w="0" w:type="auto"/>
            <w:vAlign w:val="center"/>
            <w:hideMark/>
          </w:tcPr>
          <w:p w14:paraId="45CB2EA6" w14:textId="77777777" w:rsidR="00EE1EE1" w:rsidRPr="00EE1EE1" w:rsidRDefault="00EE1EE1" w:rsidP="001F37F3">
            <w:pPr>
              <w:pBdr>
                <w:top w:val="nil"/>
                <w:left w:val="nil"/>
                <w:bottom w:val="nil"/>
                <w:right w:val="nil"/>
                <w:between w:val="nil"/>
              </w:pBdr>
              <w:tabs>
                <w:tab w:val="left" w:pos="567"/>
              </w:tabs>
              <w:spacing w:line="276" w:lineRule="auto"/>
              <w:rPr>
                <w:color w:val="000000"/>
                <w:lang w:val="en-US"/>
              </w:rPr>
            </w:pPr>
            <w:r w:rsidRPr="00EE1EE1">
              <w:rPr>
                <w:color w:val="000000"/>
                <w:lang w:val="en-US"/>
              </w:rPr>
              <w:t>Përafrimi i plotë me IORP II</w:t>
            </w:r>
          </w:p>
        </w:tc>
        <w:tc>
          <w:tcPr>
            <w:tcW w:w="0" w:type="auto"/>
            <w:vAlign w:val="center"/>
            <w:hideMark/>
          </w:tcPr>
          <w:p w14:paraId="1EC96043" w14:textId="77777777" w:rsidR="00EE1EE1" w:rsidRPr="00EE1EE1" w:rsidRDefault="00EE1EE1" w:rsidP="001F37F3">
            <w:pPr>
              <w:pBdr>
                <w:top w:val="nil"/>
                <w:left w:val="nil"/>
                <w:bottom w:val="nil"/>
                <w:right w:val="nil"/>
                <w:between w:val="nil"/>
              </w:pBdr>
              <w:tabs>
                <w:tab w:val="left" w:pos="567"/>
              </w:tabs>
              <w:spacing w:line="276" w:lineRule="auto"/>
              <w:rPr>
                <w:color w:val="000000"/>
                <w:lang w:val="en-US"/>
              </w:rPr>
            </w:pPr>
            <w:r w:rsidRPr="00EE1EE1">
              <w:rPr>
                <w:color w:val="000000"/>
                <w:lang w:val="en-US"/>
              </w:rPr>
              <w:t>Nuk realizohet</w:t>
            </w:r>
          </w:p>
        </w:tc>
        <w:tc>
          <w:tcPr>
            <w:tcW w:w="0" w:type="auto"/>
            <w:vAlign w:val="center"/>
            <w:hideMark/>
          </w:tcPr>
          <w:p w14:paraId="2E7EA888" w14:textId="77777777" w:rsidR="00EE1EE1" w:rsidRPr="00EE1EE1" w:rsidRDefault="00EE1EE1" w:rsidP="001F37F3">
            <w:pPr>
              <w:pBdr>
                <w:top w:val="nil"/>
                <w:left w:val="nil"/>
                <w:bottom w:val="nil"/>
                <w:right w:val="nil"/>
                <w:between w:val="nil"/>
              </w:pBdr>
              <w:tabs>
                <w:tab w:val="left" w:pos="567"/>
              </w:tabs>
              <w:spacing w:line="276" w:lineRule="auto"/>
              <w:rPr>
                <w:color w:val="000000"/>
                <w:lang w:val="en-US"/>
              </w:rPr>
            </w:pPr>
            <w:r w:rsidRPr="00EE1EE1">
              <w:rPr>
                <w:color w:val="000000"/>
                <w:lang w:val="en-US"/>
              </w:rPr>
              <w:t>Nuk realizohet</w:t>
            </w:r>
          </w:p>
        </w:tc>
        <w:tc>
          <w:tcPr>
            <w:tcW w:w="0" w:type="auto"/>
            <w:vAlign w:val="center"/>
            <w:hideMark/>
          </w:tcPr>
          <w:p w14:paraId="4C143A1B" w14:textId="77777777" w:rsidR="00EE1EE1" w:rsidRPr="00EE1EE1" w:rsidRDefault="00EE1EE1" w:rsidP="001F37F3">
            <w:pPr>
              <w:pBdr>
                <w:top w:val="nil"/>
                <w:left w:val="nil"/>
                <w:bottom w:val="nil"/>
                <w:right w:val="nil"/>
                <w:between w:val="nil"/>
              </w:pBdr>
              <w:tabs>
                <w:tab w:val="left" w:pos="567"/>
              </w:tabs>
              <w:spacing w:line="276" w:lineRule="auto"/>
              <w:rPr>
                <w:color w:val="000000"/>
                <w:lang w:val="en-US"/>
              </w:rPr>
            </w:pPr>
            <w:r w:rsidRPr="00EE1EE1">
              <w:rPr>
                <w:color w:val="000000"/>
                <w:lang w:val="en-US"/>
              </w:rPr>
              <w:t>Realizohet</w:t>
            </w:r>
          </w:p>
        </w:tc>
        <w:tc>
          <w:tcPr>
            <w:tcW w:w="0" w:type="auto"/>
            <w:vAlign w:val="center"/>
            <w:hideMark/>
          </w:tcPr>
          <w:p w14:paraId="3F05E956" w14:textId="77777777" w:rsidR="00EE1EE1" w:rsidRPr="00EE1EE1" w:rsidRDefault="00EE1EE1" w:rsidP="001F37F3">
            <w:pPr>
              <w:pBdr>
                <w:top w:val="nil"/>
                <w:left w:val="nil"/>
                <w:bottom w:val="nil"/>
                <w:right w:val="nil"/>
                <w:between w:val="nil"/>
              </w:pBdr>
              <w:tabs>
                <w:tab w:val="left" w:pos="567"/>
              </w:tabs>
              <w:spacing w:line="276" w:lineRule="auto"/>
              <w:rPr>
                <w:color w:val="000000"/>
                <w:lang w:val="en-US"/>
              </w:rPr>
            </w:pPr>
            <w:r w:rsidRPr="00EE1EE1">
              <w:rPr>
                <w:color w:val="000000"/>
                <w:lang w:val="en-US"/>
              </w:rPr>
              <w:t>Realizohet</w:t>
            </w:r>
          </w:p>
        </w:tc>
      </w:tr>
      <w:tr w:rsidR="00EE1EE1" w:rsidRPr="00EE1EE1" w14:paraId="487403EA" w14:textId="77777777" w:rsidTr="001F37F3">
        <w:trPr>
          <w:tblCellSpacing w:w="15" w:type="dxa"/>
        </w:trPr>
        <w:tc>
          <w:tcPr>
            <w:tcW w:w="0" w:type="auto"/>
            <w:vAlign w:val="center"/>
            <w:hideMark/>
          </w:tcPr>
          <w:p w14:paraId="75AA8B17" w14:textId="77777777" w:rsidR="00EE1EE1" w:rsidRPr="00EE1EE1" w:rsidRDefault="00EE1EE1" w:rsidP="001F37F3">
            <w:pPr>
              <w:pBdr>
                <w:top w:val="nil"/>
                <w:left w:val="nil"/>
                <w:bottom w:val="nil"/>
                <w:right w:val="nil"/>
                <w:between w:val="nil"/>
              </w:pBdr>
              <w:tabs>
                <w:tab w:val="left" w:pos="567"/>
              </w:tabs>
              <w:spacing w:line="276" w:lineRule="auto"/>
              <w:rPr>
                <w:color w:val="000000"/>
                <w:lang w:val="en-US"/>
              </w:rPr>
            </w:pPr>
            <w:r w:rsidRPr="00EE1EE1">
              <w:rPr>
                <w:color w:val="000000"/>
                <w:lang w:val="en-US"/>
              </w:rPr>
              <w:t>Forca detyruese e kërkesave</w:t>
            </w:r>
          </w:p>
        </w:tc>
        <w:tc>
          <w:tcPr>
            <w:tcW w:w="0" w:type="auto"/>
            <w:vAlign w:val="center"/>
            <w:hideMark/>
          </w:tcPr>
          <w:p w14:paraId="2AA6EB1E" w14:textId="77777777" w:rsidR="00EE1EE1" w:rsidRPr="00EE1EE1" w:rsidRDefault="00EE1EE1" w:rsidP="001F37F3">
            <w:pPr>
              <w:pBdr>
                <w:top w:val="nil"/>
                <w:left w:val="nil"/>
                <w:bottom w:val="nil"/>
                <w:right w:val="nil"/>
                <w:between w:val="nil"/>
              </w:pBdr>
              <w:tabs>
                <w:tab w:val="left" w:pos="567"/>
              </w:tabs>
              <w:spacing w:line="276" w:lineRule="auto"/>
              <w:rPr>
                <w:color w:val="000000"/>
                <w:lang w:val="en-US"/>
              </w:rPr>
            </w:pPr>
            <w:r w:rsidRPr="00EE1EE1">
              <w:rPr>
                <w:color w:val="000000"/>
                <w:lang w:val="en-US"/>
              </w:rPr>
              <w:t>Kuadri aktual</w:t>
            </w:r>
          </w:p>
        </w:tc>
        <w:tc>
          <w:tcPr>
            <w:tcW w:w="0" w:type="auto"/>
            <w:vAlign w:val="center"/>
            <w:hideMark/>
          </w:tcPr>
          <w:p w14:paraId="609697D1" w14:textId="77777777" w:rsidR="00EE1EE1" w:rsidRPr="00EE1EE1" w:rsidRDefault="00EE1EE1" w:rsidP="001F37F3">
            <w:pPr>
              <w:pBdr>
                <w:top w:val="nil"/>
                <w:left w:val="nil"/>
                <w:bottom w:val="nil"/>
                <w:right w:val="nil"/>
                <w:between w:val="nil"/>
              </w:pBdr>
              <w:tabs>
                <w:tab w:val="left" w:pos="567"/>
              </w:tabs>
              <w:spacing w:line="276" w:lineRule="auto"/>
              <w:rPr>
                <w:color w:val="000000"/>
                <w:lang w:val="en-US"/>
              </w:rPr>
            </w:pPr>
            <w:r w:rsidRPr="00EE1EE1">
              <w:rPr>
                <w:color w:val="000000"/>
                <w:lang w:val="en-US"/>
              </w:rPr>
              <w:t>E kufizuar</w:t>
            </w:r>
          </w:p>
        </w:tc>
        <w:tc>
          <w:tcPr>
            <w:tcW w:w="0" w:type="auto"/>
            <w:vAlign w:val="center"/>
            <w:hideMark/>
          </w:tcPr>
          <w:p w14:paraId="0C4B166E" w14:textId="77777777" w:rsidR="00EE1EE1" w:rsidRPr="00EE1EE1" w:rsidRDefault="00EE1EE1" w:rsidP="001F37F3">
            <w:pPr>
              <w:pBdr>
                <w:top w:val="nil"/>
                <w:left w:val="nil"/>
                <w:bottom w:val="nil"/>
                <w:right w:val="nil"/>
                <w:between w:val="nil"/>
              </w:pBdr>
              <w:tabs>
                <w:tab w:val="left" w:pos="567"/>
              </w:tabs>
              <w:spacing w:line="276" w:lineRule="auto"/>
              <w:rPr>
                <w:color w:val="000000"/>
                <w:lang w:val="en-US"/>
              </w:rPr>
            </w:pPr>
            <w:r w:rsidRPr="00EE1EE1">
              <w:rPr>
                <w:color w:val="000000"/>
                <w:lang w:val="en-US"/>
              </w:rPr>
              <w:t>E plotë</w:t>
            </w:r>
          </w:p>
        </w:tc>
        <w:tc>
          <w:tcPr>
            <w:tcW w:w="0" w:type="auto"/>
            <w:vAlign w:val="center"/>
            <w:hideMark/>
          </w:tcPr>
          <w:p w14:paraId="37A823D9" w14:textId="77777777" w:rsidR="00EE1EE1" w:rsidRPr="00EE1EE1" w:rsidRDefault="00EE1EE1" w:rsidP="001F37F3">
            <w:pPr>
              <w:pBdr>
                <w:top w:val="nil"/>
                <w:left w:val="nil"/>
                <w:bottom w:val="nil"/>
                <w:right w:val="nil"/>
                <w:between w:val="nil"/>
              </w:pBdr>
              <w:tabs>
                <w:tab w:val="left" w:pos="567"/>
              </w:tabs>
              <w:spacing w:line="276" w:lineRule="auto"/>
              <w:rPr>
                <w:color w:val="000000"/>
                <w:lang w:val="en-US"/>
              </w:rPr>
            </w:pPr>
            <w:r w:rsidRPr="00EE1EE1">
              <w:rPr>
                <w:color w:val="000000"/>
                <w:lang w:val="en-US"/>
              </w:rPr>
              <w:t>E plotë</w:t>
            </w:r>
          </w:p>
        </w:tc>
      </w:tr>
      <w:tr w:rsidR="00EE1EE1" w:rsidRPr="00EE1EE1" w14:paraId="70EB016F" w14:textId="77777777" w:rsidTr="001F37F3">
        <w:trPr>
          <w:tblCellSpacing w:w="15" w:type="dxa"/>
        </w:trPr>
        <w:tc>
          <w:tcPr>
            <w:tcW w:w="0" w:type="auto"/>
            <w:vAlign w:val="center"/>
            <w:hideMark/>
          </w:tcPr>
          <w:p w14:paraId="25C6F7CF" w14:textId="77777777" w:rsidR="00EE1EE1" w:rsidRPr="00EE1EE1" w:rsidRDefault="00EE1EE1" w:rsidP="001F37F3">
            <w:pPr>
              <w:pBdr>
                <w:top w:val="nil"/>
                <w:left w:val="nil"/>
                <w:bottom w:val="nil"/>
                <w:right w:val="nil"/>
                <w:between w:val="nil"/>
              </w:pBdr>
              <w:tabs>
                <w:tab w:val="left" w:pos="567"/>
              </w:tabs>
              <w:spacing w:line="276" w:lineRule="auto"/>
              <w:rPr>
                <w:color w:val="000000"/>
                <w:lang w:val="en-US"/>
              </w:rPr>
            </w:pPr>
            <w:r w:rsidRPr="00EE1EE1">
              <w:rPr>
                <w:color w:val="000000"/>
                <w:lang w:val="en-US"/>
              </w:rPr>
              <w:t>Mbrojtja shtesë e anëtarëve</w:t>
            </w:r>
          </w:p>
        </w:tc>
        <w:tc>
          <w:tcPr>
            <w:tcW w:w="0" w:type="auto"/>
            <w:vAlign w:val="center"/>
            <w:hideMark/>
          </w:tcPr>
          <w:p w14:paraId="5D1D84D5" w14:textId="77777777" w:rsidR="00EE1EE1" w:rsidRPr="00EE1EE1" w:rsidRDefault="00EE1EE1" w:rsidP="001F37F3">
            <w:pPr>
              <w:pBdr>
                <w:top w:val="nil"/>
                <w:left w:val="nil"/>
                <w:bottom w:val="nil"/>
                <w:right w:val="nil"/>
                <w:between w:val="nil"/>
              </w:pBdr>
              <w:tabs>
                <w:tab w:val="left" w:pos="567"/>
              </w:tabs>
              <w:spacing w:line="276" w:lineRule="auto"/>
              <w:rPr>
                <w:color w:val="000000"/>
                <w:lang w:val="en-US"/>
              </w:rPr>
            </w:pPr>
            <w:r w:rsidRPr="00EE1EE1">
              <w:rPr>
                <w:color w:val="000000"/>
                <w:lang w:val="en-US"/>
              </w:rPr>
              <w:t>Nuk realizohet</w:t>
            </w:r>
          </w:p>
        </w:tc>
        <w:tc>
          <w:tcPr>
            <w:tcW w:w="0" w:type="auto"/>
            <w:vAlign w:val="center"/>
            <w:hideMark/>
          </w:tcPr>
          <w:p w14:paraId="507DC7E7" w14:textId="77777777" w:rsidR="00EE1EE1" w:rsidRPr="00EE1EE1" w:rsidRDefault="00EE1EE1" w:rsidP="001F37F3">
            <w:pPr>
              <w:pBdr>
                <w:top w:val="nil"/>
                <w:left w:val="nil"/>
                <w:bottom w:val="nil"/>
                <w:right w:val="nil"/>
                <w:between w:val="nil"/>
              </w:pBdr>
              <w:tabs>
                <w:tab w:val="left" w:pos="567"/>
              </w:tabs>
              <w:spacing w:line="276" w:lineRule="auto"/>
              <w:rPr>
                <w:color w:val="000000"/>
                <w:lang w:val="en-US"/>
              </w:rPr>
            </w:pPr>
            <w:r w:rsidRPr="00EE1EE1">
              <w:rPr>
                <w:color w:val="000000"/>
                <w:lang w:val="en-US"/>
              </w:rPr>
              <w:t>E kufizuar dhe jo e njëtrajtshme</w:t>
            </w:r>
          </w:p>
        </w:tc>
        <w:tc>
          <w:tcPr>
            <w:tcW w:w="0" w:type="auto"/>
            <w:vAlign w:val="center"/>
            <w:hideMark/>
          </w:tcPr>
          <w:p w14:paraId="046AD1AC" w14:textId="77777777" w:rsidR="00EE1EE1" w:rsidRPr="00EE1EE1" w:rsidRDefault="00EE1EE1" w:rsidP="001F37F3">
            <w:pPr>
              <w:pBdr>
                <w:top w:val="nil"/>
                <w:left w:val="nil"/>
                <w:bottom w:val="nil"/>
                <w:right w:val="nil"/>
                <w:between w:val="nil"/>
              </w:pBdr>
              <w:tabs>
                <w:tab w:val="left" w:pos="567"/>
              </w:tabs>
              <w:spacing w:line="276" w:lineRule="auto"/>
              <w:rPr>
                <w:color w:val="000000"/>
                <w:lang w:val="en-US"/>
              </w:rPr>
            </w:pPr>
            <w:r w:rsidRPr="00EE1EE1">
              <w:rPr>
                <w:color w:val="000000"/>
                <w:lang w:val="en-US"/>
              </w:rPr>
              <w:t>Realizohet</w:t>
            </w:r>
          </w:p>
        </w:tc>
        <w:tc>
          <w:tcPr>
            <w:tcW w:w="0" w:type="auto"/>
            <w:vAlign w:val="center"/>
            <w:hideMark/>
          </w:tcPr>
          <w:p w14:paraId="10FA646A" w14:textId="77777777" w:rsidR="00EE1EE1" w:rsidRPr="00EE1EE1" w:rsidRDefault="00EE1EE1" w:rsidP="001F37F3">
            <w:pPr>
              <w:pBdr>
                <w:top w:val="nil"/>
                <w:left w:val="nil"/>
                <w:bottom w:val="nil"/>
                <w:right w:val="nil"/>
                <w:between w:val="nil"/>
              </w:pBdr>
              <w:tabs>
                <w:tab w:val="left" w:pos="567"/>
              </w:tabs>
              <w:spacing w:line="276" w:lineRule="auto"/>
              <w:rPr>
                <w:color w:val="000000"/>
                <w:lang w:val="en-US"/>
              </w:rPr>
            </w:pPr>
            <w:r w:rsidRPr="00EE1EE1">
              <w:rPr>
                <w:color w:val="000000"/>
                <w:lang w:val="en-US"/>
              </w:rPr>
              <w:t>Realizohet</w:t>
            </w:r>
          </w:p>
        </w:tc>
      </w:tr>
      <w:tr w:rsidR="00EE1EE1" w:rsidRPr="00EE1EE1" w14:paraId="323D6601" w14:textId="77777777" w:rsidTr="001F37F3">
        <w:trPr>
          <w:tblCellSpacing w:w="15" w:type="dxa"/>
        </w:trPr>
        <w:tc>
          <w:tcPr>
            <w:tcW w:w="0" w:type="auto"/>
            <w:vAlign w:val="center"/>
            <w:hideMark/>
          </w:tcPr>
          <w:p w14:paraId="02A2F1BE" w14:textId="77777777" w:rsidR="00EE1EE1" w:rsidRPr="00EE1EE1" w:rsidRDefault="00EE1EE1" w:rsidP="001F37F3">
            <w:pPr>
              <w:pBdr>
                <w:top w:val="nil"/>
                <w:left w:val="nil"/>
                <w:bottom w:val="nil"/>
                <w:right w:val="nil"/>
                <w:between w:val="nil"/>
              </w:pBdr>
              <w:tabs>
                <w:tab w:val="left" w:pos="567"/>
              </w:tabs>
              <w:spacing w:line="276" w:lineRule="auto"/>
              <w:rPr>
                <w:color w:val="000000"/>
                <w:lang w:val="en-US"/>
              </w:rPr>
            </w:pPr>
            <w:r w:rsidRPr="00EE1EE1">
              <w:rPr>
                <w:color w:val="000000"/>
                <w:lang w:val="en-US"/>
              </w:rPr>
              <w:t>Kostoja aktuale e monetarizuar</w:t>
            </w:r>
          </w:p>
        </w:tc>
        <w:tc>
          <w:tcPr>
            <w:tcW w:w="0" w:type="auto"/>
            <w:vAlign w:val="center"/>
            <w:hideMark/>
          </w:tcPr>
          <w:p w14:paraId="4020C796" w14:textId="77777777" w:rsidR="00EE1EE1" w:rsidRPr="00EE1EE1" w:rsidRDefault="00EE1EE1" w:rsidP="001F37F3">
            <w:pPr>
              <w:pBdr>
                <w:top w:val="nil"/>
                <w:left w:val="nil"/>
                <w:bottom w:val="nil"/>
                <w:right w:val="nil"/>
                <w:between w:val="nil"/>
              </w:pBdr>
              <w:tabs>
                <w:tab w:val="left" w:pos="567"/>
              </w:tabs>
              <w:spacing w:line="276" w:lineRule="auto"/>
              <w:rPr>
                <w:color w:val="000000"/>
                <w:lang w:val="en-US"/>
              </w:rPr>
            </w:pPr>
            <w:r w:rsidRPr="00EE1EE1">
              <w:rPr>
                <w:color w:val="000000"/>
                <w:lang w:val="en-US"/>
              </w:rPr>
              <w:t>0</w:t>
            </w:r>
          </w:p>
        </w:tc>
        <w:tc>
          <w:tcPr>
            <w:tcW w:w="0" w:type="auto"/>
            <w:vAlign w:val="center"/>
            <w:hideMark/>
          </w:tcPr>
          <w:p w14:paraId="44959CDC" w14:textId="77777777" w:rsidR="00EE1EE1" w:rsidRPr="00EE1EE1" w:rsidRDefault="00EE1EE1" w:rsidP="001F37F3">
            <w:pPr>
              <w:pBdr>
                <w:top w:val="nil"/>
                <w:left w:val="nil"/>
                <w:bottom w:val="nil"/>
                <w:right w:val="nil"/>
                <w:between w:val="nil"/>
              </w:pBdr>
              <w:tabs>
                <w:tab w:val="left" w:pos="567"/>
              </w:tabs>
              <w:spacing w:line="276" w:lineRule="auto"/>
              <w:rPr>
                <w:color w:val="000000"/>
                <w:lang w:val="en-US"/>
              </w:rPr>
            </w:pPr>
            <w:r w:rsidRPr="00EE1EE1">
              <w:rPr>
                <w:color w:val="000000"/>
                <w:lang w:val="en-US"/>
              </w:rPr>
              <w:t>Nuk përcaktohet</w:t>
            </w:r>
          </w:p>
        </w:tc>
        <w:tc>
          <w:tcPr>
            <w:tcW w:w="0" w:type="auto"/>
            <w:vAlign w:val="center"/>
            <w:hideMark/>
          </w:tcPr>
          <w:p w14:paraId="3AAF8CD2" w14:textId="77777777" w:rsidR="00EE1EE1" w:rsidRPr="00EE1EE1" w:rsidRDefault="00EE1EE1" w:rsidP="001F37F3">
            <w:pPr>
              <w:pBdr>
                <w:top w:val="nil"/>
                <w:left w:val="nil"/>
                <w:bottom w:val="nil"/>
                <w:right w:val="nil"/>
                <w:between w:val="nil"/>
              </w:pBdr>
              <w:tabs>
                <w:tab w:val="left" w:pos="567"/>
              </w:tabs>
              <w:spacing w:line="276" w:lineRule="auto"/>
              <w:rPr>
                <w:color w:val="000000"/>
                <w:lang w:val="en-US"/>
              </w:rPr>
            </w:pPr>
            <w:r w:rsidRPr="00EE1EE1">
              <w:rPr>
                <w:color w:val="000000"/>
                <w:lang w:val="en-US"/>
              </w:rPr>
              <w:t>13 milionë lekë</w:t>
            </w:r>
          </w:p>
        </w:tc>
        <w:tc>
          <w:tcPr>
            <w:tcW w:w="0" w:type="auto"/>
            <w:vAlign w:val="center"/>
            <w:hideMark/>
          </w:tcPr>
          <w:p w14:paraId="7BBA3984" w14:textId="77777777" w:rsidR="00EE1EE1" w:rsidRPr="00EE1EE1" w:rsidRDefault="00EE1EE1" w:rsidP="001F37F3">
            <w:pPr>
              <w:pBdr>
                <w:top w:val="nil"/>
                <w:left w:val="nil"/>
                <w:bottom w:val="nil"/>
                <w:right w:val="nil"/>
                <w:between w:val="nil"/>
              </w:pBdr>
              <w:tabs>
                <w:tab w:val="left" w:pos="567"/>
              </w:tabs>
              <w:spacing w:line="276" w:lineRule="auto"/>
              <w:rPr>
                <w:color w:val="000000"/>
                <w:lang w:val="en-US"/>
              </w:rPr>
            </w:pPr>
            <w:r w:rsidRPr="00EE1EE1">
              <w:rPr>
                <w:color w:val="000000"/>
                <w:lang w:val="en-US"/>
              </w:rPr>
              <w:t>14 milionë lekë</w:t>
            </w:r>
          </w:p>
        </w:tc>
      </w:tr>
      <w:tr w:rsidR="00EE1EE1" w:rsidRPr="00EE1EE1" w14:paraId="76A5F7A4" w14:textId="77777777" w:rsidTr="001F37F3">
        <w:trPr>
          <w:tblCellSpacing w:w="15" w:type="dxa"/>
        </w:trPr>
        <w:tc>
          <w:tcPr>
            <w:tcW w:w="0" w:type="auto"/>
            <w:vAlign w:val="center"/>
            <w:hideMark/>
          </w:tcPr>
          <w:p w14:paraId="787F0150" w14:textId="77777777" w:rsidR="00EE1EE1" w:rsidRPr="00EE1EE1" w:rsidRDefault="00EE1EE1" w:rsidP="001F37F3">
            <w:pPr>
              <w:pBdr>
                <w:top w:val="nil"/>
                <w:left w:val="nil"/>
                <w:bottom w:val="nil"/>
                <w:right w:val="nil"/>
                <w:between w:val="nil"/>
              </w:pBdr>
              <w:tabs>
                <w:tab w:val="left" w:pos="567"/>
              </w:tabs>
              <w:spacing w:line="276" w:lineRule="auto"/>
              <w:rPr>
                <w:color w:val="000000"/>
                <w:lang w:val="en-US"/>
              </w:rPr>
            </w:pPr>
            <w:r w:rsidRPr="00EE1EE1">
              <w:rPr>
                <w:color w:val="000000"/>
                <w:lang w:val="en-US"/>
              </w:rPr>
              <w:t>Përfitimet e monetarizuara</w:t>
            </w:r>
          </w:p>
        </w:tc>
        <w:tc>
          <w:tcPr>
            <w:tcW w:w="0" w:type="auto"/>
            <w:vAlign w:val="center"/>
            <w:hideMark/>
          </w:tcPr>
          <w:p w14:paraId="3B6248CF" w14:textId="77777777" w:rsidR="00EE1EE1" w:rsidRPr="00EE1EE1" w:rsidRDefault="00EE1EE1" w:rsidP="001F37F3">
            <w:pPr>
              <w:pBdr>
                <w:top w:val="nil"/>
                <w:left w:val="nil"/>
                <w:bottom w:val="nil"/>
                <w:right w:val="nil"/>
                <w:between w:val="nil"/>
              </w:pBdr>
              <w:tabs>
                <w:tab w:val="left" w:pos="567"/>
              </w:tabs>
              <w:spacing w:line="276" w:lineRule="auto"/>
              <w:rPr>
                <w:color w:val="000000"/>
                <w:lang w:val="en-US"/>
              </w:rPr>
            </w:pPr>
            <w:r w:rsidRPr="00EE1EE1">
              <w:rPr>
                <w:color w:val="000000"/>
                <w:lang w:val="en-US"/>
              </w:rPr>
              <w:t>0</w:t>
            </w:r>
          </w:p>
        </w:tc>
        <w:tc>
          <w:tcPr>
            <w:tcW w:w="0" w:type="auto"/>
            <w:vAlign w:val="center"/>
            <w:hideMark/>
          </w:tcPr>
          <w:p w14:paraId="448FF2A8" w14:textId="77777777" w:rsidR="00EE1EE1" w:rsidRPr="00EE1EE1" w:rsidRDefault="00EE1EE1" w:rsidP="001F37F3">
            <w:pPr>
              <w:pBdr>
                <w:top w:val="nil"/>
                <w:left w:val="nil"/>
                <w:bottom w:val="nil"/>
                <w:right w:val="nil"/>
                <w:between w:val="nil"/>
              </w:pBdr>
              <w:tabs>
                <w:tab w:val="left" w:pos="567"/>
              </w:tabs>
              <w:spacing w:line="276" w:lineRule="auto"/>
              <w:rPr>
                <w:color w:val="000000"/>
                <w:lang w:val="en-US"/>
              </w:rPr>
            </w:pPr>
            <w:r w:rsidRPr="00EE1EE1">
              <w:rPr>
                <w:color w:val="000000"/>
                <w:lang w:val="en-US"/>
              </w:rPr>
              <w:t>Nuk përcaktohen</w:t>
            </w:r>
          </w:p>
        </w:tc>
        <w:tc>
          <w:tcPr>
            <w:tcW w:w="0" w:type="auto"/>
            <w:vAlign w:val="center"/>
            <w:hideMark/>
          </w:tcPr>
          <w:p w14:paraId="615CFF7B" w14:textId="77777777" w:rsidR="00EE1EE1" w:rsidRPr="00EE1EE1" w:rsidRDefault="00EE1EE1" w:rsidP="001F37F3">
            <w:pPr>
              <w:pBdr>
                <w:top w:val="nil"/>
                <w:left w:val="nil"/>
                <w:bottom w:val="nil"/>
                <w:right w:val="nil"/>
                <w:between w:val="nil"/>
              </w:pBdr>
              <w:tabs>
                <w:tab w:val="left" w:pos="567"/>
              </w:tabs>
              <w:spacing w:line="276" w:lineRule="auto"/>
              <w:rPr>
                <w:color w:val="000000"/>
                <w:lang w:val="en-US"/>
              </w:rPr>
            </w:pPr>
            <w:r w:rsidRPr="00EE1EE1">
              <w:rPr>
                <w:color w:val="000000"/>
                <w:lang w:val="en-US"/>
              </w:rPr>
              <w:t>85,7 milionë lekë</w:t>
            </w:r>
          </w:p>
        </w:tc>
        <w:tc>
          <w:tcPr>
            <w:tcW w:w="0" w:type="auto"/>
            <w:vAlign w:val="center"/>
            <w:hideMark/>
          </w:tcPr>
          <w:p w14:paraId="47C1F377" w14:textId="77777777" w:rsidR="00EE1EE1" w:rsidRPr="00EE1EE1" w:rsidRDefault="00EE1EE1" w:rsidP="001F37F3">
            <w:pPr>
              <w:pBdr>
                <w:top w:val="nil"/>
                <w:left w:val="nil"/>
                <w:bottom w:val="nil"/>
                <w:right w:val="nil"/>
                <w:between w:val="nil"/>
              </w:pBdr>
              <w:tabs>
                <w:tab w:val="left" w:pos="567"/>
              </w:tabs>
              <w:spacing w:line="276" w:lineRule="auto"/>
              <w:rPr>
                <w:color w:val="000000"/>
                <w:lang w:val="en-US"/>
              </w:rPr>
            </w:pPr>
            <w:r w:rsidRPr="00EE1EE1">
              <w:rPr>
                <w:color w:val="000000"/>
                <w:lang w:val="en-US"/>
              </w:rPr>
              <w:t>85,7 milionë lekë</w:t>
            </w:r>
          </w:p>
        </w:tc>
      </w:tr>
      <w:tr w:rsidR="00EE1EE1" w:rsidRPr="00EE1EE1" w14:paraId="6C17C2E9" w14:textId="77777777" w:rsidTr="001F37F3">
        <w:trPr>
          <w:tblCellSpacing w:w="15" w:type="dxa"/>
        </w:trPr>
        <w:tc>
          <w:tcPr>
            <w:tcW w:w="0" w:type="auto"/>
            <w:vAlign w:val="center"/>
            <w:hideMark/>
          </w:tcPr>
          <w:p w14:paraId="581A3F7E" w14:textId="77777777" w:rsidR="00EE1EE1" w:rsidRPr="00EE1EE1" w:rsidRDefault="00EE1EE1" w:rsidP="001F37F3">
            <w:pPr>
              <w:pBdr>
                <w:top w:val="nil"/>
                <w:left w:val="nil"/>
                <w:bottom w:val="nil"/>
                <w:right w:val="nil"/>
                <w:between w:val="nil"/>
              </w:pBdr>
              <w:tabs>
                <w:tab w:val="left" w:pos="567"/>
              </w:tabs>
              <w:spacing w:line="276" w:lineRule="auto"/>
              <w:rPr>
                <w:color w:val="000000"/>
                <w:lang w:val="en-US"/>
              </w:rPr>
            </w:pPr>
            <w:r w:rsidRPr="00EE1EE1">
              <w:rPr>
                <w:color w:val="000000"/>
                <w:lang w:val="en-US"/>
              </w:rPr>
              <w:t>Vlera aktuale neto</w:t>
            </w:r>
          </w:p>
        </w:tc>
        <w:tc>
          <w:tcPr>
            <w:tcW w:w="0" w:type="auto"/>
            <w:vAlign w:val="center"/>
            <w:hideMark/>
          </w:tcPr>
          <w:p w14:paraId="0202BACA" w14:textId="77777777" w:rsidR="00EE1EE1" w:rsidRPr="00EE1EE1" w:rsidRDefault="00EE1EE1" w:rsidP="001F37F3">
            <w:pPr>
              <w:pBdr>
                <w:top w:val="nil"/>
                <w:left w:val="nil"/>
                <w:bottom w:val="nil"/>
                <w:right w:val="nil"/>
                <w:between w:val="nil"/>
              </w:pBdr>
              <w:tabs>
                <w:tab w:val="left" w:pos="567"/>
              </w:tabs>
              <w:spacing w:line="276" w:lineRule="auto"/>
              <w:rPr>
                <w:color w:val="000000"/>
                <w:lang w:val="en-US"/>
              </w:rPr>
            </w:pPr>
            <w:r w:rsidRPr="00EE1EE1">
              <w:rPr>
                <w:color w:val="000000"/>
                <w:lang w:val="en-US"/>
              </w:rPr>
              <w:t>0</w:t>
            </w:r>
          </w:p>
        </w:tc>
        <w:tc>
          <w:tcPr>
            <w:tcW w:w="0" w:type="auto"/>
            <w:vAlign w:val="center"/>
            <w:hideMark/>
          </w:tcPr>
          <w:p w14:paraId="3DC48E15" w14:textId="77777777" w:rsidR="00EE1EE1" w:rsidRPr="00EE1EE1" w:rsidRDefault="00EE1EE1" w:rsidP="001F37F3">
            <w:pPr>
              <w:pBdr>
                <w:top w:val="nil"/>
                <w:left w:val="nil"/>
                <w:bottom w:val="nil"/>
                <w:right w:val="nil"/>
                <w:between w:val="nil"/>
              </w:pBdr>
              <w:tabs>
                <w:tab w:val="left" w:pos="567"/>
              </w:tabs>
              <w:spacing w:line="276" w:lineRule="auto"/>
              <w:rPr>
                <w:color w:val="000000"/>
                <w:lang w:val="en-US"/>
              </w:rPr>
            </w:pPr>
            <w:r w:rsidRPr="00EE1EE1">
              <w:rPr>
                <w:color w:val="000000"/>
                <w:lang w:val="en-US"/>
              </w:rPr>
              <w:t>Nuk përcaktohet</w:t>
            </w:r>
          </w:p>
        </w:tc>
        <w:tc>
          <w:tcPr>
            <w:tcW w:w="0" w:type="auto"/>
            <w:vAlign w:val="center"/>
            <w:hideMark/>
          </w:tcPr>
          <w:p w14:paraId="388B8609" w14:textId="77777777" w:rsidR="00EE1EE1" w:rsidRPr="00EE1EE1" w:rsidRDefault="00EE1EE1" w:rsidP="001F37F3">
            <w:pPr>
              <w:pBdr>
                <w:top w:val="nil"/>
                <w:left w:val="nil"/>
                <w:bottom w:val="nil"/>
                <w:right w:val="nil"/>
                <w:between w:val="nil"/>
              </w:pBdr>
              <w:tabs>
                <w:tab w:val="left" w:pos="567"/>
              </w:tabs>
              <w:spacing w:line="276" w:lineRule="auto"/>
              <w:rPr>
                <w:color w:val="000000"/>
                <w:lang w:val="en-US"/>
              </w:rPr>
            </w:pPr>
            <w:r w:rsidRPr="00EE1EE1">
              <w:rPr>
                <w:color w:val="000000"/>
                <w:lang w:val="en-US"/>
              </w:rPr>
              <w:t>72,7 milionë lekë</w:t>
            </w:r>
          </w:p>
        </w:tc>
        <w:tc>
          <w:tcPr>
            <w:tcW w:w="0" w:type="auto"/>
            <w:vAlign w:val="center"/>
            <w:hideMark/>
          </w:tcPr>
          <w:p w14:paraId="5BA1DFE9" w14:textId="77777777" w:rsidR="00EE1EE1" w:rsidRPr="00EE1EE1" w:rsidRDefault="00EE1EE1" w:rsidP="001F37F3">
            <w:pPr>
              <w:pBdr>
                <w:top w:val="nil"/>
                <w:left w:val="nil"/>
                <w:bottom w:val="nil"/>
                <w:right w:val="nil"/>
                <w:between w:val="nil"/>
              </w:pBdr>
              <w:tabs>
                <w:tab w:val="left" w:pos="567"/>
              </w:tabs>
              <w:spacing w:line="276" w:lineRule="auto"/>
              <w:rPr>
                <w:color w:val="000000"/>
                <w:lang w:val="en-US"/>
              </w:rPr>
            </w:pPr>
            <w:r w:rsidRPr="00EE1EE1">
              <w:rPr>
                <w:color w:val="000000"/>
                <w:lang w:val="en-US"/>
              </w:rPr>
              <w:t>71,7 milionë lekë</w:t>
            </w:r>
          </w:p>
        </w:tc>
      </w:tr>
      <w:tr w:rsidR="00EE1EE1" w:rsidRPr="00EE1EE1" w14:paraId="3258312D" w14:textId="77777777" w:rsidTr="001F37F3">
        <w:trPr>
          <w:tblCellSpacing w:w="15" w:type="dxa"/>
        </w:trPr>
        <w:tc>
          <w:tcPr>
            <w:tcW w:w="0" w:type="auto"/>
            <w:vAlign w:val="center"/>
            <w:hideMark/>
          </w:tcPr>
          <w:p w14:paraId="669D599B" w14:textId="77777777" w:rsidR="00EE1EE1" w:rsidRPr="00EE1EE1" w:rsidRDefault="00EE1EE1" w:rsidP="001F37F3">
            <w:pPr>
              <w:pBdr>
                <w:top w:val="nil"/>
                <w:left w:val="nil"/>
                <w:bottom w:val="nil"/>
                <w:right w:val="nil"/>
                <w:between w:val="nil"/>
              </w:pBdr>
              <w:tabs>
                <w:tab w:val="left" w:pos="567"/>
              </w:tabs>
              <w:spacing w:line="276" w:lineRule="auto"/>
              <w:rPr>
                <w:color w:val="000000"/>
                <w:lang w:val="en-US"/>
              </w:rPr>
            </w:pPr>
            <w:r w:rsidRPr="00EE1EE1">
              <w:rPr>
                <w:color w:val="000000"/>
                <w:lang w:val="en-US"/>
              </w:rPr>
              <w:t>Ngarkesa e tranzicionit</w:t>
            </w:r>
          </w:p>
        </w:tc>
        <w:tc>
          <w:tcPr>
            <w:tcW w:w="0" w:type="auto"/>
            <w:vAlign w:val="center"/>
            <w:hideMark/>
          </w:tcPr>
          <w:p w14:paraId="3D837DFA" w14:textId="77777777" w:rsidR="00EE1EE1" w:rsidRPr="00EE1EE1" w:rsidRDefault="00EE1EE1" w:rsidP="001F37F3">
            <w:pPr>
              <w:pBdr>
                <w:top w:val="nil"/>
                <w:left w:val="nil"/>
                <w:bottom w:val="nil"/>
                <w:right w:val="nil"/>
                <w:between w:val="nil"/>
              </w:pBdr>
              <w:tabs>
                <w:tab w:val="left" w:pos="567"/>
              </w:tabs>
              <w:spacing w:line="276" w:lineRule="auto"/>
              <w:rPr>
                <w:color w:val="000000"/>
                <w:lang w:val="en-US"/>
              </w:rPr>
            </w:pPr>
            <w:r w:rsidRPr="00EE1EE1">
              <w:rPr>
                <w:color w:val="000000"/>
                <w:lang w:val="en-US"/>
              </w:rPr>
              <w:t>Nuk ka</w:t>
            </w:r>
          </w:p>
        </w:tc>
        <w:tc>
          <w:tcPr>
            <w:tcW w:w="0" w:type="auto"/>
            <w:vAlign w:val="center"/>
            <w:hideMark/>
          </w:tcPr>
          <w:p w14:paraId="7884C485" w14:textId="77777777" w:rsidR="00EE1EE1" w:rsidRPr="00EE1EE1" w:rsidRDefault="00EE1EE1" w:rsidP="001F37F3">
            <w:pPr>
              <w:pBdr>
                <w:top w:val="nil"/>
                <w:left w:val="nil"/>
                <w:bottom w:val="nil"/>
                <w:right w:val="nil"/>
                <w:between w:val="nil"/>
              </w:pBdr>
              <w:tabs>
                <w:tab w:val="left" w:pos="567"/>
              </w:tabs>
              <w:spacing w:line="276" w:lineRule="auto"/>
              <w:rPr>
                <w:color w:val="000000"/>
                <w:lang w:val="en-US"/>
              </w:rPr>
            </w:pPr>
            <w:r w:rsidRPr="00EE1EE1">
              <w:rPr>
                <w:color w:val="000000"/>
                <w:lang w:val="en-US"/>
              </w:rPr>
              <w:t>E ulët</w:t>
            </w:r>
          </w:p>
        </w:tc>
        <w:tc>
          <w:tcPr>
            <w:tcW w:w="0" w:type="auto"/>
            <w:vAlign w:val="center"/>
            <w:hideMark/>
          </w:tcPr>
          <w:p w14:paraId="18742751" w14:textId="77777777" w:rsidR="00EE1EE1" w:rsidRPr="00EE1EE1" w:rsidRDefault="00EE1EE1" w:rsidP="001F37F3">
            <w:pPr>
              <w:pBdr>
                <w:top w:val="nil"/>
                <w:left w:val="nil"/>
                <w:bottom w:val="nil"/>
                <w:right w:val="nil"/>
                <w:between w:val="nil"/>
              </w:pBdr>
              <w:tabs>
                <w:tab w:val="left" w:pos="567"/>
              </w:tabs>
              <w:spacing w:line="276" w:lineRule="auto"/>
              <w:rPr>
                <w:color w:val="000000"/>
                <w:lang w:val="en-US"/>
              </w:rPr>
            </w:pPr>
            <w:r w:rsidRPr="00EE1EE1">
              <w:rPr>
                <w:color w:val="000000"/>
                <w:lang w:val="en-US"/>
              </w:rPr>
              <w:t>E kufizuar</w:t>
            </w:r>
          </w:p>
        </w:tc>
        <w:tc>
          <w:tcPr>
            <w:tcW w:w="0" w:type="auto"/>
            <w:vAlign w:val="center"/>
            <w:hideMark/>
          </w:tcPr>
          <w:p w14:paraId="3B1511C9" w14:textId="77777777" w:rsidR="00EE1EE1" w:rsidRPr="00EE1EE1" w:rsidRDefault="00EE1EE1" w:rsidP="001F37F3">
            <w:pPr>
              <w:pBdr>
                <w:top w:val="nil"/>
                <w:left w:val="nil"/>
                <w:bottom w:val="nil"/>
                <w:right w:val="nil"/>
                <w:between w:val="nil"/>
              </w:pBdr>
              <w:tabs>
                <w:tab w:val="left" w:pos="567"/>
              </w:tabs>
              <w:spacing w:line="276" w:lineRule="auto"/>
              <w:rPr>
                <w:color w:val="000000"/>
                <w:lang w:val="en-US"/>
              </w:rPr>
            </w:pPr>
            <w:r w:rsidRPr="00EE1EE1">
              <w:rPr>
                <w:color w:val="000000"/>
                <w:lang w:val="en-US"/>
              </w:rPr>
              <w:t>Më e lartë</w:t>
            </w:r>
          </w:p>
        </w:tc>
      </w:tr>
      <w:tr w:rsidR="00EE1EE1" w:rsidRPr="00EE1EE1" w14:paraId="49BAD20D" w14:textId="77777777" w:rsidTr="001F37F3">
        <w:trPr>
          <w:tblCellSpacing w:w="15" w:type="dxa"/>
        </w:trPr>
        <w:tc>
          <w:tcPr>
            <w:tcW w:w="0" w:type="auto"/>
            <w:vAlign w:val="center"/>
            <w:hideMark/>
          </w:tcPr>
          <w:p w14:paraId="7C634710" w14:textId="77777777" w:rsidR="00EE1EE1" w:rsidRPr="00EE1EE1" w:rsidRDefault="00EE1EE1" w:rsidP="001F37F3">
            <w:pPr>
              <w:pBdr>
                <w:top w:val="nil"/>
                <w:left w:val="nil"/>
                <w:bottom w:val="nil"/>
                <w:right w:val="nil"/>
                <w:between w:val="nil"/>
              </w:pBdr>
              <w:tabs>
                <w:tab w:val="left" w:pos="567"/>
              </w:tabs>
              <w:spacing w:line="276" w:lineRule="auto"/>
              <w:rPr>
                <w:color w:val="000000"/>
                <w:lang w:val="en-US"/>
              </w:rPr>
            </w:pPr>
            <w:r w:rsidRPr="00EE1EE1">
              <w:rPr>
                <w:color w:val="000000"/>
                <w:lang w:val="en-US"/>
              </w:rPr>
              <w:t>Rreziku i vonesave</w:t>
            </w:r>
          </w:p>
        </w:tc>
        <w:tc>
          <w:tcPr>
            <w:tcW w:w="0" w:type="auto"/>
            <w:vAlign w:val="center"/>
            <w:hideMark/>
          </w:tcPr>
          <w:p w14:paraId="07AA281A" w14:textId="77777777" w:rsidR="00EE1EE1" w:rsidRPr="00EE1EE1" w:rsidRDefault="00EE1EE1" w:rsidP="001F37F3">
            <w:pPr>
              <w:pBdr>
                <w:top w:val="nil"/>
                <w:left w:val="nil"/>
                <w:bottom w:val="nil"/>
                <w:right w:val="nil"/>
                <w:between w:val="nil"/>
              </w:pBdr>
              <w:tabs>
                <w:tab w:val="left" w:pos="567"/>
              </w:tabs>
              <w:spacing w:line="276" w:lineRule="auto"/>
              <w:rPr>
                <w:color w:val="000000"/>
                <w:lang w:val="en-US"/>
              </w:rPr>
            </w:pPr>
            <w:r w:rsidRPr="00EE1EE1">
              <w:rPr>
                <w:color w:val="000000"/>
                <w:lang w:val="en-US"/>
              </w:rPr>
              <w:t>I lartë për përafrimin</w:t>
            </w:r>
          </w:p>
        </w:tc>
        <w:tc>
          <w:tcPr>
            <w:tcW w:w="0" w:type="auto"/>
            <w:vAlign w:val="center"/>
            <w:hideMark/>
          </w:tcPr>
          <w:p w14:paraId="25D12784" w14:textId="77777777" w:rsidR="00EE1EE1" w:rsidRPr="00EE1EE1" w:rsidRDefault="00EE1EE1" w:rsidP="001F37F3">
            <w:pPr>
              <w:pBdr>
                <w:top w:val="nil"/>
                <w:left w:val="nil"/>
                <w:bottom w:val="nil"/>
                <w:right w:val="nil"/>
                <w:between w:val="nil"/>
              </w:pBdr>
              <w:tabs>
                <w:tab w:val="left" w:pos="567"/>
              </w:tabs>
              <w:spacing w:line="276" w:lineRule="auto"/>
              <w:rPr>
                <w:color w:val="000000"/>
                <w:lang w:val="en-US"/>
              </w:rPr>
            </w:pPr>
            <w:r w:rsidRPr="00EE1EE1">
              <w:rPr>
                <w:color w:val="000000"/>
                <w:lang w:val="en-US"/>
              </w:rPr>
              <w:t>I lartë për përafrimin</w:t>
            </w:r>
          </w:p>
        </w:tc>
        <w:tc>
          <w:tcPr>
            <w:tcW w:w="0" w:type="auto"/>
            <w:vAlign w:val="center"/>
            <w:hideMark/>
          </w:tcPr>
          <w:p w14:paraId="63E5C406" w14:textId="77777777" w:rsidR="00EE1EE1" w:rsidRPr="00EE1EE1" w:rsidRDefault="00EE1EE1" w:rsidP="001F37F3">
            <w:pPr>
              <w:pBdr>
                <w:top w:val="nil"/>
                <w:left w:val="nil"/>
                <w:bottom w:val="nil"/>
                <w:right w:val="nil"/>
                <w:between w:val="nil"/>
              </w:pBdr>
              <w:tabs>
                <w:tab w:val="left" w:pos="567"/>
              </w:tabs>
              <w:spacing w:line="276" w:lineRule="auto"/>
              <w:rPr>
                <w:color w:val="000000"/>
                <w:lang w:val="en-US"/>
              </w:rPr>
            </w:pPr>
            <w:r w:rsidRPr="00EE1EE1">
              <w:rPr>
                <w:color w:val="000000"/>
                <w:lang w:val="en-US"/>
              </w:rPr>
              <w:t>Më i ulët</w:t>
            </w:r>
          </w:p>
        </w:tc>
        <w:tc>
          <w:tcPr>
            <w:tcW w:w="0" w:type="auto"/>
            <w:vAlign w:val="center"/>
            <w:hideMark/>
          </w:tcPr>
          <w:p w14:paraId="009E088E" w14:textId="77777777" w:rsidR="00EE1EE1" w:rsidRPr="00EE1EE1" w:rsidRDefault="00EE1EE1" w:rsidP="001F37F3">
            <w:pPr>
              <w:pBdr>
                <w:top w:val="nil"/>
                <w:left w:val="nil"/>
                <w:bottom w:val="nil"/>
                <w:right w:val="nil"/>
                <w:between w:val="nil"/>
              </w:pBdr>
              <w:tabs>
                <w:tab w:val="left" w:pos="567"/>
              </w:tabs>
              <w:spacing w:line="276" w:lineRule="auto"/>
              <w:rPr>
                <w:color w:val="000000"/>
                <w:lang w:val="en-US"/>
              </w:rPr>
            </w:pPr>
            <w:r w:rsidRPr="00EE1EE1">
              <w:rPr>
                <w:color w:val="000000"/>
                <w:lang w:val="en-US"/>
              </w:rPr>
              <w:t>Më i lartë se Opsioni 1</w:t>
            </w:r>
          </w:p>
        </w:tc>
      </w:tr>
      <w:tr w:rsidR="00EE1EE1" w:rsidRPr="00EE1EE1" w14:paraId="419A8934" w14:textId="77777777" w:rsidTr="001F37F3">
        <w:trPr>
          <w:tblCellSpacing w:w="15" w:type="dxa"/>
        </w:trPr>
        <w:tc>
          <w:tcPr>
            <w:tcW w:w="0" w:type="auto"/>
            <w:vAlign w:val="center"/>
            <w:hideMark/>
          </w:tcPr>
          <w:p w14:paraId="1F192BD8" w14:textId="77777777" w:rsidR="00EE1EE1" w:rsidRPr="00EE1EE1" w:rsidRDefault="00EE1EE1" w:rsidP="001F37F3">
            <w:pPr>
              <w:pBdr>
                <w:top w:val="nil"/>
                <w:left w:val="nil"/>
                <w:bottom w:val="nil"/>
                <w:right w:val="nil"/>
                <w:between w:val="nil"/>
              </w:pBdr>
              <w:tabs>
                <w:tab w:val="left" w:pos="567"/>
              </w:tabs>
              <w:spacing w:line="276" w:lineRule="auto"/>
              <w:rPr>
                <w:color w:val="000000"/>
                <w:lang w:val="en-US"/>
              </w:rPr>
            </w:pPr>
            <w:r w:rsidRPr="00EE1EE1">
              <w:rPr>
                <w:color w:val="000000"/>
                <w:lang w:val="en-US"/>
              </w:rPr>
              <w:t>Proporcionaliteti</w:t>
            </w:r>
          </w:p>
        </w:tc>
        <w:tc>
          <w:tcPr>
            <w:tcW w:w="0" w:type="auto"/>
            <w:vAlign w:val="center"/>
            <w:hideMark/>
          </w:tcPr>
          <w:p w14:paraId="23B3CAB9" w14:textId="77777777" w:rsidR="00EE1EE1" w:rsidRPr="00EE1EE1" w:rsidRDefault="00EE1EE1" w:rsidP="001F37F3">
            <w:pPr>
              <w:pBdr>
                <w:top w:val="nil"/>
                <w:left w:val="nil"/>
                <w:bottom w:val="nil"/>
                <w:right w:val="nil"/>
                <w:between w:val="nil"/>
              </w:pBdr>
              <w:tabs>
                <w:tab w:val="left" w:pos="567"/>
              </w:tabs>
              <w:spacing w:line="276" w:lineRule="auto"/>
              <w:rPr>
                <w:color w:val="000000"/>
                <w:lang w:val="en-US"/>
              </w:rPr>
            </w:pPr>
            <w:r w:rsidRPr="00EE1EE1">
              <w:rPr>
                <w:color w:val="000000"/>
                <w:lang w:val="en-US"/>
              </w:rPr>
              <w:t>Nuk trajton problemin</w:t>
            </w:r>
          </w:p>
        </w:tc>
        <w:tc>
          <w:tcPr>
            <w:tcW w:w="0" w:type="auto"/>
            <w:vAlign w:val="center"/>
            <w:hideMark/>
          </w:tcPr>
          <w:p w14:paraId="4374D919" w14:textId="77777777" w:rsidR="00EE1EE1" w:rsidRPr="00EE1EE1" w:rsidRDefault="00EE1EE1" w:rsidP="001F37F3">
            <w:pPr>
              <w:pBdr>
                <w:top w:val="nil"/>
                <w:left w:val="nil"/>
                <w:bottom w:val="nil"/>
                <w:right w:val="nil"/>
                <w:between w:val="nil"/>
              </w:pBdr>
              <w:tabs>
                <w:tab w:val="left" w:pos="567"/>
              </w:tabs>
              <w:spacing w:line="276" w:lineRule="auto"/>
              <w:rPr>
                <w:color w:val="000000"/>
                <w:lang w:val="en-US"/>
              </w:rPr>
            </w:pPr>
            <w:r w:rsidRPr="00EE1EE1">
              <w:rPr>
                <w:color w:val="000000"/>
                <w:lang w:val="en-US"/>
              </w:rPr>
              <w:t>Nuk trajton bazën juridike</w:t>
            </w:r>
          </w:p>
        </w:tc>
        <w:tc>
          <w:tcPr>
            <w:tcW w:w="0" w:type="auto"/>
            <w:vAlign w:val="center"/>
            <w:hideMark/>
          </w:tcPr>
          <w:p w14:paraId="74B96F44" w14:textId="77777777" w:rsidR="00EE1EE1" w:rsidRPr="00EE1EE1" w:rsidRDefault="00EE1EE1" w:rsidP="001F37F3">
            <w:pPr>
              <w:pBdr>
                <w:top w:val="nil"/>
                <w:left w:val="nil"/>
                <w:bottom w:val="nil"/>
                <w:right w:val="nil"/>
                <w:between w:val="nil"/>
              </w:pBdr>
              <w:tabs>
                <w:tab w:val="left" w:pos="567"/>
              </w:tabs>
              <w:spacing w:line="276" w:lineRule="auto"/>
              <w:rPr>
                <w:color w:val="000000"/>
                <w:lang w:val="en-US"/>
              </w:rPr>
            </w:pPr>
            <w:r w:rsidRPr="00EE1EE1">
              <w:rPr>
                <w:color w:val="000000"/>
                <w:lang w:val="en-US"/>
              </w:rPr>
              <w:t>I lartë</w:t>
            </w:r>
          </w:p>
        </w:tc>
        <w:tc>
          <w:tcPr>
            <w:tcW w:w="0" w:type="auto"/>
            <w:vAlign w:val="center"/>
            <w:hideMark/>
          </w:tcPr>
          <w:p w14:paraId="08EE8615" w14:textId="77777777" w:rsidR="00EE1EE1" w:rsidRPr="00EE1EE1" w:rsidRDefault="00EE1EE1" w:rsidP="001F37F3">
            <w:pPr>
              <w:pBdr>
                <w:top w:val="nil"/>
                <w:left w:val="nil"/>
                <w:bottom w:val="nil"/>
                <w:right w:val="nil"/>
                <w:between w:val="nil"/>
              </w:pBdr>
              <w:tabs>
                <w:tab w:val="left" w:pos="567"/>
              </w:tabs>
              <w:spacing w:line="276" w:lineRule="auto"/>
              <w:rPr>
                <w:color w:val="000000"/>
                <w:lang w:val="en-US"/>
              </w:rPr>
            </w:pPr>
            <w:r w:rsidRPr="00EE1EE1">
              <w:rPr>
                <w:color w:val="000000"/>
                <w:lang w:val="en-US"/>
              </w:rPr>
              <w:t>Më i ulët</w:t>
            </w:r>
          </w:p>
        </w:tc>
      </w:tr>
    </w:tbl>
    <w:p w14:paraId="1F34DBD6" w14:textId="77777777" w:rsidR="005540FF" w:rsidRDefault="005540FF" w:rsidP="001F37F3">
      <w:pPr>
        <w:pBdr>
          <w:top w:val="nil"/>
          <w:left w:val="nil"/>
          <w:bottom w:val="nil"/>
          <w:right w:val="nil"/>
          <w:between w:val="nil"/>
        </w:pBdr>
        <w:tabs>
          <w:tab w:val="left" w:pos="567"/>
        </w:tabs>
        <w:spacing w:line="276" w:lineRule="auto"/>
        <w:rPr>
          <w:color w:val="000000"/>
          <w:lang w:val="en-US"/>
        </w:rPr>
      </w:pPr>
    </w:p>
    <w:p w14:paraId="734BD984" w14:textId="74B9D0C6" w:rsidR="009F5F96" w:rsidRPr="00D3741B" w:rsidRDefault="009F5F96" w:rsidP="001F37F3">
      <w:pPr>
        <w:pBdr>
          <w:top w:val="nil"/>
          <w:left w:val="nil"/>
          <w:bottom w:val="nil"/>
          <w:right w:val="nil"/>
          <w:between w:val="nil"/>
        </w:pBdr>
        <w:tabs>
          <w:tab w:val="left" w:pos="567"/>
        </w:tabs>
        <w:spacing w:line="276" w:lineRule="auto"/>
        <w:rPr>
          <w:color w:val="000000"/>
          <w:lang w:val="en-US"/>
        </w:rPr>
      </w:pPr>
      <w:r w:rsidRPr="009F5F96">
        <w:rPr>
          <w:color w:val="000000"/>
        </w:rPr>
        <w:t>Opsioni 1 përzgjidhet si opsioni i preferuar, pasi realizon përafrimin e plotë me Direktivën IORP II, adreson në mënyrë të drejtpërdrejtë problemet dhe shkaqet e identifikuara, forcon mbrojtjen e anëtarëve dhe përfituesve dhe paraqet vlerën aktuale neto më të lartë ndërmjet opsioneve rregullatore. Ai ruan vazhdimësinë e ligjit nr. 76/2023, kërkon një ndërhyrje më të kufizuar në kuadrin ekzistues dhe shmang kostot dhe pa</w:t>
      </w:r>
      <w:r w:rsidR="00AA32A0">
        <w:rPr>
          <w:color w:val="000000"/>
        </w:rPr>
        <w:t>qartësitë</w:t>
      </w:r>
      <w:r w:rsidRPr="009F5F96">
        <w:rPr>
          <w:color w:val="000000"/>
        </w:rPr>
        <w:t xml:space="preserve"> që do të lidheshin me shfuqizimin e ligjit në fuqi dhe miratimin e një ligji të ri. Për këto arsye, Opsioni 1 paraqet raportin më të favorshëm </w:t>
      </w:r>
      <w:r w:rsidR="00AA32A0">
        <w:rPr>
          <w:color w:val="000000"/>
        </w:rPr>
        <w:t>duke marrë në konsideratë</w:t>
      </w:r>
      <w:r w:rsidRPr="009F5F96">
        <w:rPr>
          <w:color w:val="000000"/>
        </w:rPr>
        <w:t xml:space="preserve"> efektiviteti</w:t>
      </w:r>
      <w:r w:rsidR="00AA32A0">
        <w:rPr>
          <w:color w:val="000000"/>
        </w:rPr>
        <w:t>n</w:t>
      </w:r>
      <w:r w:rsidRPr="009F5F96">
        <w:rPr>
          <w:color w:val="000000"/>
        </w:rPr>
        <w:t>, proporcionaliteti</w:t>
      </w:r>
      <w:r w:rsidR="00AA32A0">
        <w:rPr>
          <w:color w:val="000000"/>
        </w:rPr>
        <w:t>n</w:t>
      </w:r>
      <w:r w:rsidRPr="009F5F96">
        <w:rPr>
          <w:color w:val="000000"/>
        </w:rPr>
        <w:t>, kosto</w:t>
      </w:r>
      <w:r w:rsidR="00AA32A0">
        <w:rPr>
          <w:color w:val="000000"/>
        </w:rPr>
        <w:t>t</w:t>
      </w:r>
      <w:r w:rsidRPr="009F5F96">
        <w:rPr>
          <w:color w:val="000000"/>
        </w:rPr>
        <w:t>, përfitime</w:t>
      </w:r>
      <w:r w:rsidR="00AA32A0">
        <w:rPr>
          <w:color w:val="000000"/>
        </w:rPr>
        <w:t>t</w:t>
      </w:r>
      <w:r w:rsidRPr="009F5F96">
        <w:rPr>
          <w:color w:val="000000"/>
        </w:rPr>
        <w:t xml:space="preserve"> dhe siguri</w:t>
      </w:r>
      <w:r w:rsidR="00AA32A0">
        <w:rPr>
          <w:color w:val="000000"/>
        </w:rPr>
        <w:t>n</w:t>
      </w:r>
      <w:r w:rsidRPr="009F5F96">
        <w:rPr>
          <w:color w:val="000000"/>
        </w:rPr>
        <w:t>ë juridike.</w:t>
      </w:r>
    </w:p>
    <w:p w14:paraId="36CC936C" w14:textId="77777777" w:rsidR="001226EB" w:rsidRPr="007A737A" w:rsidRDefault="004F6C9E">
      <w:pPr>
        <w:pStyle w:val="Heading1"/>
        <w:spacing w:line="276" w:lineRule="auto"/>
        <w:rPr>
          <w:rFonts w:ascii="Times New Roman" w:eastAsia="Times New Roman" w:hAnsi="Times New Roman" w:cs="Times New Roman"/>
          <w:sz w:val="24"/>
          <w:szCs w:val="24"/>
          <w:lang w:val="sq-AL"/>
        </w:rPr>
      </w:pPr>
      <w:r w:rsidRPr="007A737A">
        <w:rPr>
          <w:rFonts w:ascii="Times New Roman" w:eastAsia="Times New Roman" w:hAnsi="Times New Roman" w:cs="Times New Roman"/>
          <w:sz w:val="24"/>
          <w:szCs w:val="24"/>
          <w:lang w:val="sq-AL"/>
        </w:rPr>
        <w:t>Çështje të zbatimit</w:t>
      </w:r>
    </w:p>
    <w:p w14:paraId="61406150" w14:textId="77777777" w:rsidR="001226EB" w:rsidRPr="007A737A" w:rsidRDefault="004F6C9E" w:rsidP="008E4E22">
      <w:pPr>
        <w:numPr>
          <w:ilvl w:val="0"/>
          <w:numId w:val="9"/>
        </w:numPr>
        <w:pBdr>
          <w:top w:val="nil"/>
          <w:left w:val="nil"/>
          <w:bottom w:val="nil"/>
          <w:right w:val="nil"/>
          <w:between w:val="nil"/>
        </w:pBdr>
        <w:spacing w:line="276" w:lineRule="auto"/>
        <w:jc w:val="both"/>
        <w:rPr>
          <w:i/>
          <w:iCs/>
          <w:color w:val="000000"/>
          <w:lang w:val="sq-AL"/>
        </w:rPr>
      </w:pPr>
      <w:r w:rsidRPr="007A737A">
        <w:rPr>
          <w:i/>
          <w:iCs/>
          <w:color w:val="000000"/>
          <w:lang w:val="sq-AL"/>
        </w:rPr>
        <w:t>Shpjegoni se cila strukturë do të jetë përgjegjëse për zbatimin e opsionit të zgjedhur.</w:t>
      </w:r>
    </w:p>
    <w:p w14:paraId="7DE2140C" w14:textId="77777777" w:rsidR="001226EB" w:rsidRPr="007A737A" w:rsidRDefault="004F6C9E" w:rsidP="008E4E22">
      <w:pPr>
        <w:numPr>
          <w:ilvl w:val="0"/>
          <w:numId w:val="9"/>
        </w:numPr>
        <w:pBdr>
          <w:top w:val="nil"/>
          <w:left w:val="nil"/>
          <w:bottom w:val="nil"/>
          <w:right w:val="nil"/>
          <w:between w:val="nil"/>
        </w:pBdr>
        <w:spacing w:line="276" w:lineRule="auto"/>
        <w:jc w:val="both"/>
        <w:rPr>
          <w:i/>
          <w:iCs/>
          <w:color w:val="000000"/>
          <w:lang w:val="sq-AL"/>
        </w:rPr>
      </w:pPr>
      <w:r w:rsidRPr="007A737A">
        <w:rPr>
          <w:i/>
          <w:iCs/>
          <w:color w:val="000000"/>
          <w:lang w:val="sq-AL"/>
        </w:rPr>
        <w:t>Shpjegoni pengesat e mundshme për zbatimin e opsionit të zgjedhur.</w:t>
      </w:r>
    </w:p>
    <w:p w14:paraId="4DED8C07" w14:textId="4DCF221A" w:rsidR="001226EB" w:rsidRPr="007A737A" w:rsidRDefault="004F6C9E" w:rsidP="008E4E22">
      <w:pPr>
        <w:numPr>
          <w:ilvl w:val="0"/>
          <w:numId w:val="9"/>
        </w:numPr>
        <w:pBdr>
          <w:top w:val="nil"/>
          <w:left w:val="nil"/>
          <w:bottom w:val="nil"/>
          <w:right w:val="nil"/>
          <w:between w:val="nil"/>
        </w:pBdr>
        <w:spacing w:before="240" w:line="276" w:lineRule="auto"/>
        <w:jc w:val="both"/>
        <w:rPr>
          <w:color w:val="000000" w:themeColor="text1"/>
          <w:lang w:val="sq-AL"/>
        </w:rPr>
      </w:pPr>
      <w:r w:rsidRPr="10652A40">
        <w:rPr>
          <w:i/>
          <w:iCs/>
          <w:color w:val="000000" w:themeColor="text1"/>
          <w:lang w:val="sq-AL"/>
        </w:rPr>
        <w:t>Përshkruani masat që do të ndërmerren gjatë zbatimit për të arritur qëllimet e politikës.</w:t>
      </w:r>
    </w:p>
    <w:p w14:paraId="56C889AC" w14:textId="2217E24E" w:rsidR="31ED4BD7" w:rsidRDefault="31ED4BD7" w:rsidP="10652A40">
      <w:pPr>
        <w:spacing w:before="240" w:after="240"/>
        <w:jc w:val="both"/>
      </w:pPr>
      <w:r w:rsidRPr="10652A40">
        <w:rPr>
          <w:lang w:val="sq-AL"/>
        </w:rPr>
        <w:t>Zbatimi efektiv i Opsionit 1 kërkon ndërthurjen e ndërhyrjes rregullatore të Autoritetit të Mbikëqyrjes Financiare me përshtatjen organizative dhe procedurale të subjekteve të mbikëqyrura. Ndryshimet ligjore nuk parashikojnë krijimin e një strukture të re institucionale, por zgjerimin dhe qartësimin e detyrave që ushtrohen nga Autoriteti dhe nga subjektet që veprojnë në tregun e pensioneve private.</w:t>
      </w:r>
    </w:p>
    <w:p w14:paraId="67A4A98D" w14:textId="7307A515" w:rsidR="31ED4BD7" w:rsidRDefault="31ED4BD7" w:rsidP="10652A40">
      <w:pPr>
        <w:spacing w:before="240" w:after="240"/>
        <w:jc w:val="both"/>
      </w:pPr>
      <w:r w:rsidRPr="10652A40">
        <w:rPr>
          <w:lang w:val="sq-AL"/>
        </w:rPr>
        <w:t xml:space="preserve">Zbatimi do të zhvillohet në mënyrë të diferencuar. Pjesa më e madhe e ndryshimeve do të zbatohet pas hyrjes në fuqi të ligjit dhe miratimit të akteve nënligjore përkatëse. Për kërkesat e investimeve, të parashikuara në pikat 1 deri në 3 të nenit 90, projektligji parashikon një periudhë përshtatjeje prej 18 muajsh. Dispozitat që lidhen me veprimtarinë dhe transferimet ndërkufitare, bashkëpunimin me autoritetet e shteteve anëtare dhe detyrimet përkatëse në nivel evropian do të zbatohen nga data e anëtarësimit të Republikës së Shqipërisë në Bashkimin Evropian. Ligji hyn në fuqi 15 ditë pas botimit në Fletoren Zyrtare. </w:t>
      </w:r>
    </w:p>
    <w:p w14:paraId="42BF691D" w14:textId="3C423244" w:rsidR="31ED4BD7" w:rsidRDefault="31ED4BD7" w:rsidP="10652A40">
      <w:pPr>
        <w:pStyle w:val="Heading2"/>
        <w:spacing w:before="299" w:after="299"/>
        <w:jc w:val="both"/>
        <w:rPr>
          <w:i/>
          <w:iCs/>
          <w:sz w:val="24"/>
          <w:szCs w:val="24"/>
          <w:lang w:val="sq-AL"/>
        </w:rPr>
      </w:pPr>
      <w:r w:rsidRPr="10652A40">
        <w:rPr>
          <w:i/>
          <w:iCs/>
          <w:sz w:val="24"/>
          <w:szCs w:val="24"/>
          <w:lang w:val="sq-AL"/>
        </w:rPr>
        <w:t>Strukturat përgjegjëse për zbatimin</w:t>
      </w:r>
    </w:p>
    <w:p w14:paraId="322B5DEF" w14:textId="101AB08E" w:rsidR="31ED4BD7" w:rsidRDefault="31ED4BD7" w:rsidP="10652A40">
      <w:pPr>
        <w:spacing w:before="240" w:after="240"/>
        <w:jc w:val="both"/>
      </w:pPr>
      <w:r w:rsidRPr="10652A40">
        <w:rPr>
          <w:lang w:val="sq-AL"/>
        </w:rPr>
        <w:t xml:space="preserve">Institucioni kryesor përgjegjës për zbatimin dhe mbikëqyrjen e ligjit do të jetë Autoriteti i Mbikëqyrjes Financiare. Autoriteti do të jetë përgjegjës për hartimin dhe miratimin e rregullave të detajuara, përshtatjen e metodologjive mbikëqyrëse, monitorimin e përmbushjes së kërkesave nga subjektet dhe marrjen e masave korrigjuese ose administrative në rastet e mosrespektimit. Projektligji i cakton Autoritetit një afat 12-mujor nga hyrja në fuqi për miratimin e akteve nënligjore të nevojshme. </w:t>
      </w:r>
    </w:p>
    <w:p w14:paraId="09509A25" w14:textId="2F43564B" w:rsidR="31ED4BD7" w:rsidRDefault="31ED4BD7" w:rsidP="10652A40">
      <w:pPr>
        <w:spacing w:before="240" w:after="240"/>
        <w:jc w:val="both"/>
      </w:pPr>
      <w:r w:rsidRPr="10652A40">
        <w:rPr>
          <w:lang w:val="sq-AL"/>
        </w:rPr>
        <w:t>Në planin rregullator, Autoriteti duhet të shqyrtojë aktet nënligjore ekzistuese dhe të përcaktojë se cilat prej tyre:</w:t>
      </w:r>
    </w:p>
    <w:p w14:paraId="5F596CAB" w14:textId="4431FC63" w:rsidR="31ED4BD7" w:rsidRDefault="31ED4BD7" w:rsidP="008E4E22">
      <w:pPr>
        <w:pStyle w:val="ListParagraph"/>
        <w:numPr>
          <w:ilvl w:val="0"/>
          <w:numId w:val="7"/>
        </w:numPr>
        <w:spacing w:after="0"/>
        <w:jc w:val="both"/>
        <w:rPr>
          <w:rFonts w:ascii="Times New Roman" w:hAnsi="Times New Roman"/>
          <w:sz w:val="24"/>
          <w:lang w:val="sq-AL"/>
        </w:rPr>
      </w:pPr>
      <w:r w:rsidRPr="10652A40">
        <w:rPr>
          <w:rFonts w:ascii="Times New Roman" w:hAnsi="Times New Roman"/>
          <w:sz w:val="24"/>
          <w:lang w:val="sq-AL"/>
        </w:rPr>
        <w:t xml:space="preserve">vijojnë të zbatohen pa ndryshime; </w:t>
      </w:r>
    </w:p>
    <w:p w14:paraId="5C1C4166" w14:textId="2CE15F60" w:rsidR="31ED4BD7" w:rsidRDefault="31ED4BD7" w:rsidP="008E4E22">
      <w:pPr>
        <w:pStyle w:val="ListParagraph"/>
        <w:numPr>
          <w:ilvl w:val="0"/>
          <w:numId w:val="7"/>
        </w:numPr>
        <w:spacing w:after="0"/>
        <w:jc w:val="both"/>
        <w:rPr>
          <w:rFonts w:ascii="Times New Roman" w:hAnsi="Times New Roman"/>
          <w:sz w:val="24"/>
          <w:lang w:val="sq-AL"/>
        </w:rPr>
      </w:pPr>
      <w:r w:rsidRPr="10652A40">
        <w:rPr>
          <w:rFonts w:ascii="Times New Roman" w:hAnsi="Times New Roman"/>
          <w:sz w:val="24"/>
          <w:lang w:val="sq-AL"/>
        </w:rPr>
        <w:t xml:space="preserve">kërkojnë ndryshim ose plotësim; </w:t>
      </w:r>
    </w:p>
    <w:p w14:paraId="24A2E3EF" w14:textId="5418E08A" w:rsidR="31ED4BD7" w:rsidRDefault="31ED4BD7" w:rsidP="008E4E22">
      <w:pPr>
        <w:pStyle w:val="ListParagraph"/>
        <w:numPr>
          <w:ilvl w:val="0"/>
          <w:numId w:val="7"/>
        </w:numPr>
        <w:spacing w:after="0"/>
        <w:jc w:val="both"/>
        <w:rPr>
          <w:rFonts w:ascii="Times New Roman" w:hAnsi="Times New Roman"/>
          <w:sz w:val="24"/>
          <w:lang w:val="sq-AL"/>
        </w:rPr>
      </w:pPr>
      <w:r w:rsidRPr="10652A40">
        <w:rPr>
          <w:rFonts w:ascii="Times New Roman" w:hAnsi="Times New Roman"/>
          <w:sz w:val="24"/>
          <w:lang w:val="sq-AL"/>
        </w:rPr>
        <w:t xml:space="preserve">duhet të zëvendësohen; </w:t>
      </w:r>
    </w:p>
    <w:p w14:paraId="15CD53C9" w14:textId="24578F95" w:rsidR="31ED4BD7" w:rsidRDefault="31ED4BD7" w:rsidP="008E4E22">
      <w:pPr>
        <w:pStyle w:val="ListParagraph"/>
        <w:numPr>
          <w:ilvl w:val="0"/>
          <w:numId w:val="7"/>
        </w:numPr>
        <w:spacing w:after="0"/>
        <w:jc w:val="both"/>
        <w:rPr>
          <w:rFonts w:ascii="Times New Roman" w:hAnsi="Times New Roman"/>
          <w:sz w:val="24"/>
          <w:lang w:val="sq-AL"/>
        </w:rPr>
      </w:pPr>
      <w:r w:rsidRPr="10652A40">
        <w:rPr>
          <w:rFonts w:ascii="Times New Roman" w:hAnsi="Times New Roman"/>
          <w:sz w:val="24"/>
          <w:lang w:val="sq-AL"/>
        </w:rPr>
        <w:t xml:space="preserve">duhet të shoqërohen me formate, metodologji ose procedura të reja. </w:t>
      </w:r>
    </w:p>
    <w:p w14:paraId="11884B0D" w14:textId="31119805" w:rsidR="31ED4BD7" w:rsidRDefault="31ED4BD7" w:rsidP="10652A40">
      <w:pPr>
        <w:spacing w:before="240" w:after="240"/>
        <w:jc w:val="both"/>
      </w:pPr>
      <w:r w:rsidRPr="10652A40">
        <w:rPr>
          <w:lang w:val="sq-AL"/>
        </w:rPr>
        <w:t>Ky shqyrtim duhet të mbulojë, ndër të tjera, rregullat për sistemin e qeverisjes dhe funksionet kryesore, vetëvlerësimin e rrezikut, politikën e investimit, informacionin për anëtarët dhe përfituesit, procesin e rishikimit mbikëqyrës, raportimin, delegimin e funksioneve dhe procedurat për emërimin e administratorit ose përfaqësuesit të posaçëm.</w:t>
      </w:r>
    </w:p>
    <w:p w14:paraId="40674475" w14:textId="37DC8B59" w:rsidR="31ED4BD7" w:rsidRDefault="31ED4BD7" w:rsidP="10652A40">
      <w:pPr>
        <w:spacing w:before="240" w:after="240"/>
        <w:jc w:val="both"/>
      </w:pPr>
      <w:r w:rsidRPr="10652A40">
        <w:rPr>
          <w:lang w:val="sq-AL"/>
        </w:rPr>
        <w:t xml:space="preserve">Autoriteti do të duhet gjithashtu të përshtatë mbikëqyrjen në mënyrë që ajo të mos kufizohet te verifikimi formal i pajtueshmërisë, por të vlerësojë cilësinë e qeverisjes, profilin e rrezikut, funksionimin e kontrolleve të brendshme dhe aftësinë e subjektit për të identifikuar dhe trajtuar rreziqet e ardhshme. Projektligji parashikon që mbikëqyrja të ushtrohet me qasje perspektive dhe me bazë rreziku, duke marrë parasysh madhësinë, natyrën, shkallën dhe kompleksitetin e veprimtarisë së subjektit. </w:t>
      </w:r>
    </w:p>
    <w:p w14:paraId="0B566FBB" w14:textId="50684382" w:rsidR="31ED4BD7" w:rsidRDefault="31ED4BD7" w:rsidP="10652A40">
      <w:pPr>
        <w:spacing w:before="240" w:after="240"/>
        <w:jc w:val="both"/>
      </w:pPr>
      <w:r w:rsidRPr="10652A40">
        <w:rPr>
          <w:lang w:val="sq-AL"/>
        </w:rPr>
        <w:t xml:space="preserve">Përgjegjësia kryesore për zbatimin e kërkesave në nivel subjekti u takon </w:t>
      </w:r>
      <w:r w:rsidRPr="10652A40">
        <w:rPr>
          <w:b/>
          <w:bCs/>
          <w:lang w:val="sq-AL"/>
        </w:rPr>
        <w:t>shoqërive administruese</w:t>
      </w:r>
      <w:r w:rsidRPr="10652A40">
        <w:rPr>
          <w:lang w:val="sq-AL"/>
        </w:rPr>
        <w:t>. Ato duhet të përshtatin sistemet e qeverisjes, politikat dhe procedurat e brendshme, organizimin e funksioneve kryesore, vetëvlerësimin e rrezikut, politikat e investimit dhe dokumentacionin që u jepet anëtarëve dhe përfituesve. Organet drejtuese ose mbikëqyrëse të shoqërive duhet të sigurojnë që kërkesat e reja të integrohen në vendimmarrjen dhe veprimtarinë e përditshme dhe të mos trajtohen vetëm si detyrime formale dokumentimi.</w:t>
      </w:r>
    </w:p>
    <w:p w14:paraId="2BE4F747" w14:textId="614C7866" w:rsidR="31ED4BD7" w:rsidRDefault="31ED4BD7" w:rsidP="10652A40">
      <w:pPr>
        <w:spacing w:before="240" w:after="240"/>
        <w:jc w:val="both"/>
      </w:pPr>
      <w:r w:rsidRPr="10652A40">
        <w:rPr>
          <w:lang w:val="sq-AL"/>
        </w:rPr>
        <w:t>Në zbatim do të përfshihen edhe depozitarët dhe ofruesit e funksioneve ose shërbimeve të deleguara. Ata duhet të bashkëpunojnë me shoqëritë administruese për përshtatjen e marrëveshjeve, linjave të raportimit, mekanizmave të kontrollit dhe shkëmbimit të informacionit. Përgjegjësia e shoqërisë administruese për funksionet e deleguara nuk zëvendësohet nga përgjegjësia e ofruesit të jashtëm.</w:t>
      </w:r>
    </w:p>
    <w:p w14:paraId="0F2FD3BA" w14:textId="4DE38460" w:rsidR="31ED4BD7" w:rsidRDefault="31ED4BD7" w:rsidP="10652A40">
      <w:pPr>
        <w:spacing w:before="240" w:after="240"/>
        <w:jc w:val="both"/>
      </w:pPr>
      <w:r w:rsidRPr="10652A40">
        <w:rPr>
          <w:lang w:val="sq-AL"/>
        </w:rPr>
        <w:t>Punëdhënësit që kontribuojnë në emër të punëmarrësve të tyre nuk ngarkohen me detyrime të reja për krijimin e fondeve ose pagesën e kontributeve. Përfshirja e tyre në zbatim lidhet kryesisht me saktësinë e informacionit për kontributet, informimin e punëmarrësve dhe bashkëpunimin me shoqëritë administruese në marrëdhëniet ekzistuese.</w:t>
      </w:r>
    </w:p>
    <w:p w14:paraId="5394FE99" w14:textId="6A5DB099" w:rsidR="31ED4BD7" w:rsidRDefault="31ED4BD7" w:rsidP="10652A40">
      <w:pPr>
        <w:spacing w:before="240" w:after="240"/>
        <w:jc w:val="both"/>
      </w:pPr>
      <w:r w:rsidRPr="10652A40">
        <w:rPr>
          <w:lang w:val="sq-AL"/>
        </w:rPr>
        <w:t xml:space="preserve">Pas anëtarësimit në Bashkimin Evropian, zbatimi i dispozitave ndërkufitare do të kërkojë bashkëpunim ndërmjet Autoritetit, autoriteteve përgjegjëse të shteteve anëtare dhe EIOPA-s. Ky bashkëpunim do të përfshijë njoftimet për ushtrimin e veprimtarisë ndërkufitare, shkëmbimin e informacionit mbikëqyrës, transferimet ndërkufitare dhe raportimet e parashikuara në kuadrin evropian. </w:t>
      </w:r>
    </w:p>
    <w:p w14:paraId="45558E5D" w14:textId="5A78E08A" w:rsidR="31ED4BD7" w:rsidRDefault="31ED4BD7" w:rsidP="10652A40">
      <w:pPr>
        <w:pStyle w:val="Heading2"/>
        <w:spacing w:before="299" w:after="299"/>
        <w:jc w:val="both"/>
        <w:rPr>
          <w:b/>
          <w:bCs/>
          <w:sz w:val="24"/>
          <w:szCs w:val="24"/>
          <w:lang w:val="sq-AL"/>
        </w:rPr>
      </w:pPr>
      <w:r w:rsidRPr="10652A40">
        <w:rPr>
          <w:b/>
          <w:bCs/>
          <w:sz w:val="24"/>
          <w:szCs w:val="24"/>
          <w:lang w:val="sq-AL"/>
        </w:rPr>
        <w:t>Pengesat e mundshme për zbatimin</w:t>
      </w:r>
    </w:p>
    <w:p w14:paraId="3D5C0438" w14:textId="275266B5" w:rsidR="31ED4BD7" w:rsidRDefault="31ED4BD7" w:rsidP="10652A40">
      <w:pPr>
        <w:pStyle w:val="Heading3"/>
        <w:spacing w:before="281" w:after="281"/>
        <w:jc w:val="both"/>
        <w:rPr>
          <w:b w:val="0"/>
          <w:bCs w:val="0"/>
          <w:i/>
          <w:iCs/>
          <w:lang w:val="sq-AL"/>
        </w:rPr>
      </w:pPr>
      <w:r w:rsidRPr="10652A40">
        <w:rPr>
          <w:b w:val="0"/>
          <w:bCs w:val="0"/>
          <w:i/>
          <w:iCs/>
          <w:lang w:val="sq-AL"/>
        </w:rPr>
        <w:t>Kapacitetet njerëzore dhe ekspertiza teknike</w:t>
      </w:r>
    </w:p>
    <w:p w14:paraId="78C69FAE" w14:textId="2A39A377" w:rsidR="31ED4BD7" w:rsidRDefault="31ED4BD7" w:rsidP="10652A40">
      <w:pPr>
        <w:spacing w:before="240" w:after="240"/>
        <w:jc w:val="both"/>
      </w:pPr>
      <w:r w:rsidRPr="10652A40">
        <w:rPr>
          <w:lang w:val="sq-AL"/>
        </w:rPr>
        <w:t>Kërkesat e reja kërkojnë ekspertizë në fusha të tilla si qeverisja, administrimi i rrezikut, auditimi i brendshëm, vlerësimi aktuarial në rastet kur është i zbatueshëm, faktorët mjedisorë, socialë dhe të qeverisjes, modelimi i përfitimeve dhe mbikëqyrja me qasje perspektive.</w:t>
      </w:r>
    </w:p>
    <w:p w14:paraId="7324AAB3" w14:textId="632046C5" w:rsidR="31ED4BD7" w:rsidRDefault="31ED4BD7" w:rsidP="10652A40">
      <w:pPr>
        <w:spacing w:before="240" w:after="240"/>
        <w:jc w:val="both"/>
      </w:pPr>
      <w:r w:rsidRPr="10652A40">
        <w:rPr>
          <w:lang w:val="sq-AL"/>
        </w:rPr>
        <w:t>Në një treg me numër të kufizuar operatorësh, mund të ketë numër të kufizuar personash me përvojën dhe pavarësinë e nevojshme për ushtrimin e funksioneve kryesore. Kjo mund të rrisë kostot e rekrutimit ose të konsulencës dhe të krijojë rrezik që disa funksione të mbështeten te një numër i vogël ofruesish të jashtëm.</w:t>
      </w:r>
    </w:p>
    <w:p w14:paraId="1317171A" w14:textId="170F535A" w:rsidR="31ED4BD7" w:rsidRDefault="31ED4BD7" w:rsidP="10652A40">
      <w:pPr>
        <w:spacing w:before="240" w:after="240"/>
        <w:jc w:val="both"/>
        <w:rPr>
          <w:lang w:val="sq-AL"/>
        </w:rPr>
      </w:pPr>
      <w:r w:rsidRPr="10652A40">
        <w:rPr>
          <w:lang w:val="sq-AL"/>
        </w:rPr>
        <w:t xml:space="preserve">Edhe Autoriteti do të ketë nevojë për burime njerëzore të kualifikuara për procesin e rishikimit mbikëqyrës, mbikëqyrjen e veprimtarisë ndërkufitare, raportimet në EIOPA dhe përgatitjen për raportimin në Platformën e Vetme Evropiane të Aksesit. </w:t>
      </w:r>
      <w:r w:rsidR="2DE83E2C" w:rsidRPr="10652A40">
        <w:rPr>
          <w:lang w:val="sq-AL"/>
        </w:rPr>
        <w:t>P</w:t>
      </w:r>
      <w:r w:rsidRPr="10652A40">
        <w:rPr>
          <w:lang w:val="sq-AL"/>
        </w:rPr>
        <w:t>arashiko</w:t>
      </w:r>
      <w:r w:rsidR="5819422D" w:rsidRPr="10652A40">
        <w:rPr>
          <w:lang w:val="sq-AL"/>
        </w:rPr>
        <w:t>het</w:t>
      </w:r>
      <w:r w:rsidRPr="10652A40">
        <w:rPr>
          <w:lang w:val="sq-AL"/>
        </w:rPr>
        <w:t xml:space="preserve"> që këto nevoja të përballohen brenda buxhetit ekzistues të Autoritetit dhe, sipas rastit, me mbështetjen teknike të partnerëve të zhvillimit. </w:t>
      </w:r>
    </w:p>
    <w:p w14:paraId="244E4F1C" w14:textId="36C02CA8" w:rsidR="31ED4BD7" w:rsidRDefault="31ED4BD7" w:rsidP="10652A40">
      <w:pPr>
        <w:pStyle w:val="Heading3"/>
        <w:spacing w:before="281" w:after="281"/>
        <w:jc w:val="both"/>
        <w:rPr>
          <w:b w:val="0"/>
          <w:bCs w:val="0"/>
          <w:i/>
          <w:iCs/>
          <w:lang w:val="sq-AL"/>
        </w:rPr>
      </w:pPr>
      <w:r w:rsidRPr="10652A40">
        <w:rPr>
          <w:b w:val="0"/>
          <w:bCs w:val="0"/>
          <w:i/>
          <w:iCs/>
          <w:lang w:val="sq-AL"/>
        </w:rPr>
        <w:t>Përshtatja e sistemeve dhe cilësia e të dhënave</w:t>
      </w:r>
    </w:p>
    <w:p w14:paraId="261422A6" w14:textId="5A092F56" w:rsidR="31ED4BD7" w:rsidRDefault="31ED4BD7" w:rsidP="10652A40">
      <w:pPr>
        <w:spacing w:before="240" w:after="240"/>
        <w:jc w:val="both"/>
      </w:pPr>
      <w:r w:rsidRPr="10652A40">
        <w:rPr>
          <w:lang w:val="sq-AL"/>
        </w:rPr>
        <w:t>Zbatimi i kërkesave për vetëvlerësimin e rrezikut, procesin e rishikimit mbikëqyrës dhe informacionin e standardizuar për anëtarët mund të kërkojë përshtatjen e sistemeve të teknologjisë së informacionit. Shoqëritë administruese duhet të sigurojnë që të dhënat për kontributet, kostot, aktivet, kthimin dhe parashikimet e pensionit të jenë të sakta, të plota dhe të lidhura me llogarinë individuale të çdo anëtari.</w:t>
      </w:r>
    </w:p>
    <w:p w14:paraId="69B6D2CE" w14:textId="34656D8C" w:rsidR="31ED4BD7" w:rsidRDefault="31ED4BD7" w:rsidP="10652A40">
      <w:pPr>
        <w:spacing w:before="240" w:after="240"/>
        <w:jc w:val="both"/>
      </w:pPr>
      <w:r w:rsidRPr="10652A40">
        <w:rPr>
          <w:lang w:val="sq-AL"/>
        </w:rPr>
        <w:t>Një pengesë e mundshme është mospërputhja ndërmjet të dhënave të shoqërisë administruese, depozitarit dhe punëdhënësit kontribues. Përgatitja e dokumentit të standardizuar të gjendjes së llogarisë kërkon rregulla të qarta për burimin e të dhënave, metodologjinë e parashikimeve, skenarët ekonomikë dhe përgjegjësinë për verifikimin e informacionit.</w:t>
      </w:r>
    </w:p>
    <w:p w14:paraId="3276B97A" w14:textId="4A4B380A" w:rsidR="31ED4BD7" w:rsidRDefault="31ED4BD7" w:rsidP="10652A40">
      <w:pPr>
        <w:spacing w:before="240" w:after="240"/>
        <w:jc w:val="both"/>
      </w:pPr>
      <w:r w:rsidRPr="10652A40">
        <w:rPr>
          <w:lang w:val="sq-AL"/>
        </w:rPr>
        <w:t>Për dispozitat që do të zbatohen pas anëtarësimit, nevojiten edhe sisteme dhe procedura për shkëmbimin e informacionit me autoritetet evropiane dhe për raportimin në platformat përkatëse. Këto kërkesa nuk duhet të lihen për t’u trajtuar vetëm në momentin e anëtarësimit.</w:t>
      </w:r>
    </w:p>
    <w:p w14:paraId="3035A71C" w14:textId="58A85D66" w:rsidR="31ED4BD7" w:rsidRDefault="31ED4BD7" w:rsidP="10652A40">
      <w:pPr>
        <w:pStyle w:val="Heading3"/>
        <w:spacing w:before="281" w:after="281"/>
        <w:jc w:val="both"/>
        <w:rPr>
          <w:b w:val="0"/>
          <w:bCs w:val="0"/>
          <w:i/>
          <w:iCs/>
          <w:lang w:val="sq-AL"/>
        </w:rPr>
      </w:pPr>
      <w:r w:rsidRPr="10652A40">
        <w:rPr>
          <w:b w:val="0"/>
          <w:bCs w:val="0"/>
          <w:i/>
          <w:iCs/>
          <w:lang w:val="sq-AL"/>
        </w:rPr>
        <w:t>Zbatimi proporcional i kërkesave</w:t>
      </w:r>
    </w:p>
    <w:p w14:paraId="316CD811" w14:textId="6BE0F298" w:rsidR="31ED4BD7" w:rsidRDefault="31ED4BD7" w:rsidP="10652A40">
      <w:pPr>
        <w:spacing w:before="240" w:after="240"/>
        <w:jc w:val="both"/>
      </w:pPr>
      <w:r w:rsidRPr="10652A40">
        <w:rPr>
          <w:lang w:val="sq-AL"/>
        </w:rPr>
        <w:t>Kërkesat duhet të zbatohen në mënyrë proporcionale me madhësinë, natyrën, shkallën dhe kompleksitetin e veprimtarisë. Pa kritere të qarta, ekziston rreziku që proporcionaliteti të interpretohet në mënyrë të ndryshme nga subjektet ose të përdoret për të justifikuar zbatim të pamjaftueshëm.</w:t>
      </w:r>
    </w:p>
    <w:p w14:paraId="70D3CD9F" w14:textId="743C6EDA" w:rsidR="31ED4BD7" w:rsidRDefault="31ED4BD7" w:rsidP="10652A40">
      <w:pPr>
        <w:spacing w:before="240" w:after="240"/>
        <w:jc w:val="both"/>
      </w:pPr>
      <w:r w:rsidRPr="10652A40">
        <w:rPr>
          <w:lang w:val="sq-AL"/>
        </w:rPr>
        <w:t>Nga ana tjetër, zbatimi i njëjtë dhe pa dallim i çdo kërkese mund të krijojë barrë të panevojshme, veçanërisht për subjektet me shkallë më të kufizuar veprimtarie. Aktet nënligjore dhe praktika mbikëqyrëse duhet të përcaktojnë qartë cilat kërkesa janë të detyrueshme në çdo rast dhe në cilat fusha lejohet përshtatja sipas profilit të subjektit.</w:t>
      </w:r>
    </w:p>
    <w:p w14:paraId="3B02D413" w14:textId="1605042E" w:rsidR="31ED4BD7" w:rsidRDefault="31ED4BD7" w:rsidP="10652A40">
      <w:pPr>
        <w:pStyle w:val="Heading3"/>
        <w:spacing w:before="281" w:after="281"/>
        <w:jc w:val="both"/>
        <w:rPr>
          <w:b w:val="0"/>
          <w:bCs w:val="0"/>
          <w:i/>
          <w:iCs/>
          <w:lang w:val="sq-AL"/>
        </w:rPr>
      </w:pPr>
      <w:r w:rsidRPr="10652A40">
        <w:rPr>
          <w:b w:val="0"/>
          <w:bCs w:val="0"/>
          <w:i/>
          <w:iCs/>
          <w:lang w:val="sq-AL"/>
        </w:rPr>
        <w:t>Zhvillimi i kapaciteteve profesionale</w:t>
      </w:r>
    </w:p>
    <w:p w14:paraId="384DEF7E" w14:textId="36B5001A" w:rsidR="31ED4BD7" w:rsidRDefault="31ED4BD7" w:rsidP="10652A40">
      <w:pPr>
        <w:spacing w:before="240" w:after="240"/>
        <w:jc w:val="both"/>
      </w:pPr>
      <w:r w:rsidRPr="10652A40">
        <w:rPr>
          <w:lang w:val="sq-AL"/>
        </w:rPr>
        <w:t>Autoriteti dhe subjektet e mbikëqyrura duhet të organizojnë trajnime për:</w:t>
      </w:r>
    </w:p>
    <w:p w14:paraId="13401A7E" w14:textId="3B207C03" w:rsidR="31ED4BD7" w:rsidRDefault="31ED4BD7" w:rsidP="10652A40">
      <w:pPr>
        <w:pStyle w:val="ListParagraph"/>
        <w:numPr>
          <w:ilvl w:val="0"/>
          <w:numId w:val="6"/>
        </w:numPr>
        <w:spacing w:after="0"/>
        <w:jc w:val="both"/>
        <w:rPr>
          <w:rFonts w:ascii="Times New Roman" w:hAnsi="Times New Roman"/>
          <w:sz w:val="24"/>
          <w:lang w:val="sq-AL"/>
        </w:rPr>
      </w:pPr>
      <w:r w:rsidRPr="10652A40">
        <w:rPr>
          <w:rFonts w:ascii="Times New Roman" w:hAnsi="Times New Roman"/>
          <w:sz w:val="24"/>
          <w:lang w:val="sq-AL"/>
        </w:rPr>
        <w:t xml:space="preserve">përgjegjësitë e organeve drejtuese; </w:t>
      </w:r>
    </w:p>
    <w:p w14:paraId="1FFD2F43" w14:textId="3BC8465D" w:rsidR="31ED4BD7" w:rsidRDefault="31ED4BD7" w:rsidP="10652A40">
      <w:pPr>
        <w:pStyle w:val="ListParagraph"/>
        <w:numPr>
          <w:ilvl w:val="0"/>
          <w:numId w:val="6"/>
        </w:numPr>
        <w:spacing w:after="0"/>
        <w:jc w:val="both"/>
        <w:rPr>
          <w:rFonts w:ascii="Times New Roman" w:hAnsi="Times New Roman"/>
          <w:sz w:val="24"/>
          <w:lang w:val="sq-AL"/>
        </w:rPr>
      </w:pPr>
      <w:r w:rsidRPr="10652A40">
        <w:rPr>
          <w:rFonts w:ascii="Times New Roman" w:hAnsi="Times New Roman"/>
          <w:sz w:val="24"/>
          <w:lang w:val="sq-AL"/>
        </w:rPr>
        <w:t xml:space="preserve">funksionet kryesore dhe pavarësinë e tyre; </w:t>
      </w:r>
    </w:p>
    <w:p w14:paraId="0BABF115" w14:textId="7E79196E" w:rsidR="31ED4BD7" w:rsidRDefault="31ED4BD7" w:rsidP="10652A40">
      <w:pPr>
        <w:pStyle w:val="ListParagraph"/>
        <w:numPr>
          <w:ilvl w:val="0"/>
          <w:numId w:val="6"/>
        </w:numPr>
        <w:spacing w:after="0"/>
        <w:jc w:val="both"/>
        <w:rPr>
          <w:rFonts w:ascii="Times New Roman" w:hAnsi="Times New Roman"/>
          <w:sz w:val="24"/>
          <w:lang w:val="sq-AL"/>
        </w:rPr>
      </w:pPr>
      <w:r w:rsidRPr="10652A40">
        <w:rPr>
          <w:rFonts w:ascii="Times New Roman" w:hAnsi="Times New Roman"/>
          <w:sz w:val="24"/>
          <w:lang w:val="sq-AL"/>
        </w:rPr>
        <w:t xml:space="preserve">vetëvlerësimin e rrezikut; </w:t>
      </w:r>
    </w:p>
    <w:p w14:paraId="572BABED" w14:textId="4AFEC44C" w:rsidR="31ED4BD7" w:rsidRDefault="31ED4BD7" w:rsidP="10652A40">
      <w:pPr>
        <w:pStyle w:val="ListParagraph"/>
        <w:numPr>
          <w:ilvl w:val="0"/>
          <w:numId w:val="6"/>
        </w:numPr>
        <w:spacing w:after="0"/>
        <w:jc w:val="both"/>
        <w:rPr>
          <w:rFonts w:ascii="Times New Roman" w:hAnsi="Times New Roman"/>
          <w:sz w:val="24"/>
          <w:lang w:val="sq-AL"/>
        </w:rPr>
      </w:pPr>
      <w:r w:rsidRPr="10652A40">
        <w:rPr>
          <w:rFonts w:ascii="Times New Roman" w:hAnsi="Times New Roman"/>
          <w:sz w:val="24"/>
          <w:lang w:val="sq-AL"/>
        </w:rPr>
        <w:t xml:space="preserve">administrimin e rreziqeve të investimit dhe faktorëve ESG; </w:t>
      </w:r>
    </w:p>
    <w:p w14:paraId="00AA9872" w14:textId="03CF934E" w:rsidR="31ED4BD7" w:rsidRDefault="31ED4BD7" w:rsidP="10652A40">
      <w:pPr>
        <w:pStyle w:val="ListParagraph"/>
        <w:numPr>
          <w:ilvl w:val="0"/>
          <w:numId w:val="6"/>
        </w:numPr>
        <w:spacing w:after="0"/>
        <w:jc w:val="both"/>
        <w:rPr>
          <w:rFonts w:ascii="Times New Roman" w:hAnsi="Times New Roman"/>
          <w:sz w:val="24"/>
          <w:lang w:val="sq-AL"/>
        </w:rPr>
      </w:pPr>
      <w:r w:rsidRPr="10652A40">
        <w:rPr>
          <w:rFonts w:ascii="Times New Roman" w:hAnsi="Times New Roman"/>
          <w:sz w:val="24"/>
          <w:lang w:val="sq-AL"/>
        </w:rPr>
        <w:t xml:space="preserve">parashikimet e përfitimeve të pensionit; </w:t>
      </w:r>
    </w:p>
    <w:p w14:paraId="0BDD253F" w14:textId="37271238" w:rsidR="31ED4BD7" w:rsidRDefault="31ED4BD7" w:rsidP="10652A40">
      <w:pPr>
        <w:pStyle w:val="ListParagraph"/>
        <w:numPr>
          <w:ilvl w:val="0"/>
          <w:numId w:val="6"/>
        </w:numPr>
        <w:spacing w:after="0"/>
        <w:jc w:val="both"/>
        <w:rPr>
          <w:rFonts w:ascii="Times New Roman" w:hAnsi="Times New Roman"/>
          <w:sz w:val="24"/>
          <w:lang w:val="sq-AL"/>
        </w:rPr>
      </w:pPr>
      <w:r w:rsidRPr="10652A40">
        <w:rPr>
          <w:rFonts w:ascii="Times New Roman" w:hAnsi="Times New Roman"/>
          <w:sz w:val="24"/>
          <w:lang w:val="sq-AL"/>
        </w:rPr>
        <w:t xml:space="preserve">mbikëqyrjen me qasje perspektive dhe me bazë rreziku; </w:t>
      </w:r>
    </w:p>
    <w:p w14:paraId="22A7E6B6" w14:textId="4F474E9A" w:rsidR="31ED4BD7" w:rsidRDefault="31ED4BD7" w:rsidP="10652A40">
      <w:pPr>
        <w:pStyle w:val="ListParagraph"/>
        <w:numPr>
          <w:ilvl w:val="0"/>
          <w:numId w:val="6"/>
        </w:numPr>
        <w:spacing w:after="0"/>
        <w:jc w:val="both"/>
        <w:rPr>
          <w:rFonts w:ascii="Times New Roman" w:hAnsi="Times New Roman"/>
          <w:sz w:val="24"/>
          <w:lang w:val="sq-AL"/>
        </w:rPr>
      </w:pPr>
      <w:r w:rsidRPr="10652A40">
        <w:rPr>
          <w:rFonts w:ascii="Times New Roman" w:hAnsi="Times New Roman"/>
          <w:sz w:val="24"/>
          <w:lang w:val="sq-AL"/>
        </w:rPr>
        <w:t xml:space="preserve">procedurat ndërkufitare. </w:t>
      </w:r>
    </w:p>
    <w:p w14:paraId="567574A3" w14:textId="7592B3DE" w:rsidR="31ED4BD7" w:rsidRDefault="31ED4BD7" w:rsidP="10652A40">
      <w:pPr>
        <w:spacing w:before="240" w:after="240"/>
        <w:jc w:val="both"/>
      </w:pPr>
      <w:r w:rsidRPr="10652A40">
        <w:rPr>
          <w:lang w:val="sq-AL"/>
        </w:rPr>
        <w:t>Mbështetja teknike e Bankës Botërore dhe e partnerëve të tjerë të zhvillimit mund të përdoret veçanërisht për metodologjitë mbikëqyrëse, trajnimin teknik dhe përgatitjen e sistemeve të raportimit.</w:t>
      </w:r>
    </w:p>
    <w:p w14:paraId="2B95B116" w14:textId="396A9122" w:rsidR="31ED4BD7" w:rsidRDefault="31ED4BD7" w:rsidP="10652A40">
      <w:pPr>
        <w:pStyle w:val="Heading3"/>
        <w:spacing w:before="281" w:after="281"/>
        <w:jc w:val="both"/>
        <w:rPr>
          <w:b w:val="0"/>
          <w:bCs w:val="0"/>
          <w:i/>
          <w:iCs/>
          <w:lang w:val="sq-AL"/>
        </w:rPr>
      </w:pPr>
      <w:r w:rsidRPr="10652A40">
        <w:rPr>
          <w:b w:val="0"/>
          <w:bCs w:val="0"/>
          <w:i/>
          <w:iCs/>
          <w:lang w:val="sq-AL"/>
        </w:rPr>
        <w:t>Përshtatja e sistemeve të informacionit</w:t>
      </w:r>
    </w:p>
    <w:p w14:paraId="6D097C11" w14:textId="27B89772" w:rsidR="31ED4BD7" w:rsidRDefault="31ED4BD7" w:rsidP="10652A40">
      <w:pPr>
        <w:spacing w:before="240" w:after="240"/>
        <w:jc w:val="both"/>
      </w:pPr>
      <w:r w:rsidRPr="10652A40">
        <w:rPr>
          <w:lang w:val="sq-AL"/>
        </w:rPr>
        <w:t>Shoqëritë administruese duhet të vlerësojnë nëse sistemet ekzistuese mund të prodhojnë informacionin e kërkuar në mënyrë të saktë dhe të automatizuar. Përshtatja duhet të përfshijë:</w:t>
      </w:r>
    </w:p>
    <w:p w14:paraId="01A4D2A7" w14:textId="1CD3B42D" w:rsidR="31ED4BD7" w:rsidRDefault="31ED4BD7" w:rsidP="10652A40">
      <w:pPr>
        <w:pStyle w:val="ListParagraph"/>
        <w:numPr>
          <w:ilvl w:val="0"/>
          <w:numId w:val="5"/>
        </w:numPr>
        <w:spacing w:after="0"/>
        <w:jc w:val="both"/>
        <w:rPr>
          <w:rFonts w:ascii="Times New Roman" w:hAnsi="Times New Roman"/>
          <w:sz w:val="24"/>
          <w:lang w:val="sq-AL"/>
        </w:rPr>
      </w:pPr>
      <w:r w:rsidRPr="10652A40">
        <w:rPr>
          <w:rFonts w:ascii="Times New Roman" w:hAnsi="Times New Roman"/>
          <w:sz w:val="24"/>
          <w:lang w:val="sq-AL"/>
        </w:rPr>
        <w:t xml:space="preserve">verifikimin e cilësisë dhe plotësisë së të dhënave; </w:t>
      </w:r>
    </w:p>
    <w:p w14:paraId="2E512FA8" w14:textId="734E0F69" w:rsidR="31ED4BD7" w:rsidRDefault="31ED4BD7" w:rsidP="10652A40">
      <w:pPr>
        <w:pStyle w:val="ListParagraph"/>
        <w:numPr>
          <w:ilvl w:val="0"/>
          <w:numId w:val="5"/>
        </w:numPr>
        <w:spacing w:after="0"/>
        <w:jc w:val="both"/>
        <w:rPr>
          <w:rFonts w:ascii="Times New Roman" w:hAnsi="Times New Roman"/>
          <w:sz w:val="24"/>
          <w:lang w:val="sq-AL"/>
        </w:rPr>
      </w:pPr>
      <w:r w:rsidRPr="10652A40">
        <w:rPr>
          <w:rFonts w:ascii="Times New Roman" w:hAnsi="Times New Roman"/>
          <w:sz w:val="24"/>
          <w:lang w:val="sq-AL"/>
        </w:rPr>
        <w:t xml:space="preserve">lidhjen e kontributeve me llogaritë individuale; </w:t>
      </w:r>
    </w:p>
    <w:p w14:paraId="48AB847D" w14:textId="293127C2" w:rsidR="31ED4BD7" w:rsidRDefault="31ED4BD7" w:rsidP="10652A40">
      <w:pPr>
        <w:pStyle w:val="ListParagraph"/>
        <w:numPr>
          <w:ilvl w:val="0"/>
          <w:numId w:val="5"/>
        </w:numPr>
        <w:spacing w:after="0"/>
        <w:jc w:val="both"/>
        <w:rPr>
          <w:rFonts w:ascii="Times New Roman" w:hAnsi="Times New Roman"/>
          <w:sz w:val="24"/>
          <w:lang w:val="sq-AL"/>
        </w:rPr>
      </w:pPr>
      <w:r w:rsidRPr="10652A40">
        <w:rPr>
          <w:rFonts w:ascii="Times New Roman" w:hAnsi="Times New Roman"/>
          <w:sz w:val="24"/>
          <w:lang w:val="sq-AL"/>
        </w:rPr>
        <w:t xml:space="preserve">llogaritjen dhe paraqitjen e kostove; </w:t>
      </w:r>
    </w:p>
    <w:p w14:paraId="5322960E" w14:textId="393454FF" w:rsidR="31ED4BD7" w:rsidRDefault="31ED4BD7" w:rsidP="10652A40">
      <w:pPr>
        <w:pStyle w:val="ListParagraph"/>
        <w:numPr>
          <w:ilvl w:val="0"/>
          <w:numId w:val="5"/>
        </w:numPr>
        <w:spacing w:after="0"/>
        <w:jc w:val="both"/>
        <w:rPr>
          <w:rFonts w:ascii="Times New Roman" w:hAnsi="Times New Roman"/>
          <w:sz w:val="24"/>
          <w:lang w:val="sq-AL"/>
        </w:rPr>
      </w:pPr>
      <w:r w:rsidRPr="10652A40">
        <w:rPr>
          <w:rFonts w:ascii="Times New Roman" w:hAnsi="Times New Roman"/>
          <w:sz w:val="24"/>
          <w:lang w:val="sq-AL"/>
        </w:rPr>
        <w:t xml:space="preserve">metodologjinë për parashikimet e përfitimeve; </w:t>
      </w:r>
    </w:p>
    <w:p w14:paraId="31FC683D" w14:textId="57402130" w:rsidR="31ED4BD7" w:rsidRDefault="31ED4BD7" w:rsidP="10652A40">
      <w:pPr>
        <w:pStyle w:val="ListParagraph"/>
        <w:numPr>
          <w:ilvl w:val="0"/>
          <w:numId w:val="5"/>
        </w:numPr>
        <w:spacing w:after="0"/>
        <w:jc w:val="both"/>
        <w:rPr>
          <w:rFonts w:ascii="Times New Roman" w:hAnsi="Times New Roman"/>
          <w:sz w:val="24"/>
          <w:lang w:val="sq-AL"/>
        </w:rPr>
      </w:pPr>
      <w:r w:rsidRPr="10652A40">
        <w:rPr>
          <w:rFonts w:ascii="Times New Roman" w:hAnsi="Times New Roman"/>
          <w:sz w:val="24"/>
          <w:lang w:val="sq-AL"/>
        </w:rPr>
        <w:t xml:space="preserve">ruajtjen e provave për informacionin e dërguar; </w:t>
      </w:r>
    </w:p>
    <w:p w14:paraId="700BAFCC" w14:textId="4D4E01D4" w:rsidR="31ED4BD7" w:rsidRDefault="31ED4BD7" w:rsidP="10652A40">
      <w:pPr>
        <w:pStyle w:val="ListParagraph"/>
        <w:numPr>
          <w:ilvl w:val="0"/>
          <w:numId w:val="5"/>
        </w:numPr>
        <w:spacing w:after="0"/>
        <w:jc w:val="both"/>
        <w:rPr>
          <w:rFonts w:ascii="Times New Roman" w:hAnsi="Times New Roman"/>
          <w:sz w:val="24"/>
          <w:lang w:val="sq-AL"/>
        </w:rPr>
      </w:pPr>
      <w:r w:rsidRPr="10652A40">
        <w:rPr>
          <w:rFonts w:ascii="Times New Roman" w:hAnsi="Times New Roman"/>
          <w:sz w:val="24"/>
          <w:lang w:val="sq-AL"/>
        </w:rPr>
        <w:t xml:space="preserve">mbrojtjen e të dhënave personale; </w:t>
      </w:r>
    </w:p>
    <w:p w14:paraId="13C687B0" w14:textId="417CC7D9" w:rsidR="31ED4BD7" w:rsidRDefault="31ED4BD7" w:rsidP="10652A40">
      <w:pPr>
        <w:pStyle w:val="ListParagraph"/>
        <w:numPr>
          <w:ilvl w:val="0"/>
          <w:numId w:val="5"/>
        </w:numPr>
        <w:spacing w:after="0"/>
        <w:jc w:val="both"/>
        <w:rPr>
          <w:rFonts w:ascii="Times New Roman" w:hAnsi="Times New Roman"/>
          <w:sz w:val="24"/>
          <w:lang w:val="sq-AL"/>
        </w:rPr>
      </w:pPr>
      <w:r w:rsidRPr="10652A40">
        <w:rPr>
          <w:rFonts w:ascii="Times New Roman" w:hAnsi="Times New Roman"/>
          <w:sz w:val="24"/>
          <w:lang w:val="sq-AL"/>
        </w:rPr>
        <w:t xml:space="preserve">shkëmbimin e sigurt të informacionit me depozitarët dhe Autoritetin. </w:t>
      </w:r>
    </w:p>
    <w:p w14:paraId="7289ED16" w14:textId="4017D97D" w:rsidR="31ED4BD7" w:rsidRDefault="31ED4BD7" w:rsidP="10652A40">
      <w:pPr>
        <w:spacing w:before="240" w:after="240"/>
        <w:jc w:val="both"/>
      </w:pPr>
      <w:r w:rsidRPr="10652A40">
        <w:rPr>
          <w:lang w:val="sq-AL"/>
        </w:rPr>
        <w:t>Autoriteti duhet të përgatisë paralelisht kërkesat teknike për raportimet mbikëqyrëse dhe, në një fazë të mëvonshme, për raportimet në EIOPA dhe në Platformën e Vetme Evropiane të Aksesit.</w:t>
      </w:r>
    </w:p>
    <w:p w14:paraId="1D673DEF" w14:textId="3CB721E8" w:rsidR="31ED4BD7" w:rsidRDefault="31ED4BD7" w:rsidP="10652A40">
      <w:pPr>
        <w:pStyle w:val="Heading3"/>
        <w:spacing w:before="281" w:after="281"/>
        <w:jc w:val="both"/>
        <w:rPr>
          <w:b w:val="0"/>
          <w:bCs w:val="0"/>
          <w:i/>
          <w:iCs/>
          <w:lang w:val="sq-AL"/>
        </w:rPr>
      </w:pPr>
      <w:r w:rsidRPr="10652A40">
        <w:rPr>
          <w:b w:val="0"/>
          <w:bCs w:val="0"/>
          <w:i/>
          <w:iCs/>
          <w:lang w:val="sq-AL"/>
        </w:rPr>
        <w:t>Përgatitja për zbatimin e dispozitave ndërkufitare</w:t>
      </w:r>
    </w:p>
    <w:p w14:paraId="6BA5CB8E" w14:textId="79C17AA7" w:rsidR="31ED4BD7" w:rsidRDefault="31ED4BD7" w:rsidP="10652A40">
      <w:pPr>
        <w:spacing w:before="240" w:after="240"/>
        <w:jc w:val="both"/>
      </w:pPr>
      <w:r w:rsidRPr="10652A40">
        <w:rPr>
          <w:lang w:val="sq-AL"/>
        </w:rPr>
        <w:t>Megjithëse dispozitat ndërkufitare do të zbatohen nga data e anëtarësimit, përgatitja institucionale duhet të fillojë përpara kësaj date. Autoriteti duhet të identifikojë procedurat, pikat e kontaktit, formularët dhe sistemet e nevojshme për:</w:t>
      </w:r>
    </w:p>
    <w:p w14:paraId="477771CD" w14:textId="175B1FE5" w:rsidR="31ED4BD7" w:rsidRDefault="31ED4BD7" w:rsidP="10652A40">
      <w:pPr>
        <w:pStyle w:val="ListParagraph"/>
        <w:numPr>
          <w:ilvl w:val="0"/>
          <w:numId w:val="4"/>
        </w:numPr>
        <w:spacing w:after="0"/>
        <w:jc w:val="both"/>
        <w:rPr>
          <w:rFonts w:ascii="Times New Roman" w:hAnsi="Times New Roman"/>
          <w:sz w:val="24"/>
          <w:lang w:val="sq-AL"/>
        </w:rPr>
      </w:pPr>
      <w:r w:rsidRPr="10652A40">
        <w:rPr>
          <w:rFonts w:ascii="Times New Roman" w:hAnsi="Times New Roman"/>
          <w:sz w:val="24"/>
          <w:lang w:val="sq-AL"/>
        </w:rPr>
        <w:t xml:space="preserve">njoftimin e veprimtarisë ndërkufitare; </w:t>
      </w:r>
    </w:p>
    <w:p w14:paraId="611606C5" w14:textId="57933DAD" w:rsidR="31ED4BD7" w:rsidRDefault="31ED4BD7" w:rsidP="10652A40">
      <w:pPr>
        <w:pStyle w:val="ListParagraph"/>
        <w:numPr>
          <w:ilvl w:val="0"/>
          <w:numId w:val="4"/>
        </w:numPr>
        <w:spacing w:after="0"/>
        <w:jc w:val="both"/>
        <w:rPr>
          <w:rFonts w:ascii="Times New Roman" w:hAnsi="Times New Roman"/>
          <w:sz w:val="24"/>
          <w:lang w:val="sq-AL"/>
        </w:rPr>
      </w:pPr>
      <w:r w:rsidRPr="10652A40">
        <w:rPr>
          <w:rFonts w:ascii="Times New Roman" w:hAnsi="Times New Roman"/>
          <w:sz w:val="24"/>
          <w:lang w:val="sq-AL"/>
        </w:rPr>
        <w:t xml:space="preserve">shkëmbimin e informacionit me autoritetet e shteteve anëtare; </w:t>
      </w:r>
    </w:p>
    <w:p w14:paraId="61F7719B" w14:textId="419039B8" w:rsidR="31ED4BD7" w:rsidRDefault="31ED4BD7" w:rsidP="10652A40">
      <w:pPr>
        <w:pStyle w:val="ListParagraph"/>
        <w:numPr>
          <w:ilvl w:val="0"/>
          <w:numId w:val="4"/>
        </w:numPr>
        <w:spacing w:after="0"/>
        <w:jc w:val="both"/>
        <w:rPr>
          <w:rFonts w:ascii="Times New Roman" w:hAnsi="Times New Roman"/>
          <w:sz w:val="24"/>
          <w:lang w:val="sq-AL"/>
        </w:rPr>
      </w:pPr>
      <w:r w:rsidRPr="10652A40">
        <w:rPr>
          <w:rFonts w:ascii="Times New Roman" w:hAnsi="Times New Roman"/>
          <w:sz w:val="24"/>
          <w:lang w:val="sq-AL"/>
        </w:rPr>
        <w:t xml:space="preserve">transferimin ndërkufitar të skemave; </w:t>
      </w:r>
    </w:p>
    <w:p w14:paraId="1EA6474D" w14:textId="7405AAA0" w:rsidR="31ED4BD7" w:rsidRDefault="31ED4BD7" w:rsidP="10652A40">
      <w:pPr>
        <w:pStyle w:val="ListParagraph"/>
        <w:numPr>
          <w:ilvl w:val="0"/>
          <w:numId w:val="4"/>
        </w:numPr>
        <w:spacing w:after="0"/>
        <w:jc w:val="both"/>
        <w:rPr>
          <w:rFonts w:ascii="Times New Roman" w:hAnsi="Times New Roman"/>
          <w:sz w:val="24"/>
          <w:lang w:val="sq-AL"/>
        </w:rPr>
      </w:pPr>
      <w:r w:rsidRPr="10652A40">
        <w:rPr>
          <w:rFonts w:ascii="Times New Roman" w:hAnsi="Times New Roman"/>
          <w:sz w:val="24"/>
          <w:lang w:val="sq-AL"/>
        </w:rPr>
        <w:t xml:space="preserve">bashkëpunimin me EIOPA-n; </w:t>
      </w:r>
    </w:p>
    <w:p w14:paraId="2F4591DA" w14:textId="042B0A5E" w:rsidR="31ED4BD7" w:rsidRDefault="31ED4BD7" w:rsidP="10652A40">
      <w:pPr>
        <w:pStyle w:val="ListParagraph"/>
        <w:numPr>
          <w:ilvl w:val="0"/>
          <w:numId w:val="4"/>
        </w:numPr>
        <w:spacing w:after="0"/>
        <w:jc w:val="both"/>
        <w:rPr>
          <w:rFonts w:ascii="Times New Roman" w:hAnsi="Times New Roman"/>
          <w:sz w:val="24"/>
          <w:lang w:val="sq-AL"/>
        </w:rPr>
      </w:pPr>
      <w:r w:rsidRPr="10652A40">
        <w:rPr>
          <w:rFonts w:ascii="Times New Roman" w:hAnsi="Times New Roman"/>
          <w:sz w:val="24"/>
          <w:lang w:val="sq-AL"/>
        </w:rPr>
        <w:t xml:space="preserve">mbikëqyrjen e subjekteve shqiptare që veprojnë në një shtet tjetër; </w:t>
      </w:r>
    </w:p>
    <w:p w14:paraId="6D108AB5" w14:textId="4438614D" w:rsidR="31ED4BD7" w:rsidRDefault="31ED4BD7" w:rsidP="10652A40">
      <w:pPr>
        <w:pStyle w:val="ListParagraph"/>
        <w:numPr>
          <w:ilvl w:val="0"/>
          <w:numId w:val="4"/>
        </w:numPr>
        <w:spacing w:after="0"/>
        <w:jc w:val="both"/>
        <w:rPr>
          <w:rFonts w:ascii="Times New Roman" w:hAnsi="Times New Roman"/>
          <w:sz w:val="24"/>
          <w:lang w:val="sq-AL"/>
        </w:rPr>
      </w:pPr>
      <w:r w:rsidRPr="10652A40">
        <w:rPr>
          <w:rFonts w:ascii="Times New Roman" w:hAnsi="Times New Roman"/>
          <w:sz w:val="24"/>
          <w:lang w:val="sq-AL"/>
        </w:rPr>
        <w:t xml:space="preserve">trajtimin e institucioneve të pensionit profesional të vendosura në një shtet anëtar që ushtrojnë veprimtari në Shqipëri. </w:t>
      </w:r>
    </w:p>
    <w:p w14:paraId="57FF03B8" w14:textId="59A9A512" w:rsidR="31ED4BD7" w:rsidRDefault="31ED4BD7" w:rsidP="10652A40">
      <w:pPr>
        <w:spacing w:before="240" w:after="240"/>
        <w:jc w:val="both"/>
      </w:pPr>
      <w:r w:rsidRPr="10652A40">
        <w:rPr>
          <w:lang w:val="sq-AL"/>
        </w:rPr>
        <w:t>Kjo fazë duhet të zhvillohet në përputhje me ecurinë e procesit të anëtarësimit, në mënyrë që kapacitetet dhe sistemet të jenë funksionale në datën kur dispozitat fillojnë zbatimin.</w:t>
      </w:r>
    </w:p>
    <w:p w14:paraId="422FAD5C" w14:textId="472866E6" w:rsidR="10652A40" w:rsidRDefault="10652A40" w:rsidP="10652A40">
      <w:pPr>
        <w:spacing w:before="240"/>
        <w:jc w:val="both"/>
        <w:rPr>
          <w:lang w:val="sq-AL"/>
        </w:rPr>
      </w:pPr>
    </w:p>
    <w:p w14:paraId="2D148BAD" w14:textId="77777777" w:rsidR="001226EB" w:rsidRPr="007A737A" w:rsidRDefault="004F6C9E">
      <w:pPr>
        <w:spacing w:before="240"/>
        <w:rPr>
          <w:b/>
          <w:bCs/>
          <w:lang w:val="sq-AL"/>
        </w:rPr>
      </w:pPr>
      <w:r w:rsidRPr="007A737A">
        <w:rPr>
          <w:color w:val="808080"/>
          <w:lang w:val="sq-AL"/>
        </w:rPr>
        <w:t>.</w:t>
      </w:r>
    </w:p>
    <w:p w14:paraId="083F2A1E" w14:textId="77777777" w:rsidR="001226EB" w:rsidRPr="007A737A" w:rsidRDefault="004F6C9E">
      <w:pPr>
        <w:pBdr>
          <w:top w:val="nil"/>
          <w:left w:val="nil"/>
          <w:bottom w:val="nil"/>
          <w:right w:val="nil"/>
          <w:between w:val="nil"/>
        </w:pBdr>
        <w:spacing w:before="240" w:line="276" w:lineRule="auto"/>
        <w:jc w:val="both"/>
        <w:rPr>
          <w:b/>
          <w:bCs/>
          <w:color w:val="000000"/>
          <w:lang w:val="sq-AL"/>
        </w:rPr>
      </w:pPr>
      <w:r w:rsidRPr="007A737A">
        <w:rPr>
          <w:b/>
          <w:bCs/>
          <w:color w:val="000000"/>
          <w:lang w:val="sq-AL"/>
        </w:rPr>
        <w:t>Faza e monitorimit dhe vlerësimit</w:t>
      </w:r>
    </w:p>
    <w:p w14:paraId="7A3F7DB3" w14:textId="77777777" w:rsidR="001226EB" w:rsidRPr="007A737A" w:rsidRDefault="004F6C9E" w:rsidP="008E4E22">
      <w:pPr>
        <w:numPr>
          <w:ilvl w:val="0"/>
          <w:numId w:val="9"/>
        </w:numPr>
        <w:pBdr>
          <w:top w:val="nil"/>
          <w:left w:val="nil"/>
          <w:bottom w:val="nil"/>
          <w:right w:val="nil"/>
          <w:between w:val="nil"/>
        </w:pBdr>
        <w:spacing w:line="276" w:lineRule="auto"/>
        <w:jc w:val="both"/>
        <w:rPr>
          <w:i/>
          <w:iCs/>
          <w:color w:val="000000"/>
          <w:lang w:val="sq-AL"/>
        </w:rPr>
      </w:pPr>
      <w:r w:rsidRPr="007A737A">
        <w:rPr>
          <w:i/>
          <w:iCs/>
          <w:color w:val="000000"/>
          <w:lang w:val="sq-AL"/>
        </w:rPr>
        <w:t>Jepni një përshkrim të përmbledhur të masave të monitorimit dhe të vlerësimit.</w:t>
      </w:r>
    </w:p>
    <w:p w14:paraId="70C63871" w14:textId="77777777" w:rsidR="001226EB" w:rsidRPr="007A737A" w:rsidRDefault="004F6C9E" w:rsidP="008E4E22">
      <w:pPr>
        <w:numPr>
          <w:ilvl w:val="0"/>
          <w:numId w:val="9"/>
        </w:numPr>
        <w:pBdr>
          <w:top w:val="nil"/>
          <w:left w:val="nil"/>
          <w:bottom w:val="nil"/>
          <w:right w:val="nil"/>
          <w:between w:val="nil"/>
        </w:pBdr>
        <w:spacing w:line="276" w:lineRule="auto"/>
        <w:jc w:val="both"/>
        <w:rPr>
          <w:i/>
          <w:iCs/>
          <w:color w:val="000000"/>
          <w:lang w:val="sq-AL"/>
        </w:rPr>
      </w:pPr>
      <w:r w:rsidRPr="10652A40">
        <w:rPr>
          <w:i/>
          <w:iCs/>
          <w:color w:val="000000" w:themeColor="text1"/>
          <w:lang w:val="sq-AL"/>
        </w:rPr>
        <w:t>Identifikoni kriteret/treguesit për të matur arritjen e objektivave ose progresin drejt tyre.</w:t>
      </w:r>
    </w:p>
    <w:p w14:paraId="7A1A6D92" w14:textId="3332F849" w:rsidR="001226EB" w:rsidRPr="00EA3895" w:rsidRDefault="62E464B3" w:rsidP="10652A40">
      <w:pPr>
        <w:spacing w:before="240" w:after="240" w:line="276" w:lineRule="auto"/>
        <w:jc w:val="both"/>
      </w:pPr>
      <w:r w:rsidRPr="10652A40">
        <w:rPr>
          <w:lang w:val="sq-AL"/>
        </w:rPr>
        <w:t>Monitorimi dhe vlerësimi do të kryhen nga Autoriteti i Mbikëqyrjes Financiare, si pjesë e veprimtarisë së tij të zakonshme rregullatore dhe mbikëqyrëse. Procesi do të mbështetet në raportimet periodike të subjekteve, mbikëqyrjen në distancë, inspektimet në vend, raportet e funksioneve kryesore, vetëvlerësimet e rrezikut dhe të dhënat për informimin dhe ankesat e anëtarëve.</w:t>
      </w:r>
    </w:p>
    <w:p w14:paraId="7861733B" w14:textId="4B1FB849" w:rsidR="001226EB" w:rsidRPr="00EA3895" w:rsidRDefault="62E464B3" w:rsidP="10652A40">
      <w:pPr>
        <w:spacing w:before="240" w:after="240" w:line="276" w:lineRule="auto"/>
        <w:jc w:val="both"/>
      </w:pPr>
      <w:r w:rsidRPr="10652A40">
        <w:rPr>
          <w:lang w:val="sq-AL"/>
        </w:rPr>
        <w:t>Në fazën e parë, monitorimi do të përqendrohet në realizimin e masave të nevojshme për zbatimin e ligjit, përfshirë miratimin e akteve nënligjore brenda afatit të parashikuar, përditësimin e metodologjive dhe formateve të raportimit, si dhe përshtatjen e politikave, procedurave dhe sistemeve të shoqërive administruese.</w:t>
      </w:r>
    </w:p>
    <w:p w14:paraId="38BFC4A1" w14:textId="053F8DDD" w:rsidR="001226EB" w:rsidRPr="00EA3895" w:rsidRDefault="62E464B3" w:rsidP="10652A40">
      <w:pPr>
        <w:spacing w:before="240" w:after="240" w:line="276" w:lineRule="auto"/>
        <w:jc w:val="both"/>
      </w:pPr>
      <w:r w:rsidRPr="10652A40">
        <w:rPr>
          <w:lang w:val="sq-AL"/>
        </w:rPr>
        <w:t>Pas përfundimit të periudhave të përshtatjes, Autoriteti do të verifikojë nëse kërkesat e reja janë zbatuar në praktikë dhe jo vetëm në mënyrë formale. Vlerësimi do të përqendrohet te funksionimi i sistemit të qeverisjes, organizimi i funksioneve kryesore, cilësia e vetëvlerësimit të rrezikut, administrimi i investimeve, informacioni që u jepet anëtarëve dhe zbatimi i masave korrigjuese.</w:t>
      </w:r>
    </w:p>
    <w:p w14:paraId="6CE34C77" w14:textId="6FB2770F" w:rsidR="001226EB" w:rsidRPr="00EA3895" w:rsidRDefault="62E464B3" w:rsidP="10652A40">
      <w:pPr>
        <w:spacing w:before="240" w:after="240" w:line="276" w:lineRule="auto"/>
        <w:jc w:val="both"/>
      </w:pPr>
      <w:r w:rsidRPr="10652A40">
        <w:rPr>
          <w:lang w:val="sq-AL"/>
        </w:rPr>
        <w:t>Treguesit kryesorë për matjen e progresit do të jenë:</w:t>
      </w:r>
    </w:p>
    <w:p w14:paraId="6EE77955" w14:textId="10697CF8" w:rsidR="001226EB" w:rsidRPr="00EA3895" w:rsidRDefault="62E464B3" w:rsidP="10652A40">
      <w:pPr>
        <w:pStyle w:val="ListParagraph"/>
        <w:numPr>
          <w:ilvl w:val="0"/>
          <w:numId w:val="3"/>
        </w:numPr>
        <w:spacing w:after="0" w:line="276" w:lineRule="auto"/>
        <w:jc w:val="both"/>
        <w:rPr>
          <w:rFonts w:ascii="Times New Roman" w:hAnsi="Times New Roman"/>
          <w:sz w:val="24"/>
          <w:lang w:val="sq-AL"/>
        </w:rPr>
      </w:pPr>
      <w:r w:rsidRPr="10652A40">
        <w:rPr>
          <w:rFonts w:ascii="Times New Roman" w:hAnsi="Times New Roman"/>
          <w:sz w:val="24"/>
          <w:lang w:val="sq-AL"/>
        </w:rPr>
        <w:t xml:space="preserve">përqindja e akteve nënligjore të miratuara brenda afatit ligjor; </w:t>
      </w:r>
    </w:p>
    <w:p w14:paraId="0FB79EF6" w14:textId="3F15FFF2" w:rsidR="001226EB" w:rsidRPr="00EA3895" w:rsidRDefault="62E464B3" w:rsidP="10652A40">
      <w:pPr>
        <w:pStyle w:val="ListParagraph"/>
        <w:numPr>
          <w:ilvl w:val="0"/>
          <w:numId w:val="3"/>
        </w:numPr>
        <w:spacing w:after="0" w:line="276" w:lineRule="auto"/>
        <w:jc w:val="both"/>
        <w:rPr>
          <w:rFonts w:ascii="Times New Roman" w:hAnsi="Times New Roman"/>
          <w:sz w:val="24"/>
          <w:lang w:val="sq-AL"/>
        </w:rPr>
      </w:pPr>
      <w:r w:rsidRPr="10652A40">
        <w:rPr>
          <w:rFonts w:ascii="Times New Roman" w:hAnsi="Times New Roman"/>
          <w:sz w:val="24"/>
          <w:lang w:val="sq-AL"/>
        </w:rPr>
        <w:t xml:space="preserve">përqindja e shoqërive administruese që kanë përshtatur politikat, procedurat dhe funksionet kryesore sipas kërkesave të reja; </w:t>
      </w:r>
    </w:p>
    <w:p w14:paraId="6ABEE31D" w14:textId="0642C576" w:rsidR="001226EB" w:rsidRPr="00EA3895" w:rsidRDefault="62E464B3" w:rsidP="10652A40">
      <w:pPr>
        <w:pStyle w:val="ListParagraph"/>
        <w:numPr>
          <w:ilvl w:val="0"/>
          <w:numId w:val="3"/>
        </w:numPr>
        <w:spacing w:after="0" w:line="276" w:lineRule="auto"/>
        <w:jc w:val="both"/>
        <w:rPr>
          <w:rFonts w:ascii="Times New Roman" w:hAnsi="Times New Roman"/>
          <w:sz w:val="24"/>
          <w:lang w:val="sq-AL"/>
        </w:rPr>
      </w:pPr>
      <w:r w:rsidRPr="10652A40">
        <w:rPr>
          <w:rFonts w:ascii="Times New Roman" w:hAnsi="Times New Roman"/>
          <w:sz w:val="24"/>
          <w:lang w:val="sq-AL"/>
        </w:rPr>
        <w:t xml:space="preserve">përqindja e shoqërive që kryejnë vetëvlerësimin e rrezikut në afat dhe me përmbajtjen e kërkuar; </w:t>
      </w:r>
    </w:p>
    <w:p w14:paraId="239B49CA" w14:textId="58ECC42D" w:rsidR="001226EB" w:rsidRPr="00EA3895" w:rsidRDefault="62E464B3" w:rsidP="10652A40">
      <w:pPr>
        <w:pStyle w:val="ListParagraph"/>
        <w:numPr>
          <w:ilvl w:val="0"/>
          <w:numId w:val="3"/>
        </w:numPr>
        <w:spacing w:after="0" w:line="276" w:lineRule="auto"/>
        <w:jc w:val="both"/>
        <w:rPr>
          <w:rFonts w:ascii="Times New Roman" w:hAnsi="Times New Roman"/>
          <w:sz w:val="24"/>
          <w:lang w:val="sq-AL"/>
        </w:rPr>
      </w:pPr>
      <w:r w:rsidRPr="10652A40">
        <w:rPr>
          <w:rFonts w:ascii="Times New Roman" w:hAnsi="Times New Roman"/>
          <w:sz w:val="24"/>
          <w:lang w:val="sq-AL"/>
        </w:rPr>
        <w:t xml:space="preserve">përqindja e anëtarëve që marrin çdo vit informacionin e standardizuar për gjendjen e llogarisë së përfitimeve të pensionit; </w:t>
      </w:r>
    </w:p>
    <w:p w14:paraId="2943DEBE" w14:textId="071EE063" w:rsidR="001226EB" w:rsidRPr="00EA3895" w:rsidRDefault="62E464B3" w:rsidP="10652A40">
      <w:pPr>
        <w:pStyle w:val="ListParagraph"/>
        <w:numPr>
          <w:ilvl w:val="0"/>
          <w:numId w:val="3"/>
        </w:numPr>
        <w:spacing w:after="0" w:line="276" w:lineRule="auto"/>
        <w:jc w:val="both"/>
        <w:rPr>
          <w:rFonts w:ascii="Times New Roman" w:hAnsi="Times New Roman"/>
          <w:sz w:val="24"/>
          <w:lang w:val="sq-AL"/>
        </w:rPr>
      </w:pPr>
      <w:r w:rsidRPr="10652A40">
        <w:rPr>
          <w:rFonts w:ascii="Times New Roman" w:hAnsi="Times New Roman"/>
          <w:sz w:val="24"/>
          <w:lang w:val="sq-AL"/>
        </w:rPr>
        <w:t xml:space="preserve">numri dhe rëndësia e mangësive të konstatuara gjatë mbikëqyrjes; </w:t>
      </w:r>
    </w:p>
    <w:p w14:paraId="5B0F82BA" w14:textId="797F3FB1" w:rsidR="001226EB" w:rsidRPr="00EA3895" w:rsidRDefault="62E464B3" w:rsidP="10652A40">
      <w:pPr>
        <w:pStyle w:val="ListParagraph"/>
        <w:numPr>
          <w:ilvl w:val="0"/>
          <w:numId w:val="3"/>
        </w:numPr>
        <w:spacing w:after="0" w:line="276" w:lineRule="auto"/>
        <w:jc w:val="both"/>
        <w:rPr>
          <w:rFonts w:ascii="Times New Roman" w:hAnsi="Times New Roman"/>
          <w:sz w:val="24"/>
          <w:lang w:val="sq-AL"/>
        </w:rPr>
      </w:pPr>
      <w:r w:rsidRPr="10652A40">
        <w:rPr>
          <w:rFonts w:ascii="Times New Roman" w:hAnsi="Times New Roman"/>
          <w:sz w:val="24"/>
          <w:lang w:val="sq-AL"/>
        </w:rPr>
        <w:t xml:space="preserve">përqindja e masave korrigjuese të zbatuara brenda afatit të përcaktuar nga Autoriteti; </w:t>
      </w:r>
    </w:p>
    <w:p w14:paraId="0A6DF1D0" w14:textId="5AA7A22D" w:rsidR="001226EB" w:rsidRPr="00EA3895" w:rsidRDefault="62E464B3" w:rsidP="10652A40">
      <w:pPr>
        <w:pStyle w:val="ListParagraph"/>
        <w:numPr>
          <w:ilvl w:val="0"/>
          <w:numId w:val="3"/>
        </w:numPr>
        <w:spacing w:after="0" w:line="276" w:lineRule="auto"/>
        <w:jc w:val="both"/>
        <w:rPr>
          <w:rFonts w:ascii="Times New Roman" w:hAnsi="Times New Roman"/>
          <w:sz w:val="24"/>
          <w:lang w:val="sq-AL"/>
        </w:rPr>
      </w:pPr>
      <w:r w:rsidRPr="10652A40">
        <w:rPr>
          <w:rFonts w:ascii="Times New Roman" w:hAnsi="Times New Roman"/>
          <w:sz w:val="24"/>
          <w:lang w:val="sq-AL"/>
        </w:rPr>
        <w:t xml:space="preserve">numri dhe natyra e ankesave që lidhen me kontributet, tarifat, informacionin ose pasaktësitë në llogaritë individuale; </w:t>
      </w:r>
    </w:p>
    <w:p w14:paraId="071D4E85" w14:textId="08D60BDE" w:rsidR="001226EB" w:rsidRPr="00EA3895" w:rsidRDefault="62E464B3" w:rsidP="10652A40">
      <w:pPr>
        <w:pStyle w:val="ListParagraph"/>
        <w:numPr>
          <w:ilvl w:val="0"/>
          <w:numId w:val="3"/>
        </w:numPr>
        <w:spacing w:after="0" w:line="276" w:lineRule="auto"/>
        <w:jc w:val="both"/>
        <w:rPr>
          <w:rFonts w:ascii="Times New Roman" w:hAnsi="Times New Roman"/>
          <w:sz w:val="24"/>
          <w:lang w:val="sq-AL"/>
        </w:rPr>
      </w:pPr>
      <w:r w:rsidRPr="10652A40">
        <w:rPr>
          <w:rFonts w:ascii="Times New Roman" w:hAnsi="Times New Roman"/>
          <w:sz w:val="24"/>
          <w:lang w:val="sq-AL"/>
        </w:rPr>
        <w:t xml:space="preserve">kostot e përshtatjes së shoqërive administruese; </w:t>
      </w:r>
    </w:p>
    <w:p w14:paraId="186BD169" w14:textId="1E414525" w:rsidR="001226EB" w:rsidRPr="00EA3895" w:rsidRDefault="62E464B3" w:rsidP="10652A40">
      <w:pPr>
        <w:pStyle w:val="ListParagraph"/>
        <w:numPr>
          <w:ilvl w:val="0"/>
          <w:numId w:val="3"/>
        </w:numPr>
        <w:spacing w:after="0" w:line="276" w:lineRule="auto"/>
        <w:jc w:val="both"/>
        <w:rPr>
          <w:rFonts w:ascii="Times New Roman" w:hAnsi="Times New Roman"/>
          <w:sz w:val="24"/>
          <w:lang w:val="sq-AL"/>
        </w:rPr>
      </w:pPr>
      <w:r w:rsidRPr="10652A40">
        <w:rPr>
          <w:rFonts w:ascii="Times New Roman" w:hAnsi="Times New Roman"/>
          <w:sz w:val="24"/>
          <w:lang w:val="sq-AL"/>
        </w:rPr>
        <w:t xml:space="preserve">përgatitja e procedurave dhe kapaciteteve të nevojshme për zbatimin e dispozitave ndërkufitare nga data e anëtarësimit në Bashkimin Evropian. </w:t>
      </w:r>
    </w:p>
    <w:p w14:paraId="61A79CFA" w14:textId="3903E3CC" w:rsidR="001226EB" w:rsidRPr="00EA3895" w:rsidRDefault="62E464B3" w:rsidP="10652A40">
      <w:pPr>
        <w:spacing w:before="240" w:after="240" w:line="276" w:lineRule="auto"/>
        <w:jc w:val="both"/>
      </w:pPr>
      <w:r w:rsidRPr="10652A40">
        <w:rPr>
          <w:lang w:val="sq-AL"/>
        </w:rPr>
        <w:t>Vlerësimi i rezultateve të politikës do të kryhet pasi të jenë zbatuar plotësisht aktet nënligjore dhe të ketë përfunduar një periudhë e mjaftueshme e zbatimit. Një vlerësim i parë i plotë rekomandohet pas vitit të tretë të zbatimit. Ai do të shqyrtojë nëse janë arritur objektivat për përafrimin me Direktivën IORP II, forcimin e qeverisjes dhe administrimit të rrezikut, përmirësimin e informimit të anëtarëve dhe rritjen e efektivitetit të mbikëqyrjes.</w:t>
      </w:r>
    </w:p>
    <w:p w14:paraId="694F69DE" w14:textId="7BA49EAB" w:rsidR="001226EB" w:rsidRPr="00EA3895" w:rsidRDefault="62E464B3" w:rsidP="10652A40">
      <w:pPr>
        <w:spacing w:before="240" w:after="240" w:line="276" w:lineRule="auto"/>
        <w:jc w:val="both"/>
      </w:pPr>
      <w:r w:rsidRPr="10652A40">
        <w:rPr>
          <w:lang w:val="sq-AL"/>
        </w:rPr>
        <w:t>Tregues të tillë si numri i anëtarëve, vlera e aktiveve dhe kthimi nga investimi do të ndiqen si tregues të përgjithshëm të zhvillimit të tregut, por nuk do të përdoren të vetëm për të vlerësuar suksesin e ndërhyrjes, pasi ndikohen edhe nga kushtet ekonomike, normat e interesit, të ardhurat e individëve dhe sjellja e punëdhënësve.</w:t>
      </w:r>
    </w:p>
    <w:p w14:paraId="310D1C83" w14:textId="584A9F6A" w:rsidR="001226EB" w:rsidRPr="00EA3895" w:rsidRDefault="001226EB" w:rsidP="10652A40">
      <w:pPr>
        <w:spacing w:before="240" w:line="276" w:lineRule="auto"/>
        <w:jc w:val="both"/>
        <w:rPr>
          <w:color w:val="808080" w:themeColor="background1" w:themeShade="80"/>
          <w:lang w:val="sq-AL"/>
        </w:rPr>
        <w:sectPr w:rsidR="001226EB" w:rsidRPr="00EA3895">
          <w:headerReference w:type="even" r:id="rId11"/>
          <w:headerReference w:type="default" r:id="rId12"/>
          <w:footerReference w:type="default" r:id="rId13"/>
          <w:pgSz w:w="11907" w:h="16840"/>
          <w:pgMar w:top="680" w:right="851" w:bottom="680" w:left="851" w:header="284" w:footer="284" w:gutter="0"/>
          <w:pgNumType w:start="1"/>
          <w:cols w:space="720"/>
        </w:sectPr>
      </w:pPr>
    </w:p>
    <w:p w14:paraId="5F0B8855" w14:textId="77777777" w:rsidR="001226EB" w:rsidRPr="00EA3895" w:rsidRDefault="004F6C9E">
      <w:pPr>
        <w:spacing w:line="276" w:lineRule="auto"/>
        <w:jc w:val="both"/>
        <w:rPr>
          <w:lang w:val="sq-AL"/>
        </w:rPr>
      </w:pPr>
      <w:r w:rsidRPr="00EA3895">
        <w:rPr>
          <w:b/>
          <w:lang w:val="sq-AL"/>
        </w:rPr>
        <w:t>Raporti i vlerësimit të ndikimit - Shtojca 2/a</w:t>
      </w:r>
    </w:p>
    <w:p w14:paraId="587A0E4D" w14:textId="77777777" w:rsidR="001226EB" w:rsidRPr="00EA3895" w:rsidRDefault="001226EB">
      <w:pPr>
        <w:spacing w:line="276" w:lineRule="auto"/>
        <w:rPr>
          <w:lang w:val="sq-AL"/>
        </w:rPr>
      </w:pPr>
    </w:p>
    <w:p w14:paraId="5D838F9D" w14:textId="77777777" w:rsidR="001226EB" w:rsidRPr="00EA3895" w:rsidRDefault="004F6C9E" w:rsidP="10652A40">
      <w:pPr>
        <w:spacing w:line="276" w:lineRule="auto"/>
        <w:rPr>
          <w:b/>
          <w:bCs/>
          <w:lang w:val="en-US"/>
        </w:rPr>
      </w:pPr>
      <w:r w:rsidRPr="10652A40">
        <w:rPr>
          <w:b/>
          <w:bCs/>
          <w:i/>
          <w:iCs/>
          <w:lang w:val="en-US"/>
        </w:rPr>
        <w:t>Tabela: Vlera aktuale neto në total (VAN) - kostot dhe përfitimet me vlerë monetare të përcaktuar në milionë lekë e zbritur për 10 vjet (Vlera aktuale e kostos dhe vlera aktuale e përfitimit); krahasuar me status quo-në</w:t>
      </w:r>
      <w:r w:rsidRPr="10652A40">
        <w:rPr>
          <w:b/>
          <w:bCs/>
          <w:lang w:val="en-US"/>
        </w:rPr>
        <w:t xml:space="preserve">.    </w:t>
      </w:r>
    </w:p>
    <w:p w14:paraId="1B296C9A" w14:textId="77777777" w:rsidR="001226EB" w:rsidRPr="00EA3895" w:rsidRDefault="001226EB">
      <w:pPr>
        <w:spacing w:line="276" w:lineRule="auto"/>
        <w:rPr>
          <w:b/>
          <w:lang w:val="sq-AL"/>
        </w:rPr>
      </w:pPr>
    </w:p>
    <w:p w14:paraId="1F381F5F" w14:textId="77777777" w:rsidR="001226EB" w:rsidRPr="00EA3895" w:rsidRDefault="004F6C9E">
      <w:pPr>
        <w:spacing w:line="276" w:lineRule="auto"/>
        <w:rPr>
          <w:b/>
          <w:lang w:val="sq-AL"/>
        </w:rPr>
      </w:pPr>
      <w:r w:rsidRPr="00EA3895">
        <w:rPr>
          <w:b/>
          <w:lang w:val="sq-AL"/>
        </w:rPr>
        <w:t>2/a 1. Baza metodologjike e vlerësimeve të kostove dhe supozimet kryesore</w:t>
      </w:r>
    </w:p>
    <w:p w14:paraId="471847AB" w14:textId="77777777" w:rsidR="001226EB" w:rsidRPr="00EA3895" w:rsidRDefault="001226EB">
      <w:pPr>
        <w:spacing w:line="276" w:lineRule="auto"/>
        <w:rPr>
          <w:b/>
          <w:lang w:val="sq-AL"/>
        </w:rPr>
        <w:sectPr w:rsidR="001226EB" w:rsidRPr="00EA3895">
          <w:type w:val="continuous"/>
          <w:pgSz w:w="16840" w:h="11907" w:orient="landscape"/>
          <w:pgMar w:top="850" w:right="677" w:bottom="850" w:left="677" w:header="288" w:footer="288" w:gutter="0"/>
          <w:cols w:space="720"/>
        </w:sectPr>
      </w:pPr>
    </w:p>
    <w:p w14:paraId="371BD8C0" w14:textId="41C74CA9" w:rsidR="001226EB" w:rsidRPr="007A737A" w:rsidRDefault="5E524632" w:rsidP="10652A40">
      <w:pPr>
        <w:spacing w:before="240" w:after="240" w:line="276" w:lineRule="auto"/>
      </w:pPr>
      <w:r w:rsidRPr="10652A40">
        <w:rPr>
          <w:lang w:val="sq-AL"/>
        </w:rPr>
        <w:t>Përllogaritjet paraqesin vetëm kostot dhe përfitimet shtesë të secilit opsion kundrejt status quo-së. Për llogaritjen e vlerës aktuale përdoret një periudhë vlerësimi 10-vjeçare dhe një normë skontimi prej 5 për qind.</w:t>
      </w:r>
    </w:p>
    <w:p w14:paraId="7225F007" w14:textId="7F5B6BE8" w:rsidR="001226EB" w:rsidRPr="007A737A" w:rsidRDefault="5E524632" w:rsidP="10652A40">
      <w:pPr>
        <w:spacing w:before="240" w:after="240" w:line="276" w:lineRule="auto"/>
      </w:pPr>
      <w:r w:rsidRPr="10652A40">
        <w:rPr>
          <w:lang w:val="sq-AL"/>
        </w:rPr>
        <w:t>Supozimet monetare janë hartuar në bashkëpunim me një ekip ekspertësh të Bankës Botërore, duke marrë në konsideratë strukturën e tregut shqiptar, numrin e shoqërive administruese dhe natyrën e kërkesave shtesë të parashikuara.</w:t>
      </w:r>
    </w:p>
    <w:p w14:paraId="4AFAB157" w14:textId="29DA5044" w:rsidR="001226EB" w:rsidRPr="007A737A" w:rsidRDefault="5E524632" w:rsidP="10652A40">
      <w:pPr>
        <w:spacing w:before="240" w:after="240" w:line="276" w:lineRule="auto"/>
      </w:pPr>
      <w:r w:rsidRPr="10652A40">
        <w:rPr>
          <w:lang w:val="sq-AL"/>
        </w:rPr>
        <w:t>Për Opsionin 1 përdoren këto supozime kryesore:</w:t>
      </w:r>
    </w:p>
    <w:p w14:paraId="45FF128C" w14:textId="1EE4D99D" w:rsidR="001226EB" w:rsidRPr="007A737A" w:rsidRDefault="5E524632" w:rsidP="10652A40">
      <w:pPr>
        <w:pStyle w:val="ListParagraph"/>
        <w:numPr>
          <w:ilvl w:val="0"/>
          <w:numId w:val="2"/>
        </w:numPr>
        <w:spacing w:after="0" w:line="276" w:lineRule="auto"/>
        <w:rPr>
          <w:rFonts w:ascii="Times New Roman" w:hAnsi="Times New Roman"/>
          <w:sz w:val="24"/>
          <w:lang w:val="sq-AL"/>
        </w:rPr>
      </w:pPr>
      <w:r w:rsidRPr="10652A40">
        <w:rPr>
          <w:rFonts w:ascii="Times New Roman" w:hAnsi="Times New Roman"/>
          <w:sz w:val="24"/>
          <w:lang w:val="sq-AL"/>
        </w:rPr>
        <w:t xml:space="preserve">katër shoqëri administruese; </w:t>
      </w:r>
    </w:p>
    <w:p w14:paraId="780C7E48" w14:textId="7CDEE3B3" w:rsidR="001226EB" w:rsidRPr="007A737A" w:rsidRDefault="5E524632" w:rsidP="10652A40">
      <w:pPr>
        <w:pStyle w:val="ListParagraph"/>
        <w:numPr>
          <w:ilvl w:val="0"/>
          <w:numId w:val="2"/>
        </w:numPr>
        <w:spacing w:after="0" w:line="276" w:lineRule="auto"/>
        <w:rPr>
          <w:rFonts w:ascii="Times New Roman" w:hAnsi="Times New Roman"/>
          <w:sz w:val="24"/>
          <w:lang w:val="sq-AL"/>
        </w:rPr>
      </w:pPr>
      <w:r w:rsidRPr="10652A40">
        <w:rPr>
          <w:rFonts w:ascii="Times New Roman" w:hAnsi="Times New Roman"/>
          <w:sz w:val="24"/>
          <w:lang w:val="sq-AL"/>
        </w:rPr>
        <w:t xml:space="preserve">kosto mesatare prej 1,25 milionë lekësh për çdo shoqëri administruese në vit; </w:t>
      </w:r>
    </w:p>
    <w:p w14:paraId="1715C2A5" w14:textId="49B790EC" w:rsidR="001226EB" w:rsidRPr="007A737A" w:rsidRDefault="5E524632" w:rsidP="10652A40">
      <w:pPr>
        <w:pStyle w:val="ListParagraph"/>
        <w:numPr>
          <w:ilvl w:val="0"/>
          <w:numId w:val="2"/>
        </w:numPr>
        <w:spacing w:after="0" w:line="276" w:lineRule="auto"/>
        <w:rPr>
          <w:rFonts w:ascii="Times New Roman" w:hAnsi="Times New Roman"/>
          <w:sz w:val="24"/>
          <w:lang w:val="sq-AL"/>
        </w:rPr>
      </w:pPr>
      <w:r w:rsidRPr="10652A40">
        <w:rPr>
          <w:rFonts w:ascii="Times New Roman" w:hAnsi="Times New Roman"/>
          <w:sz w:val="24"/>
          <w:lang w:val="sq-AL"/>
        </w:rPr>
        <w:t xml:space="preserve">kostoja zbatohet gjatë viteve 2, 3 dhe 4; </w:t>
      </w:r>
    </w:p>
    <w:p w14:paraId="299A9347" w14:textId="57BC424F" w:rsidR="001226EB" w:rsidRPr="007A737A" w:rsidRDefault="5E524632" w:rsidP="10652A40">
      <w:pPr>
        <w:pStyle w:val="ListParagraph"/>
        <w:numPr>
          <w:ilvl w:val="0"/>
          <w:numId w:val="2"/>
        </w:numPr>
        <w:spacing w:after="0" w:line="276" w:lineRule="auto"/>
        <w:rPr>
          <w:rFonts w:ascii="Times New Roman" w:hAnsi="Times New Roman"/>
          <w:sz w:val="24"/>
          <w:lang w:val="sq-AL"/>
        </w:rPr>
      </w:pPr>
      <w:r w:rsidRPr="10652A40">
        <w:rPr>
          <w:rFonts w:ascii="Times New Roman" w:hAnsi="Times New Roman"/>
          <w:sz w:val="24"/>
          <w:lang w:val="sq-AL"/>
        </w:rPr>
        <w:t xml:space="preserve">rritje bazë vjetore prej 7 për qind e numrit të anëtarëve dhe e aktiveve; </w:t>
      </w:r>
    </w:p>
    <w:p w14:paraId="0023A039" w14:textId="57890F3C" w:rsidR="001226EB" w:rsidRPr="007A737A" w:rsidRDefault="5E524632" w:rsidP="10652A40">
      <w:pPr>
        <w:pStyle w:val="ListParagraph"/>
        <w:numPr>
          <w:ilvl w:val="0"/>
          <w:numId w:val="2"/>
        </w:numPr>
        <w:spacing w:after="0" w:line="276" w:lineRule="auto"/>
        <w:rPr>
          <w:rFonts w:ascii="Times New Roman" w:hAnsi="Times New Roman"/>
          <w:sz w:val="24"/>
          <w:lang w:val="sq-AL"/>
        </w:rPr>
      </w:pPr>
      <w:r w:rsidRPr="10652A40">
        <w:rPr>
          <w:rFonts w:ascii="Times New Roman" w:hAnsi="Times New Roman"/>
          <w:sz w:val="24"/>
          <w:lang w:val="sq-AL"/>
        </w:rPr>
        <w:t xml:space="preserve">rritje shtesë prej 2 për qind e numrit të anëtarëve, e lidhur me përmirësimin e mundshëm të besimit në treg; </w:t>
      </w:r>
    </w:p>
    <w:p w14:paraId="7340E96D" w14:textId="481A3BB5" w:rsidR="001226EB" w:rsidRPr="007A737A" w:rsidRDefault="5E524632" w:rsidP="10652A40">
      <w:pPr>
        <w:pStyle w:val="ListParagraph"/>
        <w:numPr>
          <w:ilvl w:val="0"/>
          <w:numId w:val="2"/>
        </w:numPr>
        <w:spacing w:after="0" w:line="276" w:lineRule="auto"/>
        <w:rPr>
          <w:rFonts w:ascii="Times New Roman" w:hAnsi="Times New Roman"/>
          <w:sz w:val="24"/>
          <w:lang w:val="sq-AL"/>
        </w:rPr>
      </w:pPr>
      <w:r w:rsidRPr="10652A40">
        <w:rPr>
          <w:rFonts w:ascii="Times New Roman" w:hAnsi="Times New Roman"/>
          <w:sz w:val="24"/>
          <w:lang w:val="sq-AL"/>
        </w:rPr>
        <w:t xml:space="preserve">tarifë administrimi prej 2 për qind mbi kontributet dhe aktivet shtesë; </w:t>
      </w:r>
    </w:p>
    <w:p w14:paraId="6AD73ABE" w14:textId="53ABC99D" w:rsidR="001226EB" w:rsidRPr="007A737A" w:rsidRDefault="5E524632" w:rsidP="10652A40">
      <w:pPr>
        <w:pStyle w:val="ListParagraph"/>
        <w:numPr>
          <w:ilvl w:val="0"/>
          <w:numId w:val="2"/>
        </w:numPr>
        <w:spacing w:after="0" w:line="276" w:lineRule="auto"/>
        <w:rPr>
          <w:rFonts w:ascii="Times New Roman" w:hAnsi="Times New Roman"/>
          <w:sz w:val="24"/>
          <w:lang w:val="sq-AL"/>
        </w:rPr>
      </w:pPr>
      <w:r w:rsidRPr="10652A40">
        <w:rPr>
          <w:rFonts w:ascii="Times New Roman" w:hAnsi="Times New Roman"/>
          <w:sz w:val="24"/>
          <w:lang w:val="sq-AL"/>
        </w:rPr>
        <w:t xml:space="preserve">përmirësim prej 0,1 pikë përqindjeje i normës reale vjetore të kthimit, si rezultat i mundshëm i forcimit të qeverisjes dhe administrimit të rrezikut; </w:t>
      </w:r>
    </w:p>
    <w:p w14:paraId="0EF2BD8B" w14:textId="79BBFFA3" w:rsidR="001226EB" w:rsidRPr="007A737A" w:rsidRDefault="5E524632" w:rsidP="10652A40">
      <w:pPr>
        <w:pStyle w:val="ListParagraph"/>
        <w:numPr>
          <w:ilvl w:val="0"/>
          <w:numId w:val="2"/>
        </w:numPr>
        <w:spacing w:after="0" w:line="276" w:lineRule="auto"/>
        <w:rPr>
          <w:rFonts w:ascii="Times New Roman" w:hAnsi="Times New Roman"/>
          <w:sz w:val="24"/>
          <w:lang w:val="sq-AL"/>
        </w:rPr>
      </w:pPr>
      <w:r w:rsidRPr="10652A40">
        <w:rPr>
          <w:rFonts w:ascii="Times New Roman" w:hAnsi="Times New Roman"/>
          <w:sz w:val="24"/>
          <w:lang w:val="sq-AL"/>
        </w:rPr>
        <w:t xml:space="preserve">fillimi i përfitimeve të monetarizuara nga viti i tretë; </w:t>
      </w:r>
    </w:p>
    <w:p w14:paraId="149CD960" w14:textId="05927379" w:rsidR="001226EB" w:rsidRPr="007A737A" w:rsidRDefault="5E524632" w:rsidP="10652A40">
      <w:pPr>
        <w:pStyle w:val="ListParagraph"/>
        <w:numPr>
          <w:ilvl w:val="0"/>
          <w:numId w:val="2"/>
        </w:numPr>
        <w:spacing w:after="0" w:line="276" w:lineRule="auto"/>
        <w:rPr>
          <w:rFonts w:ascii="Times New Roman" w:hAnsi="Times New Roman"/>
          <w:sz w:val="24"/>
          <w:lang w:val="sq-AL"/>
        </w:rPr>
      </w:pPr>
      <w:r w:rsidRPr="10652A40">
        <w:rPr>
          <w:rFonts w:ascii="Times New Roman" w:hAnsi="Times New Roman"/>
          <w:sz w:val="24"/>
          <w:lang w:val="sq-AL"/>
        </w:rPr>
        <w:t xml:space="preserve">mungesë e kostove shtesë të monetarizuara për buxhetin e shtetit. </w:t>
      </w:r>
    </w:p>
    <w:p w14:paraId="633F8568" w14:textId="1BA8D247" w:rsidR="001226EB" w:rsidRPr="007A737A" w:rsidRDefault="5E524632" w:rsidP="10652A40">
      <w:pPr>
        <w:spacing w:before="240" w:after="240" w:line="276" w:lineRule="auto"/>
      </w:pPr>
      <w:r w:rsidRPr="10652A40">
        <w:rPr>
          <w:lang w:val="sq-AL"/>
        </w:rPr>
        <w:t>Për Opsionin 2 përdoren të njëjtat supozime për përfitimet, pasi kërkesat materiale janë të njëjta me ato të Opsionit 1. Kostoja mesatare për çdo shoqëri administruese vlerësohet në 1,35 milionë lekë në vit, duke përfshirë një shtesë të kufizuar prej 0,10 milionë lekësh për rishikimin juridik dhe administrativ që lidhet me shfuqizimin e ligjit nr. 76/2023 dhe kalimin në një bazë të re ligjore.</w:t>
      </w:r>
    </w:p>
    <w:p w14:paraId="33EA695F" w14:textId="5278BE8D" w:rsidR="001226EB" w:rsidRPr="007A737A" w:rsidRDefault="5E524632" w:rsidP="10652A40">
      <w:pPr>
        <w:spacing w:before="240" w:after="240" w:line="276" w:lineRule="auto"/>
      </w:pPr>
      <w:r w:rsidRPr="10652A40">
        <w:rPr>
          <w:lang w:val="sq-AL"/>
        </w:rPr>
        <w:t>Vlerat në tabelat e mëposhtme janë të rrumbullakosura. Për këtë arsye, shuma e vlerave vjetore të rrumbullakosura mund të ndryshojë lehtësisht nga vlera aktuale e përgjithshme e përllogaritur</w:t>
      </w:r>
    </w:p>
    <w:p w14:paraId="6B31A444" w14:textId="47B85A8D" w:rsidR="001226EB" w:rsidRPr="007A737A" w:rsidRDefault="5E524632" w:rsidP="10652A40">
      <w:pPr>
        <w:pStyle w:val="Heading2"/>
        <w:spacing w:before="299" w:after="299" w:line="276" w:lineRule="auto"/>
        <w:rPr>
          <w:i/>
          <w:iCs/>
          <w:sz w:val="24"/>
          <w:szCs w:val="24"/>
          <w:lang w:val="sq-AL"/>
        </w:rPr>
      </w:pPr>
      <w:r w:rsidRPr="10652A40">
        <w:rPr>
          <w:i/>
          <w:iCs/>
          <w:sz w:val="24"/>
          <w:szCs w:val="24"/>
          <w:lang w:val="sq-AL"/>
        </w:rPr>
        <w:t>2. Opsioni 0 – Status quo</w:t>
      </w:r>
    </w:p>
    <w:p w14:paraId="433ECB59" w14:textId="2819BDE5" w:rsidR="001226EB" w:rsidRPr="007A737A" w:rsidRDefault="5E524632" w:rsidP="10652A40">
      <w:pPr>
        <w:spacing w:before="240" w:after="240" w:line="276" w:lineRule="auto"/>
      </w:pPr>
      <w:r w:rsidRPr="10652A40">
        <w:rPr>
          <w:lang w:val="sq-AL"/>
        </w:rPr>
        <w:t>Opsioni 0 përbën bazën e krahasimit. Meqenëse nuk ndërmerret ndërhyrje e re, kostot dhe përfitimet shtesë kundrejt gjendjes ekzistuese janë zero për të gjithë periudhën e vlerësimit.</w:t>
      </w:r>
    </w:p>
    <w:tbl>
      <w:tblPr>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6A0" w:firstRow="1" w:lastRow="0" w:firstColumn="1" w:lastColumn="0" w:noHBand="1" w:noVBand="1"/>
      </w:tblPr>
      <w:tblGrid>
        <w:gridCol w:w="3479"/>
        <w:gridCol w:w="3346"/>
      </w:tblGrid>
      <w:tr w:rsidR="10652A40" w14:paraId="1308FA49" w14:textId="77777777" w:rsidTr="10652A40">
        <w:trPr>
          <w:trHeight w:val="300"/>
        </w:trPr>
        <w:tc>
          <w:tcPr>
            <w:tcW w:w="3479" w:type="dxa"/>
            <w:vAlign w:val="center"/>
          </w:tcPr>
          <w:p w14:paraId="1A7DB44B" w14:textId="2A565F95" w:rsidR="10652A40" w:rsidRDefault="10652A40" w:rsidP="10652A40">
            <w:pPr>
              <w:jc w:val="center"/>
            </w:pPr>
            <w:r w:rsidRPr="10652A40">
              <w:rPr>
                <w:b/>
                <w:bCs/>
                <w:lang w:val="en-US"/>
              </w:rPr>
              <w:t>Treguesi</w:t>
            </w:r>
          </w:p>
        </w:tc>
        <w:tc>
          <w:tcPr>
            <w:tcW w:w="3346" w:type="dxa"/>
            <w:vAlign w:val="center"/>
          </w:tcPr>
          <w:p w14:paraId="728AB86C" w14:textId="69742F3C" w:rsidR="10652A40" w:rsidRDefault="10652A40" w:rsidP="10652A40">
            <w:pPr>
              <w:jc w:val="center"/>
            </w:pPr>
            <w:r w:rsidRPr="10652A40">
              <w:rPr>
                <w:b/>
                <w:bCs/>
                <w:lang w:val="en-US"/>
              </w:rPr>
              <w:t>Vlera aktuale, në milionë lekë</w:t>
            </w:r>
          </w:p>
        </w:tc>
      </w:tr>
      <w:tr w:rsidR="10652A40" w14:paraId="12487FD3" w14:textId="77777777" w:rsidTr="10652A40">
        <w:trPr>
          <w:trHeight w:val="300"/>
        </w:trPr>
        <w:tc>
          <w:tcPr>
            <w:tcW w:w="3479" w:type="dxa"/>
            <w:vAlign w:val="center"/>
          </w:tcPr>
          <w:p w14:paraId="133B0968" w14:textId="295D7528" w:rsidR="10652A40" w:rsidRDefault="10652A40" w:rsidP="10652A40">
            <w:r w:rsidRPr="10652A40">
              <w:rPr>
                <w:lang w:val="en-US"/>
              </w:rPr>
              <w:t>Vlera aktuale e kostos në total</w:t>
            </w:r>
          </w:p>
        </w:tc>
        <w:tc>
          <w:tcPr>
            <w:tcW w:w="3346" w:type="dxa"/>
            <w:vAlign w:val="center"/>
          </w:tcPr>
          <w:p w14:paraId="443C9B00" w14:textId="0A95AF7F" w:rsidR="10652A40" w:rsidRDefault="10652A40" w:rsidP="10652A40">
            <w:r>
              <w:t>0</w:t>
            </w:r>
          </w:p>
        </w:tc>
      </w:tr>
      <w:tr w:rsidR="10652A40" w14:paraId="5ADE73BF" w14:textId="77777777" w:rsidTr="10652A40">
        <w:trPr>
          <w:trHeight w:val="300"/>
        </w:trPr>
        <w:tc>
          <w:tcPr>
            <w:tcW w:w="3479" w:type="dxa"/>
            <w:vAlign w:val="center"/>
          </w:tcPr>
          <w:p w14:paraId="62F7295F" w14:textId="1706358D" w:rsidR="10652A40" w:rsidRDefault="10652A40" w:rsidP="10652A40">
            <w:r w:rsidRPr="10652A40">
              <w:rPr>
                <w:lang w:val="en-US"/>
              </w:rPr>
              <w:t>Vlera aktuale e përfitimit në total</w:t>
            </w:r>
          </w:p>
        </w:tc>
        <w:tc>
          <w:tcPr>
            <w:tcW w:w="3346" w:type="dxa"/>
            <w:vAlign w:val="center"/>
          </w:tcPr>
          <w:p w14:paraId="3E6F2804" w14:textId="3A5C1E34" w:rsidR="10652A40" w:rsidRDefault="10652A40" w:rsidP="10652A40">
            <w:r>
              <w:t>0</w:t>
            </w:r>
          </w:p>
        </w:tc>
      </w:tr>
      <w:tr w:rsidR="10652A40" w14:paraId="3226D42D" w14:textId="77777777" w:rsidTr="10652A40">
        <w:trPr>
          <w:trHeight w:val="300"/>
        </w:trPr>
        <w:tc>
          <w:tcPr>
            <w:tcW w:w="3479" w:type="dxa"/>
            <w:vAlign w:val="center"/>
          </w:tcPr>
          <w:p w14:paraId="308FE8CD" w14:textId="284AE682" w:rsidR="10652A40" w:rsidRDefault="10652A40" w:rsidP="10652A40">
            <w:r w:rsidRPr="10652A40">
              <w:rPr>
                <w:b/>
                <w:bCs/>
                <w:lang w:val="en-US"/>
              </w:rPr>
              <w:t>Vlera aktuale neto (VAN)</w:t>
            </w:r>
          </w:p>
        </w:tc>
        <w:tc>
          <w:tcPr>
            <w:tcW w:w="3346" w:type="dxa"/>
            <w:vAlign w:val="center"/>
          </w:tcPr>
          <w:p w14:paraId="572D9C5C" w14:textId="61A116C5" w:rsidR="10652A40" w:rsidRDefault="10652A40" w:rsidP="10652A40">
            <w:r w:rsidRPr="10652A40">
              <w:rPr>
                <w:b/>
                <w:bCs/>
              </w:rPr>
              <w:t>0</w:t>
            </w:r>
          </w:p>
        </w:tc>
      </w:tr>
    </w:tbl>
    <w:p w14:paraId="11A4F14D" w14:textId="3ED55205" w:rsidR="001226EB" w:rsidRPr="007A737A" w:rsidRDefault="797A9071" w:rsidP="10652A40">
      <w:pPr>
        <w:spacing w:before="240" w:after="240" w:line="276" w:lineRule="auto"/>
      </w:pPr>
      <w:r w:rsidRPr="10652A40">
        <w:rPr>
          <w:lang w:val="sq-AL"/>
        </w:rPr>
        <w:t>Vlera zero nuk nënkupton mungesën e kostove të mundësisë ose të përfitimeve të munguara nga mosrealizimi i ndërhyrjes. Këto ndikime nuk mund të monetarizohen në mënyrë të besueshme dhe, për rrjedhojë, nuk përfshihen në VAN.</w:t>
      </w:r>
    </w:p>
    <w:p w14:paraId="3A6D3D57" w14:textId="770C5B63" w:rsidR="001226EB" w:rsidRPr="007A737A" w:rsidRDefault="239F4E7E" w:rsidP="10652A40">
      <w:pPr>
        <w:pStyle w:val="Heading2"/>
        <w:spacing w:before="299" w:after="299" w:line="276" w:lineRule="auto"/>
        <w:rPr>
          <w:i/>
          <w:iCs/>
          <w:sz w:val="24"/>
          <w:szCs w:val="24"/>
          <w:lang w:val="sq-AL"/>
        </w:rPr>
      </w:pPr>
      <w:r w:rsidRPr="10652A40">
        <w:rPr>
          <w:i/>
          <w:iCs/>
          <w:sz w:val="24"/>
          <w:szCs w:val="24"/>
          <w:lang w:val="sq-AL"/>
        </w:rPr>
        <w:t>3. Opsioni jorregullator</w:t>
      </w:r>
    </w:p>
    <w:p w14:paraId="4B99A5D3" w14:textId="08355D11" w:rsidR="001226EB" w:rsidRPr="007A737A" w:rsidRDefault="239F4E7E" w:rsidP="10652A40">
      <w:pPr>
        <w:spacing w:before="240" w:after="240" w:line="276" w:lineRule="auto"/>
      </w:pPr>
      <w:r w:rsidRPr="10652A40">
        <w:rPr>
          <w:lang w:val="sq-AL"/>
        </w:rPr>
        <w:t>Për opsionin jorregullator nuk përllogaritet një VAN numerike. Ky opsion mund të krijojë kosto të kufizuara për hartimin e udhëzimeve, zhvillimin e trajnimeve dhe përshtatjen vullnetare të praktikave të subjekteve, si dhe përfitime të mundshme nga përmirësimi i pjesshëm i qeverisjes dhe informimit.</w:t>
      </w:r>
    </w:p>
    <w:p w14:paraId="674F0CA5" w14:textId="5E6428FC" w:rsidR="001226EB" w:rsidRPr="007A737A" w:rsidRDefault="239F4E7E" w:rsidP="10652A40">
      <w:pPr>
        <w:spacing w:before="240" w:after="240" w:line="276" w:lineRule="auto"/>
      </w:pPr>
      <w:r w:rsidRPr="10652A40">
        <w:rPr>
          <w:lang w:val="sq-AL"/>
        </w:rPr>
        <w:t>Megjithatë, nuk disponohen të dhëna të mjaftueshme për:</w:t>
      </w:r>
    </w:p>
    <w:p w14:paraId="125683DF" w14:textId="5475F9ED" w:rsidR="001226EB" w:rsidRPr="007A737A" w:rsidRDefault="239F4E7E" w:rsidP="10652A40">
      <w:pPr>
        <w:pStyle w:val="ListParagraph"/>
        <w:numPr>
          <w:ilvl w:val="0"/>
          <w:numId w:val="1"/>
        </w:numPr>
        <w:spacing w:after="0" w:line="276" w:lineRule="auto"/>
        <w:rPr>
          <w:rFonts w:ascii="Times New Roman" w:hAnsi="Times New Roman"/>
          <w:sz w:val="24"/>
          <w:lang w:val="sq-AL"/>
        </w:rPr>
      </w:pPr>
      <w:r w:rsidRPr="10652A40">
        <w:rPr>
          <w:rFonts w:ascii="Times New Roman" w:hAnsi="Times New Roman"/>
          <w:sz w:val="24"/>
          <w:lang w:val="sq-AL"/>
        </w:rPr>
        <w:t xml:space="preserve">numrin e subjekteve që do t’i zbatonin masat vullnetarisht; </w:t>
      </w:r>
    </w:p>
    <w:p w14:paraId="66A9D8FF" w14:textId="33E926AD" w:rsidR="001226EB" w:rsidRPr="007A737A" w:rsidRDefault="239F4E7E" w:rsidP="10652A40">
      <w:pPr>
        <w:pStyle w:val="ListParagraph"/>
        <w:numPr>
          <w:ilvl w:val="0"/>
          <w:numId w:val="1"/>
        </w:numPr>
        <w:spacing w:after="0" w:line="276" w:lineRule="auto"/>
        <w:rPr>
          <w:rFonts w:ascii="Times New Roman" w:hAnsi="Times New Roman"/>
          <w:sz w:val="24"/>
          <w:lang w:val="sq-AL"/>
        </w:rPr>
      </w:pPr>
      <w:r w:rsidRPr="10652A40">
        <w:rPr>
          <w:rFonts w:ascii="Times New Roman" w:hAnsi="Times New Roman"/>
          <w:sz w:val="24"/>
          <w:lang w:val="sq-AL"/>
        </w:rPr>
        <w:t xml:space="preserve">shkallën dhe kohëzgjatjen e zbatimit; </w:t>
      </w:r>
    </w:p>
    <w:p w14:paraId="4986211B" w14:textId="4616919A" w:rsidR="001226EB" w:rsidRPr="007A737A" w:rsidRDefault="239F4E7E" w:rsidP="10652A40">
      <w:pPr>
        <w:pStyle w:val="ListParagraph"/>
        <w:numPr>
          <w:ilvl w:val="0"/>
          <w:numId w:val="1"/>
        </w:numPr>
        <w:spacing w:after="0" w:line="276" w:lineRule="auto"/>
        <w:rPr>
          <w:rFonts w:ascii="Times New Roman" w:hAnsi="Times New Roman"/>
          <w:sz w:val="24"/>
          <w:lang w:val="sq-AL"/>
        </w:rPr>
      </w:pPr>
      <w:r w:rsidRPr="10652A40">
        <w:rPr>
          <w:rFonts w:ascii="Times New Roman" w:hAnsi="Times New Roman"/>
          <w:sz w:val="24"/>
          <w:lang w:val="sq-AL"/>
        </w:rPr>
        <w:t xml:space="preserve">kostot e trajnimit dhe përshtatjes; </w:t>
      </w:r>
    </w:p>
    <w:p w14:paraId="66E0D023" w14:textId="3F3B4FB3" w:rsidR="001226EB" w:rsidRPr="007A737A" w:rsidRDefault="239F4E7E" w:rsidP="10652A40">
      <w:pPr>
        <w:pStyle w:val="ListParagraph"/>
        <w:numPr>
          <w:ilvl w:val="0"/>
          <w:numId w:val="1"/>
        </w:numPr>
        <w:spacing w:after="0" w:line="276" w:lineRule="auto"/>
        <w:rPr>
          <w:rFonts w:ascii="Times New Roman" w:hAnsi="Times New Roman"/>
          <w:sz w:val="24"/>
          <w:lang w:val="sq-AL"/>
        </w:rPr>
      </w:pPr>
      <w:r w:rsidRPr="10652A40">
        <w:rPr>
          <w:rFonts w:ascii="Times New Roman" w:hAnsi="Times New Roman"/>
          <w:sz w:val="24"/>
          <w:lang w:val="sq-AL"/>
        </w:rPr>
        <w:t xml:space="preserve">ndikimin e masave mbi anëtarësimin, aktivet ose kthimin nga investimi. </w:t>
      </w:r>
    </w:p>
    <w:p w14:paraId="544F1825" w14:textId="25AE6EDF" w:rsidR="001226EB" w:rsidRPr="007A737A" w:rsidRDefault="239F4E7E" w:rsidP="10652A40">
      <w:pPr>
        <w:spacing w:before="240" w:after="240" w:line="276" w:lineRule="auto"/>
      </w:pPr>
      <w:r w:rsidRPr="10652A40">
        <w:rPr>
          <w:lang w:val="sq-AL"/>
        </w:rPr>
        <w:t>Për këtë arsye, kostot dhe përfitimet e këtij opsioni vlerësohen vetëm në mënyrë cilësore dhe nuk paraqiten me vlerë monetare në Shtojcën 2/a.</w:t>
      </w:r>
    </w:p>
    <w:p w14:paraId="1F4622FD" w14:textId="1EA21832" w:rsidR="001226EB" w:rsidRPr="007A737A" w:rsidRDefault="001226EB" w:rsidP="10652A40">
      <w:pPr>
        <w:spacing w:before="240" w:after="240" w:line="276" w:lineRule="auto"/>
        <w:rPr>
          <w:lang w:val="sq-AL"/>
        </w:rPr>
      </w:pPr>
    </w:p>
    <w:p w14:paraId="60572C48" w14:textId="50565EE4" w:rsidR="001226EB" w:rsidRPr="007A737A" w:rsidRDefault="239F4E7E" w:rsidP="10652A40">
      <w:pPr>
        <w:pStyle w:val="Heading2"/>
        <w:spacing w:before="299" w:after="299" w:line="276" w:lineRule="auto"/>
        <w:rPr>
          <w:i/>
          <w:iCs/>
          <w:sz w:val="24"/>
          <w:szCs w:val="24"/>
          <w:lang w:val="sq-AL"/>
        </w:rPr>
      </w:pPr>
      <w:r w:rsidRPr="10652A40">
        <w:rPr>
          <w:i/>
          <w:iCs/>
          <w:sz w:val="24"/>
          <w:szCs w:val="24"/>
          <w:lang w:val="sq-AL"/>
        </w:rPr>
        <w:t>4. Opsioni 1 – Miratimi i shtesave dhe ndryshimeve në ligjin nr. 76/2023</w:t>
      </w:r>
    </w:p>
    <w:p w14:paraId="6B79BC85" w14:textId="78848599" w:rsidR="001226EB" w:rsidRPr="007A737A" w:rsidRDefault="239F4E7E" w:rsidP="10652A40">
      <w:pPr>
        <w:pStyle w:val="Heading3"/>
        <w:spacing w:before="281" w:after="281" w:line="276" w:lineRule="auto"/>
        <w:rPr>
          <w:lang w:val="sq-AL"/>
        </w:rPr>
      </w:pPr>
      <w:r w:rsidRPr="10652A40">
        <w:rPr>
          <w:lang w:val="sq-AL"/>
        </w:rPr>
        <w:t>Vlera aktuale neto e Opsionit 1</w:t>
      </w:r>
    </w:p>
    <w:p w14:paraId="0CDB2E6E" w14:textId="5FF8879B" w:rsidR="001226EB" w:rsidRPr="007A737A" w:rsidRDefault="239F4E7E" w:rsidP="10652A40">
      <w:pPr>
        <w:spacing w:before="240" w:after="240" w:line="276" w:lineRule="auto"/>
      </w:pPr>
      <w:r w:rsidRPr="10652A40">
        <w:rPr>
          <w:i/>
          <w:iCs/>
          <w:lang w:val="sq-AL"/>
        </w:rPr>
        <w:t>Në milionë lekë</w:t>
      </w:r>
    </w:p>
    <w:tbl>
      <w:tblPr>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6A0" w:firstRow="1" w:lastRow="0" w:firstColumn="1" w:lastColumn="0" w:noHBand="1" w:noVBand="1"/>
      </w:tblPr>
      <w:tblGrid>
        <w:gridCol w:w="3479"/>
        <w:gridCol w:w="642"/>
        <w:gridCol w:w="1116"/>
        <w:gridCol w:w="1116"/>
        <w:gridCol w:w="1116"/>
        <w:gridCol w:w="1116"/>
        <w:gridCol w:w="1116"/>
        <w:gridCol w:w="1116"/>
        <w:gridCol w:w="1116"/>
        <w:gridCol w:w="1116"/>
        <w:gridCol w:w="1116"/>
        <w:gridCol w:w="1116"/>
      </w:tblGrid>
      <w:tr w:rsidR="10652A40" w14:paraId="5686F9FA" w14:textId="77777777" w:rsidTr="10652A40">
        <w:trPr>
          <w:trHeight w:val="300"/>
        </w:trPr>
        <w:tc>
          <w:tcPr>
            <w:tcW w:w="4121" w:type="dxa"/>
            <w:gridSpan w:val="2"/>
            <w:vAlign w:val="center"/>
          </w:tcPr>
          <w:p w14:paraId="08A2A885" w14:textId="01B73477" w:rsidR="10652A40" w:rsidRDefault="10652A40"/>
        </w:tc>
        <w:tc>
          <w:tcPr>
            <w:tcW w:w="900" w:type="dxa"/>
            <w:vAlign w:val="center"/>
          </w:tcPr>
          <w:p w14:paraId="22D465D0" w14:textId="25DBA8C8" w:rsidR="10652A40" w:rsidRDefault="10652A40" w:rsidP="10652A40">
            <w:pPr>
              <w:jc w:val="center"/>
            </w:pPr>
            <w:r w:rsidRPr="10652A40">
              <w:rPr>
                <w:b/>
                <w:bCs/>
              </w:rPr>
              <w:t>Viti 1</w:t>
            </w:r>
          </w:p>
        </w:tc>
        <w:tc>
          <w:tcPr>
            <w:tcW w:w="900" w:type="dxa"/>
            <w:vAlign w:val="center"/>
          </w:tcPr>
          <w:p w14:paraId="5B1C1621" w14:textId="1747DF6C" w:rsidR="10652A40" w:rsidRDefault="10652A40" w:rsidP="10652A40">
            <w:pPr>
              <w:jc w:val="center"/>
            </w:pPr>
            <w:r w:rsidRPr="10652A40">
              <w:rPr>
                <w:b/>
                <w:bCs/>
              </w:rPr>
              <w:t>Viti 2</w:t>
            </w:r>
          </w:p>
        </w:tc>
        <w:tc>
          <w:tcPr>
            <w:tcW w:w="900" w:type="dxa"/>
            <w:vAlign w:val="center"/>
          </w:tcPr>
          <w:p w14:paraId="06102B35" w14:textId="119F981E" w:rsidR="10652A40" w:rsidRDefault="10652A40" w:rsidP="10652A40">
            <w:pPr>
              <w:jc w:val="center"/>
            </w:pPr>
            <w:r w:rsidRPr="10652A40">
              <w:rPr>
                <w:b/>
                <w:bCs/>
              </w:rPr>
              <w:t>Viti 3</w:t>
            </w:r>
          </w:p>
        </w:tc>
        <w:tc>
          <w:tcPr>
            <w:tcW w:w="900" w:type="dxa"/>
            <w:vAlign w:val="center"/>
          </w:tcPr>
          <w:p w14:paraId="7367185D" w14:textId="2C7E5E7A" w:rsidR="10652A40" w:rsidRDefault="10652A40" w:rsidP="10652A40">
            <w:pPr>
              <w:jc w:val="center"/>
            </w:pPr>
            <w:r w:rsidRPr="10652A40">
              <w:rPr>
                <w:b/>
                <w:bCs/>
              </w:rPr>
              <w:t>Viti 4</w:t>
            </w:r>
          </w:p>
        </w:tc>
        <w:tc>
          <w:tcPr>
            <w:tcW w:w="900" w:type="dxa"/>
            <w:vAlign w:val="center"/>
          </w:tcPr>
          <w:p w14:paraId="667217D0" w14:textId="6D0A34F9" w:rsidR="10652A40" w:rsidRDefault="10652A40" w:rsidP="10652A40">
            <w:pPr>
              <w:jc w:val="center"/>
            </w:pPr>
            <w:r w:rsidRPr="10652A40">
              <w:rPr>
                <w:b/>
                <w:bCs/>
              </w:rPr>
              <w:t>Viti 5</w:t>
            </w:r>
          </w:p>
        </w:tc>
        <w:tc>
          <w:tcPr>
            <w:tcW w:w="900" w:type="dxa"/>
            <w:vAlign w:val="center"/>
          </w:tcPr>
          <w:p w14:paraId="5CC56E4D" w14:textId="5BDBFF07" w:rsidR="10652A40" w:rsidRDefault="10652A40" w:rsidP="10652A40">
            <w:pPr>
              <w:jc w:val="center"/>
            </w:pPr>
            <w:r w:rsidRPr="10652A40">
              <w:rPr>
                <w:b/>
                <w:bCs/>
              </w:rPr>
              <w:t>Viti 6</w:t>
            </w:r>
          </w:p>
        </w:tc>
        <w:tc>
          <w:tcPr>
            <w:tcW w:w="900" w:type="dxa"/>
            <w:vAlign w:val="center"/>
          </w:tcPr>
          <w:p w14:paraId="5A4CBDF9" w14:textId="7C15091A" w:rsidR="10652A40" w:rsidRDefault="10652A40" w:rsidP="10652A40">
            <w:pPr>
              <w:jc w:val="center"/>
            </w:pPr>
            <w:r w:rsidRPr="10652A40">
              <w:rPr>
                <w:b/>
                <w:bCs/>
              </w:rPr>
              <w:t>Viti 7</w:t>
            </w:r>
          </w:p>
        </w:tc>
        <w:tc>
          <w:tcPr>
            <w:tcW w:w="900" w:type="dxa"/>
            <w:vAlign w:val="center"/>
          </w:tcPr>
          <w:p w14:paraId="55B6921A" w14:textId="4F70BAE1" w:rsidR="10652A40" w:rsidRDefault="10652A40" w:rsidP="10652A40">
            <w:pPr>
              <w:jc w:val="center"/>
            </w:pPr>
            <w:r w:rsidRPr="10652A40">
              <w:rPr>
                <w:b/>
                <w:bCs/>
              </w:rPr>
              <w:t>Viti 8</w:t>
            </w:r>
          </w:p>
        </w:tc>
        <w:tc>
          <w:tcPr>
            <w:tcW w:w="900" w:type="dxa"/>
            <w:vAlign w:val="center"/>
          </w:tcPr>
          <w:p w14:paraId="572E3097" w14:textId="2E5606C0" w:rsidR="10652A40" w:rsidRDefault="10652A40" w:rsidP="10652A40">
            <w:pPr>
              <w:jc w:val="center"/>
            </w:pPr>
            <w:r w:rsidRPr="10652A40">
              <w:rPr>
                <w:b/>
                <w:bCs/>
              </w:rPr>
              <w:t>Viti 9</w:t>
            </w:r>
          </w:p>
        </w:tc>
        <w:tc>
          <w:tcPr>
            <w:tcW w:w="900" w:type="dxa"/>
            <w:vAlign w:val="center"/>
          </w:tcPr>
          <w:p w14:paraId="1D322BB5" w14:textId="6CBF7EF1" w:rsidR="10652A40" w:rsidRDefault="10652A40" w:rsidP="10652A40">
            <w:pPr>
              <w:jc w:val="center"/>
            </w:pPr>
            <w:r w:rsidRPr="10652A40">
              <w:rPr>
                <w:b/>
                <w:bCs/>
              </w:rPr>
              <w:t>Viti 10</w:t>
            </w:r>
          </w:p>
        </w:tc>
      </w:tr>
      <w:tr w:rsidR="10652A40" w14:paraId="03E1240C" w14:textId="77777777" w:rsidTr="10652A40">
        <w:trPr>
          <w:trHeight w:val="300"/>
        </w:trPr>
        <w:tc>
          <w:tcPr>
            <w:tcW w:w="4121" w:type="dxa"/>
            <w:gridSpan w:val="2"/>
            <w:vAlign w:val="center"/>
          </w:tcPr>
          <w:p w14:paraId="410EC8C9" w14:textId="22243272" w:rsidR="10652A40" w:rsidRDefault="10652A40" w:rsidP="10652A40">
            <w:r w:rsidRPr="10652A40">
              <w:rPr>
                <w:b/>
                <w:bCs/>
                <w:lang w:val="en-US"/>
              </w:rPr>
              <w:t>Faktori i skontimit</w:t>
            </w:r>
          </w:p>
        </w:tc>
        <w:tc>
          <w:tcPr>
            <w:tcW w:w="900" w:type="dxa"/>
            <w:vAlign w:val="center"/>
          </w:tcPr>
          <w:p w14:paraId="20E9699B" w14:textId="47BC67CE" w:rsidR="10652A40" w:rsidRDefault="10652A40" w:rsidP="10652A40">
            <w:r>
              <w:t>0,952381</w:t>
            </w:r>
          </w:p>
        </w:tc>
        <w:tc>
          <w:tcPr>
            <w:tcW w:w="900" w:type="dxa"/>
            <w:vAlign w:val="center"/>
          </w:tcPr>
          <w:p w14:paraId="3C1AD05D" w14:textId="1B047071" w:rsidR="10652A40" w:rsidRDefault="10652A40" w:rsidP="10652A40">
            <w:r>
              <w:t>0,907030</w:t>
            </w:r>
          </w:p>
        </w:tc>
        <w:tc>
          <w:tcPr>
            <w:tcW w:w="900" w:type="dxa"/>
            <w:vAlign w:val="center"/>
          </w:tcPr>
          <w:p w14:paraId="59124C68" w14:textId="53633DFC" w:rsidR="10652A40" w:rsidRDefault="10652A40" w:rsidP="10652A40">
            <w:r>
              <w:t>0,863840</w:t>
            </w:r>
          </w:p>
        </w:tc>
        <w:tc>
          <w:tcPr>
            <w:tcW w:w="900" w:type="dxa"/>
            <w:vAlign w:val="center"/>
          </w:tcPr>
          <w:p w14:paraId="6D59BA07" w14:textId="7A96D540" w:rsidR="10652A40" w:rsidRDefault="10652A40" w:rsidP="10652A40">
            <w:r>
              <w:t>0,822700</w:t>
            </w:r>
          </w:p>
        </w:tc>
        <w:tc>
          <w:tcPr>
            <w:tcW w:w="900" w:type="dxa"/>
            <w:vAlign w:val="center"/>
          </w:tcPr>
          <w:p w14:paraId="38A86CA7" w14:textId="0ED07F2A" w:rsidR="10652A40" w:rsidRDefault="10652A40" w:rsidP="10652A40">
            <w:r>
              <w:t>0,783530</w:t>
            </w:r>
          </w:p>
        </w:tc>
        <w:tc>
          <w:tcPr>
            <w:tcW w:w="900" w:type="dxa"/>
            <w:vAlign w:val="center"/>
          </w:tcPr>
          <w:p w14:paraId="4A0230DD" w14:textId="531E30CC" w:rsidR="10652A40" w:rsidRDefault="10652A40" w:rsidP="10652A40">
            <w:r>
              <w:t>0,746220</w:t>
            </w:r>
          </w:p>
        </w:tc>
        <w:tc>
          <w:tcPr>
            <w:tcW w:w="900" w:type="dxa"/>
            <w:vAlign w:val="center"/>
          </w:tcPr>
          <w:p w14:paraId="6B2D0C54" w14:textId="5888D114" w:rsidR="10652A40" w:rsidRDefault="10652A40" w:rsidP="10652A40">
            <w:r>
              <w:t>0,710680</w:t>
            </w:r>
          </w:p>
        </w:tc>
        <w:tc>
          <w:tcPr>
            <w:tcW w:w="900" w:type="dxa"/>
            <w:vAlign w:val="center"/>
          </w:tcPr>
          <w:p w14:paraId="1D1EF689" w14:textId="6A45CF81" w:rsidR="10652A40" w:rsidRDefault="10652A40" w:rsidP="10652A40">
            <w:r>
              <w:t>0,676840</w:t>
            </w:r>
          </w:p>
        </w:tc>
        <w:tc>
          <w:tcPr>
            <w:tcW w:w="900" w:type="dxa"/>
            <w:vAlign w:val="center"/>
          </w:tcPr>
          <w:p w14:paraId="64E45C09" w14:textId="063DC78A" w:rsidR="10652A40" w:rsidRDefault="10652A40" w:rsidP="10652A40">
            <w:r>
              <w:t>0,644610</w:t>
            </w:r>
          </w:p>
        </w:tc>
        <w:tc>
          <w:tcPr>
            <w:tcW w:w="900" w:type="dxa"/>
            <w:vAlign w:val="center"/>
          </w:tcPr>
          <w:p w14:paraId="30B43AFD" w14:textId="63CE551A" w:rsidR="10652A40" w:rsidRDefault="10652A40" w:rsidP="10652A40">
            <w:r>
              <w:t>0,613910</w:t>
            </w:r>
          </w:p>
        </w:tc>
      </w:tr>
      <w:tr w:rsidR="10652A40" w14:paraId="3055E61D" w14:textId="77777777" w:rsidTr="10652A40">
        <w:trPr>
          <w:trHeight w:val="300"/>
        </w:trPr>
        <w:tc>
          <w:tcPr>
            <w:tcW w:w="4121" w:type="dxa"/>
            <w:gridSpan w:val="2"/>
            <w:vAlign w:val="center"/>
          </w:tcPr>
          <w:p w14:paraId="2E2E5AC7" w14:textId="734255BB" w:rsidR="10652A40" w:rsidRDefault="10652A40" w:rsidP="10652A40">
            <w:r w:rsidRPr="10652A40">
              <w:rPr>
                <w:b/>
                <w:bCs/>
                <w:lang w:val="en-US"/>
              </w:rPr>
              <w:t>Kosto për buxhetin – një herë</w:t>
            </w:r>
          </w:p>
        </w:tc>
        <w:tc>
          <w:tcPr>
            <w:tcW w:w="900" w:type="dxa"/>
            <w:vAlign w:val="center"/>
          </w:tcPr>
          <w:p w14:paraId="751B26C2" w14:textId="3A97625A" w:rsidR="10652A40" w:rsidRDefault="10652A40" w:rsidP="10652A40">
            <w:r>
              <w:t>0</w:t>
            </w:r>
          </w:p>
        </w:tc>
        <w:tc>
          <w:tcPr>
            <w:tcW w:w="900" w:type="dxa"/>
            <w:vAlign w:val="center"/>
          </w:tcPr>
          <w:p w14:paraId="078EAA15" w14:textId="0AFB6123" w:rsidR="10652A40" w:rsidRDefault="10652A40" w:rsidP="10652A40">
            <w:r>
              <w:t>0</w:t>
            </w:r>
          </w:p>
        </w:tc>
        <w:tc>
          <w:tcPr>
            <w:tcW w:w="900" w:type="dxa"/>
            <w:vAlign w:val="center"/>
          </w:tcPr>
          <w:p w14:paraId="4FBFF7CA" w14:textId="50AA700D" w:rsidR="10652A40" w:rsidRDefault="10652A40" w:rsidP="10652A40">
            <w:r>
              <w:t>0</w:t>
            </w:r>
          </w:p>
        </w:tc>
        <w:tc>
          <w:tcPr>
            <w:tcW w:w="900" w:type="dxa"/>
            <w:vAlign w:val="center"/>
          </w:tcPr>
          <w:p w14:paraId="7C9C5FBF" w14:textId="09E99DCA" w:rsidR="10652A40" w:rsidRDefault="10652A40" w:rsidP="10652A40">
            <w:r>
              <w:t>0</w:t>
            </w:r>
          </w:p>
        </w:tc>
        <w:tc>
          <w:tcPr>
            <w:tcW w:w="900" w:type="dxa"/>
            <w:vAlign w:val="center"/>
          </w:tcPr>
          <w:p w14:paraId="7B814AB4" w14:textId="7796D661" w:rsidR="10652A40" w:rsidRDefault="10652A40" w:rsidP="10652A40">
            <w:r>
              <w:t>0</w:t>
            </w:r>
          </w:p>
        </w:tc>
        <w:tc>
          <w:tcPr>
            <w:tcW w:w="900" w:type="dxa"/>
            <w:vAlign w:val="center"/>
          </w:tcPr>
          <w:p w14:paraId="589697C8" w14:textId="3D5D758F" w:rsidR="10652A40" w:rsidRDefault="10652A40" w:rsidP="10652A40">
            <w:r>
              <w:t>0</w:t>
            </w:r>
          </w:p>
        </w:tc>
        <w:tc>
          <w:tcPr>
            <w:tcW w:w="900" w:type="dxa"/>
            <w:vAlign w:val="center"/>
          </w:tcPr>
          <w:p w14:paraId="1430C9F0" w14:textId="199C80C2" w:rsidR="10652A40" w:rsidRDefault="10652A40" w:rsidP="10652A40">
            <w:r>
              <w:t>0</w:t>
            </w:r>
          </w:p>
        </w:tc>
        <w:tc>
          <w:tcPr>
            <w:tcW w:w="900" w:type="dxa"/>
            <w:vAlign w:val="center"/>
          </w:tcPr>
          <w:p w14:paraId="051C734A" w14:textId="721B3F36" w:rsidR="10652A40" w:rsidRDefault="10652A40" w:rsidP="10652A40">
            <w:r>
              <w:t>0</w:t>
            </w:r>
          </w:p>
        </w:tc>
        <w:tc>
          <w:tcPr>
            <w:tcW w:w="900" w:type="dxa"/>
            <w:vAlign w:val="center"/>
          </w:tcPr>
          <w:p w14:paraId="3126E2F6" w14:textId="24F698A2" w:rsidR="10652A40" w:rsidRDefault="10652A40" w:rsidP="10652A40">
            <w:r>
              <w:t>0</w:t>
            </w:r>
          </w:p>
        </w:tc>
        <w:tc>
          <w:tcPr>
            <w:tcW w:w="900" w:type="dxa"/>
            <w:vAlign w:val="center"/>
          </w:tcPr>
          <w:p w14:paraId="7384D5E4" w14:textId="791A6C1C" w:rsidR="10652A40" w:rsidRDefault="10652A40" w:rsidP="10652A40">
            <w:r>
              <w:t>0</w:t>
            </w:r>
          </w:p>
        </w:tc>
      </w:tr>
      <w:tr w:rsidR="10652A40" w14:paraId="2627348C" w14:textId="77777777" w:rsidTr="10652A40">
        <w:trPr>
          <w:trHeight w:val="300"/>
        </w:trPr>
        <w:tc>
          <w:tcPr>
            <w:tcW w:w="4121" w:type="dxa"/>
            <w:gridSpan w:val="2"/>
            <w:vAlign w:val="center"/>
          </w:tcPr>
          <w:p w14:paraId="03F220E2" w14:textId="3927F131" w:rsidR="10652A40" w:rsidRDefault="10652A40" w:rsidP="10652A40">
            <w:r w:rsidRPr="10652A40">
              <w:rPr>
                <w:b/>
                <w:bCs/>
                <w:lang w:val="en-US"/>
              </w:rPr>
              <w:t>Kosto për buxhetin – në vazhdim</w:t>
            </w:r>
          </w:p>
        </w:tc>
        <w:tc>
          <w:tcPr>
            <w:tcW w:w="900" w:type="dxa"/>
            <w:vAlign w:val="center"/>
          </w:tcPr>
          <w:p w14:paraId="6C83C3D9" w14:textId="578345C0" w:rsidR="10652A40" w:rsidRDefault="10652A40" w:rsidP="10652A40">
            <w:r>
              <w:t>0</w:t>
            </w:r>
          </w:p>
        </w:tc>
        <w:tc>
          <w:tcPr>
            <w:tcW w:w="900" w:type="dxa"/>
            <w:vAlign w:val="center"/>
          </w:tcPr>
          <w:p w14:paraId="146F50AB" w14:textId="00D45106" w:rsidR="10652A40" w:rsidRDefault="10652A40" w:rsidP="10652A40">
            <w:r>
              <w:t>0</w:t>
            </w:r>
          </w:p>
        </w:tc>
        <w:tc>
          <w:tcPr>
            <w:tcW w:w="900" w:type="dxa"/>
            <w:vAlign w:val="center"/>
          </w:tcPr>
          <w:p w14:paraId="7BF70161" w14:textId="691AEAB6" w:rsidR="10652A40" w:rsidRDefault="10652A40" w:rsidP="10652A40">
            <w:r>
              <w:t>0</w:t>
            </w:r>
          </w:p>
        </w:tc>
        <w:tc>
          <w:tcPr>
            <w:tcW w:w="900" w:type="dxa"/>
            <w:vAlign w:val="center"/>
          </w:tcPr>
          <w:p w14:paraId="7D3E625D" w14:textId="6C029A43" w:rsidR="10652A40" w:rsidRDefault="10652A40" w:rsidP="10652A40">
            <w:r>
              <w:t>0</w:t>
            </w:r>
          </w:p>
        </w:tc>
        <w:tc>
          <w:tcPr>
            <w:tcW w:w="900" w:type="dxa"/>
            <w:vAlign w:val="center"/>
          </w:tcPr>
          <w:p w14:paraId="5C425215" w14:textId="50CBF4DC" w:rsidR="10652A40" w:rsidRDefault="10652A40" w:rsidP="10652A40">
            <w:r>
              <w:t>0</w:t>
            </w:r>
          </w:p>
        </w:tc>
        <w:tc>
          <w:tcPr>
            <w:tcW w:w="900" w:type="dxa"/>
            <w:vAlign w:val="center"/>
          </w:tcPr>
          <w:p w14:paraId="40BED5A9" w14:textId="0D4B1F26" w:rsidR="10652A40" w:rsidRDefault="10652A40" w:rsidP="10652A40">
            <w:r>
              <w:t>0</w:t>
            </w:r>
          </w:p>
        </w:tc>
        <w:tc>
          <w:tcPr>
            <w:tcW w:w="900" w:type="dxa"/>
            <w:vAlign w:val="center"/>
          </w:tcPr>
          <w:p w14:paraId="2CBF70D9" w14:textId="51CB0D87" w:rsidR="10652A40" w:rsidRDefault="10652A40" w:rsidP="10652A40">
            <w:r>
              <w:t>0</w:t>
            </w:r>
          </w:p>
        </w:tc>
        <w:tc>
          <w:tcPr>
            <w:tcW w:w="900" w:type="dxa"/>
            <w:vAlign w:val="center"/>
          </w:tcPr>
          <w:p w14:paraId="323EA4DC" w14:textId="226F02E8" w:rsidR="10652A40" w:rsidRDefault="10652A40" w:rsidP="10652A40">
            <w:r>
              <w:t>0</w:t>
            </w:r>
          </w:p>
        </w:tc>
        <w:tc>
          <w:tcPr>
            <w:tcW w:w="900" w:type="dxa"/>
            <w:vAlign w:val="center"/>
          </w:tcPr>
          <w:p w14:paraId="12EC216B" w14:textId="7A917C17" w:rsidR="10652A40" w:rsidRDefault="10652A40" w:rsidP="10652A40">
            <w:r>
              <w:t>0</w:t>
            </w:r>
          </w:p>
        </w:tc>
        <w:tc>
          <w:tcPr>
            <w:tcW w:w="900" w:type="dxa"/>
            <w:vAlign w:val="center"/>
          </w:tcPr>
          <w:p w14:paraId="3CD8D080" w14:textId="36EB31D4" w:rsidR="10652A40" w:rsidRDefault="10652A40" w:rsidP="10652A40">
            <w:r>
              <w:t>0</w:t>
            </w:r>
          </w:p>
        </w:tc>
      </w:tr>
      <w:tr w:rsidR="10652A40" w14:paraId="439E1DE9" w14:textId="77777777" w:rsidTr="10652A40">
        <w:trPr>
          <w:trHeight w:val="300"/>
        </w:trPr>
        <w:tc>
          <w:tcPr>
            <w:tcW w:w="4121" w:type="dxa"/>
            <w:gridSpan w:val="2"/>
            <w:vAlign w:val="center"/>
          </w:tcPr>
          <w:p w14:paraId="7A51B953" w14:textId="6D8A84B4" w:rsidR="10652A40" w:rsidRDefault="10652A40" w:rsidP="10652A40">
            <w:r w:rsidRPr="10652A40">
              <w:rPr>
                <w:b/>
                <w:bCs/>
                <w:lang w:val="en-US"/>
              </w:rPr>
              <w:t>Kosto për biznesin – përshtatje</w:t>
            </w:r>
          </w:p>
        </w:tc>
        <w:tc>
          <w:tcPr>
            <w:tcW w:w="900" w:type="dxa"/>
            <w:vAlign w:val="center"/>
          </w:tcPr>
          <w:p w14:paraId="6D00942E" w14:textId="38734E3A" w:rsidR="10652A40" w:rsidRDefault="10652A40" w:rsidP="10652A40">
            <w:r>
              <w:t>0</w:t>
            </w:r>
          </w:p>
        </w:tc>
        <w:tc>
          <w:tcPr>
            <w:tcW w:w="900" w:type="dxa"/>
            <w:vAlign w:val="center"/>
          </w:tcPr>
          <w:p w14:paraId="52F38A98" w14:textId="1903F4E9" w:rsidR="10652A40" w:rsidRDefault="10652A40" w:rsidP="10652A40">
            <w:r>
              <w:t>5,0</w:t>
            </w:r>
          </w:p>
        </w:tc>
        <w:tc>
          <w:tcPr>
            <w:tcW w:w="900" w:type="dxa"/>
            <w:vAlign w:val="center"/>
          </w:tcPr>
          <w:p w14:paraId="24FD84C0" w14:textId="0A60E26A" w:rsidR="10652A40" w:rsidRDefault="10652A40" w:rsidP="10652A40">
            <w:r>
              <w:t>5,0</w:t>
            </w:r>
          </w:p>
        </w:tc>
        <w:tc>
          <w:tcPr>
            <w:tcW w:w="900" w:type="dxa"/>
            <w:vAlign w:val="center"/>
          </w:tcPr>
          <w:p w14:paraId="011553BE" w14:textId="2280E250" w:rsidR="10652A40" w:rsidRDefault="10652A40" w:rsidP="10652A40">
            <w:r>
              <w:t>5,0</w:t>
            </w:r>
          </w:p>
        </w:tc>
        <w:tc>
          <w:tcPr>
            <w:tcW w:w="900" w:type="dxa"/>
            <w:vAlign w:val="center"/>
          </w:tcPr>
          <w:p w14:paraId="0DD08AA2" w14:textId="7269D3CB" w:rsidR="10652A40" w:rsidRDefault="10652A40" w:rsidP="10652A40">
            <w:r>
              <w:t>0</w:t>
            </w:r>
          </w:p>
        </w:tc>
        <w:tc>
          <w:tcPr>
            <w:tcW w:w="900" w:type="dxa"/>
            <w:vAlign w:val="center"/>
          </w:tcPr>
          <w:p w14:paraId="67B39CA7" w14:textId="3A47EC98" w:rsidR="10652A40" w:rsidRDefault="10652A40" w:rsidP="10652A40">
            <w:r>
              <w:t>0</w:t>
            </w:r>
          </w:p>
        </w:tc>
        <w:tc>
          <w:tcPr>
            <w:tcW w:w="900" w:type="dxa"/>
            <w:vAlign w:val="center"/>
          </w:tcPr>
          <w:p w14:paraId="50E4522D" w14:textId="434BBD5B" w:rsidR="10652A40" w:rsidRDefault="10652A40" w:rsidP="10652A40">
            <w:r>
              <w:t>0</w:t>
            </w:r>
          </w:p>
        </w:tc>
        <w:tc>
          <w:tcPr>
            <w:tcW w:w="900" w:type="dxa"/>
            <w:vAlign w:val="center"/>
          </w:tcPr>
          <w:p w14:paraId="117CBB0B" w14:textId="2549E7CA" w:rsidR="10652A40" w:rsidRDefault="10652A40" w:rsidP="10652A40">
            <w:r>
              <w:t>0</w:t>
            </w:r>
          </w:p>
        </w:tc>
        <w:tc>
          <w:tcPr>
            <w:tcW w:w="900" w:type="dxa"/>
            <w:vAlign w:val="center"/>
          </w:tcPr>
          <w:p w14:paraId="72C4126B" w14:textId="0689B648" w:rsidR="10652A40" w:rsidRDefault="10652A40" w:rsidP="10652A40">
            <w:r>
              <w:t>0</w:t>
            </w:r>
          </w:p>
        </w:tc>
        <w:tc>
          <w:tcPr>
            <w:tcW w:w="900" w:type="dxa"/>
            <w:vAlign w:val="center"/>
          </w:tcPr>
          <w:p w14:paraId="1EF22586" w14:textId="65AFD2AF" w:rsidR="10652A40" w:rsidRDefault="10652A40" w:rsidP="10652A40">
            <w:r>
              <w:t>0</w:t>
            </w:r>
          </w:p>
        </w:tc>
      </w:tr>
      <w:tr w:rsidR="10652A40" w14:paraId="67962C46" w14:textId="77777777" w:rsidTr="10652A40">
        <w:trPr>
          <w:trHeight w:val="300"/>
        </w:trPr>
        <w:tc>
          <w:tcPr>
            <w:tcW w:w="4121" w:type="dxa"/>
            <w:gridSpan w:val="2"/>
            <w:vAlign w:val="center"/>
          </w:tcPr>
          <w:p w14:paraId="149E56A2" w14:textId="29A4B16D" w:rsidR="10652A40" w:rsidRDefault="10652A40" w:rsidP="10652A40">
            <w:r w:rsidRPr="10652A40">
              <w:rPr>
                <w:b/>
                <w:bCs/>
                <w:lang w:val="en-US"/>
              </w:rPr>
              <w:t>Kosto për biznesin – në vazhdim</w:t>
            </w:r>
          </w:p>
        </w:tc>
        <w:tc>
          <w:tcPr>
            <w:tcW w:w="900" w:type="dxa"/>
            <w:vAlign w:val="center"/>
          </w:tcPr>
          <w:p w14:paraId="7D424F7E" w14:textId="3E86C1FB" w:rsidR="10652A40" w:rsidRDefault="10652A40" w:rsidP="10652A40">
            <w:r>
              <w:t>0</w:t>
            </w:r>
          </w:p>
        </w:tc>
        <w:tc>
          <w:tcPr>
            <w:tcW w:w="900" w:type="dxa"/>
            <w:vAlign w:val="center"/>
          </w:tcPr>
          <w:p w14:paraId="3FE56582" w14:textId="4C1A48DC" w:rsidR="10652A40" w:rsidRDefault="10652A40" w:rsidP="10652A40">
            <w:r>
              <w:t>0</w:t>
            </w:r>
          </w:p>
        </w:tc>
        <w:tc>
          <w:tcPr>
            <w:tcW w:w="900" w:type="dxa"/>
            <w:vAlign w:val="center"/>
          </w:tcPr>
          <w:p w14:paraId="7676283B" w14:textId="36BD7AD2" w:rsidR="10652A40" w:rsidRDefault="10652A40" w:rsidP="10652A40">
            <w:r>
              <w:t>0</w:t>
            </w:r>
          </w:p>
        </w:tc>
        <w:tc>
          <w:tcPr>
            <w:tcW w:w="900" w:type="dxa"/>
            <w:vAlign w:val="center"/>
          </w:tcPr>
          <w:p w14:paraId="2CFDD8D0" w14:textId="45580B06" w:rsidR="10652A40" w:rsidRDefault="10652A40" w:rsidP="10652A40">
            <w:r>
              <w:t>0</w:t>
            </w:r>
          </w:p>
        </w:tc>
        <w:tc>
          <w:tcPr>
            <w:tcW w:w="900" w:type="dxa"/>
            <w:vAlign w:val="center"/>
          </w:tcPr>
          <w:p w14:paraId="25AA6293" w14:textId="60B17D7B" w:rsidR="10652A40" w:rsidRDefault="10652A40" w:rsidP="10652A40">
            <w:r>
              <w:t>0</w:t>
            </w:r>
          </w:p>
        </w:tc>
        <w:tc>
          <w:tcPr>
            <w:tcW w:w="900" w:type="dxa"/>
            <w:vAlign w:val="center"/>
          </w:tcPr>
          <w:p w14:paraId="05905286" w14:textId="38BC1C54" w:rsidR="10652A40" w:rsidRDefault="10652A40" w:rsidP="10652A40">
            <w:r>
              <w:t>0</w:t>
            </w:r>
          </w:p>
        </w:tc>
        <w:tc>
          <w:tcPr>
            <w:tcW w:w="900" w:type="dxa"/>
            <w:vAlign w:val="center"/>
          </w:tcPr>
          <w:p w14:paraId="58D33808" w14:textId="4D64582F" w:rsidR="10652A40" w:rsidRDefault="10652A40" w:rsidP="10652A40">
            <w:r>
              <w:t>0</w:t>
            </w:r>
          </w:p>
        </w:tc>
        <w:tc>
          <w:tcPr>
            <w:tcW w:w="900" w:type="dxa"/>
            <w:vAlign w:val="center"/>
          </w:tcPr>
          <w:p w14:paraId="68D66E7B" w14:textId="2A1B9F12" w:rsidR="10652A40" w:rsidRDefault="10652A40" w:rsidP="10652A40">
            <w:r>
              <w:t>0</w:t>
            </w:r>
          </w:p>
        </w:tc>
        <w:tc>
          <w:tcPr>
            <w:tcW w:w="900" w:type="dxa"/>
            <w:vAlign w:val="center"/>
          </w:tcPr>
          <w:p w14:paraId="5BB92317" w14:textId="31D1918A" w:rsidR="10652A40" w:rsidRDefault="10652A40" w:rsidP="10652A40">
            <w:r>
              <w:t>0</w:t>
            </w:r>
          </w:p>
        </w:tc>
        <w:tc>
          <w:tcPr>
            <w:tcW w:w="900" w:type="dxa"/>
            <w:vAlign w:val="center"/>
          </w:tcPr>
          <w:p w14:paraId="294F8014" w14:textId="0F05AEE5" w:rsidR="10652A40" w:rsidRDefault="10652A40" w:rsidP="10652A40">
            <w:r>
              <w:t>0</w:t>
            </w:r>
          </w:p>
        </w:tc>
      </w:tr>
      <w:tr w:rsidR="10652A40" w14:paraId="107591B9" w14:textId="77777777" w:rsidTr="10652A40">
        <w:trPr>
          <w:trHeight w:val="300"/>
        </w:trPr>
        <w:tc>
          <w:tcPr>
            <w:tcW w:w="4121" w:type="dxa"/>
            <w:gridSpan w:val="2"/>
            <w:vAlign w:val="center"/>
          </w:tcPr>
          <w:p w14:paraId="628FBC2A" w14:textId="2DA9B53B" w:rsidR="10652A40" w:rsidRDefault="10652A40" w:rsidP="10652A40">
            <w:r w:rsidRPr="10652A40">
              <w:rPr>
                <w:b/>
                <w:bCs/>
                <w:lang w:val="en-US"/>
              </w:rPr>
              <w:t>Kosto për grupet e tjera – një herë</w:t>
            </w:r>
          </w:p>
        </w:tc>
        <w:tc>
          <w:tcPr>
            <w:tcW w:w="900" w:type="dxa"/>
            <w:vAlign w:val="center"/>
          </w:tcPr>
          <w:p w14:paraId="0B3B0330" w14:textId="29857F3B" w:rsidR="10652A40" w:rsidRDefault="10652A40" w:rsidP="10652A40">
            <w:r>
              <w:t>0</w:t>
            </w:r>
          </w:p>
        </w:tc>
        <w:tc>
          <w:tcPr>
            <w:tcW w:w="900" w:type="dxa"/>
            <w:vAlign w:val="center"/>
          </w:tcPr>
          <w:p w14:paraId="6043430E" w14:textId="6FC8F842" w:rsidR="10652A40" w:rsidRDefault="10652A40" w:rsidP="10652A40">
            <w:r>
              <w:t>0</w:t>
            </w:r>
          </w:p>
        </w:tc>
        <w:tc>
          <w:tcPr>
            <w:tcW w:w="900" w:type="dxa"/>
            <w:vAlign w:val="center"/>
          </w:tcPr>
          <w:p w14:paraId="405D9017" w14:textId="482434FF" w:rsidR="10652A40" w:rsidRDefault="10652A40" w:rsidP="10652A40">
            <w:r>
              <w:t>0</w:t>
            </w:r>
          </w:p>
        </w:tc>
        <w:tc>
          <w:tcPr>
            <w:tcW w:w="900" w:type="dxa"/>
            <w:vAlign w:val="center"/>
          </w:tcPr>
          <w:p w14:paraId="6D5F1C13" w14:textId="15DD929F" w:rsidR="10652A40" w:rsidRDefault="10652A40" w:rsidP="10652A40">
            <w:r>
              <w:t>0</w:t>
            </w:r>
          </w:p>
        </w:tc>
        <w:tc>
          <w:tcPr>
            <w:tcW w:w="900" w:type="dxa"/>
            <w:vAlign w:val="center"/>
          </w:tcPr>
          <w:p w14:paraId="5F91F8AA" w14:textId="66EE3865" w:rsidR="10652A40" w:rsidRDefault="10652A40" w:rsidP="10652A40">
            <w:r>
              <w:t>0</w:t>
            </w:r>
          </w:p>
        </w:tc>
        <w:tc>
          <w:tcPr>
            <w:tcW w:w="900" w:type="dxa"/>
            <w:vAlign w:val="center"/>
          </w:tcPr>
          <w:p w14:paraId="403AB220" w14:textId="6A9A01DB" w:rsidR="10652A40" w:rsidRDefault="10652A40" w:rsidP="10652A40">
            <w:r>
              <w:t>0</w:t>
            </w:r>
          </w:p>
        </w:tc>
        <w:tc>
          <w:tcPr>
            <w:tcW w:w="900" w:type="dxa"/>
            <w:vAlign w:val="center"/>
          </w:tcPr>
          <w:p w14:paraId="4DA344E1" w14:textId="09796B69" w:rsidR="10652A40" w:rsidRDefault="10652A40" w:rsidP="10652A40">
            <w:r>
              <w:t>0</w:t>
            </w:r>
          </w:p>
        </w:tc>
        <w:tc>
          <w:tcPr>
            <w:tcW w:w="900" w:type="dxa"/>
            <w:vAlign w:val="center"/>
          </w:tcPr>
          <w:p w14:paraId="50ABDF6D" w14:textId="23917EB6" w:rsidR="10652A40" w:rsidRDefault="10652A40" w:rsidP="10652A40">
            <w:r>
              <w:t>0</w:t>
            </w:r>
          </w:p>
        </w:tc>
        <w:tc>
          <w:tcPr>
            <w:tcW w:w="900" w:type="dxa"/>
            <w:vAlign w:val="center"/>
          </w:tcPr>
          <w:p w14:paraId="744B9667" w14:textId="6190698F" w:rsidR="10652A40" w:rsidRDefault="10652A40" w:rsidP="10652A40">
            <w:r>
              <w:t>0</w:t>
            </w:r>
          </w:p>
        </w:tc>
        <w:tc>
          <w:tcPr>
            <w:tcW w:w="900" w:type="dxa"/>
            <w:vAlign w:val="center"/>
          </w:tcPr>
          <w:p w14:paraId="0EDF592A" w14:textId="500BF1A6" w:rsidR="10652A40" w:rsidRDefault="10652A40" w:rsidP="10652A40">
            <w:r>
              <w:t>0</w:t>
            </w:r>
          </w:p>
        </w:tc>
      </w:tr>
      <w:tr w:rsidR="10652A40" w14:paraId="46702832" w14:textId="77777777" w:rsidTr="10652A40">
        <w:trPr>
          <w:trHeight w:val="300"/>
        </w:trPr>
        <w:tc>
          <w:tcPr>
            <w:tcW w:w="4121" w:type="dxa"/>
            <w:gridSpan w:val="2"/>
            <w:vAlign w:val="center"/>
          </w:tcPr>
          <w:p w14:paraId="60CCC70D" w14:textId="4102C198" w:rsidR="10652A40" w:rsidRDefault="10652A40" w:rsidP="10652A40">
            <w:r w:rsidRPr="10652A40">
              <w:rPr>
                <w:b/>
                <w:bCs/>
                <w:lang w:val="en-US"/>
              </w:rPr>
              <w:t>Kosto për grupet e tjera – në vazhdim</w:t>
            </w:r>
          </w:p>
        </w:tc>
        <w:tc>
          <w:tcPr>
            <w:tcW w:w="900" w:type="dxa"/>
            <w:vAlign w:val="center"/>
          </w:tcPr>
          <w:p w14:paraId="6C4B62B6" w14:textId="0CBF988C" w:rsidR="10652A40" w:rsidRDefault="10652A40" w:rsidP="10652A40">
            <w:r>
              <w:t>0</w:t>
            </w:r>
          </w:p>
        </w:tc>
        <w:tc>
          <w:tcPr>
            <w:tcW w:w="900" w:type="dxa"/>
            <w:vAlign w:val="center"/>
          </w:tcPr>
          <w:p w14:paraId="4318859F" w14:textId="10042A72" w:rsidR="10652A40" w:rsidRDefault="10652A40" w:rsidP="10652A40">
            <w:r>
              <w:t>0</w:t>
            </w:r>
          </w:p>
        </w:tc>
        <w:tc>
          <w:tcPr>
            <w:tcW w:w="900" w:type="dxa"/>
            <w:vAlign w:val="center"/>
          </w:tcPr>
          <w:p w14:paraId="38D53EB5" w14:textId="6CBA05D5" w:rsidR="10652A40" w:rsidRDefault="10652A40" w:rsidP="10652A40">
            <w:r>
              <w:t>0</w:t>
            </w:r>
          </w:p>
        </w:tc>
        <w:tc>
          <w:tcPr>
            <w:tcW w:w="900" w:type="dxa"/>
            <w:vAlign w:val="center"/>
          </w:tcPr>
          <w:p w14:paraId="737EE994" w14:textId="4B276E6C" w:rsidR="10652A40" w:rsidRDefault="10652A40" w:rsidP="10652A40">
            <w:r>
              <w:t>0</w:t>
            </w:r>
          </w:p>
        </w:tc>
        <w:tc>
          <w:tcPr>
            <w:tcW w:w="900" w:type="dxa"/>
            <w:vAlign w:val="center"/>
          </w:tcPr>
          <w:p w14:paraId="02AB7989" w14:textId="502FC84F" w:rsidR="10652A40" w:rsidRDefault="10652A40" w:rsidP="10652A40">
            <w:r>
              <w:t>0</w:t>
            </w:r>
          </w:p>
        </w:tc>
        <w:tc>
          <w:tcPr>
            <w:tcW w:w="900" w:type="dxa"/>
            <w:vAlign w:val="center"/>
          </w:tcPr>
          <w:p w14:paraId="3B57324D" w14:textId="790CE7AA" w:rsidR="10652A40" w:rsidRDefault="10652A40" w:rsidP="10652A40">
            <w:r>
              <w:t>0</w:t>
            </w:r>
          </w:p>
        </w:tc>
        <w:tc>
          <w:tcPr>
            <w:tcW w:w="900" w:type="dxa"/>
            <w:vAlign w:val="center"/>
          </w:tcPr>
          <w:p w14:paraId="4A5008B1" w14:textId="3DC85FA5" w:rsidR="10652A40" w:rsidRDefault="10652A40" w:rsidP="10652A40">
            <w:r>
              <w:t>0</w:t>
            </w:r>
          </w:p>
        </w:tc>
        <w:tc>
          <w:tcPr>
            <w:tcW w:w="900" w:type="dxa"/>
            <w:vAlign w:val="center"/>
          </w:tcPr>
          <w:p w14:paraId="3F311303" w14:textId="1F8FB349" w:rsidR="10652A40" w:rsidRDefault="10652A40" w:rsidP="10652A40">
            <w:r>
              <w:t>0</w:t>
            </w:r>
          </w:p>
        </w:tc>
        <w:tc>
          <w:tcPr>
            <w:tcW w:w="900" w:type="dxa"/>
            <w:vAlign w:val="center"/>
          </w:tcPr>
          <w:p w14:paraId="70BF7A26" w14:textId="3E983614" w:rsidR="10652A40" w:rsidRDefault="10652A40" w:rsidP="10652A40">
            <w:r>
              <w:t>0</w:t>
            </w:r>
          </w:p>
        </w:tc>
        <w:tc>
          <w:tcPr>
            <w:tcW w:w="900" w:type="dxa"/>
            <w:vAlign w:val="center"/>
          </w:tcPr>
          <w:p w14:paraId="4559F74D" w14:textId="31833038" w:rsidR="10652A40" w:rsidRDefault="10652A40" w:rsidP="10652A40">
            <w:r>
              <w:t>0</w:t>
            </w:r>
          </w:p>
        </w:tc>
      </w:tr>
      <w:tr w:rsidR="10652A40" w14:paraId="5A8D7A0E" w14:textId="77777777" w:rsidTr="10652A40">
        <w:trPr>
          <w:trHeight w:val="300"/>
        </w:trPr>
        <w:tc>
          <w:tcPr>
            <w:tcW w:w="4121" w:type="dxa"/>
            <w:gridSpan w:val="2"/>
            <w:vAlign w:val="center"/>
          </w:tcPr>
          <w:p w14:paraId="4545D2F9" w14:textId="0F854996" w:rsidR="10652A40" w:rsidRDefault="10652A40" w:rsidP="10652A40">
            <w:r w:rsidRPr="10652A40">
              <w:rPr>
                <w:b/>
                <w:bCs/>
                <w:lang w:val="en-US"/>
              </w:rPr>
              <w:t>Kosto në total</w:t>
            </w:r>
          </w:p>
        </w:tc>
        <w:tc>
          <w:tcPr>
            <w:tcW w:w="900" w:type="dxa"/>
            <w:vAlign w:val="center"/>
          </w:tcPr>
          <w:p w14:paraId="20A1953F" w14:textId="64D7CC0F" w:rsidR="10652A40" w:rsidRDefault="10652A40" w:rsidP="10652A40">
            <w:r>
              <w:t>0</w:t>
            </w:r>
          </w:p>
        </w:tc>
        <w:tc>
          <w:tcPr>
            <w:tcW w:w="900" w:type="dxa"/>
            <w:vAlign w:val="center"/>
          </w:tcPr>
          <w:p w14:paraId="64EB57AE" w14:textId="565D0233" w:rsidR="10652A40" w:rsidRDefault="10652A40" w:rsidP="10652A40">
            <w:r>
              <w:t>5,0</w:t>
            </w:r>
          </w:p>
        </w:tc>
        <w:tc>
          <w:tcPr>
            <w:tcW w:w="900" w:type="dxa"/>
            <w:vAlign w:val="center"/>
          </w:tcPr>
          <w:p w14:paraId="6CD039D8" w14:textId="020C5581" w:rsidR="10652A40" w:rsidRDefault="10652A40" w:rsidP="10652A40">
            <w:r>
              <w:t>5,0</w:t>
            </w:r>
          </w:p>
        </w:tc>
        <w:tc>
          <w:tcPr>
            <w:tcW w:w="900" w:type="dxa"/>
            <w:vAlign w:val="center"/>
          </w:tcPr>
          <w:p w14:paraId="32FCC84D" w14:textId="6F78E501" w:rsidR="10652A40" w:rsidRDefault="10652A40" w:rsidP="10652A40">
            <w:r>
              <w:t>5,0</w:t>
            </w:r>
          </w:p>
        </w:tc>
        <w:tc>
          <w:tcPr>
            <w:tcW w:w="900" w:type="dxa"/>
            <w:vAlign w:val="center"/>
          </w:tcPr>
          <w:p w14:paraId="21C13351" w14:textId="4FC81851" w:rsidR="10652A40" w:rsidRDefault="10652A40" w:rsidP="10652A40">
            <w:r>
              <w:t>0</w:t>
            </w:r>
          </w:p>
        </w:tc>
        <w:tc>
          <w:tcPr>
            <w:tcW w:w="900" w:type="dxa"/>
            <w:vAlign w:val="center"/>
          </w:tcPr>
          <w:p w14:paraId="5F715344" w14:textId="3091FE2C" w:rsidR="10652A40" w:rsidRDefault="10652A40" w:rsidP="10652A40">
            <w:r>
              <w:t>0</w:t>
            </w:r>
          </w:p>
        </w:tc>
        <w:tc>
          <w:tcPr>
            <w:tcW w:w="900" w:type="dxa"/>
            <w:vAlign w:val="center"/>
          </w:tcPr>
          <w:p w14:paraId="73C4BC06" w14:textId="1A8F3B84" w:rsidR="10652A40" w:rsidRDefault="10652A40" w:rsidP="10652A40">
            <w:r>
              <w:t>0</w:t>
            </w:r>
          </w:p>
        </w:tc>
        <w:tc>
          <w:tcPr>
            <w:tcW w:w="900" w:type="dxa"/>
            <w:vAlign w:val="center"/>
          </w:tcPr>
          <w:p w14:paraId="65936EBB" w14:textId="48A2EF59" w:rsidR="10652A40" w:rsidRDefault="10652A40" w:rsidP="10652A40">
            <w:r>
              <w:t>0</w:t>
            </w:r>
          </w:p>
        </w:tc>
        <w:tc>
          <w:tcPr>
            <w:tcW w:w="900" w:type="dxa"/>
            <w:vAlign w:val="center"/>
          </w:tcPr>
          <w:p w14:paraId="2B8A6473" w14:textId="3544755D" w:rsidR="10652A40" w:rsidRDefault="10652A40" w:rsidP="10652A40">
            <w:r>
              <w:t>0</w:t>
            </w:r>
          </w:p>
        </w:tc>
        <w:tc>
          <w:tcPr>
            <w:tcW w:w="900" w:type="dxa"/>
            <w:vAlign w:val="center"/>
          </w:tcPr>
          <w:p w14:paraId="3C85AA61" w14:textId="4654A639" w:rsidR="10652A40" w:rsidRDefault="10652A40" w:rsidP="10652A40">
            <w:r>
              <w:t>0</w:t>
            </w:r>
          </w:p>
        </w:tc>
      </w:tr>
      <w:tr w:rsidR="10652A40" w14:paraId="6EE08152" w14:textId="77777777" w:rsidTr="10652A40">
        <w:trPr>
          <w:trHeight w:val="300"/>
        </w:trPr>
        <w:tc>
          <w:tcPr>
            <w:tcW w:w="4121" w:type="dxa"/>
            <w:gridSpan w:val="2"/>
            <w:vAlign w:val="center"/>
          </w:tcPr>
          <w:p w14:paraId="629BFC84" w14:textId="57793B89" w:rsidR="10652A40" w:rsidRDefault="10652A40" w:rsidP="10652A40">
            <w:r w:rsidRPr="10652A40">
              <w:rPr>
                <w:b/>
                <w:bCs/>
                <w:lang w:val="en-US"/>
              </w:rPr>
              <w:t>Kosto e skontuar në total</w:t>
            </w:r>
          </w:p>
        </w:tc>
        <w:tc>
          <w:tcPr>
            <w:tcW w:w="900" w:type="dxa"/>
            <w:vAlign w:val="center"/>
          </w:tcPr>
          <w:p w14:paraId="60A23CEB" w14:textId="479677E9" w:rsidR="10652A40" w:rsidRDefault="10652A40" w:rsidP="10652A40">
            <w:r>
              <w:t>0</w:t>
            </w:r>
          </w:p>
        </w:tc>
        <w:tc>
          <w:tcPr>
            <w:tcW w:w="900" w:type="dxa"/>
            <w:vAlign w:val="center"/>
          </w:tcPr>
          <w:p w14:paraId="48E97652" w14:textId="415E39D0" w:rsidR="10652A40" w:rsidRDefault="10652A40" w:rsidP="10652A40">
            <w:r>
              <w:t>4,5</w:t>
            </w:r>
          </w:p>
        </w:tc>
        <w:tc>
          <w:tcPr>
            <w:tcW w:w="900" w:type="dxa"/>
            <w:vAlign w:val="center"/>
          </w:tcPr>
          <w:p w14:paraId="2C3A4C8E" w14:textId="18678031" w:rsidR="10652A40" w:rsidRDefault="10652A40" w:rsidP="10652A40">
            <w:r>
              <w:t>4,3</w:t>
            </w:r>
          </w:p>
        </w:tc>
        <w:tc>
          <w:tcPr>
            <w:tcW w:w="900" w:type="dxa"/>
            <w:vAlign w:val="center"/>
          </w:tcPr>
          <w:p w14:paraId="4F9A7645" w14:textId="365654CE" w:rsidR="10652A40" w:rsidRDefault="10652A40" w:rsidP="10652A40">
            <w:r>
              <w:t>4,1</w:t>
            </w:r>
          </w:p>
        </w:tc>
        <w:tc>
          <w:tcPr>
            <w:tcW w:w="900" w:type="dxa"/>
            <w:vAlign w:val="center"/>
          </w:tcPr>
          <w:p w14:paraId="5D71B6B3" w14:textId="3287414D" w:rsidR="10652A40" w:rsidRDefault="10652A40" w:rsidP="10652A40">
            <w:r>
              <w:t>0</w:t>
            </w:r>
          </w:p>
        </w:tc>
        <w:tc>
          <w:tcPr>
            <w:tcW w:w="900" w:type="dxa"/>
            <w:vAlign w:val="center"/>
          </w:tcPr>
          <w:p w14:paraId="6C9B898A" w14:textId="5D1226A2" w:rsidR="10652A40" w:rsidRDefault="10652A40" w:rsidP="10652A40">
            <w:r>
              <w:t>0</w:t>
            </w:r>
          </w:p>
        </w:tc>
        <w:tc>
          <w:tcPr>
            <w:tcW w:w="900" w:type="dxa"/>
            <w:vAlign w:val="center"/>
          </w:tcPr>
          <w:p w14:paraId="003675AA" w14:textId="605E178E" w:rsidR="10652A40" w:rsidRDefault="10652A40" w:rsidP="10652A40">
            <w:r>
              <w:t>0</w:t>
            </w:r>
          </w:p>
        </w:tc>
        <w:tc>
          <w:tcPr>
            <w:tcW w:w="900" w:type="dxa"/>
            <w:vAlign w:val="center"/>
          </w:tcPr>
          <w:p w14:paraId="7D5F5D87" w14:textId="3F6BA929" w:rsidR="10652A40" w:rsidRDefault="10652A40" w:rsidP="10652A40">
            <w:r>
              <w:t>0</w:t>
            </w:r>
          </w:p>
        </w:tc>
        <w:tc>
          <w:tcPr>
            <w:tcW w:w="900" w:type="dxa"/>
            <w:vAlign w:val="center"/>
          </w:tcPr>
          <w:p w14:paraId="4C984251" w14:textId="7358B1AF" w:rsidR="10652A40" w:rsidRDefault="10652A40" w:rsidP="10652A40">
            <w:r>
              <w:t>0</w:t>
            </w:r>
          </w:p>
        </w:tc>
        <w:tc>
          <w:tcPr>
            <w:tcW w:w="900" w:type="dxa"/>
            <w:vAlign w:val="center"/>
          </w:tcPr>
          <w:p w14:paraId="7BB5CE57" w14:textId="19D80E92" w:rsidR="10652A40" w:rsidRDefault="10652A40" w:rsidP="10652A40">
            <w:r>
              <w:t>0</w:t>
            </w:r>
          </w:p>
        </w:tc>
      </w:tr>
      <w:tr w:rsidR="10652A40" w14:paraId="2B7E9BE3" w14:textId="77777777" w:rsidTr="10652A40">
        <w:trPr>
          <w:trHeight w:val="300"/>
        </w:trPr>
        <w:tc>
          <w:tcPr>
            <w:tcW w:w="4121" w:type="dxa"/>
            <w:gridSpan w:val="2"/>
            <w:vAlign w:val="center"/>
          </w:tcPr>
          <w:p w14:paraId="18BF7DD3" w14:textId="0FFC0D33" w:rsidR="10652A40" w:rsidRDefault="10652A40" w:rsidP="10652A40">
            <w:r w:rsidRPr="10652A40">
              <w:rPr>
                <w:b/>
                <w:bCs/>
                <w:lang w:val="en-US"/>
              </w:rPr>
              <w:t>Përfitim për buxhetin – një herë</w:t>
            </w:r>
          </w:p>
        </w:tc>
        <w:tc>
          <w:tcPr>
            <w:tcW w:w="900" w:type="dxa"/>
            <w:vAlign w:val="center"/>
          </w:tcPr>
          <w:p w14:paraId="4D515E70" w14:textId="5A6A9CD0" w:rsidR="10652A40" w:rsidRDefault="10652A40" w:rsidP="10652A40">
            <w:r>
              <w:t>0</w:t>
            </w:r>
          </w:p>
        </w:tc>
        <w:tc>
          <w:tcPr>
            <w:tcW w:w="900" w:type="dxa"/>
            <w:vAlign w:val="center"/>
          </w:tcPr>
          <w:p w14:paraId="159DB239" w14:textId="25B48F60" w:rsidR="10652A40" w:rsidRDefault="10652A40" w:rsidP="10652A40">
            <w:r>
              <w:t>0</w:t>
            </w:r>
          </w:p>
        </w:tc>
        <w:tc>
          <w:tcPr>
            <w:tcW w:w="900" w:type="dxa"/>
            <w:vAlign w:val="center"/>
          </w:tcPr>
          <w:p w14:paraId="5ABEDBBD" w14:textId="4DEDD01F" w:rsidR="10652A40" w:rsidRDefault="10652A40" w:rsidP="10652A40">
            <w:r>
              <w:t>0</w:t>
            </w:r>
          </w:p>
        </w:tc>
        <w:tc>
          <w:tcPr>
            <w:tcW w:w="900" w:type="dxa"/>
            <w:vAlign w:val="center"/>
          </w:tcPr>
          <w:p w14:paraId="603A50BA" w14:textId="1DD2A825" w:rsidR="10652A40" w:rsidRDefault="10652A40" w:rsidP="10652A40">
            <w:r>
              <w:t>0</w:t>
            </w:r>
          </w:p>
        </w:tc>
        <w:tc>
          <w:tcPr>
            <w:tcW w:w="900" w:type="dxa"/>
            <w:vAlign w:val="center"/>
          </w:tcPr>
          <w:p w14:paraId="29F2A29F" w14:textId="35A548AE" w:rsidR="10652A40" w:rsidRDefault="10652A40" w:rsidP="10652A40">
            <w:r>
              <w:t>0</w:t>
            </w:r>
          </w:p>
        </w:tc>
        <w:tc>
          <w:tcPr>
            <w:tcW w:w="900" w:type="dxa"/>
            <w:vAlign w:val="center"/>
          </w:tcPr>
          <w:p w14:paraId="6C6CF71F" w14:textId="19F6418B" w:rsidR="10652A40" w:rsidRDefault="10652A40" w:rsidP="10652A40">
            <w:r>
              <w:t>0</w:t>
            </w:r>
          </w:p>
        </w:tc>
        <w:tc>
          <w:tcPr>
            <w:tcW w:w="900" w:type="dxa"/>
            <w:vAlign w:val="center"/>
          </w:tcPr>
          <w:p w14:paraId="143ED755" w14:textId="7CCEBC14" w:rsidR="10652A40" w:rsidRDefault="10652A40" w:rsidP="10652A40">
            <w:r>
              <w:t>0</w:t>
            </w:r>
          </w:p>
        </w:tc>
        <w:tc>
          <w:tcPr>
            <w:tcW w:w="900" w:type="dxa"/>
            <w:vAlign w:val="center"/>
          </w:tcPr>
          <w:p w14:paraId="17AC6F42" w14:textId="6A2B879A" w:rsidR="10652A40" w:rsidRDefault="10652A40" w:rsidP="10652A40">
            <w:r>
              <w:t>0</w:t>
            </w:r>
          </w:p>
        </w:tc>
        <w:tc>
          <w:tcPr>
            <w:tcW w:w="900" w:type="dxa"/>
            <w:vAlign w:val="center"/>
          </w:tcPr>
          <w:p w14:paraId="056DE131" w14:textId="0A0F7714" w:rsidR="10652A40" w:rsidRDefault="10652A40" w:rsidP="10652A40">
            <w:r>
              <w:t>0</w:t>
            </w:r>
          </w:p>
        </w:tc>
        <w:tc>
          <w:tcPr>
            <w:tcW w:w="900" w:type="dxa"/>
            <w:vAlign w:val="center"/>
          </w:tcPr>
          <w:p w14:paraId="1A4CEA56" w14:textId="5EAB4918" w:rsidR="10652A40" w:rsidRDefault="10652A40" w:rsidP="10652A40">
            <w:r>
              <w:t>0</w:t>
            </w:r>
          </w:p>
        </w:tc>
      </w:tr>
      <w:tr w:rsidR="10652A40" w14:paraId="735A7654" w14:textId="77777777" w:rsidTr="10652A40">
        <w:trPr>
          <w:trHeight w:val="300"/>
        </w:trPr>
        <w:tc>
          <w:tcPr>
            <w:tcW w:w="4121" w:type="dxa"/>
            <w:gridSpan w:val="2"/>
            <w:vAlign w:val="center"/>
          </w:tcPr>
          <w:p w14:paraId="25BB3182" w14:textId="51837DEC" w:rsidR="10652A40" w:rsidRDefault="10652A40" w:rsidP="10652A40">
            <w:r w:rsidRPr="10652A40">
              <w:rPr>
                <w:b/>
                <w:bCs/>
                <w:lang w:val="en-US"/>
              </w:rPr>
              <w:t>Përfitim për buxhetin – në vazhdim</w:t>
            </w:r>
          </w:p>
        </w:tc>
        <w:tc>
          <w:tcPr>
            <w:tcW w:w="900" w:type="dxa"/>
            <w:vAlign w:val="center"/>
          </w:tcPr>
          <w:p w14:paraId="02582FEE" w14:textId="1F47F7CB" w:rsidR="10652A40" w:rsidRDefault="10652A40" w:rsidP="10652A40">
            <w:r>
              <w:t>0</w:t>
            </w:r>
          </w:p>
        </w:tc>
        <w:tc>
          <w:tcPr>
            <w:tcW w:w="900" w:type="dxa"/>
            <w:vAlign w:val="center"/>
          </w:tcPr>
          <w:p w14:paraId="50AEF436" w14:textId="0EBC4E96" w:rsidR="10652A40" w:rsidRDefault="10652A40" w:rsidP="10652A40">
            <w:r>
              <w:t>0</w:t>
            </w:r>
          </w:p>
        </w:tc>
        <w:tc>
          <w:tcPr>
            <w:tcW w:w="900" w:type="dxa"/>
            <w:vAlign w:val="center"/>
          </w:tcPr>
          <w:p w14:paraId="4AE639E6" w14:textId="55DD2066" w:rsidR="10652A40" w:rsidRDefault="10652A40" w:rsidP="10652A40">
            <w:r>
              <w:t>0</w:t>
            </w:r>
          </w:p>
        </w:tc>
        <w:tc>
          <w:tcPr>
            <w:tcW w:w="900" w:type="dxa"/>
            <w:vAlign w:val="center"/>
          </w:tcPr>
          <w:p w14:paraId="7F037D27" w14:textId="678040BE" w:rsidR="10652A40" w:rsidRDefault="10652A40" w:rsidP="10652A40">
            <w:r>
              <w:t>0</w:t>
            </w:r>
          </w:p>
        </w:tc>
        <w:tc>
          <w:tcPr>
            <w:tcW w:w="900" w:type="dxa"/>
            <w:vAlign w:val="center"/>
          </w:tcPr>
          <w:p w14:paraId="2FF733FA" w14:textId="1F968141" w:rsidR="10652A40" w:rsidRDefault="10652A40" w:rsidP="10652A40">
            <w:r>
              <w:t>0</w:t>
            </w:r>
          </w:p>
        </w:tc>
        <w:tc>
          <w:tcPr>
            <w:tcW w:w="900" w:type="dxa"/>
            <w:vAlign w:val="center"/>
          </w:tcPr>
          <w:p w14:paraId="38306770" w14:textId="62F6640A" w:rsidR="10652A40" w:rsidRDefault="10652A40" w:rsidP="10652A40">
            <w:r>
              <w:t>0</w:t>
            </w:r>
          </w:p>
        </w:tc>
        <w:tc>
          <w:tcPr>
            <w:tcW w:w="900" w:type="dxa"/>
            <w:vAlign w:val="center"/>
          </w:tcPr>
          <w:p w14:paraId="619539B2" w14:textId="2AA13EDE" w:rsidR="10652A40" w:rsidRDefault="10652A40" w:rsidP="10652A40">
            <w:r>
              <w:t>0</w:t>
            </w:r>
          </w:p>
        </w:tc>
        <w:tc>
          <w:tcPr>
            <w:tcW w:w="900" w:type="dxa"/>
            <w:vAlign w:val="center"/>
          </w:tcPr>
          <w:p w14:paraId="0EB8E3D0" w14:textId="28D20370" w:rsidR="10652A40" w:rsidRDefault="10652A40" w:rsidP="10652A40">
            <w:r>
              <w:t>0</w:t>
            </w:r>
          </w:p>
        </w:tc>
        <w:tc>
          <w:tcPr>
            <w:tcW w:w="900" w:type="dxa"/>
            <w:vAlign w:val="center"/>
          </w:tcPr>
          <w:p w14:paraId="3163B14A" w14:textId="4DF0E9D6" w:rsidR="10652A40" w:rsidRDefault="10652A40" w:rsidP="10652A40">
            <w:r>
              <w:t>0</w:t>
            </w:r>
          </w:p>
        </w:tc>
        <w:tc>
          <w:tcPr>
            <w:tcW w:w="900" w:type="dxa"/>
            <w:vAlign w:val="center"/>
          </w:tcPr>
          <w:p w14:paraId="59FD9DE1" w14:textId="557A6741" w:rsidR="10652A40" w:rsidRDefault="10652A40" w:rsidP="10652A40">
            <w:r>
              <w:t>0</w:t>
            </w:r>
          </w:p>
        </w:tc>
      </w:tr>
      <w:tr w:rsidR="10652A40" w14:paraId="357F69E2" w14:textId="77777777" w:rsidTr="10652A40">
        <w:trPr>
          <w:trHeight w:val="300"/>
        </w:trPr>
        <w:tc>
          <w:tcPr>
            <w:tcW w:w="4121" w:type="dxa"/>
            <w:gridSpan w:val="2"/>
            <w:vAlign w:val="center"/>
          </w:tcPr>
          <w:p w14:paraId="5C4961C6" w14:textId="128EF9F3" w:rsidR="10652A40" w:rsidRDefault="10652A40" w:rsidP="10652A40">
            <w:r w:rsidRPr="10652A40">
              <w:rPr>
                <w:b/>
                <w:bCs/>
                <w:lang w:val="en-US"/>
              </w:rPr>
              <w:t>Përfitim për biznesin – një herë</w:t>
            </w:r>
          </w:p>
        </w:tc>
        <w:tc>
          <w:tcPr>
            <w:tcW w:w="900" w:type="dxa"/>
            <w:vAlign w:val="center"/>
          </w:tcPr>
          <w:p w14:paraId="48E6A12F" w14:textId="55633F01" w:rsidR="10652A40" w:rsidRDefault="10652A40" w:rsidP="10652A40">
            <w:r>
              <w:t>0</w:t>
            </w:r>
          </w:p>
        </w:tc>
        <w:tc>
          <w:tcPr>
            <w:tcW w:w="900" w:type="dxa"/>
            <w:vAlign w:val="center"/>
          </w:tcPr>
          <w:p w14:paraId="5C334918" w14:textId="7255A194" w:rsidR="10652A40" w:rsidRDefault="10652A40" w:rsidP="10652A40">
            <w:r>
              <w:t>0</w:t>
            </w:r>
          </w:p>
        </w:tc>
        <w:tc>
          <w:tcPr>
            <w:tcW w:w="900" w:type="dxa"/>
            <w:vAlign w:val="center"/>
          </w:tcPr>
          <w:p w14:paraId="5C1001FD" w14:textId="20CF2305" w:rsidR="10652A40" w:rsidRDefault="10652A40" w:rsidP="10652A40">
            <w:r>
              <w:t>0</w:t>
            </w:r>
          </w:p>
        </w:tc>
        <w:tc>
          <w:tcPr>
            <w:tcW w:w="900" w:type="dxa"/>
            <w:vAlign w:val="center"/>
          </w:tcPr>
          <w:p w14:paraId="2B8CD812" w14:textId="1C302FD9" w:rsidR="10652A40" w:rsidRDefault="10652A40" w:rsidP="10652A40">
            <w:r>
              <w:t>0</w:t>
            </w:r>
          </w:p>
        </w:tc>
        <w:tc>
          <w:tcPr>
            <w:tcW w:w="900" w:type="dxa"/>
            <w:vAlign w:val="center"/>
          </w:tcPr>
          <w:p w14:paraId="249EE255" w14:textId="2C998D04" w:rsidR="10652A40" w:rsidRDefault="10652A40" w:rsidP="10652A40">
            <w:r>
              <w:t>0</w:t>
            </w:r>
          </w:p>
        </w:tc>
        <w:tc>
          <w:tcPr>
            <w:tcW w:w="900" w:type="dxa"/>
            <w:vAlign w:val="center"/>
          </w:tcPr>
          <w:p w14:paraId="25206E1C" w14:textId="4CB443A8" w:rsidR="10652A40" w:rsidRDefault="10652A40" w:rsidP="10652A40">
            <w:r>
              <w:t>0</w:t>
            </w:r>
          </w:p>
        </w:tc>
        <w:tc>
          <w:tcPr>
            <w:tcW w:w="900" w:type="dxa"/>
            <w:vAlign w:val="center"/>
          </w:tcPr>
          <w:p w14:paraId="37EB1C7A" w14:textId="64C445D2" w:rsidR="10652A40" w:rsidRDefault="10652A40" w:rsidP="10652A40">
            <w:r>
              <w:t>0</w:t>
            </w:r>
          </w:p>
        </w:tc>
        <w:tc>
          <w:tcPr>
            <w:tcW w:w="900" w:type="dxa"/>
            <w:vAlign w:val="center"/>
          </w:tcPr>
          <w:p w14:paraId="024B8745" w14:textId="17E13BC6" w:rsidR="10652A40" w:rsidRDefault="10652A40" w:rsidP="10652A40">
            <w:r>
              <w:t>0</w:t>
            </w:r>
          </w:p>
        </w:tc>
        <w:tc>
          <w:tcPr>
            <w:tcW w:w="900" w:type="dxa"/>
            <w:vAlign w:val="center"/>
          </w:tcPr>
          <w:p w14:paraId="6023D6F1" w14:textId="26EAE5A7" w:rsidR="10652A40" w:rsidRDefault="10652A40" w:rsidP="10652A40">
            <w:r>
              <w:t>0</w:t>
            </w:r>
          </w:p>
        </w:tc>
        <w:tc>
          <w:tcPr>
            <w:tcW w:w="900" w:type="dxa"/>
            <w:vAlign w:val="center"/>
          </w:tcPr>
          <w:p w14:paraId="7F08E4CF" w14:textId="5FD16975" w:rsidR="10652A40" w:rsidRDefault="10652A40" w:rsidP="10652A40">
            <w:r>
              <w:t>0</w:t>
            </w:r>
          </w:p>
        </w:tc>
      </w:tr>
      <w:tr w:rsidR="10652A40" w14:paraId="6C1C3E84" w14:textId="77777777" w:rsidTr="10652A40">
        <w:trPr>
          <w:trHeight w:val="300"/>
        </w:trPr>
        <w:tc>
          <w:tcPr>
            <w:tcW w:w="4121" w:type="dxa"/>
            <w:gridSpan w:val="2"/>
            <w:vAlign w:val="center"/>
          </w:tcPr>
          <w:p w14:paraId="67C90F8C" w14:textId="061B92CF" w:rsidR="10652A40" w:rsidRDefault="10652A40" w:rsidP="10652A40">
            <w:r w:rsidRPr="10652A40">
              <w:rPr>
                <w:b/>
                <w:bCs/>
                <w:lang w:val="en-US"/>
              </w:rPr>
              <w:t>Përfitim për biznesin – në vazhdim</w:t>
            </w:r>
          </w:p>
        </w:tc>
        <w:tc>
          <w:tcPr>
            <w:tcW w:w="900" w:type="dxa"/>
            <w:vAlign w:val="center"/>
          </w:tcPr>
          <w:p w14:paraId="62C19ED8" w14:textId="485DDAB1" w:rsidR="10652A40" w:rsidRDefault="10652A40" w:rsidP="10652A40">
            <w:r>
              <w:t>0</w:t>
            </w:r>
          </w:p>
        </w:tc>
        <w:tc>
          <w:tcPr>
            <w:tcW w:w="900" w:type="dxa"/>
            <w:vAlign w:val="center"/>
          </w:tcPr>
          <w:p w14:paraId="50C41995" w14:textId="5A06B74E" w:rsidR="10652A40" w:rsidRDefault="10652A40" w:rsidP="10652A40">
            <w:r>
              <w:t>0</w:t>
            </w:r>
          </w:p>
        </w:tc>
        <w:tc>
          <w:tcPr>
            <w:tcW w:w="900" w:type="dxa"/>
            <w:vAlign w:val="center"/>
          </w:tcPr>
          <w:p w14:paraId="75F72E20" w14:textId="1DBEE16E" w:rsidR="10652A40" w:rsidRDefault="10652A40" w:rsidP="10652A40">
            <w:r>
              <w:t>0,43</w:t>
            </w:r>
          </w:p>
        </w:tc>
        <w:tc>
          <w:tcPr>
            <w:tcW w:w="900" w:type="dxa"/>
            <w:vAlign w:val="center"/>
          </w:tcPr>
          <w:p w14:paraId="36FFB672" w14:textId="1FE8D94D" w:rsidR="10652A40" w:rsidRDefault="10652A40" w:rsidP="10652A40">
            <w:r>
              <w:t>0,46</w:t>
            </w:r>
          </w:p>
        </w:tc>
        <w:tc>
          <w:tcPr>
            <w:tcW w:w="900" w:type="dxa"/>
            <w:vAlign w:val="center"/>
          </w:tcPr>
          <w:p w14:paraId="7CAE2422" w14:textId="00F6CE3A" w:rsidR="10652A40" w:rsidRDefault="10652A40" w:rsidP="10652A40">
            <w:r>
              <w:t>0,49</w:t>
            </w:r>
          </w:p>
        </w:tc>
        <w:tc>
          <w:tcPr>
            <w:tcW w:w="900" w:type="dxa"/>
            <w:vAlign w:val="center"/>
          </w:tcPr>
          <w:p w14:paraId="235DBB53" w14:textId="18074263" w:rsidR="10652A40" w:rsidRDefault="10652A40" w:rsidP="10652A40">
            <w:r>
              <w:t>0,52</w:t>
            </w:r>
          </w:p>
        </w:tc>
        <w:tc>
          <w:tcPr>
            <w:tcW w:w="900" w:type="dxa"/>
            <w:vAlign w:val="center"/>
          </w:tcPr>
          <w:p w14:paraId="02BEB2DF" w14:textId="7DEB35D2" w:rsidR="10652A40" w:rsidRDefault="10652A40" w:rsidP="10652A40">
            <w:r>
              <w:t>0,56</w:t>
            </w:r>
          </w:p>
        </w:tc>
        <w:tc>
          <w:tcPr>
            <w:tcW w:w="900" w:type="dxa"/>
            <w:vAlign w:val="center"/>
          </w:tcPr>
          <w:p w14:paraId="41C23242" w14:textId="259D0B3D" w:rsidR="10652A40" w:rsidRDefault="10652A40" w:rsidP="10652A40">
            <w:r>
              <w:t>0,60</w:t>
            </w:r>
          </w:p>
        </w:tc>
        <w:tc>
          <w:tcPr>
            <w:tcW w:w="900" w:type="dxa"/>
            <w:vAlign w:val="center"/>
          </w:tcPr>
          <w:p w14:paraId="0818A74E" w14:textId="15C10D8E" w:rsidR="10652A40" w:rsidRDefault="10652A40" w:rsidP="10652A40">
            <w:r>
              <w:t>0,64</w:t>
            </w:r>
          </w:p>
        </w:tc>
        <w:tc>
          <w:tcPr>
            <w:tcW w:w="900" w:type="dxa"/>
            <w:vAlign w:val="center"/>
          </w:tcPr>
          <w:p w14:paraId="6C8C6695" w14:textId="47C357B1" w:rsidR="10652A40" w:rsidRDefault="10652A40" w:rsidP="10652A40">
            <w:r>
              <w:t>0,69</w:t>
            </w:r>
          </w:p>
        </w:tc>
      </w:tr>
      <w:tr w:rsidR="10652A40" w14:paraId="453CF123" w14:textId="77777777" w:rsidTr="10652A40">
        <w:trPr>
          <w:trHeight w:val="300"/>
        </w:trPr>
        <w:tc>
          <w:tcPr>
            <w:tcW w:w="4121" w:type="dxa"/>
            <w:gridSpan w:val="2"/>
            <w:vAlign w:val="center"/>
          </w:tcPr>
          <w:p w14:paraId="221D5E2D" w14:textId="6DCF3283" w:rsidR="10652A40" w:rsidRDefault="10652A40" w:rsidP="10652A40">
            <w:r w:rsidRPr="10652A40">
              <w:rPr>
                <w:b/>
                <w:bCs/>
                <w:lang w:val="en-US"/>
              </w:rPr>
              <w:t>Përfitim për grupet e tjera – një herë</w:t>
            </w:r>
          </w:p>
        </w:tc>
        <w:tc>
          <w:tcPr>
            <w:tcW w:w="900" w:type="dxa"/>
            <w:vAlign w:val="center"/>
          </w:tcPr>
          <w:p w14:paraId="51B06B9C" w14:textId="3BCB8A5D" w:rsidR="10652A40" w:rsidRDefault="10652A40" w:rsidP="10652A40">
            <w:r>
              <w:t>0</w:t>
            </w:r>
          </w:p>
        </w:tc>
        <w:tc>
          <w:tcPr>
            <w:tcW w:w="900" w:type="dxa"/>
            <w:vAlign w:val="center"/>
          </w:tcPr>
          <w:p w14:paraId="1103FE49" w14:textId="1A9DD9E8" w:rsidR="10652A40" w:rsidRDefault="10652A40" w:rsidP="10652A40">
            <w:r>
              <w:t>0</w:t>
            </w:r>
          </w:p>
        </w:tc>
        <w:tc>
          <w:tcPr>
            <w:tcW w:w="900" w:type="dxa"/>
            <w:vAlign w:val="center"/>
          </w:tcPr>
          <w:p w14:paraId="29A6BFB8" w14:textId="00109CE7" w:rsidR="10652A40" w:rsidRDefault="10652A40" w:rsidP="10652A40">
            <w:r>
              <w:t>0</w:t>
            </w:r>
          </w:p>
        </w:tc>
        <w:tc>
          <w:tcPr>
            <w:tcW w:w="900" w:type="dxa"/>
            <w:vAlign w:val="center"/>
          </w:tcPr>
          <w:p w14:paraId="70755E0A" w14:textId="4E326DED" w:rsidR="10652A40" w:rsidRDefault="10652A40" w:rsidP="10652A40">
            <w:r>
              <w:t>0</w:t>
            </w:r>
          </w:p>
        </w:tc>
        <w:tc>
          <w:tcPr>
            <w:tcW w:w="900" w:type="dxa"/>
            <w:vAlign w:val="center"/>
          </w:tcPr>
          <w:p w14:paraId="5B06ECA5" w14:textId="070DEF85" w:rsidR="10652A40" w:rsidRDefault="10652A40" w:rsidP="10652A40">
            <w:r>
              <w:t>0</w:t>
            </w:r>
          </w:p>
        </w:tc>
        <w:tc>
          <w:tcPr>
            <w:tcW w:w="900" w:type="dxa"/>
            <w:vAlign w:val="center"/>
          </w:tcPr>
          <w:p w14:paraId="41B6E136" w14:textId="1361AAD2" w:rsidR="10652A40" w:rsidRDefault="10652A40" w:rsidP="10652A40">
            <w:r>
              <w:t>0</w:t>
            </w:r>
          </w:p>
        </w:tc>
        <w:tc>
          <w:tcPr>
            <w:tcW w:w="900" w:type="dxa"/>
            <w:vAlign w:val="center"/>
          </w:tcPr>
          <w:p w14:paraId="01020BCB" w14:textId="4EA1CBE9" w:rsidR="10652A40" w:rsidRDefault="10652A40" w:rsidP="10652A40">
            <w:r>
              <w:t>0</w:t>
            </w:r>
          </w:p>
        </w:tc>
        <w:tc>
          <w:tcPr>
            <w:tcW w:w="900" w:type="dxa"/>
            <w:vAlign w:val="center"/>
          </w:tcPr>
          <w:p w14:paraId="57A6EC17" w14:textId="01D72B49" w:rsidR="10652A40" w:rsidRDefault="10652A40" w:rsidP="10652A40">
            <w:r>
              <w:t>0</w:t>
            </w:r>
          </w:p>
        </w:tc>
        <w:tc>
          <w:tcPr>
            <w:tcW w:w="900" w:type="dxa"/>
            <w:vAlign w:val="center"/>
          </w:tcPr>
          <w:p w14:paraId="75AC57E4" w14:textId="4AADFAAD" w:rsidR="10652A40" w:rsidRDefault="10652A40" w:rsidP="10652A40">
            <w:r>
              <w:t>0</w:t>
            </w:r>
          </w:p>
        </w:tc>
        <w:tc>
          <w:tcPr>
            <w:tcW w:w="900" w:type="dxa"/>
            <w:vAlign w:val="center"/>
          </w:tcPr>
          <w:p w14:paraId="2E680DF1" w14:textId="6057E441" w:rsidR="10652A40" w:rsidRDefault="10652A40" w:rsidP="10652A40">
            <w:r>
              <w:t>0</w:t>
            </w:r>
          </w:p>
        </w:tc>
      </w:tr>
      <w:tr w:rsidR="10652A40" w14:paraId="1BB9CDC5" w14:textId="77777777" w:rsidTr="10652A40">
        <w:trPr>
          <w:trHeight w:val="300"/>
        </w:trPr>
        <w:tc>
          <w:tcPr>
            <w:tcW w:w="4121" w:type="dxa"/>
            <w:gridSpan w:val="2"/>
            <w:vAlign w:val="center"/>
          </w:tcPr>
          <w:p w14:paraId="1421EAEB" w14:textId="411318FB" w:rsidR="10652A40" w:rsidRDefault="10652A40" w:rsidP="10652A40">
            <w:r w:rsidRPr="10652A40">
              <w:rPr>
                <w:b/>
                <w:bCs/>
                <w:lang w:val="en-US"/>
              </w:rPr>
              <w:t>Përfitim për grupet e tjera – në vazhdim</w:t>
            </w:r>
          </w:p>
        </w:tc>
        <w:tc>
          <w:tcPr>
            <w:tcW w:w="900" w:type="dxa"/>
            <w:vAlign w:val="center"/>
          </w:tcPr>
          <w:p w14:paraId="6A8BAFFD" w14:textId="4FEB4FC9" w:rsidR="10652A40" w:rsidRDefault="10652A40" w:rsidP="10652A40">
            <w:r>
              <w:t>0</w:t>
            </w:r>
          </w:p>
        </w:tc>
        <w:tc>
          <w:tcPr>
            <w:tcW w:w="900" w:type="dxa"/>
            <w:vAlign w:val="center"/>
          </w:tcPr>
          <w:p w14:paraId="232711D6" w14:textId="7D2582A6" w:rsidR="10652A40" w:rsidRDefault="10652A40" w:rsidP="10652A40">
            <w:r>
              <w:t>0</w:t>
            </w:r>
          </w:p>
        </w:tc>
        <w:tc>
          <w:tcPr>
            <w:tcW w:w="900" w:type="dxa"/>
            <w:vAlign w:val="center"/>
          </w:tcPr>
          <w:p w14:paraId="4EE326E9" w14:textId="5D9B72C4" w:rsidR="10652A40" w:rsidRDefault="10652A40" w:rsidP="10652A40">
            <w:r>
              <w:t>11,2</w:t>
            </w:r>
          </w:p>
        </w:tc>
        <w:tc>
          <w:tcPr>
            <w:tcW w:w="900" w:type="dxa"/>
            <w:vAlign w:val="center"/>
          </w:tcPr>
          <w:p w14:paraId="44B1E84D" w14:textId="7DE171B6" w:rsidR="10652A40" w:rsidRDefault="10652A40" w:rsidP="10652A40">
            <w:r>
              <w:t>12,0</w:t>
            </w:r>
          </w:p>
        </w:tc>
        <w:tc>
          <w:tcPr>
            <w:tcW w:w="900" w:type="dxa"/>
            <w:vAlign w:val="center"/>
          </w:tcPr>
          <w:p w14:paraId="6D50574B" w14:textId="6AA87AC4" w:rsidR="10652A40" w:rsidRDefault="10652A40" w:rsidP="10652A40">
            <w:r>
              <w:t>12,8</w:t>
            </w:r>
          </w:p>
        </w:tc>
        <w:tc>
          <w:tcPr>
            <w:tcW w:w="900" w:type="dxa"/>
            <w:vAlign w:val="center"/>
          </w:tcPr>
          <w:p w14:paraId="7A23A370" w14:textId="3980241E" w:rsidR="10652A40" w:rsidRDefault="10652A40" w:rsidP="10652A40">
            <w:r>
              <w:t>13,7</w:t>
            </w:r>
          </w:p>
        </w:tc>
        <w:tc>
          <w:tcPr>
            <w:tcW w:w="900" w:type="dxa"/>
            <w:vAlign w:val="center"/>
          </w:tcPr>
          <w:p w14:paraId="3FFAE1CE" w14:textId="7A589323" w:rsidR="10652A40" w:rsidRDefault="10652A40" w:rsidP="10652A40">
            <w:r>
              <w:t>14,6</w:t>
            </w:r>
          </w:p>
        </w:tc>
        <w:tc>
          <w:tcPr>
            <w:tcW w:w="900" w:type="dxa"/>
            <w:vAlign w:val="center"/>
          </w:tcPr>
          <w:p w14:paraId="0C19B8EF" w14:textId="4E31D838" w:rsidR="10652A40" w:rsidRDefault="10652A40" w:rsidP="10652A40">
            <w:r>
              <w:t>15,7</w:t>
            </w:r>
          </w:p>
        </w:tc>
        <w:tc>
          <w:tcPr>
            <w:tcW w:w="900" w:type="dxa"/>
            <w:vAlign w:val="center"/>
          </w:tcPr>
          <w:p w14:paraId="259DC075" w14:textId="6C28C4C0" w:rsidR="10652A40" w:rsidRDefault="10652A40" w:rsidP="10652A40">
            <w:r>
              <w:t>16,8</w:t>
            </w:r>
          </w:p>
        </w:tc>
        <w:tc>
          <w:tcPr>
            <w:tcW w:w="900" w:type="dxa"/>
            <w:vAlign w:val="center"/>
          </w:tcPr>
          <w:p w14:paraId="3AFDAB43" w14:textId="163156DF" w:rsidR="10652A40" w:rsidRDefault="10652A40" w:rsidP="10652A40">
            <w:r>
              <w:t>17,9</w:t>
            </w:r>
          </w:p>
        </w:tc>
      </w:tr>
      <w:tr w:rsidR="10652A40" w14:paraId="4C38357C" w14:textId="77777777" w:rsidTr="10652A40">
        <w:trPr>
          <w:trHeight w:val="300"/>
        </w:trPr>
        <w:tc>
          <w:tcPr>
            <w:tcW w:w="4121" w:type="dxa"/>
            <w:gridSpan w:val="2"/>
            <w:vAlign w:val="center"/>
          </w:tcPr>
          <w:p w14:paraId="699F6E0F" w14:textId="7B94A44B" w:rsidR="10652A40" w:rsidRDefault="10652A40" w:rsidP="10652A40">
            <w:r w:rsidRPr="10652A40">
              <w:rPr>
                <w:b/>
                <w:bCs/>
                <w:lang w:val="en-US"/>
              </w:rPr>
              <w:t>Përfitim në total</w:t>
            </w:r>
          </w:p>
        </w:tc>
        <w:tc>
          <w:tcPr>
            <w:tcW w:w="900" w:type="dxa"/>
            <w:vAlign w:val="center"/>
          </w:tcPr>
          <w:p w14:paraId="17A3EB12" w14:textId="372DDAF4" w:rsidR="10652A40" w:rsidRDefault="10652A40" w:rsidP="10652A40">
            <w:r>
              <w:t>0</w:t>
            </w:r>
          </w:p>
        </w:tc>
        <w:tc>
          <w:tcPr>
            <w:tcW w:w="900" w:type="dxa"/>
            <w:vAlign w:val="center"/>
          </w:tcPr>
          <w:p w14:paraId="45E0C278" w14:textId="0C4A474A" w:rsidR="10652A40" w:rsidRDefault="10652A40" w:rsidP="10652A40">
            <w:r>
              <w:t>0</w:t>
            </w:r>
          </w:p>
        </w:tc>
        <w:tc>
          <w:tcPr>
            <w:tcW w:w="900" w:type="dxa"/>
            <w:vAlign w:val="center"/>
          </w:tcPr>
          <w:p w14:paraId="7515DBB6" w14:textId="6BDB6CDA" w:rsidR="10652A40" w:rsidRDefault="10652A40" w:rsidP="10652A40">
            <w:r>
              <w:t>11,6</w:t>
            </w:r>
          </w:p>
        </w:tc>
        <w:tc>
          <w:tcPr>
            <w:tcW w:w="900" w:type="dxa"/>
            <w:vAlign w:val="center"/>
          </w:tcPr>
          <w:p w14:paraId="725CD8B2" w14:textId="42D45C84" w:rsidR="10652A40" w:rsidRDefault="10652A40" w:rsidP="10652A40">
            <w:r>
              <w:t>12,4</w:t>
            </w:r>
          </w:p>
        </w:tc>
        <w:tc>
          <w:tcPr>
            <w:tcW w:w="900" w:type="dxa"/>
            <w:vAlign w:val="center"/>
          </w:tcPr>
          <w:p w14:paraId="386747D0" w14:textId="4ED39892" w:rsidR="10652A40" w:rsidRDefault="10652A40" w:rsidP="10652A40">
            <w:r>
              <w:t>13,3</w:t>
            </w:r>
          </w:p>
        </w:tc>
        <w:tc>
          <w:tcPr>
            <w:tcW w:w="900" w:type="dxa"/>
            <w:vAlign w:val="center"/>
          </w:tcPr>
          <w:p w14:paraId="073EAC76" w14:textId="3F976F2A" w:rsidR="10652A40" w:rsidRDefault="10652A40" w:rsidP="10652A40">
            <w:r>
              <w:t>14,2</w:t>
            </w:r>
          </w:p>
        </w:tc>
        <w:tc>
          <w:tcPr>
            <w:tcW w:w="900" w:type="dxa"/>
            <w:vAlign w:val="center"/>
          </w:tcPr>
          <w:p w14:paraId="29F5313E" w14:textId="307E35DC" w:rsidR="10652A40" w:rsidRDefault="10652A40" w:rsidP="10652A40">
            <w:r>
              <w:t>15,2</w:t>
            </w:r>
          </w:p>
        </w:tc>
        <w:tc>
          <w:tcPr>
            <w:tcW w:w="900" w:type="dxa"/>
            <w:vAlign w:val="center"/>
          </w:tcPr>
          <w:p w14:paraId="5A0BD889" w14:textId="70E0CD1D" w:rsidR="10652A40" w:rsidRDefault="10652A40" w:rsidP="10652A40">
            <w:r>
              <w:t>16,3</w:t>
            </w:r>
          </w:p>
        </w:tc>
        <w:tc>
          <w:tcPr>
            <w:tcW w:w="900" w:type="dxa"/>
            <w:vAlign w:val="center"/>
          </w:tcPr>
          <w:p w14:paraId="3F76AF85" w14:textId="36B4259A" w:rsidR="10652A40" w:rsidRDefault="10652A40" w:rsidP="10652A40">
            <w:r>
              <w:t>17,4</w:t>
            </w:r>
          </w:p>
        </w:tc>
        <w:tc>
          <w:tcPr>
            <w:tcW w:w="900" w:type="dxa"/>
            <w:vAlign w:val="center"/>
          </w:tcPr>
          <w:p w14:paraId="1D82695C" w14:textId="6739EFAD" w:rsidR="10652A40" w:rsidRDefault="10652A40" w:rsidP="10652A40">
            <w:r>
              <w:t>18,6</w:t>
            </w:r>
          </w:p>
        </w:tc>
      </w:tr>
      <w:tr w:rsidR="10652A40" w14:paraId="12BD81C8" w14:textId="77777777" w:rsidTr="10652A40">
        <w:trPr>
          <w:trHeight w:val="300"/>
        </w:trPr>
        <w:tc>
          <w:tcPr>
            <w:tcW w:w="4121" w:type="dxa"/>
            <w:gridSpan w:val="2"/>
            <w:vAlign w:val="center"/>
          </w:tcPr>
          <w:p w14:paraId="2DD72670" w14:textId="38EBBF19" w:rsidR="10652A40" w:rsidRDefault="10652A40" w:rsidP="10652A40">
            <w:r w:rsidRPr="10652A40">
              <w:rPr>
                <w:b/>
                <w:bCs/>
                <w:lang w:val="en-US"/>
              </w:rPr>
              <w:t>Përfitim i skontuar në total</w:t>
            </w:r>
          </w:p>
        </w:tc>
        <w:tc>
          <w:tcPr>
            <w:tcW w:w="900" w:type="dxa"/>
            <w:vAlign w:val="center"/>
          </w:tcPr>
          <w:p w14:paraId="4F10661E" w14:textId="651B5104" w:rsidR="10652A40" w:rsidRDefault="10652A40" w:rsidP="10652A40">
            <w:r>
              <w:t>0</w:t>
            </w:r>
          </w:p>
        </w:tc>
        <w:tc>
          <w:tcPr>
            <w:tcW w:w="900" w:type="dxa"/>
            <w:vAlign w:val="center"/>
          </w:tcPr>
          <w:p w14:paraId="72E6178A" w14:textId="7DE4A396" w:rsidR="10652A40" w:rsidRDefault="10652A40" w:rsidP="10652A40">
            <w:r>
              <w:t>0</w:t>
            </w:r>
          </w:p>
        </w:tc>
        <w:tc>
          <w:tcPr>
            <w:tcW w:w="900" w:type="dxa"/>
            <w:vAlign w:val="center"/>
          </w:tcPr>
          <w:p w14:paraId="4F31F648" w14:textId="5AC13315" w:rsidR="10652A40" w:rsidRDefault="10652A40" w:rsidP="10652A40">
            <w:r>
              <w:t>10,0</w:t>
            </w:r>
          </w:p>
        </w:tc>
        <w:tc>
          <w:tcPr>
            <w:tcW w:w="900" w:type="dxa"/>
            <w:vAlign w:val="center"/>
          </w:tcPr>
          <w:p w14:paraId="0EEDD2EC" w14:textId="66BD20D0" w:rsidR="10652A40" w:rsidRDefault="10652A40" w:rsidP="10652A40">
            <w:r>
              <w:t>10,2</w:t>
            </w:r>
          </w:p>
        </w:tc>
        <w:tc>
          <w:tcPr>
            <w:tcW w:w="900" w:type="dxa"/>
            <w:vAlign w:val="center"/>
          </w:tcPr>
          <w:p w14:paraId="0FFCA85F" w14:textId="3BEBCC44" w:rsidR="10652A40" w:rsidRDefault="10652A40" w:rsidP="10652A40">
            <w:r>
              <w:t>10,4</w:t>
            </w:r>
          </w:p>
        </w:tc>
        <w:tc>
          <w:tcPr>
            <w:tcW w:w="900" w:type="dxa"/>
            <w:vAlign w:val="center"/>
          </w:tcPr>
          <w:p w14:paraId="6F38B10F" w14:textId="5347C616" w:rsidR="10652A40" w:rsidRDefault="10652A40" w:rsidP="10652A40">
            <w:r>
              <w:t>10,6</w:t>
            </w:r>
          </w:p>
        </w:tc>
        <w:tc>
          <w:tcPr>
            <w:tcW w:w="900" w:type="dxa"/>
            <w:vAlign w:val="center"/>
          </w:tcPr>
          <w:p w14:paraId="1E0CE2F8" w14:textId="33612E6B" w:rsidR="10652A40" w:rsidRDefault="10652A40" w:rsidP="10652A40">
            <w:r>
              <w:t>10,8</w:t>
            </w:r>
          </w:p>
        </w:tc>
        <w:tc>
          <w:tcPr>
            <w:tcW w:w="900" w:type="dxa"/>
            <w:vAlign w:val="center"/>
          </w:tcPr>
          <w:p w14:paraId="55860700" w14:textId="0B45665A" w:rsidR="10652A40" w:rsidRDefault="10652A40" w:rsidP="10652A40">
            <w:r>
              <w:t>11,0</w:t>
            </w:r>
          </w:p>
        </w:tc>
        <w:tc>
          <w:tcPr>
            <w:tcW w:w="900" w:type="dxa"/>
            <w:vAlign w:val="center"/>
          </w:tcPr>
          <w:p w14:paraId="7F4E438E" w14:textId="4BA4071A" w:rsidR="10652A40" w:rsidRDefault="10652A40" w:rsidP="10652A40">
            <w:r>
              <w:t>11,2</w:t>
            </w:r>
          </w:p>
        </w:tc>
        <w:tc>
          <w:tcPr>
            <w:tcW w:w="900" w:type="dxa"/>
            <w:vAlign w:val="center"/>
          </w:tcPr>
          <w:p w14:paraId="7266F6D9" w14:textId="4A482C41" w:rsidR="10652A40" w:rsidRDefault="10652A40" w:rsidP="10652A40">
            <w:r>
              <w:t>11,4</w:t>
            </w:r>
          </w:p>
        </w:tc>
      </w:tr>
      <w:tr w:rsidR="10652A40" w14:paraId="37B8433F" w14:textId="77777777" w:rsidTr="10652A40">
        <w:trPr>
          <w:gridAfter w:val="7"/>
          <w:wAfter w:w="6296" w:type="dxa"/>
          <w:trHeight w:val="300"/>
        </w:trPr>
        <w:tc>
          <w:tcPr>
            <w:tcW w:w="3479" w:type="dxa"/>
            <w:vAlign w:val="center"/>
          </w:tcPr>
          <w:p w14:paraId="54BAF54E" w14:textId="1D303A21" w:rsidR="6FEF872A" w:rsidRDefault="6FEF872A" w:rsidP="10652A40">
            <w:pPr>
              <w:jc w:val="center"/>
            </w:pPr>
            <w:r w:rsidRPr="10652A40">
              <w:rPr>
                <w:b/>
                <w:bCs/>
                <w:lang w:val="en-US"/>
              </w:rPr>
              <w:t>P</w:t>
            </w:r>
            <w:r w:rsidR="10652A40" w:rsidRPr="10652A40">
              <w:rPr>
                <w:b/>
                <w:bCs/>
                <w:lang w:val="en-US"/>
              </w:rPr>
              <w:t>ërmbledhës</w:t>
            </w:r>
            <w:r w:rsidR="246B5F94" w:rsidRPr="10652A40">
              <w:rPr>
                <w:b/>
                <w:bCs/>
                <w:lang w:val="en-US"/>
              </w:rPr>
              <w:t>e</w:t>
            </w:r>
          </w:p>
        </w:tc>
        <w:tc>
          <w:tcPr>
            <w:tcW w:w="3346" w:type="dxa"/>
            <w:gridSpan w:val="4"/>
            <w:vAlign w:val="center"/>
          </w:tcPr>
          <w:p w14:paraId="503CDD3A" w14:textId="66B2292B" w:rsidR="10652A40" w:rsidRDefault="10652A40" w:rsidP="10652A40">
            <w:pPr>
              <w:jc w:val="center"/>
            </w:pPr>
            <w:r w:rsidRPr="10652A40">
              <w:rPr>
                <w:b/>
                <w:bCs/>
                <w:lang w:val="en-US"/>
              </w:rPr>
              <w:t>Vlera aktuale, në milionë lekë</w:t>
            </w:r>
          </w:p>
        </w:tc>
      </w:tr>
      <w:tr w:rsidR="10652A40" w14:paraId="64CB8512" w14:textId="77777777" w:rsidTr="10652A40">
        <w:trPr>
          <w:gridAfter w:val="7"/>
          <w:wAfter w:w="6296" w:type="dxa"/>
          <w:trHeight w:val="300"/>
        </w:trPr>
        <w:tc>
          <w:tcPr>
            <w:tcW w:w="3479" w:type="dxa"/>
            <w:vAlign w:val="center"/>
          </w:tcPr>
          <w:p w14:paraId="28DB0499" w14:textId="4071655D" w:rsidR="10652A40" w:rsidRDefault="10652A40" w:rsidP="10652A40">
            <w:r w:rsidRPr="10652A40">
              <w:rPr>
                <w:lang w:val="en-US"/>
              </w:rPr>
              <w:t>Vlera aktuale e kostos në total</w:t>
            </w:r>
          </w:p>
        </w:tc>
        <w:tc>
          <w:tcPr>
            <w:tcW w:w="3346" w:type="dxa"/>
            <w:gridSpan w:val="4"/>
            <w:vAlign w:val="center"/>
          </w:tcPr>
          <w:p w14:paraId="6CF1D030" w14:textId="5BD2FEB1" w:rsidR="10652A40" w:rsidRDefault="10652A40" w:rsidP="10652A40">
            <w:r>
              <w:t>13,0</w:t>
            </w:r>
          </w:p>
        </w:tc>
      </w:tr>
      <w:tr w:rsidR="10652A40" w14:paraId="4DF3433A" w14:textId="77777777" w:rsidTr="10652A40">
        <w:trPr>
          <w:gridAfter w:val="7"/>
          <w:wAfter w:w="6296" w:type="dxa"/>
          <w:trHeight w:val="300"/>
        </w:trPr>
        <w:tc>
          <w:tcPr>
            <w:tcW w:w="3479" w:type="dxa"/>
            <w:vAlign w:val="center"/>
          </w:tcPr>
          <w:p w14:paraId="588FD315" w14:textId="4F2FCF7C" w:rsidR="10652A40" w:rsidRDefault="10652A40" w:rsidP="10652A40">
            <w:r w:rsidRPr="10652A40">
              <w:rPr>
                <w:lang w:val="en-US"/>
              </w:rPr>
              <w:t>Vlera aktuale e përfitimit në total</w:t>
            </w:r>
          </w:p>
        </w:tc>
        <w:tc>
          <w:tcPr>
            <w:tcW w:w="3346" w:type="dxa"/>
            <w:gridSpan w:val="4"/>
            <w:vAlign w:val="center"/>
          </w:tcPr>
          <w:p w14:paraId="1227633B" w14:textId="0D88CA1E" w:rsidR="10652A40" w:rsidRDefault="10652A40" w:rsidP="10652A40">
            <w:r>
              <w:t>85,7</w:t>
            </w:r>
          </w:p>
        </w:tc>
      </w:tr>
      <w:tr w:rsidR="10652A40" w14:paraId="3BD60693" w14:textId="77777777" w:rsidTr="10652A40">
        <w:trPr>
          <w:gridAfter w:val="7"/>
          <w:wAfter w:w="6296" w:type="dxa"/>
          <w:trHeight w:val="300"/>
        </w:trPr>
        <w:tc>
          <w:tcPr>
            <w:tcW w:w="3479" w:type="dxa"/>
            <w:vAlign w:val="center"/>
          </w:tcPr>
          <w:p w14:paraId="3B407AEF" w14:textId="4898DA29" w:rsidR="10652A40" w:rsidRDefault="10652A40" w:rsidP="10652A40">
            <w:r w:rsidRPr="10652A40">
              <w:rPr>
                <w:b/>
                <w:bCs/>
                <w:lang w:val="en-US"/>
              </w:rPr>
              <w:t>Vlera aktuale neto (VAN)</w:t>
            </w:r>
          </w:p>
        </w:tc>
        <w:tc>
          <w:tcPr>
            <w:tcW w:w="3346" w:type="dxa"/>
            <w:gridSpan w:val="4"/>
            <w:vAlign w:val="center"/>
          </w:tcPr>
          <w:p w14:paraId="01F4BA4B" w14:textId="5BC06361" w:rsidR="10652A40" w:rsidRDefault="10652A40" w:rsidP="10652A40">
            <w:r w:rsidRPr="10652A40">
              <w:rPr>
                <w:b/>
                <w:bCs/>
              </w:rPr>
              <w:t>72,7</w:t>
            </w:r>
          </w:p>
        </w:tc>
      </w:tr>
    </w:tbl>
    <w:p w14:paraId="38135B2D" w14:textId="68076BBF" w:rsidR="001226EB" w:rsidRPr="007A737A" w:rsidRDefault="3DDAD39E" w:rsidP="10652A40">
      <w:pPr>
        <w:spacing w:before="240" w:after="240" w:line="276" w:lineRule="auto"/>
      </w:pPr>
      <w:r w:rsidRPr="10652A40">
        <w:rPr>
          <w:lang w:val="sq-AL"/>
        </w:rPr>
        <w:t xml:space="preserve">Vlera aktuale neto pozitive prej </w:t>
      </w:r>
      <w:r w:rsidRPr="10652A40">
        <w:rPr>
          <w:b/>
          <w:bCs/>
          <w:lang w:val="sq-AL"/>
        </w:rPr>
        <w:t>72,7 milionë lekësh</w:t>
      </w:r>
      <w:r w:rsidRPr="10652A40">
        <w:rPr>
          <w:lang w:val="sq-AL"/>
        </w:rPr>
        <w:t xml:space="preserve"> tregon se, sipas skenarit qendror, përfitimet e monetarizuara të Opsionit 1 tejkalojnë kostot e drejtpërdrejta të përshtatjes. Rezultati nuk përfshin përfitimet e pamonetarizuara nga përafrimi me Direktivën IORP II, forcimi i mbrojtjes së anëtarëve, rritja e sigurisë juridike dhe përmirësimi i mbikëqyrjes.</w:t>
      </w:r>
    </w:p>
    <w:p w14:paraId="0CCDBD36" w14:textId="1A642DF2" w:rsidR="001226EB" w:rsidRPr="007A737A" w:rsidRDefault="3DDAD39E" w:rsidP="10652A40">
      <w:pPr>
        <w:pStyle w:val="Heading2"/>
        <w:spacing w:before="299" w:after="299" w:line="276" w:lineRule="auto"/>
        <w:rPr>
          <w:i/>
          <w:iCs/>
          <w:sz w:val="24"/>
          <w:szCs w:val="24"/>
          <w:lang w:val="sq-AL"/>
        </w:rPr>
      </w:pPr>
      <w:r w:rsidRPr="10652A40">
        <w:rPr>
          <w:i/>
          <w:iCs/>
          <w:sz w:val="24"/>
          <w:szCs w:val="24"/>
          <w:lang w:val="sq-AL"/>
        </w:rPr>
        <w:t>Opsioni 2 – Shfuqizimi i ligjit nr. 76/2023 dhe miratimi i një ligji të ri</w:t>
      </w:r>
    </w:p>
    <w:p w14:paraId="721BEFB1" w14:textId="579831EA" w:rsidR="001226EB" w:rsidRPr="007A737A" w:rsidRDefault="3DDAD39E" w:rsidP="10652A40">
      <w:pPr>
        <w:pStyle w:val="Heading3"/>
        <w:spacing w:before="281" w:after="281" w:line="276" w:lineRule="auto"/>
        <w:rPr>
          <w:lang w:val="sq-AL"/>
        </w:rPr>
      </w:pPr>
      <w:r w:rsidRPr="10652A40">
        <w:rPr>
          <w:lang w:val="sq-AL"/>
        </w:rPr>
        <w:t>Vlera aktuale neto e Opsionit 2</w:t>
      </w:r>
    </w:p>
    <w:p w14:paraId="2D604F32" w14:textId="3293534A" w:rsidR="001226EB" w:rsidRPr="007A737A" w:rsidRDefault="3DDAD39E" w:rsidP="10652A40">
      <w:pPr>
        <w:spacing w:before="240" w:after="240" w:line="276" w:lineRule="auto"/>
      </w:pPr>
      <w:r w:rsidRPr="10652A40">
        <w:rPr>
          <w:i/>
          <w:iCs/>
          <w:lang w:val="sq-AL"/>
        </w:rPr>
        <w:t>Në milionë lekë</w:t>
      </w:r>
    </w:p>
    <w:tbl>
      <w:tblPr>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6A0" w:firstRow="1" w:lastRow="0" w:firstColumn="1" w:lastColumn="0" w:noHBand="1" w:noVBand="1"/>
      </w:tblPr>
      <w:tblGrid>
        <w:gridCol w:w="3479"/>
        <w:gridCol w:w="642"/>
        <w:gridCol w:w="1116"/>
        <w:gridCol w:w="1116"/>
        <w:gridCol w:w="1116"/>
        <w:gridCol w:w="1116"/>
        <w:gridCol w:w="1116"/>
        <w:gridCol w:w="1116"/>
        <w:gridCol w:w="1116"/>
        <w:gridCol w:w="1116"/>
        <w:gridCol w:w="1116"/>
        <w:gridCol w:w="1116"/>
      </w:tblGrid>
      <w:tr w:rsidR="10652A40" w14:paraId="066A415F" w14:textId="77777777" w:rsidTr="10652A40">
        <w:trPr>
          <w:trHeight w:val="300"/>
        </w:trPr>
        <w:tc>
          <w:tcPr>
            <w:tcW w:w="4121" w:type="dxa"/>
            <w:gridSpan w:val="2"/>
            <w:vAlign w:val="center"/>
          </w:tcPr>
          <w:p w14:paraId="2ECD94BD" w14:textId="7018D182" w:rsidR="10652A40" w:rsidRDefault="10652A40"/>
        </w:tc>
        <w:tc>
          <w:tcPr>
            <w:tcW w:w="900" w:type="dxa"/>
            <w:vAlign w:val="center"/>
          </w:tcPr>
          <w:p w14:paraId="3180A5F8" w14:textId="4C4571E2" w:rsidR="10652A40" w:rsidRDefault="10652A40" w:rsidP="10652A40">
            <w:pPr>
              <w:jc w:val="center"/>
            </w:pPr>
            <w:r w:rsidRPr="10652A40">
              <w:rPr>
                <w:b/>
                <w:bCs/>
              </w:rPr>
              <w:t>Viti 1</w:t>
            </w:r>
          </w:p>
        </w:tc>
        <w:tc>
          <w:tcPr>
            <w:tcW w:w="900" w:type="dxa"/>
            <w:vAlign w:val="center"/>
          </w:tcPr>
          <w:p w14:paraId="73592D62" w14:textId="583C9F2C" w:rsidR="10652A40" w:rsidRDefault="10652A40" w:rsidP="10652A40">
            <w:pPr>
              <w:jc w:val="center"/>
            </w:pPr>
            <w:r w:rsidRPr="10652A40">
              <w:rPr>
                <w:b/>
                <w:bCs/>
              </w:rPr>
              <w:t>Viti 2</w:t>
            </w:r>
          </w:p>
        </w:tc>
        <w:tc>
          <w:tcPr>
            <w:tcW w:w="900" w:type="dxa"/>
            <w:vAlign w:val="center"/>
          </w:tcPr>
          <w:p w14:paraId="19AEE703" w14:textId="504B3EEA" w:rsidR="10652A40" w:rsidRDefault="10652A40" w:rsidP="10652A40">
            <w:pPr>
              <w:jc w:val="center"/>
            </w:pPr>
            <w:r w:rsidRPr="10652A40">
              <w:rPr>
                <w:b/>
                <w:bCs/>
              </w:rPr>
              <w:t>Viti 3</w:t>
            </w:r>
          </w:p>
        </w:tc>
        <w:tc>
          <w:tcPr>
            <w:tcW w:w="900" w:type="dxa"/>
            <w:vAlign w:val="center"/>
          </w:tcPr>
          <w:p w14:paraId="469E261C" w14:textId="4B51240B" w:rsidR="10652A40" w:rsidRDefault="10652A40" w:rsidP="10652A40">
            <w:pPr>
              <w:jc w:val="center"/>
            </w:pPr>
            <w:r w:rsidRPr="10652A40">
              <w:rPr>
                <w:b/>
                <w:bCs/>
              </w:rPr>
              <w:t>Viti 4</w:t>
            </w:r>
          </w:p>
        </w:tc>
        <w:tc>
          <w:tcPr>
            <w:tcW w:w="900" w:type="dxa"/>
            <w:vAlign w:val="center"/>
          </w:tcPr>
          <w:p w14:paraId="24891C4C" w14:textId="3ED86FF3" w:rsidR="10652A40" w:rsidRDefault="10652A40" w:rsidP="10652A40">
            <w:pPr>
              <w:jc w:val="center"/>
            </w:pPr>
            <w:r w:rsidRPr="10652A40">
              <w:rPr>
                <w:b/>
                <w:bCs/>
              </w:rPr>
              <w:t>Viti 5</w:t>
            </w:r>
          </w:p>
        </w:tc>
        <w:tc>
          <w:tcPr>
            <w:tcW w:w="900" w:type="dxa"/>
            <w:vAlign w:val="center"/>
          </w:tcPr>
          <w:p w14:paraId="1BD96E5E" w14:textId="6B3AB9A3" w:rsidR="10652A40" w:rsidRDefault="10652A40" w:rsidP="10652A40">
            <w:pPr>
              <w:jc w:val="center"/>
            </w:pPr>
            <w:r w:rsidRPr="10652A40">
              <w:rPr>
                <w:b/>
                <w:bCs/>
              </w:rPr>
              <w:t>Viti 6</w:t>
            </w:r>
          </w:p>
        </w:tc>
        <w:tc>
          <w:tcPr>
            <w:tcW w:w="900" w:type="dxa"/>
            <w:vAlign w:val="center"/>
          </w:tcPr>
          <w:p w14:paraId="2512B2A4" w14:textId="64AD2FC2" w:rsidR="10652A40" w:rsidRDefault="10652A40" w:rsidP="10652A40">
            <w:pPr>
              <w:jc w:val="center"/>
            </w:pPr>
            <w:r w:rsidRPr="10652A40">
              <w:rPr>
                <w:b/>
                <w:bCs/>
              </w:rPr>
              <w:t>Viti 7</w:t>
            </w:r>
          </w:p>
        </w:tc>
        <w:tc>
          <w:tcPr>
            <w:tcW w:w="900" w:type="dxa"/>
            <w:vAlign w:val="center"/>
          </w:tcPr>
          <w:p w14:paraId="2232A97C" w14:textId="26F7A928" w:rsidR="10652A40" w:rsidRDefault="10652A40" w:rsidP="10652A40">
            <w:pPr>
              <w:jc w:val="center"/>
            </w:pPr>
            <w:r w:rsidRPr="10652A40">
              <w:rPr>
                <w:b/>
                <w:bCs/>
              </w:rPr>
              <w:t>Viti 8</w:t>
            </w:r>
          </w:p>
        </w:tc>
        <w:tc>
          <w:tcPr>
            <w:tcW w:w="900" w:type="dxa"/>
            <w:vAlign w:val="center"/>
          </w:tcPr>
          <w:p w14:paraId="6B87BAF2" w14:textId="34847252" w:rsidR="10652A40" w:rsidRDefault="10652A40" w:rsidP="10652A40">
            <w:pPr>
              <w:jc w:val="center"/>
            </w:pPr>
            <w:r w:rsidRPr="10652A40">
              <w:rPr>
                <w:b/>
                <w:bCs/>
              </w:rPr>
              <w:t>Viti 9</w:t>
            </w:r>
          </w:p>
        </w:tc>
        <w:tc>
          <w:tcPr>
            <w:tcW w:w="900" w:type="dxa"/>
            <w:vAlign w:val="center"/>
          </w:tcPr>
          <w:p w14:paraId="1DE4DA73" w14:textId="3C9F3233" w:rsidR="10652A40" w:rsidRDefault="10652A40" w:rsidP="10652A40">
            <w:pPr>
              <w:jc w:val="center"/>
            </w:pPr>
            <w:r w:rsidRPr="10652A40">
              <w:rPr>
                <w:b/>
                <w:bCs/>
              </w:rPr>
              <w:t>Viti 10</w:t>
            </w:r>
          </w:p>
        </w:tc>
      </w:tr>
      <w:tr w:rsidR="10652A40" w14:paraId="2EF6005E" w14:textId="77777777" w:rsidTr="10652A40">
        <w:trPr>
          <w:trHeight w:val="300"/>
        </w:trPr>
        <w:tc>
          <w:tcPr>
            <w:tcW w:w="4121" w:type="dxa"/>
            <w:gridSpan w:val="2"/>
            <w:vAlign w:val="center"/>
          </w:tcPr>
          <w:p w14:paraId="31418B06" w14:textId="0F6B4182" w:rsidR="10652A40" w:rsidRDefault="10652A40" w:rsidP="10652A40">
            <w:r w:rsidRPr="10652A40">
              <w:rPr>
                <w:b/>
                <w:bCs/>
                <w:lang w:val="en-US"/>
              </w:rPr>
              <w:t>Faktori i skontimit</w:t>
            </w:r>
          </w:p>
        </w:tc>
        <w:tc>
          <w:tcPr>
            <w:tcW w:w="900" w:type="dxa"/>
            <w:vAlign w:val="center"/>
          </w:tcPr>
          <w:p w14:paraId="2CE84492" w14:textId="6D4BAEBA" w:rsidR="10652A40" w:rsidRDefault="10652A40" w:rsidP="10652A40">
            <w:r>
              <w:t>0,952381</w:t>
            </w:r>
          </w:p>
        </w:tc>
        <w:tc>
          <w:tcPr>
            <w:tcW w:w="900" w:type="dxa"/>
            <w:vAlign w:val="center"/>
          </w:tcPr>
          <w:p w14:paraId="713E5CBE" w14:textId="67D32CC0" w:rsidR="10652A40" w:rsidRDefault="10652A40" w:rsidP="10652A40">
            <w:r>
              <w:t>0,907030</w:t>
            </w:r>
          </w:p>
        </w:tc>
        <w:tc>
          <w:tcPr>
            <w:tcW w:w="900" w:type="dxa"/>
            <w:vAlign w:val="center"/>
          </w:tcPr>
          <w:p w14:paraId="041C92CC" w14:textId="46C85FDA" w:rsidR="10652A40" w:rsidRDefault="10652A40" w:rsidP="10652A40">
            <w:r>
              <w:t>0,863840</w:t>
            </w:r>
          </w:p>
        </w:tc>
        <w:tc>
          <w:tcPr>
            <w:tcW w:w="900" w:type="dxa"/>
            <w:vAlign w:val="center"/>
          </w:tcPr>
          <w:p w14:paraId="3F51053E" w14:textId="10365E1D" w:rsidR="10652A40" w:rsidRDefault="10652A40" w:rsidP="10652A40">
            <w:r>
              <w:t>0,822700</w:t>
            </w:r>
          </w:p>
        </w:tc>
        <w:tc>
          <w:tcPr>
            <w:tcW w:w="900" w:type="dxa"/>
            <w:vAlign w:val="center"/>
          </w:tcPr>
          <w:p w14:paraId="3221B079" w14:textId="27101E66" w:rsidR="10652A40" w:rsidRDefault="10652A40" w:rsidP="10652A40">
            <w:r>
              <w:t>0,783530</w:t>
            </w:r>
          </w:p>
        </w:tc>
        <w:tc>
          <w:tcPr>
            <w:tcW w:w="900" w:type="dxa"/>
            <w:vAlign w:val="center"/>
          </w:tcPr>
          <w:p w14:paraId="39F352AA" w14:textId="58406954" w:rsidR="10652A40" w:rsidRDefault="10652A40" w:rsidP="10652A40">
            <w:r>
              <w:t>0,746220</w:t>
            </w:r>
          </w:p>
        </w:tc>
        <w:tc>
          <w:tcPr>
            <w:tcW w:w="900" w:type="dxa"/>
            <w:vAlign w:val="center"/>
          </w:tcPr>
          <w:p w14:paraId="1057F614" w14:textId="59382906" w:rsidR="10652A40" w:rsidRDefault="10652A40" w:rsidP="10652A40">
            <w:r>
              <w:t>0,710680</w:t>
            </w:r>
          </w:p>
        </w:tc>
        <w:tc>
          <w:tcPr>
            <w:tcW w:w="900" w:type="dxa"/>
            <w:vAlign w:val="center"/>
          </w:tcPr>
          <w:p w14:paraId="31590E1B" w14:textId="17E557D2" w:rsidR="10652A40" w:rsidRDefault="10652A40" w:rsidP="10652A40">
            <w:r>
              <w:t>0,676840</w:t>
            </w:r>
          </w:p>
        </w:tc>
        <w:tc>
          <w:tcPr>
            <w:tcW w:w="900" w:type="dxa"/>
            <w:vAlign w:val="center"/>
          </w:tcPr>
          <w:p w14:paraId="4327D462" w14:textId="73027B3B" w:rsidR="10652A40" w:rsidRDefault="10652A40" w:rsidP="10652A40">
            <w:r>
              <w:t>0,644610</w:t>
            </w:r>
          </w:p>
        </w:tc>
        <w:tc>
          <w:tcPr>
            <w:tcW w:w="900" w:type="dxa"/>
            <w:vAlign w:val="center"/>
          </w:tcPr>
          <w:p w14:paraId="09F6309C" w14:textId="4C601EBD" w:rsidR="10652A40" w:rsidRDefault="10652A40" w:rsidP="10652A40">
            <w:r>
              <w:t>0,613910</w:t>
            </w:r>
          </w:p>
        </w:tc>
      </w:tr>
      <w:tr w:rsidR="10652A40" w14:paraId="594299F5" w14:textId="77777777" w:rsidTr="10652A40">
        <w:trPr>
          <w:trHeight w:val="300"/>
        </w:trPr>
        <w:tc>
          <w:tcPr>
            <w:tcW w:w="4121" w:type="dxa"/>
            <w:gridSpan w:val="2"/>
            <w:vAlign w:val="center"/>
          </w:tcPr>
          <w:p w14:paraId="439A0411" w14:textId="0E3F6A4D" w:rsidR="10652A40" w:rsidRDefault="10652A40" w:rsidP="10652A40">
            <w:r w:rsidRPr="10652A40">
              <w:rPr>
                <w:b/>
                <w:bCs/>
                <w:lang w:val="en-US"/>
              </w:rPr>
              <w:t>Kosto për buxhetin – një herë</w:t>
            </w:r>
          </w:p>
        </w:tc>
        <w:tc>
          <w:tcPr>
            <w:tcW w:w="900" w:type="dxa"/>
            <w:vAlign w:val="center"/>
          </w:tcPr>
          <w:p w14:paraId="255A3846" w14:textId="1DFDC251" w:rsidR="10652A40" w:rsidRDefault="10652A40" w:rsidP="10652A40">
            <w:r>
              <w:t>0</w:t>
            </w:r>
          </w:p>
        </w:tc>
        <w:tc>
          <w:tcPr>
            <w:tcW w:w="900" w:type="dxa"/>
            <w:vAlign w:val="center"/>
          </w:tcPr>
          <w:p w14:paraId="7AB06D90" w14:textId="45F242F9" w:rsidR="10652A40" w:rsidRDefault="10652A40" w:rsidP="10652A40">
            <w:r>
              <w:t>0</w:t>
            </w:r>
          </w:p>
        </w:tc>
        <w:tc>
          <w:tcPr>
            <w:tcW w:w="900" w:type="dxa"/>
            <w:vAlign w:val="center"/>
          </w:tcPr>
          <w:p w14:paraId="558EE4AB" w14:textId="25288E50" w:rsidR="10652A40" w:rsidRDefault="10652A40" w:rsidP="10652A40">
            <w:r>
              <w:t>0</w:t>
            </w:r>
          </w:p>
        </w:tc>
        <w:tc>
          <w:tcPr>
            <w:tcW w:w="900" w:type="dxa"/>
            <w:vAlign w:val="center"/>
          </w:tcPr>
          <w:p w14:paraId="136D6D38" w14:textId="005FB878" w:rsidR="10652A40" w:rsidRDefault="10652A40" w:rsidP="10652A40">
            <w:r>
              <w:t>0</w:t>
            </w:r>
          </w:p>
        </w:tc>
        <w:tc>
          <w:tcPr>
            <w:tcW w:w="900" w:type="dxa"/>
            <w:vAlign w:val="center"/>
          </w:tcPr>
          <w:p w14:paraId="0DD6ACF1" w14:textId="4B2419F5" w:rsidR="10652A40" w:rsidRDefault="10652A40" w:rsidP="10652A40">
            <w:r>
              <w:t>0</w:t>
            </w:r>
          </w:p>
        </w:tc>
        <w:tc>
          <w:tcPr>
            <w:tcW w:w="900" w:type="dxa"/>
            <w:vAlign w:val="center"/>
          </w:tcPr>
          <w:p w14:paraId="6D1302B2" w14:textId="21548336" w:rsidR="10652A40" w:rsidRDefault="10652A40" w:rsidP="10652A40">
            <w:r>
              <w:t>0</w:t>
            </w:r>
          </w:p>
        </w:tc>
        <w:tc>
          <w:tcPr>
            <w:tcW w:w="900" w:type="dxa"/>
            <w:vAlign w:val="center"/>
          </w:tcPr>
          <w:p w14:paraId="3D525F5B" w14:textId="663589A0" w:rsidR="10652A40" w:rsidRDefault="10652A40" w:rsidP="10652A40">
            <w:r>
              <w:t>0</w:t>
            </w:r>
          </w:p>
        </w:tc>
        <w:tc>
          <w:tcPr>
            <w:tcW w:w="900" w:type="dxa"/>
            <w:vAlign w:val="center"/>
          </w:tcPr>
          <w:p w14:paraId="75D401BF" w14:textId="4A2D576A" w:rsidR="10652A40" w:rsidRDefault="10652A40" w:rsidP="10652A40">
            <w:r>
              <w:t>0</w:t>
            </w:r>
          </w:p>
        </w:tc>
        <w:tc>
          <w:tcPr>
            <w:tcW w:w="900" w:type="dxa"/>
            <w:vAlign w:val="center"/>
          </w:tcPr>
          <w:p w14:paraId="242B133B" w14:textId="48318F78" w:rsidR="10652A40" w:rsidRDefault="10652A40" w:rsidP="10652A40">
            <w:r>
              <w:t>0</w:t>
            </w:r>
          </w:p>
        </w:tc>
        <w:tc>
          <w:tcPr>
            <w:tcW w:w="900" w:type="dxa"/>
            <w:vAlign w:val="center"/>
          </w:tcPr>
          <w:p w14:paraId="7137069C" w14:textId="467CC317" w:rsidR="10652A40" w:rsidRDefault="10652A40" w:rsidP="10652A40">
            <w:r>
              <w:t>0</w:t>
            </w:r>
          </w:p>
        </w:tc>
      </w:tr>
      <w:tr w:rsidR="10652A40" w14:paraId="79425DDE" w14:textId="77777777" w:rsidTr="10652A40">
        <w:trPr>
          <w:trHeight w:val="300"/>
        </w:trPr>
        <w:tc>
          <w:tcPr>
            <w:tcW w:w="4121" w:type="dxa"/>
            <w:gridSpan w:val="2"/>
            <w:vAlign w:val="center"/>
          </w:tcPr>
          <w:p w14:paraId="6F3A6C48" w14:textId="4B326575" w:rsidR="10652A40" w:rsidRDefault="10652A40" w:rsidP="10652A40">
            <w:r w:rsidRPr="10652A40">
              <w:rPr>
                <w:b/>
                <w:bCs/>
                <w:lang w:val="en-US"/>
              </w:rPr>
              <w:t>Kosto për buxhetin – në vazhdim</w:t>
            </w:r>
          </w:p>
        </w:tc>
        <w:tc>
          <w:tcPr>
            <w:tcW w:w="900" w:type="dxa"/>
            <w:vAlign w:val="center"/>
          </w:tcPr>
          <w:p w14:paraId="3760612F" w14:textId="2CDFDFF8" w:rsidR="10652A40" w:rsidRDefault="10652A40" w:rsidP="10652A40">
            <w:r>
              <w:t>0</w:t>
            </w:r>
          </w:p>
        </w:tc>
        <w:tc>
          <w:tcPr>
            <w:tcW w:w="900" w:type="dxa"/>
            <w:vAlign w:val="center"/>
          </w:tcPr>
          <w:p w14:paraId="52A45F11" w14:textId="12F715BD" w:rsidR="10652A40" w:rsidRDefault="10652A40" w:rsidP="10652A40">
            <w:r>
              <w:t>0</w:t>
            </w:r>
          </w:p>
        </w:tc>
        <w:tc>
          <w:tcPr>
            <w:tcW w:w="900" w:type="dxa"/>
            <w:vAlign w:val="center"/>
          </w:tcPr>
          <w:p w14:paraId="0DE5852F" w14:textId="08DFD9C2" w:rsidR="10652A40" w:rsidRDefault="10652A40" w:rsidP="10652A40">
            <w:r>
              <w:t>0</w:t>
            </w:r>
          </w:p>
        </w:tc>
        <w:tc>
          <w:tcPr>
            <w:tcW w:w="900" w:type="dxa"/>
            <w:vAlign w:val="center"/>
          </w:tcPr>
          <w:p w14:paraId="56F4D5BE" w14:textId="39EC1FCC" w:rsidR="10652A40" w:rsidRDefault="10652A40" w:rsidP="10652A40">
            <w:r>
              <w:t>0</w:t>
            </w:r>
          </w:p>
        </w:tc>
        <w:tc>
          <w:tcPr>
            <w:tcW w:w="900" w:type="dxa"/>
            <w:vAlign w:val="center"/>
          </w:tcPr>
          <w:p w14:paraId="6CF54799" w14:textId="5474DBEB" w:rsidR="10652A40" w:rsidRDefault="10652A40" w:rsidP="10652A40">
            <w:r>
              <w:t>0</w:t>
            </w:r>
          </w:p>
        </w:tc>
        <w:tc>
          <w:tcPr>
            <w:tcW w:w="900" w:type="dxa"/>
            <w:vAlign w:val="center"/>
          </w:tcPr>
          <w:p w14:paraId="168FA6C8" w14:textId="412C39B0" w:rsidR="10652A40" w:rsidRDefault="10652A40" w:rsidP="10652A40">
            <w:r>
              <w:t>0</w:t>
            </w:r>
          </w:p>
        </w:tc>
        <w:tc>
          <w:tcPr>
            <w:tcW w:w="900" w:type="dxa"/>
            <w:vAlign w:val="center"/>
          </w:tcPr>
          <w:p w14:paraId="0E404D23" w14:textId="43467F17" w:rsidR="10652A40" w:rsidRDefault="10652A40" w:rsidP="10652A40">
            <w:r>
              <w:t>0</w:t>
            </w:r>
          </w:p>
        </w:tc>
        <w:tc>
          <w:tcPr>
            <w:tcW w:w="900" w:type="dxa"/>
            <w:vAlign w:val="center"/>
          </w:tcPr>
          <w:p w14:paraId="4896BD20" w14:textId="24788F02" w:rsidR="10652A40" w:rsidRDefault="10652A40" w:rsidP="10652A40">
            <w:r>
              <w:t>0</w:t>
            </w:r>
          </w:p>
        </w:tc>
        <w:tc>
          <w:tcPr>
            <w:tcW w:w="900" w:type="dxa"/>
            <w:vAlign w:val="center"/>
          </w:tcPr>
          <w:p w14:paraId="0375CE8F" w14:textId="6B487080" w:rsidR="10652A40" w:rsidRDefault="10652A40" w:rsidP="10652A40">
            <w:r>
              <w:t>0</w:t>
            </w:r>
          </w:p>
        </w:tc>
        <w:tc>
          <w:tcPr>
            <w:tcW w:w="900" w:type="dxa"/>
            <w:vAlign w:val="center"/>
          </w:tcPr>
          <w:p w14:paraId="7FAA0577" w14:textId="6E42BE1C" w:rsidR="10652A40" w:rsidRDefault="10652A40" w:rsidP="10652A40">
            <w:r>
              <w:t>0</w:t>
            </w:r>
          </w:p>
        </w:tc>
      </w:tr>
      <w:tr w:rsidR="10652A40" w14:paraId="19C7417C" w14:textId="77777777" w:rsidTr="10652A40">
        <w:trPr>
          <w:trHeight w:val="300"/>
        </w:trPr>
        <w:tc>
          <w:tcPr>
            <w:tcW w:w="4121" w:type="dxa"/>
            <w:gridSpan w:val="2"/>
            <w:vAlign w:val="center"/>
          </w:tcPr>
          <w:p w14:paraId="48BFADD2" w14:textId="4D59FBEA" w:rsidR="10652A40" w:rsidRDefault="10652A40" w:rsidP="10652A40">
            <w:r w:rsidRPr="10652A40">
              <w:rPr>
                <w:b/>
                <w:bCs/>
                <w:lang w:val="en-US"/>
              </w:rPr>
              <w:t>Kosto për biznesin – përshtatje</w:t>
            </w:r>
          </w:p>
        </w:tc>
        <w:tc>
          <w:tcPr>
            <w:tcW w:w="900" w:type="dxa"/>
            <w:vAlign w:val="center"/>
          </w:tcPr>
          <w:p w14:paraId="6F3D86C2" w14:textId="61E2180C" w:rsidR="10652A40" w:rsidRDefault="10652A40" w:rsidP="10652A40">
            <w:r>
              <w:t>0</w:t>
            </w:r>
          </w:p>
        </w:tc>
        <w:tc>
          <w:tcPr>
            <w:tcW w:w="900" w:type="dxa"/>
            <w:vAlign w:val="center"/>
          </w:tcPr>
          <w:p w14:paraId="03CA998C" w14:textId="4C5B0D31" w:rsidR="10652A40" w:rsidRDefault="10652A40" w:rsidP="10652A40">
            <w:r>
              <w:t>5,4</w:t>
            </w:r>
          </w:p>
        </w:tc>
        <w:tc>
          <w:tcPr>
            <w:tcW w:w="900" w:type="dxa"/>
            <w:vAlign w:val="center"/>
          </w:tcPr>
          <w:p w14:paraId="491D32EE" w14:textId="3C314EAD" w:rsidR="10652A40" w:rsidRDefault="10652A40" w:rsidP="10652A40">
            <w:r>
              <w:t>5,4</w:t>
            </w:r>
          </w:p>
        </w:tc>
        <w:tc>
          <w:tcPr>
            <w:tcW w:w="900" w:type="dxa"/>
            <w:vAlign w:val="center"/>
          </w:tcPr>
          <w:p w14:paraId="7C22002B" w14:textId="7A030194" w:rsidR="10652A40" w:rsidRDefault="10652A40" w:rsidP="10652A40">
            <w:r>
              <w:t>5,4</w:t>
            </w:r>
          </w:p>
        </w:tc>
        <w:tc>
          <w:tcPr>
            <w:tcW w:w="900" w:type="dxa"/>
            <w:vAlign w:val="center"/>
          </w:tcPr>
          <w:p w14:paraId="46B76EA5" w14:textId="4D8220D0" w:rsidR="10652A40" w:rsidRDefault="10652A40" w:rsidP="10652A40">
            <w:r>
              <w:t>0</w:t>
            </w:r>
          </w:p>
        </w:tc>
        <w:tc>
          <w:tcPr>
            <w:tcW w:w="900" w:type="dxa"/>
            <w:vAlign w:val="center"/>
          </w:tcPr>
          <w:p w14:paraId="446253BE" w14:textId="14BE43C1" w:rsidR="10652A40" w:rsidRDefault="10652A40" w:rsidP="10652A40">
            <w:r>
              <w:t>0</w:t>
            </w:r>
          </w:p>
        </w:tc>
        <w:tc>
          <w:tcPr>
            <w:tcW w:w="900" w:type="dxa"/>
            <w:vAlign w:val="center"/>
          </w:tcPr>
          <w:p w14:paraId="1A214A34" w14:textId="39D35FD6" w:rsidR="10652A40" w:rsidRDefault="10652A40" w:rsidP="10652A40">
            <w:r>
              <w:t>0</w:t>
            </w:r>
          </w:p>
        </w:tc>
        <w:tc>
          <w:tcPr>
            <w:tcW w:w="900" w:type="dxa"/>
            <w:vAlign w:val="center"/>
          </w:tcPr>
          <w:p w14:paraId="09918150" w14:textId="74E7BDD6" w:rsidR="10652A40" w:rsidRDefault="10652A40" w:rsidP="10652A40">
            <w:r>
              <w:t>0</w:t>
            </w:r>
          </w:p>
        </w:tc>
        <w:tc>
          <w:tcPr>
            <w:tcW w:w="900" w:type="dxa"/>
            <w:vAlign w:val="center"/>
          </w:tcPr>
          <w:p w14:paraId="714A50BD" w14:textId="3235D0FB" w:rsidR="10652A40" w:rsidRDefault="10652A40" w:rsidP="10652A40">
            <w:r>
              <w:t>0</w:t>
            </w:r>
          </w:p>
        </w:tc>
        <w:tc>
          <w:tcPr>
            <w:tcW w:w="900" w:type="dxa"/>
            <w:vAlign w:val="center"/>
          </w:tcPr>
          <w:p w14:paraId="00C85AB8" w14:textId="29B83AE3" w:rsidR="10652A40" w:rsidRDefault="10652A40" w:rsidP="10652A40">
            <w:r>
              <w:t>0</w:t>
            </w:r>
          </w:p>
        </w:tc>
      </w:tr>
      <w:tr w:rsidR="10652A40" w14:paraId="75E3FC9D" w14:textId="77777777" w:rsidTr="10652A40">
        <w:trPr>
          <w:trHeight w:val="300"/>
        </w:trPr>
        <w:tc>
          <w:tcPr>
            <w:tcW w:w="4121" w:type="dxa"/>
            <w:gridSpan w:val="2"/>
            <w:vAlign w:val="center"/>
          </w:tcPr>
          <w:p w14:paraId="4FD1AFFE" w14:textId="6441F9E1" w:rsidR="10652A40" w:rsidRDefault="10652A40" w:rsidP="10652A40">
            <w:r w:rsidRPr="10652A40">
              <w:rPr>
                <w:b/>
                <w:bCs/>
                <w:lang w:val="en-US"/>
              </w:rPr>
              <w:t>Kosto për biznesin – në vazhdim</w:t>
            </w:r>
          </w:p>
        </w:tc>
        <w:tc>
          <w:tcPr>
            <w:tcW w:w="900" w:type="dxa"/>
            <w:vAlign w:val="center"/>
          </w:tcPr>
          <w:p w14:paraId="73E32422" w14:textId="657BB334" w:rsidR="10652A40" w:rsidRDefault="10652A40" w:rsidP="10652A40">
            <w:r>
              <w:t>0</w:t>
            </w:r>
          </w:p>
        </w:tc>
        <w:tc>
          <w:tcPr>
            <w:tcW w:w="900" w:type="dxa"/>
            <w:vAlign w:val="center"/>
          </w:tcPr>
          <w:p w14:paraId="6EFE3F76" w14:textId="26799B9D" w:rsidR="10652A40" w:rsidRDefault="10652A40" w:rsidP="10652A40">
            <w:r>
              <w:t>0</w:t>
            </w:r>
          </w:p>
        </w:tc>
        <w:tc>
          <w:tcPr>
            <w:tcW w:w="900" w:type="dxa"/>
            <w:vAlign w:val="center"/>
          </w:tcPr>
          <w:p w14:paraId="5E73DE68" w14:textId="736F380E" w:rsidR="10652A40" w:rsidRDefault="10652A40" w:rsidP="10652A40">
            <w:r>
              <w:t>0</w:t>
            </w:r>
          </w:p>
        </w:tc>
        <w:tc>
          <w:tcPr>
            <w:tcW w:w="900" w:type="dxa"/>
            <w:vAlign w:val="center"/>
          </w:tcPr>
          <w:p w14:paraId="4F3D6CB5" w14:textId="5AF4E346" w:rsidR="10652A40" w:rsidRDefault="10652A40" w:rsidP="10652A40">
            <w:r>
              <w:t>0</w:t>
            </w:r>
          </w:p>
        </w:tc>
        <w:tc>
          <w:tcPr>
            <w:tcW w:w="900" w:type="dxa"/>
            <w:vAlign w:val="center"/>
          </w:tcPr>
          <w:p w14:paraId="052339E0" w14:textId="4C633C75" w:rsidR="10652A40" w:rsidRDefault="10652A40" w:rsidP="10652A40">
            <w:r>
              <w:t>0</w:t>
            </w:r>
          </w:p>
        </w:tc>
        <w:tc>
          <w:tcPr>
            <w:tcW w:w="900" w:type="dxa"/>
            <w:vAlign w:val="center"/>
          </w:tcPr>
          <w:p w14:paraId="77095533" w14:textId="208FC317" w:rsidR="10652A40" w:rsidRDefault="10652A40" w:rsidP="10652A40">
            <w:r>
              <w:t>0</w:t>
            </w:r>
          </w:p>
        </w:tc>
        <w:tc>
          <w:tcPr>
            <w:tcW w:w="900" w:type="dxa"/>
            <w:vAlign w:val="center"/>
          </w:tcPr>
          <w:p w14:paraId="33F9F68B" w14:textId="31EAFB8F" w:rsidR="10652A40" w:rsidRDefault="10652A40" w:rsidP="10652A40">
            <w:r>
              <w:t>0</w:t>
            </w:r>
          </w:p>
        </w:tc>
        <w:tc>
          <w:tcPr>
            <w:tcW w:w="900" w:type="dxa"/>
            <w:vAlign w:val="center"/>
          </w:tcPr>
          <w:p w14:paraId="58613BC1" w14:textId="3C0F8096" w:rsidR="10652A40" w:rsidRDefault="10652A40" w:rsidP="10652A40">
            <w:r>
              <w:t>0</w:t>
            </w:r>
          </w:p>
        </w:tc>
        <w:tc>
          <w:tcPr>
            <w:tcW w:w="900" w:type="dxa"/>
            <w:vAlign w:val="center"/>
          </w:tcPr>
          <w:p w14:paraId="403438B3" w14:textId="09942DF3" w:rsidR="10652A40" w:rsidRDefault="10652A40" w:rsidP="10652A40">
            <w:r>
              <w:t>0</w:t>
            </w:r>
          </w:p>
        </w:tc>
        <w:tc>
          <w:tcPr>
            <w:tcW w:w="900" w:type="dxa"/>
            <w:vAlign w:val="center"/>
          </w:tcPr>
          <w:p w14:paraId="73C6A374" w14:textId="24D644E0" w:rsidR="10652A40" w:rsidRDefault="10652A40" w:rsidP="10652A40">
            <w:r>
              <w:t>0</w:t>
            </w:r>
          </w:p>
        </w:tc>
      </w:tr>
      <w:tr w:rsidR="10652A40" w14:paraId="19AFB72E" w14:textId="77777777" w:rsidTr="10652A40">
        <w:trPr>
          <w:trHeight w:val="300"/>
        </w:trPr>
        <w:tc>
          <w:tcPr>
            <w:tcW w:w="4121" w:type="dxa"/>
            <w:gridSpan w:val="2"/>
            <w:vAlign w:val="center"/>
          </w:tcPr>
          <w:p w14:paraId="50474F04" w14:textId="566601D4" w:rsidR="10652A40" w:rsidRDefault="10652A40" w:rsidP="10652A40">
            <w:r w:rsidRPr="10652A40">
              <w:rPr>
                <w:b/>
                <w:bCs/>
                <w:lang w:val="en-US"/>
              </w:rPr>
              <w:t>Kosto për grupet e tjera – një herë</w:t>
            </w:r>
          </w:p>
        </w:tc>
        <w:tc>
          <w:tcPr>
            <w:tcW w:w="900" w:type="dxa"/>
            <w:vAlign w:val="center"/>
          </w:tcPr>
          <w:p w14:paraId="27ACEF72" w14:textId="10D0B892" w:rsidR="10652A40" w:rsidRDefault="10652A40" w:rsidP="10652A40">
            <w:r>
              <w:t>0</w:t>
            </w:r>
          </w:p>
        </w:tc>
        <w:tc>
          <w:tcPr>
            <w:tcW w:w="900" w:type="dxa"/>
            <w:vAlign w:val="center"/>
          </w:tcPr>
          <w:p w14:paraId="192FC0E5" w14:textId="6894FD3A" w:rsidR="10652A40" w:rsidRDefault="10652A40" w:rsidP="10652A40">
            <w:r>
              <w:t>0</w:t>
            </w:r>
          </w:p>
        </w:tc>
        <w:tc>
          <w:tcPr>
            <w:tcW w:w="900" w:type="dxa"/>
            <w:vAlign w:val="center"/>
          </w:tcPr>
          <w:p w14:paraId="4208ADE9" w14:textId="003AA0C8" w:rsidR="10652A40" w:rsidRDefault="10652A40" w:rsidP="10652A40">
            <w:r>
              <w:t>0</w:t>
            </w:r>
          </w:p>
        </w:tc>
        <w:tc>
          <w:tcPr>
            <w:tcW w:w="900" w:type="dxa"/>
            <w:vAlign w:val="center"/>
          </w:tcPr>
          <w:p w14:paraId="5D12455D" w14:textId="53F786F5" w:rsidR="10652A40" w:rsidRDefault="10652A40" w:rsidP="10652A40">
            <w:r>
              <w:t>0</w:t>
            </w:r>
          </w:p>
        </w:tc>
        <w:tc>
          <w:tcPr>
            <w:tcW w:w="900" w:type="dxa"/>
            <w:vAlign w:val="center"/>
          </w:tcPr>
          <w:p w14:paraId="1F3C9866" w14:textId="25F8FF45" w:rsidR="10652A40" w:rsidRDefault="10652A40" w:rsidP="10652A40">
            <w:r>
              <w:t>0</w:t>
            </w:r>
          </w:p>
        </w:tc>
        <w:tc>
          <w:tcPr>
            <w:tcW w:w="900" w:type="dxa"/>
            <w:vAlign w:val="center"/>
          </w:tcPr>
          <w:p w14:paraId="4433C4AF" w14:textId="51C4EC2B" w:rsidR="10652A40" w:rsidRDefault="10652A40" w:rsidP="10652A40">
            <w:r>
              <w:t>0</w:t>
            </w:r>
          </w:p>
        </w:tc>
        <w:tc>
          <w:tcPr>
            <w:tcW w:w="900" w:type="dxa"/>
            <w:vAlign w:val="center"/>
          </w:tcPr>
          <w:p w14:paraId="6A7EFC84" w14:textId="47CBA1CD" w:rsidR="10652A40" w:rsidRDefault="10652A40" w:rsidP="10652A40">
            <w:r>
              <w:t>0</w:t>
            </w:r>
          </w:p>
        </w:tc>
        <w:tc>
          <w:tcPr>
            <w:tcW w:w="900" w:type="dxa"/>
            <w:vAlign w:val="center"/>
          </w:tcPr>
          <w:p w14:paraId="3946D0BE" w14:textId="7DB3F8A2" w:rsidR="10652A40" w:rsidRDefault="10652A40" w:rsidP="10652A40">
            <w:r>
              <w:t>0</w:t>
            </w:r>
          </w:p>
        </w:tc>
        <w:tc>
          <w:tcPr>
            <w:tcW w:w="900" w:type="dxa"/>
            <w:vAlign w:val="center"/>
          </w:tcPr>
          <w:p w14:paraId="465362E7" w14:textId="23518C0A" w:rsidR="10652A40" w:rsidRDefault="10652A40" w:rsidP="10652A40">
            <w:r>
              <w:t>0</w:t>
            </w:r>
          </w:p>
        </w:tc>
        <w:tc>
          <w:tcPr>
            <w:tcW w:w="900" w:type="dxa"/>
            <w:vAlign w:val="center"/>
          </w:tcPr>
          <w:p w14:paraId="73199B49" w14:textId="0126AD9A" w:rsidR="10652A40" w:rsidRDefault="10652A40" w:rsidP="10652A40">
            <w:r>
              <w:t>0</w:t>
            </w:r>
          </w:p>
        </w:tc>
      </w:tr>
      <w:tr w:rsidR="10652A40" w14:paraId="74F25DD7" w14:textId="77777777" w:rsidTr="10652A40">
        <w:trPr>
          <w:trHeight w:val="300"/>
        </w:trPr>
        <w:tc>
          <w:tcPr>
            <w:tcW w:w="4121" w:type="dxa"/>
            <w:gridSpan w:val="2"/>
            <w:vAlign w:val="center"/>
          </w:tcPr>
          <w:p w14:paraId="00C79D26" w14:textId="69F8BCF3" w:rsidR="10652A40" w:rsidRDefault="10652A40" w:rsidP="10652A40">
            <w:r w:rsidRPr="10652A40">
              <w:rPr>
                <w:b/>
                <w:bCs/>
                <w:lang w:val="en-US"/>
              </w:rPr>
              <w:t>Kosto për grupet e tjera – në vazhdim</w:t>
            </w:r>
          </w:p>
        </w:tc>
        <w:tc>
          <w:tcPr>
            <w:tcW w:w="900" w:type="dxa"/>
            <w:vAlign w:val="center"/>
          </w:tcPr>
          <w:p w14:paraId="51DCDE5C" w14:textId="3674D726" w:rsidR="10652A40" w:rsidRDefault="10652A40" w:rsidP="10652A40">
            <w:r>
              <w:t>0</w:t>
            </w:r>
          </w:p>
        </w:tc>
        <w:tc>
          <w:tcPr>
            <w:tcW w:w="900" w:type="dxa"/>
            <w:vAlign w:val="center"/>
          </w:tcPr>
          <w:p w14:paraId="1B2FA8EF" w14:textId="749EC2F8" w:rsidR="10652A40" w:rsidRDefault="10652A40" w:rsidP="10652A40">
            <w:r>
              <w:t>0</w:t>
            </w:r>
          </w:p>
        </w:tc>
        <w:tc>
          <w:tcPr>
            <w:tcW w:w="900" w:type="dxa"/>
            <w:vAlign w:val="center"/>
          </w:tcPr>
          <w:p w14:paraId="19CFCDA2" w14:textId="1B7288CA" w:rsidR="10652A40" w:rsidRDefault="10652A40" w:rsidP="10652A40">
            <w:r>
              <w:t>0</w:t>
            </w:r>
          </w:p>
        </w:tc>
        <w:tc>
          <w:tcPr>
            <w:tcW w:w="900" w:type="dxa"/>
            <w:vAlign w:val="center"/>
          </w:tcPr>
          <w:p w14:paraId="338A4C86" w14:textId="635BADAB" w:rsidR="10652A40" w:rsidRDefault="10652A40" w:rsidP="10652A40">
            <w:r>
              <w:t>0</w:t>
            </w:r>
          </w:p>
        </w:tc>
        <w:tc>
          <w:tcPr>
            <w:tcW w:w="900" w:type="dxa"/>
            <w:vAlign w:val="center"/>
          </w:tcPr>
          <w:p w14:paraId="1612FF6B" w14:textId="4E5D4570" w:rsidR="10652A40" w:rsidRDefault="10652A40" w:rsidP="10652A40">
            <w:r>
              <w:t>0</w:t>
            </w:r>
          </w:p>
        </w:tc>
        <w:tc>
          <w:tcPr>
            <w:tcW w:w="900" w:type="dxa"/>
            <w:vAlign w:val="center"/>
          </w:tcPr>
          <w:p w14:paraId="3BEA50B1" w14:textId="1A495B22" w:rsidR="10652A40" w:rsidRDefault="10652A40" w:rsidP="10652A40">
            <w:r>
              <w:t>0</w:t>
            </w:r>
          </w:p>
        </w:tc>
        <w:tc>
          <w:tcPr>
            <w:tcW w:w="900" w:type="dxa"/>
            <w:vAlign w:val="center"/>
          </w:tcPr>
          <w:p w14:paraId="210542BB" w14:textId="5F3CF098" w:rsidR="10652A40" w:rsidRDefault="10652A40" w:rsidP="10652A40">
            <w:r>
              <w:t>0</w:t>
            </w:r>
          </w:p>
        </w:tc>
        <w:tc>
          <w:tcPr>
            <w:tcW w:w="900" w:type="dxa"/>
            <w:vAlign w:val="center"/>
          </w:tcPr>
          <w:p w14:paraId="2829259E" w14:textId="333C8D6C" w:rsidR="10652A40" w:rsidRDefault="10652A40" w:rsidP="10652A40">
            <w:r>
              <w:t>0</w:t>
            </w:r>
          </w:p>
        </w:tc>
        <w:tc>
          <w:tcPr>
            <w:tcW w:w="900" w:type="dxa"/>
            <w:vAlign w:val="center"/>
          </w:tcPr>
          <w:p w14:paraId="3608FE25" w14:textId="4BBA9FC3" w:rsidR="10652A40" w:rsidRDefault="10652A40" w:rsidP="10652A40">
            <w:r>
              <w:t>0</w:t>
            </w:r>
          </w:p>
        </w:tc>
        <w:tc>
          <w:tcPr>
            <w:tcW w:w="900" w:type="dxa"/>
            <w:vAlign w:val="center"/>
          </w:tcPr>
          <w:p w14:paraId="164BC993" w14:textId="4CF79CC5" w:rsidR="10652A40" w:rsidRDefault="10652A40" w:rsidP="10652A40">
            <w:r>
              <w:t>0</w:t>
            </w:r>
          </w:p>
        </w:tc>
      </w:tr>
      <w:tr w:rsidR="10652A40" w14:paraId="322947A4" w14:textId="77777777" w:rsidTr="10652A40">
        <w:trPr>
          <w:trHeight w:val="300"/>
        </w:trPr>
        <w:tc>
          <w:tcPr>
            <w:tcW w:w="4121" w:type="dxa"/>
            <w:gridSpan w:val="2"/>
            <w:vAlign w:val="center"/>
          </w:tcPr>
          <w:p w14:paraId="195CF0AA" w14:textId="58BA1FE6" w:rsidR="10652A40" w:rsidRDefault="10652A40" w:rsidP="10652A40">
            <w:r w:rsidRPr="10652A40">
              <w:rPr>
                <w:b/>
                <w:bCs/>
                <w:lang w:val="en-US"/>
              </w:rPr>
              <w:t>Kosto në total</w:t>
            </w:r>
          </w:p>
        </w:tc>
        <w:tc>
          <w:tcPr>
            <w:tcW w:w="900" w:type="dxa"/>
            <w:vAlign w:val="center"/>
          </w:tcPr>
          <w:p w14:paraId="306A54D6" w14:textId="146F2B1E" w:rsidR="10652A40" w:rsidRDefault="10652A40" w:rsidP="10652A40">
            <w:r>
              <w:t>0</w:t>
            </w:r>
          </w:p>
        </w:tc>
        <w:tc>
          <w:tcPr>
            <w:tcW w:w="900" w:type="dxa"/>
            <w:vAlign w:val="center"/>
          </w:tcPr>
          <w:p w14:paraId="49DEE1D3" w14:textId="5771C4A2" w:rsidR="10652A40" w:rsidRDefault="10652A40" w:rsidP="10652A40">
            <w:r>
              <w:t>5,4</w:t>
            </w:r>
          </w:p>
        </w:tc>
        <w:tc>
          <w:tcPr>
            <w:tcW w:w="900" w:type="dxa"/>
            <w:vAlign w:val="center"/>
          </w:tcPr>
          <w:p w14:paraId="33897A6B" w14:textId="14E00DAF" w:rsidR="10652A40" w:rsidRDefault="10652A40" w:rsidP="10652A40">
            <w:r>
              <w:t>5,4</w:t>
            </w:r>
          </w:p>
        </w:tc>
        <w:tc>
          <w:tcPr>
            <w:tcW w:w="900" w:type="dxa"/>
            <w:vAlign w:val="center"/>
          </w:tcPr>
          <w:p w14:paraId="7EBAE710" w14:textId="359DB278" w:rsidR="10652A40" w:rsidRDefault="10652A40" w:rsidP="10652A40">
            <w:r>
              <w:t>5,4</w:t>
            </w:r>
          </w:p>
        </w:tc>
        <w:tc>
          <w:tcPr>
            <w:tcW w:w="900" w:type="dxa"/>
            <w:vAlign w:val="center"/>
          </w:tcPr>
          <w:p w14:paraId="78371F89" w14:textId="204E4391" w:rsidR="10652A40" w:rsidRDefault="10652A40" w:rsidP="10652A40">
            <w:r>
              <w:t>0</w:t>
            </w:r>
          </w:p>
        </w:tc>
        <w:tc>
          <w:tcPr>
            <w:tcW w:w="900" w:type="dxa"/>
            <w:vAlign w:val="center"/>
          </w:tcPr>
          <w:p w14:paraId="79E52AD8" w14:textId="4364EC28" w:rsidR="10652A40" w:rsidRDefault="10652A40" w:rsidP="10652A40">
            <w:r>
              <w:t>0</w:t>
            </w:r>
          </w:p>
        </w:tc>
        <w:tc>
          <w:tcPr>
            <w:tcW w:w="900" w:type="dxa"/>
            <w:vAlign w:val="center"/>
          </w:tcPr>
          <w:p w14:paraId="1B120EB9" w14:textId="5B66F7FF" w:rsidR="10652A40" w:rsidRDefault="10652A40" w:rsidP="10652A40">
            <w:r>
              <w:t>0</w:t>
            </w:r>
          </w:p>
        </w:tc>
        <w:tc>
          <w:tcPr>
            <w:tcW w:w="900" w:type="dxa"/>
            <w:vAlign w:val="center"/>
          </w:tcPr>
          <w:p w14:paraId="29E77573" w14:textId="322A8F1B" w:rsidR="10652A40" w:rsidRDefault="10652A40" w:rsidP="10652A40">
            <w:r>
              <w:t>0</w:t>
            </w:r>
          </w:p>
        </w:tc>
        <w:tc>
          <w:tcPr>
            <w:tcW w:w="900" w:type="dxa"/>
            <w:vAlign w:val="center"/>
          </w:tcPr>
          <w:p w14:paraId="3501CD32" w14:textId="353899AA" w:rsidR="10652A40" w:rsidRDefault="10652A40" w:rsidP="10652A40">
            <w:r>
              <w:t>0</w:t>
            </w:r>
          </w:p>
        </w:tc>
        <w:tc>
          <w:tcPr>
            <w:tcW w:w="900" w:type="dxa"/>
            <w:vAlign w:val="center"/>
          </w:tcPr>
          <w:p w14:paraId="425F0C81" w14:textId="6D2236F2" w:rsidR="10652A40" w:rsidRDefault="10652A40" w:rsidP="10652A40">
            <w:r>
              <w:t>0</w:t>
            </w:r>
          </w:p>
        </w:tc>
      </w:tr>
      <w:tr w:rsidR="10652A40" w14:paraId="29A9D5AB" w14:textId="77777777" w:rsidTr="10652A40">
        <w:trPr>
          <w:trHeight w:val="300"/>
        </w:trPr>
        <w:tc>
          <w:tcPr>
            <w:tcW w:w="4121" w:type="dxa"/>
            <w:gridSpan w:val="2"/>
            <w:vAlign w:val="center"/>
          </w:tcPr>
          <w:p w14:paraId="59CC9911" w14:textId="09AE9EE0" w:rsidR="10652A40" w:rsidRDefault="10652A40" w:rsidP="10652A40">
            <w:r w:rsidRPr="10652A40">
              <w:rPr>
                <w:b/>
                <w:bCs/>
                <w:lang w:val="en-US"/>
              </w:rPr>
              <w:t>Kosto e skontuar në total</w:t>
            </w:r>
          </w:p>
        </w:tc>
        <w:tc>
          <w:tcPr>
            <w:tcW w:w="900" w:type="dxa"/>
            <w:vAlign w:val="center"/>
          </w:tcPr>
          <w:p w14:paraId="00A2547D" w14:textId="01B304FB" w:rsidR="10652A40" w:rsidRDefault="10652A40" w:rsidP="10652A40">
            <w:r>
              <w:t>0</w:t>
            </w:r>
          </w:p>
        </w:tc>
        <w:tc>
          <w:tcPr>
            <w:tcW w:w="900" w:type="dxa"/>
            <w:vAlign w:val="center"/>
          </w:tcPr>
          <w:p w14:paraId="3A44490B" w14:textId="2D63CBDB" w:rsidR="10652A40" w:rsidRDefault="10652A40" w:rsidP="10652A40">
            <w:r>
              <w:t>4,9</w:t>
            </w:r>
          </w:p>
        </w:tc>
        <w:tc>
          <w:tcPr>
            <w:tcW w:w="900" w:type="dxa"/>
            <w:vAlign w:val="center"/>
          </w:tcPr>
          <w:p w14:paraId="0A37ADDB" w14:textId="29D15FE3" w:rsidR="10652A40" w:rsidRDefault="10652A40" w:rsidP="10652A40">
            <w:r>
              <w:t>4,7</w:t>
            </w:r>
          </w:p>
        </w:tc>
        <w:tc>
          <w:tcPr>
            <w:tcW w:w="900" w:type="dxa"/>
            <w:vAlign w:val="center"/>
          </w:tcPr>
          <w:p w14:paraId="26319675" w14:textId="11649F3D" w:rsidR="10652A40" w:rsidRDefault="10652A40" w:rsidP="10652A40">
            <w:r>
              <w:t>4,4</w:t>
            </w:r>
          </w:p>
        </w:tc>
        <w:tc>
          <w:tcPr>
            <w:tcW w:w="900" w:type="dxa"/>
            <w:vAlign w:val="center"/>
          </w:tcPr>
          <w:p w14:paraId="738C2290" w14:textId="0AA7E25A" w:rsidR="10652A40" w:rsidRDefault="10652A40" w:rsidP="10652A40">
            <w:r>
              <w:t>0</w:t>
            </w:r>
          </w:p>
        </w:tc>
        <w:tc>
          <w:tcPr>
            <w:tcW w:w="900" w:type="dxa"/>
            <w:vAlign w:val="center"/>
          </w:tcPr>
          <w:p w14:paraId="649E0C37" w14:textId="02BF03E7" w:rsidR="10652A40" w:rsidRDefault="10652A40" w:rsidP="10652A40">
            <w:r>
              <w:t>0</w:t>
            </w:r>
          </w:p>
        </w:tc>
        <w:tc>
          <w:tcPr>
            <w:tcW w:w="900" w:type="dxa"/>
            <w:vAlign w:val="center"/>
          </w:tcPr>
          <w:p w14:paraId="35D8D05D" w14:textId="3713AE9F" w:rsidR="10652A40" w:rsidRDefault="10652A40" w:rsidP="10652A40">
            <w:r>
              <w:t>0</w:t>
            </w:r>
          </w:p>
        </w:tc>
        <w:tc>
          <w:tcPr>
            <w:tcW w:w="900" w:type="dxa"/>
            <w:vAlign w:val="center"/>
          </w:tcPr>
          <w:p w14:paraId="3DB80D6D" w14:textId="0A55242F" w:rsidR="10652A40" w:rsidRDefault="10652A40" w:rsidP="10652A40">
            <w:r>
              <w:t>0</w:t>
            </w:r>
          </w:p>
        </w:tc>
        <w:tc>
          <w:tcPr>
            <w:tcW w:w="900" w:type="dxa"/>
            <w:vAlign w:val="center"/>
          </w:tcPr>
          <w:p w14:paraId="4279A764" w14:textId="357279D3" w:rsidR="10652A40" w:rsidRDefault="10652A40" w:rsidP="10652A40">
            <w:r>
              <w:t>0</w:t>
            </w:r>
          </w:p>
        </w:tc>
        <w:tc>
          <w:tcPr>
            <w:tcW w:w="900" w:type="dxa"/>
            <w:vAlign w:val="center"/>
          </w:tcPr>
          <w:p w14:paraId="446D8BEB" w14:textId="49BF7EA8" w:rsidR="10652A40" w:rsidRDefault="10652A40" w:rsidP="10652A40">
            <w:r>
              <w:t>0</w:t>
            </w:r>
          </w:p>
        </w:tc>
      </w:tr>
      <w:tr w:rsidR="10652A40" w14:paraId="1ADE2D54" w14:textId="77777777" w:rsidTr="10652A40">
        <w:trPr>
          <w:trHeight w:val="300"/>
        </w:trPr>
        <w:tc>
          <w:tcPr>
            <w:tcW w:w="4121" w:type="dxa"/>
            <w:gridSpan w:val="2"/>
            <w:vAlign w:val="center"/>
          </w:tcPr>
          <w:p w14:paraId="62A1F011" w14:textId="6367EF40" w:rsidR="10652A40" w:rsidRDefault="10652A40" w:rsidP="10652A40">
            <w:r w:rsidRPr="10652A40">
              <w:rPr>
                <w:b/>
                <w:bCs/>
                <w:lang w:val="en-US"/>
              </w:rPr>
              <w:t>Përfitim për buxhetin – një herë</w:t>
            </w:r>
          </w:p>
        </w:tc>
        <w:tc>
          <w:tcPr>
            <w:tcW w:w="900" w:type="dxa"/>
            <w:vAlign w:val="center"/>
          </w:tcPr>
          <w:p w14:paraId="1C69A270" w14:textId="6F2BAAB1" w:rsidR="10652A40" w:rsidRDefault="10652A40" w:rsidP="10652A40">
            <w:r>
              <w:t>0</w:t>
            </w:r>
          </w:p>
        </w:tc>
        <w:tc>
          <w:tcPr>
            <w:tcW w:w="900" w:type="dxa"/>
            <w:vAlign w:val="center"/>
          </w:tcPr>
          <w:p w14:paraId="6205BCA7" w14:textId="572E3EA3" w:rsidR="10652A40" w:rsidRDefault="10652A40" w:rsidP="10652A40">
            <w:r>
              <w:t>0</w:t>
            </w:r>
          </w:p>
        </w:tc>
        <w:tc>
          <w:tcPr>
            <w:tcW w:w="900" w:type="dxa"/>
            <w:vAlign w:val="center"/>
          </w:tcPr>
          <w:p w14:paraId="749128CD" w14:textId="4915343D" w:rsidR="10652A40" w:rsidRDefault="10652A40" w:rsidP="10652A40">
            <w:r>
              <w:t>0</w:t>
            </w:r>
          </w:p>
        </w:tc>
        <w:tc>
          <w:tcPr>
            <w:tcW w:w="900" w:type="dxa"/>
            <w:vAlign w:val="center"/>
          </w:tcPr>
          <w:p w14:paraId="1D0C4788" w14:textId="2860307D" w:rsidR="10652A40" w:rsidRDefault="10652A40" w:rsidP="10652A40">
            <w:r>
              <w:t>0</w:t>
            </w:r>
          </w:p>
        </w:tc>
        <w:tc>
          <w:tcPr>
            <w:tcW w:w="900" w:type="dxa"/>
            <w:vAlign w:val="center"/>
          </w:tcPr>
          <w:p w14:paraId="2507D610" w14:textId="02A0A60F" w:rsidR="10652A40" w:rsidRDefault="10652A40" w:rsidP="10652A40">
            <w:r>
              <w:t>0</w:t>
            </w:r>
          </w:p>
        </w:tc>
        <w:tc>
          <w:tcPr>
            <w:tcW w:w="900" w:type="dxa"/>
            <w:vAlign w:val="center"/>
          </w:tcPr>
          <w:p w14:paraId="284359BC" w14:textId="7AD4F236" w:rsidR="10652A40" w:rsidRDefault="10652A40" w:rsidP="10652A40">
            <w:r>
              <w:t>0</w:t>
            </w:r>
          </w:p>
        </w:tc>
        <w:tc>
          <w:tcPr>
            <w:tcW w:w="900" w:type="dxa"/>
            <w:vAlign w:val="center"/>
          </w:tcPr>
          <w:p w14:paraId="580928D1" w14:textId="1996E48B" w:rsidR="10652A40" w:rsidRDefault="10652A40" w:rsidP="10652A40">
            <w:r>
              <w:t>0</w:t>
            </w:r>
          </w:p>
        </w:tc>
        <w:tc>
          <w:tcPr>
            <w:tcW w:w="900" w:type="dxa"/>
            <w:vAlign w:val="center"/>
          </w:tcPr>
          <w:p w14:paraId="375F8612" w14:textId="5FBE8964" w:rsidR="10652A40" w:rsidRDefault="10652A40" w:rsidP="10652A40">
            <w:r>
              <w:t>0</w:t>
            </w:r>
          </w:p>
        </w:tc>
        <w:tc>
          <w:tcPr>
            <w:tcW w:w="900" w:type="dxa"/>
            <w:vAlign w:val="center"/>
          </w:tcPr>
          <w:p w14:paraId="733E6DA0" w14:textId="39150BFB" w:rsidR="10652A40" w:rsidRDefault="10652A40" w:rsidP="10652A40">
            <w:r>
              <w:t>0</w:t>
            </w:r>
          </w:p>
        </w:tc>
        <w:tc>
          <w:tcPr>
            <w:tcW w:w="900" w:type="dxa"/>
            <w:vAlign w:val="center"/>
          </w:tcPr>
          <w:p w14:paraId="615E5C90" w14:textId="178259C8" w:rsidR="10652A40" w:rsidRDefault="10652A40" w:rsidP="10652A40">
            <w:r>
              <w:t>0</w:t>
            </w:r>
          </w:p>
        </w:tc>
      </w:tr>
      <w:tr w:rsidR="10652A40" w14:paraId="55CCAF23" w14:textId="77777777" w:rsidTr="10652A40">
        <w:trPr>
          <w:trHeight w:val="300"/>
        </w:trPr>
        <w:tc>
          <w:tcPr>
            <w:tcW w:w="4121" w:type="dxa"/>
            <w:gridSpan w:val="2"/>
            <w:vAlign w:val="center"/>
          </w:tcPr>
          <w:p w14:paraId="0D0DA367" w14:textId="37BA3910" w:rsidR="10652A40" w:rsidRDefault="10652A40" w:rsidP="10652A40">
            <w:r w:rsidRPr="10652A40">
              <w:rPr>
                <w:b/>
                <w:bCs/>
                <w:lang w:val="en-US"/>
              </w:rPr>
              <w:t>Përfitim për buxhetin – në vazhdim</w:t>
            </w:r>
          </w:p>
        </w:tc>
        <w:tc>
          <w:tcPr>
            <w:tcW w:w="900" w:type="dxa"/>
            <w:vAlign w:val="center"/>
          </w:tcPr>
          <w:p w14:paraId="2B2130C8" w14:textId="45D8A322" w:rsidR="10652A40" w:rsidRDefault="10652A40" w:rsidP="10652A40">
            <w:r>
              <w:t>0</w:t>
            </w:r>
          </w:p>
        </w:tc>
        <w:tc>
          <w:tcPr>
            <w:tcW w:w="900" w:type="dxa"/>
            <w:vAlign w:val="center"/>
          </w:tcPr>
          <w:p w14:paraId="79FE2682" w14:textId="5CD2AE96" w:rsidR="10652A40" w:rsidRDefault="10652A40" w:rsidP="10652A40">
            <w:r>
              <w:t>0</w:t>
            </w:r>
          </w:p>
        </w:tc>
        <w:tc>
          <w:tcPr>
            <w:tcW w:w="900" w:type="dxa"/>
            <w:vAlign w:val="center"/>
          </w:tcPr>
          <w:p w14:paraId="3C57A771" w14:textId="7C90B57F" w:rsidR="10652A40" w:rsidRDefault="10652A40" w:rsidP="10652A40">
            <w:r>
              <w:t>0</w:t>
            </w:r>
          </w:p>
        </w:tc>
        <w:tc>
          <w:tcPr>
            <w:tcW w:w="900" w:type="dxa"/>
            <w:vAlign w:val="center"/>
          </w:tcPr>
          <w:p w14:paraId="2A608428" w14:textId="35F47FEC" w:rsidR="10652A40" w:rsidRDefault="10652A40" w:rsidP="10652A40">
            <w:r>
              <w:t>0</w:t>
            </w:r>
          </w:p>
        </w:tc>
        <w:tc>
          <w:tcPr>
            <w:tcW w:w="900" w:type="dxa"/>
            <w:vAlign w:val="center"/>
          </w:tcPr>
          <w:p w14:paraId="300C5B8B" w14:textId="49D5DA7F" w:rsidR="10652A40" w:rsidRDefault="10652A40" w:rsidP="10652A40">
            <w:r>
              <w:t>0</w:t>
            </w:r>
          </w:p>
        </w:tc>
        <w:tc>
          <w:tcPr>
            <w:tcW w:w="900" w:type="dxa"/>
            <w:vAlign w:val="center"/>
          </w:tcPr>
          <w:p w14:paraId="1EA2D33B" w14:textId="4B25FD3D" w:rsidR="10652A40" w:rsidRDefault="10652A40" w:rsidP="10652A40">
            <w:r>
              <w:t>0</w:t>
            </w:r>
          </w:p>
        </w:tc>
        <w:tc>
          <w:tcPr>
            <w:tcW w:w="900" w:type="dxa"/>
            <w:vAlign w:val="center"/>
          </w:tcPr>
          <w:p w14:paraId="11894E12" w14:textId="0B39119E" w:rsidR="10652A40" w:rsidRDefault="10652A40" w:rsidP="10652A40">
            <w:r>
              <w:t>0</w:t>
            </w:r>
          </w:p>
        </w:tc>
        <w:tc>
          <w:tcPr>
            <w:tcW w:w="900" w:type="dxa"/>
            <w:vAlign w:val="center"/>
          </w:tcPr>
          <w:p w14:paraId="1997BCA7" w14:textId="5688762F" w:rsidR="10652A40" w:rsidRDefault="10652A40" w:rsidP="10652A40">
            <w:r>
              <w:t>0</w:t>
            </w:r>
          </w:p>
        </w:tc>
        <w:tc>
          <w:tcPr>
            <w:tcW w:w="900" w:type="dxa"/>
            <w:vAlign w:val="center"/>
          </w:tcPr>
          <w:p w14:paraId="778E8503" w14:textId="12B53DB3" w:rsidR="10652A40" w:rsidRDefault="10652A40" w:rsidP="10652A40">
            <w:r>
              <w:t>0</w:t>
            </w:r>
          </w:p>
        </w:tc>
        <w:tc>
          <w:tcPr>
            <w:tcW w:w="900" w:type="dxa"/>
            <w:vAlign w:val="center"/>
          </w:tcPr>
          <w:p w14:paraId="6D5B491D" w14:textId="4C2FC25A" w:rsidR="10652A40" w:rsidRDefault="10652A40" w:rsidP="10652A40">
            <w:r>
              <w:t>0</w:t>
            </w:r>
          </w:p>
        </w:tc>
      </w:tr>
      <w:tr w:rsidR="10652A40" w14:paraId="5CF623DD" w14:textId="77777777" w:rsidTr="10652A40">
        <w:trPr>
          <w:trHeight w:val="300"/>
        </w:trPr>
        <w:tc>
          <w:tcPr>
            <w:tcW w:w="4121" w:type="dxa"/>
            <w:gridSpan w:val="2"/>
            <w:vAlign w:val="center"/>
          </w:tcPr>
          <w:p w14:paraId="4A085153" w14:textId="4F563733" w:rsidR="10652A40" w:rsidRDefault="10652A40" w:rsidP="10652A40">
            <w:r w:rsidRPr="10652A40">
              <w:rPr>
                <w:b/>
                <w:bCs/>
                <w:lang w:val="en-US"/>
              </w:rPr>
              <w:t>Përfitim për biznesin – një herë</w:t>
            </w:r>
          </w:p>
        </w:tc>
        <w:tc>
          <w:tcPr>
            <w:tcW w:w="900" w:type="dxa"/>
            <w:vAlign w:val="center"/>
          </w:tcPr>
          <w:p w14:paraId="79A9ECB1" w14:textId="098F6599" w:rsidR="10652A40" w:rsidRDefault="10652A40" w:rsidP="10652A40">
            <w:r>
              <w:t>0</w:t>
            </w:r>
          </w:p>
        </w:tc>
        <w:tc>
          <w:tcPr>
            <w:tcW w:w="900" w:type="dxa"/>
            <w:vAlign w:val="center"/>
          </w:tcPr>
          <w:p w14:paraId="448EA0FD" w14:textId="42FAFB31" w:rsidR="10652A40" w:rsidRDefault="10652A40" w:rsidP="10652A40">
            <w:r>
              <w:t>0</w:t>
            </w:r>
          </w:p>
        </w:tc>
        <w:tc>
          <w:tcPr>
            <w:tcW w:w="900" w:type="dxa"/>
            <w:vAlign w:val="center"/>
          </w:tcPr>
          <w:p w14:paraId="3DF64501" w14:textId="1500AD82" w:rsidR="10652A40" w:rsidRDefault="10652A40" w:rsidP="10652A40">
            <w:r>
              <w:t>0</w:t>
            </w:r>
          </w:p>
        </w:tc>
        <w:tc>
          <w:tcPr>
            <w:tcW w:w="900" w:type="dxa"/>
            <w:vAlign w:val="center"/>
          </w:tcPr>
          <w:p w14:paraId="67EB94D1" w14:textId="7EEA2193" w:rsidR="10652A40" w:rsidRDefault="10652A40" w:rsidP="10652A40">
            <w:r>
              <w:t>0</w:t>
            </w:r>
          </w:p>
        </w:tc>
        <w:tc>
          <w:tcPr>
            <w:tcW w:w="900" w:type="dxa"/>
            <w:vAlign w:val="center"/>
          </w:tcPr>
          <w:p w14:paraId="4C03FBDD" w14:textId="46A1E194" w:rsidR="10652A40" w:rsidRDefault="10652A40" w:rsidP="10652A40">
            <w:r>
              <w:t>0</w:t>
            </w:r>
          </w:p>
        </w:tc>
        <w:tc>
          <w:tcPr>
            <w:tcW w:w="900" w:type="dxa"/>
            <w:vAlign w:val="center"/>
          </w:tcPr>
          <w:p w14:paraId="3DF39A28" w14:textId="0D1D733F" w:rsidR="10652A40" w:rsidRDefault="10652A40" w:rsidP="10652A40">
            <w:r>
              <w:t>0</w:t>
            </w:r>
          </w:p>
        </w:tc>
        <w:tc>
          <w:tcPr>
            <w:tcW w:w="900" w:type="dxa"/>
            <w:vAlign w:val="center"/>
          </w:tcPr>
          <w:p w14:paraId="3F4AC832" w14:textId="43349478" w:rsidR="10652A40" w:rsidRDefault="10652A40" w:rsidP="10652A40">
            <w:r>
              <w:t>0</w:t>
            </w:r>
          </w:p>
        </w:tc>
        <w:tc>
          <w:tcPr>
            <w:tcW w:w="900" w:type="dxa"/>
            <w:vAlign w:val="center"/>
          </w:tcPr>
          <w:p w14:paraId="11BA8492" w14:textId="66E1B619" w:rsidR="10652A40" w:rsidRDefault="10652A40" w:rsidP="10652A40">
            <w:r>
              <w:t>0</w:t>
            </w:r>
          </w:p>
        </w:tc>
        <w:tc>
          <w:tcPr>
            <w:tcW w:w="900" w:type="dxa"/>
            <w:vAlign w:val="center"/>
          </w:tcPr>
          <w:p w14:paraId="3AF4F0E1" w14:textId="14C5DFE8" w:rsidR="10652A40" w:rsidRDefault="10652A40" w:rsidP="10652A40">
            <w:r>
              <w:t>0</w:t>
            </w:r>
          </w:p>
        </w:tc>
        <w:tc>
          <w:tcPr>
            <w:tcW w:w="900" w:type="dxa"/>
            <w:vAlign w:val="center"/>
          </w:tcPr>
          <w:p w14:paraId="7D0678DD" w14:textId="216E47CD" w:rsidR="10652A40" w:rsidRDefault="10652A40" w:rsidP="10652A40">
            <w:r>
              <w:t>0</w:t>
            </w:r>
          </w:p>
        </w:tc>
      </w:tr>
      <w:tr w:rsidR="10652A40" w14:paraId="31886AE6" w14:textId="77777777" w:rsidTr="10652A40">
        <w:trPr>
          <w:trHeight w:val="300"/>
        </w:trPr>
        <w:tc>
          <w:tcPr>
            <w:tcW w:w="4121" w:type="dxa"/>
            <w:gridSpan w:val="2"/>
            <w:vAlign w:val="center"/>
          </w:tcPr>
          <w:p w14:paraId="439D174F" w14:textId="71749E02" w:rsidR="10652A40" w:rsidRDefault="10652A40" w:rsidP="10652A40">
            <w:r w:rsidRPr="10652A40">
              <w:rPr>
                <w:b/>
                <w:bCs/>
                <w:lang w:val="en-US"/>
              </w:rPr>
              <w:t>Përfitim për biznesin – në vazhdim</w:t>
            </w:r>
          </w:p>
        </w:tc>
        <w:tc>
          <w:tcPr>
            <w:tcW w:w="900" w:type="dxa"/>
            <w:vAlign w:val="center"/>
          </w:tcPr>
          <w:p w14:paraId="3CE8421F" w14:textId="48F22782" w:rsidR="10652A40" w:rsidRDefault="10652A40" w:rsidP="10652A40">
            <w:r>
              <w:t>0</w:t>
            </w:r>
          </w:p>
        </w:tc>
        <w:tc>
          <w:tcPr>
            <w:tcW w:w="900" w:type="dxa"/>
            <w:vAlign w:val="center"/>
          </w:tcPr>
          <w:p w14:paraId="2290DFCE" w14:textId="6F7A8ECC" w:rsidR="10652A40" w:rsidRDefault="10652A40" w:rsidP="10652A40">
            <w:r>
              <w:t>0</w:t>
            </w:r>
          </w:p>
        </w:tc>
        <w:tc>
          <w:tcPr>
            <w:tcW w:w="900" w:type="dxa"/>
            <w:vAlign w:val="center"/>
          </w:tcPr>
          <w:p w14:paraId="258C9B7D" w14:textId="1A2D3671" w:rsidR="10652A40" w:rsidRDefault="10652A40" w:rsidP="10652A40">
            <w:r>
              <w:t>0,43</w:t>
            </w:r>
          </w:p>
        </w:tc>
        <w:tc>
          <w:tcPr>
            <w:tcW w:w="900" w:type="dxa"/>
            <w:vAlign w:val="center"/>
          </w:tcPr>
          <w:p w14:paraId="43D55E8C" w14:textId="5D2163BE" w:rsidR="10652A40" w:rsidRDefault="10652A40" w:rsidP="10652A40">
            <w:r>
              <w:t>0,46</w:t>
            </w:r>
          </w:p>
        </w:tc>
        <w:tc>
          <w:tcPr>
            <w:tcW w:w="900" w:type="dxa"/>
            <w:vAlign w:val="center"/>
          </w:tcPr>
          <w:p w14:paraId="7B9A3D71" w14:textId="24FD614C" w:rsidR="10652A40" w:rsidRDefault="10652A40" w:rsidP="10652A40">
            <w:r>
              <w:t>0,49</w:t>
            </w:r>
          </w:p>
        </w:tc>
        <w:tc>
          <w:tcPr>
            <w:tcW w:w="900" w:type="dxa"/>
            <w:vAlign w:val="center"/>
          </w:tcPr>
          <w:p w14:paraId="70B706F0" w14:textId="12D0FD36" w:rsidR="10652A40" w:rsidRDefault="10652A40" w:rsidP="10652A40">
            <w:r>
              <w:t>0,52</w:t>
            </w:r>
          </w:p>
        </w:tc>
        <w:tc>
          <w:tcPr>
            <w:tcW w:w="900" w:type="dxa"/>
            <w:vAlign w:val="center"/>
          </w:tcPr>
          <w:p w14:paraId="143027B4" w14:textId="36942615" w:rsidR="10652A40" w:rsidRDefault="10652A40" w:rsidP="10652A40">
            <w:r>
              <w:t>0,56</w:t>
            </w:r>
          </w:p>
        </w:tc>
        <w:tc>
          <w:tcPr>
            <w:tcW w:w="900" w:type="dxa"/>
            <w:vAlign w:val="center"/>
          </w:tcPr>
          <w:p w14:paraId="0102721C" w14:textId="6548106A" w:rsidR="10652A40" w:rsidRDefault="10652A40" w:rsidP="10652A40">
            <w:r>
              <w:t>0,60</w:t>
            </w:r>
          </w:p>
        </w:tc>
        <w:tc>
          <w:tcPr>
            <w:tcW w:w="900" w:type="dxa"/>
            <w:vAlign w:val="center"/>
          </w:tcPr>
          <w:p w14:paraId="5A567C4E" w14:textId="55E8ADC5" w:rsidR="10652A40" w:rsidRDefault="10652A40" w:rsidP="10652A40">
            <w:r>
              <w:t>0,64</w:t>
            </w:r>
          </w:p>
        </w:tc>
        <w:tc>
          <w:tcPr>
            <w:tcW w:w="900" w:type="dxa"/>
            <w:vAlign w:val="center"/>
          </w:tcPr>
          <w:p w14:paraId="28C2EA37" w14:textId="73EB9C25" w:rsidR="10652A40" w:rsidRDefault="10652A40" w:rsidP="10652A40">
            <w:r>
              <w:t>0,69</w:t>
            </w:r>
          </w:p>
        </w:tc>
      </w:tr>
      <w:tr w:rsidR="10652A40" w14:paraId="62F95FB3" w14:textId="77777777" w:rsidTr="10652A40">
        <w:trPr>
          <w:trHeight w:val="300"/>
        </w:trPr>
        <w:tc>
          <w:tcPr>
            <w:tcW w:w="4121" w:type="dxa"/>
            <w:gridSpan w:val="2"/>
            <w:vAlign w:val="center"/>
          </w:tcPr>
          <w:p w14:paraId="5BB93FE3" w14:textId="3613E180" w:rsidR="10652A40" w:rsidRDefault="10652A40" w:rsidP="10652A40">
            <w:r w:rsidRPr="10652A40">
              <w:rPr>
                <w:b/>
                <w:bCs/>
                <w:lang w:val="en-US"/>
              </w:rPr>
              <w:t>Përfitim për grupet e tjera – një herë</w:t>
            </w:r>
          </w:p>
        </w:tc>
        <w:tc>
          <w:tcPr>
            <w:tcW w:w="900" w:type="dxa"/>
            <w:vAlign w:val="center"/>
          </w:tcPr>
          <w:p w14:paraId="2EAD2356" w14:textId="02342FAD" w:rsidR="10652A40" w:rsidRDefault="10652A40" w:rsidP="10652A40">
            <w:r>
              <w:t>0</w:t>
            </w:r>
          </w:p>
        </w:tc>
        <w:tc>
          <w:tcPr>
            <w:tcW w:w="900" w:type="dxa"/>
            <w:vAlign w:val="center"/>
          </w:tcPr>
          <w:p w14:paraId="17138419" w14:textId="79450135" w:rsidR="10652A40" w:rsidRDefault="10652A40" w:rsidP="10652A40">
            <w:r>
              <w:t>0</w:t>
            </w:r>
          </w:p>
        </w:tc>
        <w:tc>
          <w:tcPr>
            <w:tcW w:w="900" w:type="dxa"/>
            <w:vAlign w:val="center"/>
          </w:tcPr>
          <w:p w14:paraId="082988FF" w14:textId="27A06644" w:rsidR="10652A40" w:rsidRDefault="10652A40" w:rsidP="10652A40">
            <w:r>
              <w:t>0</w:t>
            </w:r>
          </w:p>
        </w:tc>
        <w:tc>
          <w:tcPr>
            <w:tcW w:w="900" w:type="dxa"/>
            <w:vAlign w:val="center"/>
          </w:tcPr>
          <w:p w14:paraId="590B2752" w14:textId="454A74A2" w:rsidR="10652A40" w:rsidRDefault="10652A40" w:rsidP="10652A40">
            <w:r>
              <w:t>0</w:t>
            </w:r>
          </w:p>
        </w:tc>
        <w:tc>
          <w:tcPr>
            <w:tcW w:w="900" w:type="dxa"/>
            <w:vAlign w:val="center"/>
          </w:tcPr>
          <w:p w14:paraId="727A5402" w14:textId="4ED3A589" w:rsidR="10652A40" w:rsidRDefault="10652A40" w:rsidP="10652A40">
            <w:r>
              <w:t>0</w:t>
            </w:r>
          </w:p>
        </w:tc>
        <w:tc>
          <w:tcPr>
            <w:tcW w:w="900" w:type="dxa"/>
            <w:vAlign w:val="center"/>
          </w:tcPr>
          <w:p w14:paraId="05328ADE" w14:textId="14517EDC" w:rsidR="10652A40" w:rsidRDefault="10652A40" w:rsidP="10652A40">
            <w:r>
              <w:t>0</w:t>
            </w:r>
          </w:p>
        </w:tc>
        <w:tc>
          <w:tcPr>
            <w:tcW w:w="900" w:type="dxa"/>
            <w:vAlign w:val="center"/>
          </w:tcPr>
          <w:p w14:paraId="108A24C9" w14:textId="3C04DD08" w:rsidR="10652A40" w:rsidRDefault="10652A40" w:rsidP="10652A40">
            <w:r>
              <w:t>0</w:t>
            </w:r>
          </w:p>
        </w:tc>
        <w:tc>
          <w:tcPr>
            <w:tcW w:w="900" w:type="dxa"/>
            <w:vAlign w:val="center"/>
          </w:tcPr>
          <w:p w14:paraId="66F03076" w14:textId="38D7E02A" w:rsidR="10652A40" w:rsidRDefault="10652A40" w:rsidP="10652A40">
            <w:r>
              <w:t>0</w:t>
            </w:r>
          </w:p>
        </w:tc>
        <w:tc>
          <w:tcPr>
            <w:tcW w:w="900" w:type="dxa"/>
            <w:vAlign w:val="center"/>
          </w:tcPr>
          <w:p w14:paraId="76DE0586" w14:textId="680A35CF" w:rsidR="10652A40" w:rsidRDefault="10652A40" w:rsidP="10652A40">
            <w:r>
              <w:t>0</w:t>
            </w:r>
          </w:p>
        </w:tc>
        <w:tc>
          <w:tcPr>
            <w:tcW w:w="900" w:type="dxa"/>
            <w:vAlign w:val="center"/>
          </w:tcPr>
          <w:p w14:paraId="1766F46A" w14:textId="54EF9B76" w:rsidR="10652A40" w:rsidRDefault="10652A40" w:rsidP="10652A40">
            <w:r>
              <w:t>0</w:t>
            </w:r>
          </w:p>
        </w:tc>
      </w:tr>
      <w:tr w:rsidR="10652A40" w14:paraId="24949B17" w14:textId="77777777" w:rsidTr="10652A40">
        <w:trPr>
          <w:trHeight w:val="300"/>
        </w:trPr>
        <w:tc>
          <w:tcPr>
            <w:tcW w:w="4121" w:type="dxa"/>
            <w:gridSpan w:val="2"/>
            <w:vAlign w:val="center"/>
          </w:tcPr>
          <w:p w14:paraId="71BCEEB3" w14:textId="77F428B9" w:rsidR="10652A40" w:rsidRDefault="10652A40" w:rsidP="10652A40">
            <w:r w:rsidRPr="10652A40">
              <w:rPr>
                <w:b/>
                <w:bCs/>
                <w:lang w:val="en-US"/>
              </w:rPr>
              <w:t>Përfitim për grupet e tjera – në vazhdim</w:t>
            </w:r>
          </w:p>
        </w:tc>
        <w:tc>
          <w:tcPr>
            <w:tcW w:w="900" w:type="dxa"/>
            <w:vAlign w:val="center"/>
          </w:tcPr>
          <w:p w14:paraId="5EC9EFB8" w14:textId="40BA1704" w:rsidR="10652A40" w:rsidRDefault="10652A40" w:rsidP="10652A40">
            <w:r>
              <w:t>0</w:t>
            </w:r>
          </w:p>
        </w:tc>
        <w:tc>
          <w:tcPr>
            <w:tcW w:w="900" w:type="dxa"/>
            <w:vAlign w:val="center"/>
          </w:tcPr>
          <w:p w14:paraId="23BC8D02" w14:textId="76A281A3" w:rsidR="10652A40" w:rsidRDefault="10652A40" w:rsidP="10652A40">
            <w:r>
              <w:t>0</w:t>
            </w:r>
          </w:p>
        </w:tc>
        <w:tc>
          <w:tcPr>
            <w:tcW w:w="900" w:type="dxa"/>
            <w:vAlign w:val="center"/>
          </w:tcPr>
          <w:p w14:paraId="3F680A55" w14:textId="468CF7DA" w:rsidR="10652A40" w:rsidRDefault="10652A40" w:rsidP="10652A40">
            <w:r>
              <w:t>11,2</w:t>
            </w:r>
          </w:p>
        </w:tc>
        <w:tc>
          <w:tcPr>
            <w:tcW w:w="900" w:type="dxa"/>
            <w:vAlign w:val="center"/>
          </w:tcPr>
          <w:p w14:paraId="138ACAAD" w14:textId="50D19B49" w:rsidR="10652A40" w:rsidRDefault="10652A40" w:rsidP="10652A40">
            <w:r>
              <w:t>12,0</w:t>
            </w:r>
          </w:p>
        </w:tc>
        <w:tc>
          <w:tcPr>
            <w:tcW w:w="900" w:type="dxa"/>
            <w:vAlign w:val="center"/>
          </w:tcPr>
          <w:p w14:paraId="2F18D498" w14:textId="37ECC2D0" w:rsidR="10652A40" w:rsidRDefault="10652A40" w:rsidP="10652A40">
            <w:r>
              <w:t>12,8</w:t>
            </w:r>
          </w:p>
        </w:tc>
        <w:tc>
          <w:tcPr>
            <w:tcW w:w="900" w:type="dxa"/>
            <w:vAlign w:val="center"/>
          </w:tcPr>
          <w:p w14:paraId="7EA40FEB" w14:textId="05E1881F" w:rsidR="10652A40" w:rsidRDefault="10652A40" w:rsidP="10652A40">
            <w:r>
              <w:t>13,7</w:t>
            </w:r>
          </w:p>
        </w:tc>
        <w:tc>
          <w:tcPr>
            <w:tcW w:w="900" w:type="dxa"/>
            <w:vAlign w:val="center"/>
          </w:tcPr>
          <w:p w14:paraId="4DA4B90D" w14:textId="72CDE933" w:rsidR="10652A40" w:rsidRDefault="10652A40" w:rsidP="10652A40">
            <w:r>
              <w:t>14,6</w:t>
            </w:r>
          </w:p>
        </w:tc>
        <w:tc>
          <w:tcPr>
            <w:tcW w:w="900" w:type="dxa"/>
            <w:vAlign w:val="center"/>
          </w:tcPr>
          <w:p w14:paraId="4A806AC8" w14:textId="6CEED768" w:rsidR="10652A40" w:rsidRDefault="10652A40" w:rsidP="10652A40">
            <w:r>
              <w:t>15,7</w:t>
            </w:r>
          </w:p>
        </w:tc>
        <w:tc>
          <w:tcPr>
            <w:tcW w:w="900" w:type="dxa"/>
            <w:vAlign w:val="center"/>
          </w:tcPr>
          <w:p w14:paraId="32C4EC17" w14:textId="74E32657" w:rsidR="10652A40" w:rsidRDefault="10652A40" w:rsidP="10652A40">
            <w:r>
              <w:t>16,8</w:t>
            </w:r>
          </w:p>
        </w:tc>
        <w:tc>
          <w:tcPr>
            <w:tcW w:w="900" w:type="dxa"/>
            <w:vAlign w:val="center"/>
          </w:tcPr>
          <w:p w14:paraId="5315BAE2" w14:textId="55BE9B65" w:rsidR="10652A40" w:rsidRDefault="10652A40" w:rsidP="10652A40">
            <w:r>
              <w:t>17,9</w:t>
            </w:r>
          </w:p>
        </w:tc>
      </w:tr>
      <w:tr w:rsidR="10652A40" w14:paraId="1B39F712" w14:textId="77777777" w:rsidTr="10652A40">
        <w:trPr>
          <w:trHeight w:val="300"/>
        </w:trPr>
        <w:tc>
          <w:tcPr>
            <w:tcW w:w="4121" w:type="dxa"/>
            <w:gridSpan w:val="2"/>
            <w:vAlign w:val="center"/>
          </w:tcPr>
          <w:p w14:paraId="25CFE5BC" w14:textId="622B2790" w:rsidR="10652A40" w:rsidRDefault="10652A40" w:rsidP="10652A40">
            <w:r w:rsidRPr="10652A40">
              <w:rPr>
                <w:b/>
                <w:bCs/>
                <w:lang w:val="en-US"/>
              </w:rPr>
              <w:t>Përfitim në total</w:t>
            </w:r>
          </w:p>
        </w:tc>
        <w:tc>
          <w:tcPr>
            <w:tcW w:w="900" w:type="dxa"/>
            <w:vAlign w:val="center"/>
          </w:tcPr>
          <w:p w14:paraId="2DCD1646" w14:textId="32477048" w:rsidR="10652A40" w:rsidRDefault="10652A40" w:rsidP="10652A40">
            <w:r>
              <w:t>0</w:t>
            </w:r>
          </w:p>
        </w:tc>
        <w:tc>
          <w:tcPr>
            <w:tcW w:w="900" w:type="dxa"/>
            <w:vAlign w:val="center"/>
          </w:tcPr>
          <w:p w14:paraId="06F99A8E" w14:textId="3620CA3D" w:rsidR="10652A40" w:rsidRDefault="10652A40" w:rsidP="10652A40">
            <w:r>
              <w:t>0</w:t>
            </w:r>
          </w:p>
        </w:tc>
        <w:tc>
          <w:tcPr>
            <w:tcW w:w="900" w:type="dxa"/>
            <w:vAlign w:val="center"/>
          </w:tcPr>
          <w:p w14:paraId="46E459A4" w14:textId="71F89863" w:rsidR="10652A40" w:rsidRDefault="10652A40" w:rsidP="10652A40">
            <w:r>
              <w:t>11,6</w:t>
            </w:r>
          </w:p>
        </w:tc>
        <w:tc>
          <w:tcPr>
            <w:tcW w:w="900" w:type="dxa"/>
            <w:vAlign w:val="center"/>
          </w:tcPr>
          <w:p w14:paraId="3EFB76E0" w14:textId="5C3F15BA" w:rsidR="10652A40" w:rsidRDefault="10652A40" w:rsidP="10652A40">
            <w:r>
              <w:t>12,4</w:t>
            </w:r>
          </w:p>
        </w:tc>
        <w:tc>
          <w:tcPr>
            <w:tcW w:w="900" w:type="dxa"/>
            <w:vAlign w:val="center"/>
          </w:tcPr>
          <w:p w14:paraId="2350853A" w14:textId="22B21606" w:rsidR="10652A40" w:rsidRDefault="10652A40" w:rsidP="10652A40">
            <w:r>
              <w:t>13,3</w:t>
            </w:r>
          </w:p>
        </w:tc>
        <w:tc>
          <w:tcPr>
            <w:tcW w:w="900" w:type="dxa"/>
            <w:vAlign w:val="center"/>
          </w:tcPr>
          <w:p w14:paraId="1A4AEE72" w14:textId="4765CF9A" w:rsidR="10652A40" w:rsidRDefault="10652A40" w:rsidP="10652A40">
            <w:r>
              <w:t>14,2</w:t>
            </w:r>
          </w:p>
        </w:tc>
        <w:tc>
          <w:tcPr>
            <w:tcW w:w="900" w:type="dxa"/>
            <w:vAlign w:val="center"/>
          </w:tcPr>
          <w:p w14:paraId="08F9AABB" w14:textId="3EE2C3A9" w:rsidR="10652A40" w:rsidRDefault="10652A40" w:rsidP="10652A40">
            <w:r>
              <w:t>15,2</w:t>
            </w:r>
          </w:p>
        </w:tc>
        <w:tc>
          <w:tcPr>
            <w:tcW w:w="900" w:type="dxa"/>
            <w:vAlign w:val="center"/>
          </w:tcPr>
          <w:p w14:paraId="7869D1A3" w14:textId="7E16CC2F" w:rsidR="10652A40" w:rsidRDefault="10652A40" w:rsidP="10652A40">
            <w:r>
              <w:t>16,3</w:t>
            </w:r>
          </w:p>
        </w:tc>
        <w:tc>
          <w:tcPr>
            <w:tcW w:w="900" w:type="dxa"/>
            <w:vAlign w:val="center"/>
          </w:tcPr>
          <w:p w14:paraId="60F8A566" w14:textId="259E501A" w:rsidR="10652A40" w:rsidRDefault="10652A40" w:rsidP="10652A40">
            <w:r>
              <w:t>17,4</w:t>
            </w:r>
          </w:p>
        </w:tc>
        <w:tc>
          <w:tcPr>
            <w:tcW w:w="900" w:type="dxa"/>
            <w:vAlign w:val="center"/>
          </w:tcPr>
          <w:p w14:paraId="29F54269" w14:textId="19B83962" w:rsidR="10652A40" w:rsidRDefault="10652A40" w:rsidP="10652A40">
            <w:r>
              <w:t>18,6</w:t>
            </w:r>
          </w:p>
        </w:tc>
      </w:tr>
      <w:tr w:rsidR="10652A40" w14:paraId="20FED8BD" w14:textId="77777777" w:rsidTr="10652A40">
        <w:trPr>
          <w:trHeight w:val="300"/>
        </w:trPr>
        <w:tc>
          <w:tcPr>
            <w:tcW w:w="4121" w:type="dxa"/>
            <w:gridSpan w:val="2"/>
            <w:vAlign w:val="center"/>
          </w:tcPr>
          <w:p w14:paraId="3E1FE1EA" w14:textId="4918B14D" w:rsidR="10652A40" w:rsidRDefault="10652A40" w:rsidP="10652A40">
            <w:r w:rsidRPr="10652A40">
              <w:rPr>
                <w:b/>
                <w:bCs/>
                <w:lang w:val="en-US"/>
              </w:rPr>
              <w:t>Përfitim i skontuar në total</w:t>
            </w:r>
          </w:p>
        </w:tc>
        <w:tc>
          <w:tcPr>
            <w:tcW w:w="900" w:type="dxa"/>
            <w:vAlign w:val="center"/>
          </w:tcPr>
          <w:p w14:paraId="0F227C36" w14:textId="29C0C35D" w:rsidR="10652A40" w:rsidRDefault="10652A40" w:rsidP="10652A40">
            <w:r>
              <w:t>0</w:t>
            </w:r>
          </w:p>
        </w:tc>
        <w:tc>
          <w:tcPr>
            <w:tcW w:w="900" w:type="dxa"/>
            <w:vAlign w:val="center"/>
          </w:tcPr>
          <w:p w14:paraId="6F60B5AA" w14:textId="6D38229D" w:rsidR="10652A40" w:rsidRDefault="10652A40" w:rsidP="10652A40">
            <w:r>
              <w:t>0</w:t>
            </w:r>
          </w:p>
        </w:tc>
        <w:tc>
          <w:tcPr>
            <w:tcW w:w="900" w:type="dxa"/>
            <w:vAlign w:val="center"/>
          </w:tcPr>
          <w:p w14:paraId="2A2C321B" w14:textId="48C3BF4A" w:rsidR="10652A40" w:rsidRDefault="10652A40" w:rsidP="10652A40">
            <w:r>
              <w:t>10,0</w:t>
            </w:r>
          </w:p>
        </w:tc>
        <w:tc>
          <w:tcPr>
            <w:tcW w:w="900" w:type="dxa"/>
            <w:vAlign w:val="center"/>
          </w:tcPr>
          <w:p w14:paraId="5A327B10" w14:textId="2FFFCB31" w:rsidR="10652A40" w:rsidRDefault="10652A40" w:rsidP="10652A40">
            <w:r>
              <w:t>10,2</w:t>
            </w:r>
          </w:p>
        </w:tc>
        <w:tc>
          <w:tcPr>
            <w:tcW w:w="900" w:type="dxa"/>
            <w:vAlign w:val="center"/>
          </w:tcPr>
          <w:p w14:paraId="7276C876" w14:textId="2975E0DB" w:rsidR="10652A40" w:rsidRDefault="10652A40" w:rsidP="10652A40">
            <w:r>
              <w:t>10,4</w:t>
            </w:r>
          </w:p>
        </w:tc>
        <w:tc>
          <w:tcPr>
            <w:tcW w:w="900" w:type="dxa"/>
            <w:vAlign w:val="center"/>
          </w:tcPr>
          <w:p w14:paraId="65955C89" w14:textId="48F0E1B1" w:rsidR="10652A40" w:rsidRDefault="10652A40" w:rsidP="10652A40">
            <w:r>
              <w:t>10,6</w:t>
            </w:r>
          </w:p>
        </w:tc>
        <w:tc>
          <w:tcPr>
            <w:tcW w:w="900" w:type="dxa"/>
            <w:vAlign w:val="center"/>
          </w:tcPr>
          <w:p w14:paraId="2D63E850" w14:textId="73FFFB9A" w:rsidR="10652A40" w:rsidRDefault="10652A40" w:rsidP="10652A40">
            <w:r>
              <w:t>10,8</w:t>
            </w:r>
          </w:p>
        </w:tc>
        <w:tc>
          <w:tcPr>
            <w:tcW w:w="900" w:type="dxa"/>
            <w:vAlign w:val="center"/>
          </w:tcPr>
          <w:p w14:paraId="7E7BE5C2" w14:textId="448A005F" w:rsidR="10652A40" w:rsidRDefault="10652A40" w:rsidP="10652A40">
            <w:r>
              <w:t>11,0</w:t>
            </w:r>
          </w:p>
        </w:tc>
        <w:tc>
          <w:tcPr>
            <w:tcW w:w="900" w:type="dxa"/>
            <w:vAlign w:val="center"/>
          </w:tcPr>
          <w:p w14:paraId="2E7C899F" w14:textId="51A8C027" w:rsidR="10652A40" w:rsidRDefault="10652A40" w:rsidP="10652A40">
            <w:r>
              <w:t>11,2</w:t>
            </w:r>
          </w:p>
        </w:tc>
        <w:tc>
          <w:tcPr>
            <w:tcW w:w="900" w:type="dxa"/>
            <w:vAlign w:val="center"/>
          </w:tcPr>
          <w:p w14:paraId="7430320B" w14:textId="58776EAD" w:rsidR="10652A40" w:rsidRDefault="10652A40" w:rsidP="10652A40">
            <w:r>
              <w:t>11,4</w:t>
            </w:r>
          </w:p>
        </w:tc>
      </w:tr>
      <w:tr w:rsidR="10652A40" w14:paraId="47BAE287" w14:textId="77777777" w:rsidTr="10652A40">
        <w:trPr>
          <w:gridAfter w:val="7"/>
          <w:wAfter w:w="6296" w:type="dxa"/>
          <w:trHeight w:val="300"/>
        </w:trPr>
        <w:tc>
          <w:tcPr>
            <w:tcW w:w="3479" w:type="dxa"/>
            <w:vAlign w:val="center"/>
          </w:tcPr>
          <w:p w14:paraId="1AB48756" w14:textId="37F64FC8" w:rsidR="47489BED" w:rsidRDefault="47489BED" w:rsidP="10652A40">
            <w:pPr>
              <w:jc w:val="center"/>
            </w:pPr>
            <w:r w:rsidRPr="10652A40">
              <w:rPr>
                <w:b/>
                <w:bCs/>
                <w:lang w:val="en-US"/>
              </w:rPr>
              <w:t>P</w:t>
            </w:r>
            <w:r w:rsidR="10652A40" w:rsidRPr="10652A40">
              <w:rPr>
                <w:b/>
                <w:bCs/>
                <w:lang w:val="en-US"/>
              </w:rPr>
              <w:t>ërmbledhës</w:t>
            </w:r>
            <w:r w:rsidR="19B6B81F" w:rsidRPr="10652A40">
              <w:rPr>
                <w:b/>
                <w:bCs/>
                <w:lang w:val="en-US"/>
              </w:rPr>
              <w:t>e</w:t>
            </w:r>
          </w:p>
        </w:tc>
        <w:tc>
          <w:tcPr>
            <w:tcW w:w="3346" w:type="dxa"/>
            <w:gridSpan w:val="4"/>
            <w:vAlign w:val="center"/>
          </w:tcPr>
          <w:p w14:paraId="0B0C24B2" w14:textId="4FF87A8D" w:rsidR="10652A40" w:rsidRDefault="10652A40" w:rsidP="10652A40">
            <w:pPr>
              <w:jc w:val="center"/>
            </w:pPr>
            <w:r w:rsidRPr="10652A40">
              <w:rPr>
                <w:b/>
                <w:bCs/>
                <w:lang w:val="en-US"/>
              </w:rPr>
              <w:t>Vlera aktuale, në milionë lekë</w:t>
            </w:r>
          </w:p>
        </w:tc>
      </w:tr>
      <w:tr w:rsidR="10652A40" w14:paraId="30A8D971" w14:textId="77777777" w:rsidTr="10652A40">
        <w:trPr>
          <w:gridAfter w:val="7"/>
          <w:wAfter w:w="6296" w:type="dxa"/>
          <w:trHeight w:val="300"/>
        </w:trPr>
        <w:tc>
          <w:tcPr>
            <w:tcW w:w="3479" w:type="dxa"/>
            <w:vAlign w:val="center"/>
          </w:tcPr>
          <w:p w14:paraId="1718A293" w14:textId="55AB96CF" w:rsidR="10652A40" w:rsidRDefault="10652A40" w:rsidP="10652A40">
            <w:r w:rsidRPr="10652A40">
              <w:rPr>
                <w:lang w:val="en-US"/>
              </w:rPr>
              <w:t>Vlera aktuale e kostos në total</w:t>
            </w:r>
          </w:p>
        </w:tc>
        <w:tc>
          <w:tcPr>
            <w:tcW w:w="3346" w:type="dxa"/>
            <w:gridSpan w:val="4"/>
            <w:vAlign w:val="center"/>
          </w:tcPr>
          <w:p w14:paraId="0598782C" w14:textId="19157B75" w:rsidR="10652A40" w:rsidRDefault="10652A40" w:rsidP="10652A40">
            <w:r>
              <w:t>14,0</w:t>
            </w:r>
          </w:p>
        </w:tc>
      </w:tr>
      <w:tr w:rsidR="10652A40" w14:paraId="2689E841" w14:textId="77777777" w:rsidTr="10652A40">
        <w:trPr>
          <w:gridAfter w:val="7"/>
          <w:wAfter w:w="6296" w:type="dxa"/>
          <w:trHeight w:val="300"/>
        </w:trPr>
        <w:tc>
          <w:tcPr>
            <w:tcW w:w="3479" w:type="dxa"/>
            <w:vAlign w:val="center"/>
          </w:tcPr>
          <w:p w14:paraId="0EFA73CD" w14:textId="66FBD9AC" w:rsidR="10652A40" w:rsidRDefault="10652A40" w:rsidP="10652A40">
            <w:r w:rsidRPr="10652A40">
              <w:rPr>
                <w:lang w:val="en-US"/>
              </w:rPr>
              <w:t>Vlera aktuale e përfitimit në total</w:t>
            </w:r>
          </w:p>
        </w:tc>
        <w:tc>
          <w:tcPr>
            <w:tcW w:w="3346" w:type="dxa"/>
            <w:gridSpan w:val="4"/>
            <w:vAlign w:val="center"/>
          </w:tcPr>
          <w:p w14:paraId="32EC051C" w14:textId="3F3189E0" w:rsidR="10652A40" w:rsidRDefault="10652A40" w:rsidP="10652A40">
            <w:r>
              <w:t>85,7</w:t>
            </w:r>
          </w:p>
        </w:tc>
      </w:tr>
      <w:tr w:rsidR="10652A40" w14:paraId="310FCED2" w14:textId="77777777" w:rsidTr="10652A40">
        <w:trPr>
          <w:gridAfter w:val="7"/>
          <w:wAfter w:w="6296" w:type="dxa"/>
          <w:trHeight w:val="300"/>
        </w:trPr>
        <w:tc>
          <w:tcPr>
            <w:tcW w:w="3479" w:type="dxa"/>
            <w:vAlign w:val="center"/>
          </w:tcPr>
          <w:p w14:paraId="003E3433" w14:textId="44858D12" w:rsidR="10652A40" w:rsidRDefault="10652A40" w:rsidP="10652A40">
            <w:r w:rsidRPr="10652A40">
              <w:rPr>
                <w:b/>
                <w:bCs/>
                <w:lang w:val="en-US"/>
              </w:rPr>
              <w:t>Vlera aktuale neto (VAN)</w:t>
            </w:r>
          </w:p>
        </w:tc>
        <w:tc>
          <w:tcPr>
            <w:tcW w:w="3346" w:type="dxa"/>
            <w:gridSpan w:val="4"/>
            <w:vAlign w:val="center"/>
          </w:tcPr>
          <w:p w14:paraId="50D5F0BB" w14:textId="34EA18D1" w:rsidR="10652A40" w:rsidRDefault="10652A40" w:rsidP="10652A40">
            <w:r w:rsidRPr="10652A40">
              <w:rPr>
                <w:b/>
                <w:bCs/>
              </w:rPr>
              <w:t>71,7</w:t>
            </w:r>
          </w:p>
        </w:tc>
      </w:tr>
    </w:tbl>
    <w:p w14:paraId="30C2896B" w14:textId="4533ADD6" w:rsidR="001226EB" w:rsidRPr="007A737A" w:rsidRDefault="7E5EC328" w:rsidP="10652A40">
      <w:pPr>
        <w:spacing w:before="240" w:after="240" w:line="276" w:lineRule="auto"/>
      </w:pPr>
      <w:r w:rsidRPr="10652A40">
        <w:rPr>
          <w:lang w:val="sq-AL"/>
        </w:rPr>
        <w:t xml:space="preserve">Opsioni 2 ka gjithashtu një vlerë aktuale neto pozitive. Megjithatë, VAN-i i tij prej </w:t>
      </w:r>
      <w:r w:rsidRPr="10652A40">
        <w:rPr>
          <w:b/>
          <w:bCs/>
          <w:lang w:val="sq-AL"/>
        </w:rPr>
        <w:t>71,7 milionë lekësh</w:t>
      </w:r>
      <w:r w:rsidRPr="10652A40">
        <w:rPr>
          <w:lang w:val="sq-AL"/>
        </w:rPr>
        <w:t xml:space="preserve"> është rreth 1 milion lekë më i ulët se ai i Opsionit 1. Diferenca lidhet me kostot shtesë të kufizuara të rishikimit juridik dhe administrativ që do të kërkonte shfuqizimi i ligjit në fuqi dhe kalimi në një ligj të ri, pa krijuar përfitime materiale shtesë kundrejt ndryshimit dhe plotësimit të ligjit nr. 76/2023.</w:t>
      </w:r>
    </w:p>
    <w:p w14:paraId="6C1A6F84" w14:textId="4DA2C6BA" w:rsidR="001226EB" w:rsidRPr="007A737A" w:rsidRDefault="001226EB">
      <w:pPr>
        <w:spacing w:line="276" w:lineRule="auto"/>
        <w:rPr>
          <w:b/>
          <w:bCs/>
          <w:lang w:val="sq-AL"/>
        </w:rPr>
      </w:pPr>
    </w:p>
    <w:p w14:paraId="4A560765" w14:textId="77777777" w:rsidR="001226EB" w:rsidRPr="007A737A" w:rsidRDefault="001226EB">
      <w:pPr>
        <w:spacing w:line="276" w:lineRule="auto"/>
        <w:rPr>
          <w:b/>
          <w:bCs/>
          <w:lang w:val="sq-AL"/>
        </w:rPr>
      </w:pPr>
    </w:p>
    <w:p w14:paraId="616683DB" w14:textId="77777777" w:rsidR="001226EB" w:rsidRPr="007A737A" w:rsidRDefault="001226EB">
      <w:pPr>
        <w:spacing w:line="276" w:lineRule="auto"/>
        <w:rPr>
          <w:b/>
          <w:bCs/>
          <w:lang w:val="sq-AL"/>
        </w:rPr>
      </w:pPr>
    </w:p>
    <w:p w14:paraId="34DD646B" w14:textId="77777777" w:rsidR="001226EB" w:rsidRPr="007A737A" w:rsidRDefault="001226EB">
      <w:pPr>
        <w:spacing w:line="276" w:lineRule="auto"/>
        <w:rPr>
          <w:b/>
          <w:bCs/>
          <w:lang w:val="sq-AL"/>
        </w:rPr>
      </w:pPr>
    </w:p>
    <w:p w14:paraId="2C621A04" w14:textId="77777777" w:rsidR="001226EB" w:rsidRPr="007A737A" w:rsidRDefault="001226EB">
      <w:pPr>
        <w:spacing w:line="276" w:lineRule="auto"/>
        <w:rPr>
          <w:b/>
          <w:bCs/>
          <w:lang w:val="sq-AL"/>
        </w:rPr>
      </w:pPr>
    </w:p>
    <w:p w14:paraId="4A8CC752" w14:textId="77777777" w:rsidR="001226EB" w:rsidRPr="007A737A" w:rsidRDefault="004F6C9E">
      <w:pPr>
        <w:spacing w:line="276" w:lineRule="auto"/>
        <w:jc w:val="center"/>
        <w:rPr>
          <w:b/>
          <w:bCs/>
          <w:lang w:val="sq-AL"/>
        </w:rPr>
      </w:pPr>
      <w:r w:rsidRPr="007A737A">
        <w:rPr>
          <w:b/>
          <w:bCs/>
          <w:lang w:val="sq-AL"/>
        </w:rPr>
        <w:t>MINISTËR</w:t>
      </w:r>
    </w:p>
    <w:p w14:paraId="15C773A7" w14:textId="77777777" w:rsidR="001226EB" w:rsidRPr="007A737A" w:rsidRDefault="001226EB">
      <w:pPr>
        <w:spacing w:line="276" w:lineRule="auto"/>
        <w:jc w:val="center"/>
        <w:rPr>
          <w:b/>
          <w:bCs/>
          <w:lang w:val="sq-AL"/>
        </w:rPr>
      </w:pPr>
    </w:p>
    <w:p w14:paraId="1FAC7F7F" w14:textId="77777777" w:rsidR="001226EB" w:rsidRPr="007A737A" w:rsidRDefault="004F6C9E">
      <w:pPr>
        <w:spacing w:line="276" w:lineRule="auto"/>
        <w:jc w:val="center"/>
        <w:rPr>
          <w:b/>
          <w:bCs/>
          <w:lang w:val="sq-AL"/>
        </w:rPr>
      </w:pPr>
      <w:bookmarkStart w:id="6" w:name="bookmark=id.5w27sluwfej6" w:colFirst="0" w:colLast="0"/>
      <w:bookmarkEnd w:id="6"/>
      <w:r w:rsidRPr="007A737A">
        <w:rPr>
          <w:color w:val="808080"/>
          <w:lang w:val="sq-AL"/>
        </w:rPr>
        <w:t>[Emri</w:t>
      </w:r>
      <w:r w:rsidRPr="007A737A">
        <w:rPr>
          <w:lang w:val="sq-AL"/>
        </w:rPr>
        <w:t xml:space="preserve"> </w:t>
      </w:r>
      <w:bookmarkStart w:id="7" w:name="bookmark=id.4c3zujfxiall" w:colFirst="0" w:colLast="0"/>
      <w:bookmarkEnd w:id="7"/>
      <w:r w:rsidRPr="007A737A">
        <w:rPr>
          <w:color w:val="808080"/>
          <w:lang w:val="sq-AL"/>
        </w:rPr>
        <w:t>Mbiemri]</w:t>
      </w:r>
    </w:p>
    <w:p w14:paraId="37A3FCF6" w14:textId="77777777" w:rsidR="001226EB" w:rsidRPr="007A737A" w:rsidRDefault="001226EB">
      <w:pPr>
        <w:spacing w:line="276" w:lineRule="auto"/>
        <w:rPr>
          <w:lang w:val="sq-AL"/>
        </w:rPr>
      </w:pPr>
    </w:p>
    <w:p w14:paraId="292C2A55" w14:textId="77777777" w:rsidR="001226EB" w:rsidRPr="007A737A" w:rsidRDefault="001226EB">
      <w:pPr>
        <w:spacing w:line="276" w:lineRule="auto"/>
        <w:rPr>
          <w:lang w:val="sq-AL"/>
        </w:rPr>
      </w:pPr>
    </w:p>
    <w:sectPr w:rsidR="001226EB" w:rsidRPr="007A737A">
      <w:type w:val="continuous"/>
      <w:pgSz w:w="16840" w:h="11907" w:orient="landscape"/>
      <w:pgMar w:top="850" w:right="677" w:bottom="850" w:left="677" w:header="288" w:footer="2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97F89" w14:textId="77777777" w:rsidR="00267999" w:rsidRDefault="00267999">
      <w:r>
        <w:separator/>
      </w:r>
    </w:p>
  </w:endnote>
  <w:endnote w:type="continuationSeparator" w:id="0">
    <w:p w14:paraId="63F8A8EE" w14:textId="77777777" w:rsidR="00267999" w:rsidRDefault="00267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embedRegular r:id="rId1" w:fontKey="{F935A782-3826-4C59-86DF-3B6F0DFEC197}"/>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FE5E243D-247B-4A74-A1D7-E929269F3953}"/>
    <w:embedBold r:id="rId3" w:fontKey="{D9CF4A52-A43B-4E70-9B1E-6C08A47DE4EC}"/>
    <w:embedBoldItalic r:id="rId4" w:fontKey="{78E986F8-1CD4-4FB0-9A87-9EBB73D736C4}"/>
  </w:font>
  <w:font w:name="Calibri">
    <w:panose1 w:val="020F0502020204030204"/>
    <w:charset w:val="00"/>
    <w:family w:val="swiss"/>
    <w:pitch w:val="variable"/>
    <w:sig w:usb0="E4002EFF" w:usb1="C200247B" w:usb2="00000009" w:usb3="00000000" w:csb0="000001FF" w:csb1="00000000"/>
    <w:embedRegular r:id="rId5" w:fontKey="{32086A17-EE0B-48E3-8AC9-94DA7E0210B7}"/>
    <w:embedBold r:id="rId6" w:fontKey="{229D2420-8499-4ADE-817A-F3D6DAFAA2B4}"/>
    <w:embedBoldItalic r:id="rId7" w:fontKey="{D60F821D-6D32-482E-9D12-10C92DA0782A}"/>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8" w:fontKey="{E6227682-6EE9-40E3-84C7-80D2A48EAC5B}"/>
  </w:font>
  <w:font w:name="Segoe UI">
    <w:panose1 w:val="020B0502040204020203"/>
    <w:charset w:val="00"/>
    <w:family w:val="swiss"/>
    <w:pitch w:val="variable"/>
    <w:sig w:usb0="E4002EFF" w:usb1="C000E47F" w:usb2="00000009" w:usb3="00000000" w:csb0="000001FF" w:csb1="00000000"/>
    <w:embedRegular r:id="rId9" w:fontKey="{6105968B-612B-42D5-A167-6E319B5531E8}"/>
  </w:font>
  <w:font w:name="Georgia">
    <w:panose1 w:val="02040502050405020303"/>
    <w:charset w:val="00"/>
    <w:family w:val="roman"/>
    <w:pitch w:val="variable"/>
    <w:sig w:usb0="00000287" w:usb1="00000000" w:usb2="00000000" w:usb3="00000000" w:csb0="0000009F" w:csb1="00000000"/>
    <w:embedItalic r:id="rId10" w:fontKey="{F8FB6E8E-B098-4B27-BB87-66011506F917}"/>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0887A" w14:textId="77777777" w:rsidR="001226EB" w:rsidRDefault="004F6C9E">
    <w:pPr>
      <w:pBdr>
        <w:top w:val="nil"/>
        <w:left w:val="nil"/>
        <w:bottom w:val="nil"/>
        <w:right w:val="nil"/>
        <w:between w:val="nil"/>
      </w:pBdr>
      <w:tabs>
        <w:tab w:val="center" w:pos="5132"/>
        <w:tab w:val="right" w:pos="10260"/>
      </w:tabs>
      <w:jc w:val="center"/>
      <w:rPr>
        <w:b/>
        <w:bCs/>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7C1C59">
      <w:rPr>
        <w:noProof/>
        <w:color w:val="000000"/>
        <w:sz w:val="18"/>
        <w:szCs w:val="18"/>
      </w:rPr>
      <w:t>1</w:t>
    </w:r>
    <w:r>
      <w:rPr>
        <w:color w:val="000000"/>
        <w:sz w:val="18"/>
        <w:szCs w:val="18"/>
      </w:rPr>
      <w:fldChar w:fldCharType="end"/>
    </w:r>
  </w:p>
  <w:p w14:paraId="2CB07F99" w14:textId="77777777" w:rsidR="001226EB" w:rsidRDefault="001226EB"/>
  <w:p w14:paraId="0A1BCACE" w14:textId="77777777" w:rsidR="001226EB" w:rsidRDefault="001226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7A0A1" w14:textId="77777777" w:rsidR="00267999" w:rsidRDefault="00267999">
      <w:r>
        <w:separator/>
      </w:r>
    </w:p>
  </w:footnote>
  <w:footnote w:type="continuationSeparator" w:id="0">
    <w:p w14:paraId="50B4173B" w14:textId="77777777" w:rsidR="00267999" w:rsidRDefault="002679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818F1" w14:textId="77777777" w:rsidR="001226EB" w:rsidRDefault="001226EB"/>
  <w:p w14:paraId="1341A042" w14:textId="77777777" w:rsidR="001226EB" w:rsidRDefault="001226E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5B937" w14:textId="77777777" w:rsidR="007A737A" w:rsidRDefault="007A73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B5B7C"/>
    <w:multiLevelType w:val="multilevel"/>
    <w:tmpl w:val="F510EC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BA5825"/>
    <w:multiLevelType w:val="multilevel"/>
    <w:tmpl w:val="89B6A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59BF70"/>
    <w:multiLevelType w:val="hybridMultilevel"/>
    <w:tmpl w:val="5E844600"/>
    <w:lvl w:ilvl="0" w:tplc="FD7E8936">
      <w:start w:val="1"/>
      <w:numFmt w:val="bullet"/>
      <w:lvlText w:val=""/>
      <w:lvlJc w:val="left"/>
      <w:pPr>
        <w:ind w:left="720" w:hanging="360"/>
      </w:pPr>
      <w:rPr>
        <w:rFonts w:ascii="Symbol" w:hAnsi="Symbol" w:hint="default"/>
      </w:rPr>
    </w:lvl>
    <w:lvl w:ilvl="1" w:tplc="8286DB58">
      <w:start w:val="1"/>
      <w:numFmt w:val="bullet"/>
      <w:lvlText w:val="o"/>
      <w:lvlJc w:val="left"/>
      <w:pPr>
        <w:ind w:left="1440" w:hanging="360"/>
      </w:pPr>
      <w:rPr>
        <w:rFonts w:ascii="Courier New" w:hAnsi="Courier New" w:hint="default"/>
      </w:rPr>
    </w:lvl>
    <w:lvl w:ilvl="2" w:tplc="640A66D2">
      <w:start w:val="1"/>
      <w:numFmt w:val="bullet"/>
      <w:lvlText w:val=""/>
      <w:lvlJc w:val="left"/>
      <w:pPr>
        <w:ind w:left="2160" w:hanging="360"/>
      </w:pPr>
      <w:rPr>
        <w:rFonts w:ascii="Wingdings" w:hAnsi="Wingdings" w:hint="default"/>
      </w:rPr>
    </w:lvl>
    <w:lvl w:ilvl="3" w:tplc="F482E47E">
      <w:start w:val="1"/>
      <w:numFmt w:val="bullet"/>
      <w:lvlText w:val=""/>
      <w:lvlJc w:val="left"/>
      <w:pPr>
        <w:ind w:left="2880" w:hanging="360"/>
      </w:pPr>
      <w:rPr>
        <w:rFonts w:ascii="Symbol" w:hAnsi="Symbol" w:hint="default"/>
      </w:rPr>
    </w:lvl>
    <w:lvl w:ilvl="4" w:tplc="3436616A">
      <w:start w:val="1"/>
      <w:numFmt w:val="bullet"/>
      <w:lvlText w:val="o"/>
      <w:lvlJc w:val="left"/>
      <w:pPr>
        <w:ind w:left="3600" w:hanging="360"/>
      </w:pPr>
      <w:rPr>
        <w:rFonts w:ascii="Courier New" w:hAnsi="Courier New" w:hint="default"/>
      </w:rPr>
    </w:lvl>
    <w:lvl w:ilvl="5" w:tplc="7FC40230">
      <w:start w:val="1"/>
      <w:numFmt w:val="bullet"/>
      <w:lvlText w:val=""/>
      <w:lvlJc w:val="left"/>
      <w:pPr>
        <w:ind w:left="4320" w:hanging="360"/>
      </w:pPr>
      <w:rPr>
        <w:rFonts w:ascii="Wingdings" w:hAnsi="Wingdings" w:hint="default"/>
      </w:rPr>
    </w:lvl>
    <w:lvl w:ilvl="6" w:tplc="4FF4CCAA">
      <w:start w:val="1"/>
      <w:numFmt w:val="bullet"/>
      <w:lvlText w:val=""/>
      <w:lvlJc w:val="left"/>
      <w:pPr>
        <w:ind w:left="5040" w:hanging="360"/>
      </w:pPr>
      <w:rPr>
        <w:rFonts w:ascii="Symbol" w:hAnsi="Symbol" w:hint="default"/>
      </w:rPr>
    </w:lvl>
    <w:lvl w:ilvl="7" w:tplc="3DBA5BFA">
      <w:start w:val="1"/>
      <w:numFmt w:val="bullet"/>
      <w:lvlText w:val="o"/>
      <w:lvlJc w:val="left"/>
      <w:pPr>
        <w:ind w:left="5760" w:hanging="360"/>
      </w:pPr>
      <w:rPr>
        <w:rFonts w:ascii="Courier New" w:hAnsi="Courier New" w:hint="default"/>
      </w:rPr>
    </w:lvl>
    <w:lvl w:ilvl="8" w:tplc="E2FC58BE">
      <w:start w:val="1"/>
      <w:numFmt w:val="bullet"/>
      <w:lvlText w:val=""/>
      <w:lvlJc w:val="left"/>
      <w:pPr>
        <w:ind w:left="6480" w:hanging="360"/>
      </w:pPr>
      <w:rPr>
        <w:rFonts w:ascii="Wingdings" w:hAnsi="Wingdings" w:hint="default"/>
      </w:rPr>
    </w:lvl>
  </w:abstractNum>
  <w:abstractNum w:abstractNumId="3" w15:restartNumberingAfterBreak="0">
    <w:nsid w:val="03BC027E"/>
    <w:multiLevelType w:val="multilevel"/>
    <w:tmpl w:val="73505832"/>
    <w:lvl w:ilvl="0">
      <w:start w:val="1"/>
      <w:numFmt w:val="decimal"/>
      <w:pStyle w:val="EBNumberRestart"/>
      <w:lvlText w:val="%1."/>
      <w:lvlJc w:val="left"/>
      <w:pPr>
        <w:tabs>
          <w:tab w:val="num" w:pos="720"/>
        </w:tabs>
        <w:ind w:left="720" w:hanging="720"/>
      </w:pPr>
    </w:lvl>
    <w:lvl w:ilvl="1">
      <w:start w:val="1"/>
      <w:numFmt w:val="decimal"/>
      <w:pStyle w:val="EBNumb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05EF618F"/>
    <w:multiLevelType w:val="multilevel"/>
    <w:tmpl w:val="CB1CA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797195"/>
    <w:multiLevelType w:val="multilevel"/>
    <w:tmpl w:val="4C5A6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4E5A61"/>
    <w:multiLevelType w:val="multilevel"/>
    <w:tmpl w:val="E3721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391C8E"/>
    <w:multiLevelType w:val="multilevel"/>
    <w:tmpl w:val="751E6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154ED0"/>
    <w:multiLevelType w:val="multilevel"/>
    <w:tmpl w:val="A4DC1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3D649A"/>
    <w:multiLevelType w:val="multilevel"/>
    <w:tmpl w:val="4B243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60C577"/>
    <w:multiLevelType w:val="hybridMultilevel"/>
    <w:tmpl w:val="4CEA2ECE"/>
    <w:lvl w:ilvl="0" w:tplc="E716D1A8">
      <w:start w:val="1"/>
      <w:numFmt w:val="bullet"/>
      <w:lvlText w:val=""/>
      <w:lvlJc w:val="left"/>
      <w:pPr>
        <w:ind w:left="720" w:hanging="360"/>
      </w:pPr>
      <w:rPr>
        <w:rFonts w:ascii="Symbol" w:hAnsi="Symbol" w:hint="default"/>
      </w:rPr>
    </w:lvl>
    <w:lvl w:ilvl="1" w:tplc="D3A84E9E">
      <w:start w:val="1"/>
      <w:numFmt w:val="bullet"/>
      <w:lvlText w:val="o"/>
      <w:lvlJc w:val="left"/>
      <w:pPr>
        <w:ind w:left="1440" w:hanging="360"/>
      </w:pPr>
      <w:rPr>
        <w:rFonts w:ascii="Courier New" w:hAnsi="Courier New" w:hint="default"/>
      </w:rPr>
    </w:lvl>
    <w:lvl w:ilvl="2" w:tplc="6E842B50">
      <w:start w:val="1"/>
      <w:numFmt w:val="bullet"/>
      <w:lvlText w:val=""/>
      <w:lvlJc w:val="left"/>
      <w:pPr>
        <w:ind w:left="2160" w:hanging="360"/>
      </w:pPr>
      <w:rPr>
        <w:rFonts w:ascii="Wingdings" w:hAnsi="Wingdings" w:hint="default"/>
      </w:rPr>
    </w:lvl>
    <w:lvl w:ilvl="3" w:tplc="E6888A5E">
      <w:start w:val="1"/>
      <w:numFmt w:val="bullet"/>
      <w:lvlText w:val=""/>
      <w:lvlJc w:val="left"/>
      <w:pPr>
        <w:ind w:left="2880" w:hanging="360"/>
      </w:pPr>
      <w:rPr>
        <w:rFonts w:ascii="Symbol" w:hAnsi="Symbol" w:hint="default"/>
      </w:rPr>
    </w:lvl>
    <w:lvl w:ilvl="4" w:tplc="B524BF68">
      <w:start w:val="1"/>
      <w:numFmt w:val="bullet"/>
      <w:lvlText w:val="o"/>
      <w:lvlJc w:val="left"/>
      <w:pPr>
        <w:ind w:left="3600" w:hanging="360"/>
      </w:pPr>
      <w:rPr>
        <w:rFonts w:ascii="Courier New" w:hAnsi="Courier New" w:hint="default"/>
      </w:rPr>
    </w:lvl>
    <w:lvl w:ilvl="5" w:tplc="B13AA292">
      <w:start w:val="1"/>
      <w:numFmt w:val="bullet"/>
      <w:lvlText w:val=""/>
      <w:lvlJc w:val="left"/>
      <w:pPr>
        <w:ind w:left="4320" w:hanging="360"/>
      </w:pPr>
      <w:rPr>
        <w:rFonts w:ascii="Wingdings" w:hAnsi="Wingdings" w:hint="default"/>
      </w:rPr>
    </w:lvl>
    <w:lvl w:ilvl="6" w:tplc="5A828FA6">
      <w:start w:val="1"/>
      <w:numFmt w:val="bullet"/>
      <w:lvlText w:val=""/>
      <w:lvlJc w:val="left"/>
      <w:pPr>
        <w:ind w:left="5040" w:hanging="360"/>
      </w:pPr>
      <w:rPr>
        <w:rFonts w:ascii="Symbol" w:hAnsi="Symbol" w:hint="default"/>
      </w:rPr>
    </w:lvl>
    <w:lvl w:ilvl="7" w:tplc="38BC0EEA">
      <w:start w:val="1"/>
      <w:numFmt w:val="bullet"/>
      <w:lvlText w:val="o"/>
      <w:lvlJc w:val="left"/>
      <w:pPr>
        <w:ind w:left="5760" w:hanging="360"/>
      </w:pPr>
      <w:rPr>
        <w:rFonts w:ascii="Courier New" w:hAnsi="Courier New" w:hint="default"/>
      </w:rPr>
    </w:lvl>
    <w:lvl w:ilvl="8" w:tplc="A0C40D6A">
      <w:start w:val="1"/>
      <w:numFmt w:val="bullet"/>
      <w:lvlText w:val=""/>
      <w:lvlJc w:val="left"/>
      <w:pPr>
        <w:ind w:left="6480" w:hanging="360"/>
      </w:pPr>
      <w:rPr>
        <w:rFonts w:ascii="Wingdings" w:hAnsi="Wingdings" w:hint="default"/>
      </w:rPr>
    </w:lvl>
  </w:abstractNum>
  <w:abstractNum w:abstractNumId="11" w15:restartNumberingAfterBreak="0">
    <w:nsid w:val="1C814424"/>
    <w:multiLevelType w:val="multilevel"/>
    <w:tmpl w:val="B4466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A03767"/>
    <w:multiLevelType w:val="hybridMultilevel"/>
    <w:tmpl w:val="F1C24364"/>
    <w:lvl w:ilvl="0" w:tplc="D3B0AE66">
      <w:start w:val="1"/>
      <w:numFmt w:val="bullet"/>
      <w:lvlText w:val=""/>
      <w:lvlJc w:val="left"/>
      <w:pPr>
        <w:ind w:left="720" w:hanging="360"/>
      </w:pPr>
      <w:rPr>
        <w:rFonts w:ascii="Symbol" w:hAnsi="Symbol" w:hint="default"/>
      </w:rPr>
    </w:lvl>
    <w:lvl w:ilvl="1" w:tplc="267CBF3A">
      <w:start w:val="1"/>
      <w:numFmt w:val="bullet"/>
      <w:lvlText w:val="o"/>
      <w:lvlJc w:val="left"/>
      <w:pPr>
        <w:ind w:left="1440" w:hanging="360"/>
      </w:pPr>
      <w:rPr>
        <w:rFonts w:ascii="Courier New" w:hAnsi="Courier New" w:hint="default"/>
      </w:rPr>
    </w:lvl>
    <w:lvl w:ilvl="2" w:tplc="A79EF8B6">
      <w:start w:val="1"/>
      <w:numFmt w:val="bullet"/>
      <w:lvlText w:val=""/>
      <w:lvlJc w:val="left"/>
      <w:pPr>
        <w:ind w:left="2160" w:hanging="360"/>
      </w:pPr>
      <w:rPr>
        <w:rFonts w:ascii="Wingdings" w:hAnsi="Wingdings" w:hint="default"/>
      </w:rPr>
    </w:lvl>
    <w:lvl w:ilvl="3" w:tplc="E81CF8B6">
      <w:start w:val="1"/>
      <w:numFmt w:val="bullet"/>
      <w:lvlText w:val=""/>
      <w:lvlJc w:val="left"/>
      <w:pPr>
        <w:ind w:left="2880" w:hanging="360"/>
      </w:pPr>
      <w:rPr>
        <w:rFonts w:ascii="Symbol" w:hAnsi="Symbol" w:hint="default"/>
      </w:rPr>
    </w:lvl>
    <w:lvl w:ilvl="4" w:tplc="06FAF600">
      <w:start w:val="1"/>
      <w:numFmt w:val="bullet"/>
      <w:lvlText w:val="o"/>
      <w:lvlJc w:val="left"/>
      <w:pPr>
        <w:ind w:left="3600" w:hanging="360"/>
      </w:pPr>
      <w:rPr>
        <w:rFonts w:ascii="Courier New" w:hAnsi="Courier New" w:hint="default"/>
      </w:rPr>
    </w:lvl>
    <w:lvl w:ilvl="5" w:tplc="E92831D4">
      <w:start w:val="1"/>
      <w:numFmt w:val="bullet"/>
      <w:lvlText w:val=""/>
      <w:lvlJc w:val="left"/>
      <w:pPr>
        <w:ind w:left="4320" w:hanging="360"/>
      </w:pPr>
      <w:rPr>
        <w:rFonts w:ascii="Wingdings" w:hAnsi="Wingdings" w:hint="default"/>
      </w:rPr>
    </w:lvl>
    <w:lvl w:ilvl="6" w:tplc="1BF4B97E">
      <w:start w:val="1"/>
      <w:numFmt w:val="bullet"/>
      <w:lvlText w:val=""/>
      <w:lvlJc w:val="left"/>
      <w:pPr>
        <w:ind w:left="5040" w:hanging="360"/>
      </w:pPr>
      <w:rPr>
        <w:rFonts w:ascii="Symbol" w:hAnsi="Symbol" w:hint="default"/>
      </w:rPr>
    </w:lvl>
    <w:lvl w:ilvl="7" w:tplc="A5507812">
      <w:start w:val="1"/>
      <w:numFmt w:val="bullet"/>
      <w:lvlText w:val="o"/>
      <w:lvlJc w:val="left"/>
      <w:pPr>
        <w:ind w:left="5760" w:hanging="360"/>
      </w:pPr>
      <w:rPr>
        <w:rFonts w:ascii="Courier New" w:hAnsi="Courier New" w:hint="default"/>
      </w:rPr>
    </w:lvl>
    <w:lvl w:ilvl="8" w:tplc="DD549908">
      <w:start w:val="1"/>
      <w:numFmt w:val="bullet"/>
      <w:lvlText w:val=""/>
      <w:lvlJc w:val="left"/>
      <w:pPr>
        <w:ind w:left="6480" w:hanging="360"/>
      </w:pPr>
      <w:rPr>
        <w:rFonts w:ascii="Wingdings" w:hAnsi="Wingdings" w:hint="default"/>
      </w:rPr>
    </w:lvl>
  </w:abstractNum>
  <w:abstractNum w:abstractNumId="13" w15:restartNumberingAfterBreak="0">
    <w:nsid w:val="20837546"/>
    <w:multiLevelType w:val="multilevel"/>
    <w:tmpl w:val="9CDC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724AF2"/>
    <w:multiLevelType w:val="hybridMultilevel"/>
    <w:tmpl w:val="791A63EE"/>
    <w:lvl w:ilvl="0" w:tplc="09AA1672">
      <w:start w:val="1"/>
      <w:numFmt w:val="bullet"/>
      <w:lvlText w:val=""/>
      <w:lvlJc w:val="left"/>
      <w:pPr>
        <w:ind w:left="720" w:hanging="360"/>
      </w:pPr>
      <w:rPr>
        <w:rFonts w:ascii="Symbol" w:hAnsi="Symbol" w:hint="default"/>
      </w:rPr>
    </w:lvl>
    <w:lvl w:ilvl="1" w:tplc="56E4C5E6">
      <w:start w:val="1"/>
      <w:numFmt w:val="bullet"/>
      <w:lvlText w:val="o"/>
      <w:lvlJc w:val="left"/>
      <w:pPr>
        <w:ind w:left="1440" w:hanging="360"/>
      </w:pPr>
      <w:rPr>
        <w:rFonts w:ascii="Courier New" w:hAnsi="Courier New" w:hint="default"/>
      </w:rPr>
    </w:lvl>
    <w:lvl w:ilvl="2" w:tplc="C19E6C10">
      <w:start w:val="1"/>
      <w:numFmt w:val="bullet"/>
      <w:lvlText w:val=""/>
      <w:lvlJc w:val="left"/>
      <w:pPr>
        <w:ind w:left="2160" w:hanging="360"/>
      </w:pPr>
      <w:rPr>
        <w:rFonts w:ascii="Wingdings" w:hAnsi="Wingdings" w:hint="default"/>
      </w:rPr>
    </w:lvl>
    <w:lvl w:ilvl="3" w:tplc="2176F1AE">
      <w:start w:val="1"/>
      <w:numFmt w:val="bullet"/>
      <w:lvlText w:val=""/>
      <w:lvlJc w:val="left"/>
      <w:pPr>
        <w:ind w:left="2880" w:hanging="360"/>
      </w:pPr>
      <w:rPr>
        <w:rFonts w:ascii="Symbol" w:hAnsi="Symbol" w:hint="default"/>
      </w:rPr>
    </w:lvl>
    <w:lvl w:ilvl="4" w:tplc="2BD01100">
      <w:start w:val="1"/>
      <w:numFmt w:val="bullet"/>
      <w:lvlText w:val="o"/>
      <w:lvlJc w:val="left"/>
      <w:pPr>
        <w:ind w:left="3600" w:hanging="360"/>
      </w:pPr>
      <w:rPr>
        <w:rFonts w:ascii="Courier New" w:hAnsi="Courier New" w:hint="default"/>
      </w:rPr>
    </w:lvl>
    <w:lvl w:ilvl="5" w:tplc="691A60E4">
      <w:start w:val="1"/>
      <w:numFmt w:val="bullet"/>
      <w:lvlText w:val=""/>
      <w:lvlJc w:val="left"/>
      <w:pPr>
        <w:ind w:left="4320" w:hanging="360"/>
      </w:pPr>
      <w:rPr>
        <w:rFonts w:ascii="Wingdings" w:hAnsi="Wingdings" w:hint="default"/>
      </w:rPr>
    </w:lvl>
    <w:lvl w:ilvl="6" w:tplc="897CE54C">
      <w:start w:val="1"/>
      <w:numFmt w:val="bullet"/>
      <w:lvlText w:val=""/>
      <w:lvlJc w:val="left"/>
      <w:pPr>
        <w:ind w:left="5040" w:hanging="360"/>
      </w:pPr>
      <w:rPr>
        <w:rFonts w:ascii="Symbol" w:hAnsi="Symbol" w:hint="default"/>
      </w:rPr>
    </w:lvl>
    <w:lvl w:ilvl="7" w:tplc="5142AA9C">
      <w:start w:val="1"/>
      <w:numFmt w:val="bullet"/>
      <w:lvlText w:val="o"/>
      <w:lvlJc w:val="left"/>
      <w:pPr>
        <w:ind w:left="5760" w:hanging="360"/>
      </w:pPr>
      <w:rPr>
        <w:rFonts w:ascii="Courier New" w:hAnsi="Courier New" w:hint="default"/>
      </w:rPr>
    </w:lvl>
    <w:lvl w:ilvl="8" w:tplc="99CE0F72">
      <w:start w:val="1"/>
      <w:numFmt w:val="bullet"/>
      <w:lvlText w:val=""/>
      <w:lvlJc w:val="left"/>
      <w:pPr>
        <w:ind w:left="6480" w:hanging="360"/>
      </w:pPr>
      <w:rPr>
        <w:rFonts w:ascii="Wingdings" w:hAnsi="Wingdings" w:hint="default"/>
      </w:rPr>
    </w:lvl>
  </w:abstractNum>
  <w:abstractNum w:abstractNumId="15" w15:restartNumberingAfterBreak="0">
    <w:nsid w:val="29BC459C"/>
    <w:multiLevelType w:val="multilevel"/>
    <w:tmpl w:val="55F85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9721E4"/>
    <w:multiLevelType w:val="multilevel"/>
    <w:tmpl w:val="B93EE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D96555"/>
    <w:multiLevelType w:val="multilevel"/>
    <w:tmpl w:val="7ECE0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555810"/>
    <w:multiLevelType w:val="multilevel"/>
    <w:tmpl w:val="5F468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A34034"/>
    <w:multiLevelType w:val="multilevel"/>
    <w:tmpl w:val="9CDAD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6C42B9"/>
    <w:multiLevelType w:val="multilevel"/>
    <w:tmpl w:val="EA80B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BB53EF"/>
    <w:multiLevelType w:val="multilevel"/>
    <w:tmpl w:val="62467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4F9065"/>
    <w:multiLevelType w:val="hybridMultilevel"/>
    <w:tmpl w:val="F08231EC"/>
    <w:lvl w:ilvl="0" w:tplc="B0343108">
      <w:start w:val="1"/>
      <w:numFmt w:val="bullet"/>
      <w:lvlText w:val=""/>
      <w:lvlJc w:val="left"/>
      <w:pPr>
        <w:ind w:left="720" w:hanging="360"/>
      </w:pPr>
      <w:rPr>
        <w:rFonts w:ascii="Symbol" w:hAnsi="Symbol" w:hint="default"/>
      </w:rPr>
    </w:lvl>
    <w:lvl w:ilvl="1" w:tplc="4BEE804E">
      <w:start w:val="1"/>
      <w:numFmt w:val="bullet"/>
      <w:lvlText w:val="o"/>
      <w:lvlJc w:val="left"/>
      <w:pPr>
        <w:ind w:left="1440" w:hanging="360"/>
      </w:pPr>
      <w:rPr>
        <w:rFonts w:ascii="Courier New" w:hAnsi="Courier New" w:hint="default"/>
      </w:rPr>
    </w:lvl>
    <w:lvl w:ilvl="2" w:tplc="90246210">
      <w:start w:val="1"/>
      <w:numFmt w:val="bullet"/>
      <w:lvlText w:val=""/>
      <w:lvlJc w:val="left"/>
      <w:pPr>
        <w:ind w:left="2160" w:hanging="360"/>
      </w:pPr>
      <w:rPr>
        <w:rFonts w:ascii="Wingdings" w:hAnsi="Wingdings" w:hint="default"/>
      </w:rPr>
    </w:lvl>
    <w:lvl w:ilvl="3" w:tplc="62107148">
      <w:start w:val="1"/>
      <w:numFmt w:val="bullet"/>
      <w:lvlText w:val=""/>
      <w:lvlJc w:val="left"/>
      <w:pPr>
        <w:ind w:left="2880" w:hanging="360"/>
      </w:pPr>
      <w:rPr>
        <w:rFonts w:ascii="Symbol" w:hAnsi="Symbol" w:hint="default"/>
      </w:rPr>
    </w:lvl>
    <w:lvl w:ilvl="4" w:tplc="7ACA0212">
      <w:start w:val="1"/>
      <w:numFmt w:val="bullet"/>
      <w:lvlText w:val="o"/>
      <w:lvlJc w:val="left"/>
      <w:pPr>
        <w:ind w:left="3600" w:hanging="360"/>
      </w:pPr>
      <w:rPr>
        <w:rFonts w:ascii="Courier New" w:hAnsi="Courier New" w:hint="default"/>
      </w:rPr>
    </w:lvl>
    <w:lvl w:ilvl="5" w:tplc="C71E5F56">
      <w:start w:val="1"/>
      <w:numFmt w:val="bullet"/>
      <w:lvlText w:val=""/>
      <w:lvlJc w:val="left"/>
      <w:pPr>
        <w:ind w:left="4320" w:hanging="360"/>
      </w:pPr>
      <w:rPr>
        <w:rFonts w:ascii="Wingdings" w:hAnsi="Wingdings" w:hint="default"/>
      </w:rPr>
    </w:lvl>
    <w:lvl w:ilvl="6" w:tplc="EC96D880">
      <w:start w:val="1"/>
      <w:numFmt w:val="bullet"/>
      <w:lvlText w:val=""/>
      <w:lvlJc w:val="left"/>
      <w:pPr>
        <w:ind w:left="5040" w:hanging="360"/>
      </w:pPr>
      <w:rPr>
        <w:rFonts w:ascii="Symbol" w:hAnsi="Symbol" w:hint="default"/>
      </w:rPr>
    </w:lvl>
    <w:lvl w:ilvl="7" w:tplc="45205136">
      <w:start w:val="1"/>
      <w:numFmt w:val="bullet"/>
      <w:lvlText w:val="o"/>
      <w:lvlJc w:val="left"/>
      <w:pPr>
        <w:ind w:left="5760" w:hanging="360"/>
      </w:pPr>
      <w:rPr>
        <w:rFonts w:ascii="Courier New" w:hAnsi="Courier New" w:hint="default"/>
      </w:rPr>
    </w:lvl>
    <w:lvl w:ilvl="8" w:tplc="E9FCEE5A">
      <w:start w:val="1"/>
      <w:numFmt w:val="bullet"/>
      <w:lvlText w:val=""/>
      <w:lvlJc w:val="left"/>
      <w:pPr>
        <w:ind w:left="6480" w:hanging="360"/>
      </w:pPr>
      <w:rPr>
        <w:rFonts w:ascii="Wingdings" w:hAnsi="Wingdings" w:hint="default"/>
      </w:rPr>
    </w:lvl>
  </w:abstractNum>
  <w:abstractNum w:abstractNumId="23" w15:restartNumberingAfterBreak="0">
    <w:nsid w:val="47BF3542"/>
    <w:multiLevelType w:val="multilevel"/>
    <w:tmpl w:val="B666E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3A69E9"/>
    <w:multiLevelType w:val="multilevel"/>
    <w:tmpl w:val="B5B8C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A42E01"/>
    <w:multiLevelType w:val="multilevel"/>
    <w:tmpl w:val="21D8E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595628"/>
    <w:multiLevelType w:val="multilevel"/>
    <w:tmpl w:val="20AA8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EC5398"/>
    <w:multiLevelType w:val="multilevel"/>
    <w:tmpl w:val="6A50FB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BF34990"/>
    <w:multiLevelType w:val="multilevel"/>
    <w:tmpl w:val="9FC49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DAC1535"/>
    <w:multiLevelType w:val="hybridMultilevel"/>
    <w:tmpl w:val="D67001B2"/>
    <w:lvl w:ilvl="0" w:tplc="6B7A81F8">
      <w:start w:val="1"/>
      <w:numFmt w:val="bullet"/>
      <w:lvlText w:val=""/>
      <w:lvlJc w:val="left"/>
      <w:pPr>
        <w:ind w:left="720" w:hanging="360"/>
      </w:pPr>
      <w:rPr>
        <w:rFonts w:ascii="Symbol" w:hAnsi="Symbol" w:hint="default"/>
      </w:rPr>
    </w:lvl>
    <w:lvl w:ilvl="1" w:tplc="7E2A768A">
      <w:start w:val="1"/>
      <w:numFmt w:val="bullet"/>
      <w:lvlText w:val="o"/>
      <w:lvlJc w:val="left"/>
      <w:pPr>
        <w:ind w:left="1440" w:hanging="360"/>
      </w:pPr>
      <w:rPr>
        <w:rFonts w:ascii="Courier New" w:hAnsi="Courier New" w:hint="default"/>
      </w:rPr>
    </w:lvl>
    <w:lvl w:ilvl="2" w:tplc="FF8EA2EC">
      <w:start w:val="1"/>
      <w:numFmt w:val="bullet"/>
      <w:lvlText w:val=""/>
      <w:lvlJc w:val="left"/>
      <w:pPr>
        <w:ind w:left="2160" w:hanging="360"/>
      </w:pPr>
      <w:rPr>
        <w:rFonts w:ascii="Wingdings" w:hAnsi="Wingdings" w:hint="default"/>
      </w:rPr>
    </w:lvl>
    <w:lvl w:ilvl="3" w:tplc="A522B49C">
      <w:start w:val="1"/>
      <w:numFmt w:val="bullet"/>
      <w:lvlText w:val=""/>
      <w:lvlJc w:val="left"/>
      <w:pPr>
        <w:ind w:left="2880" w:hanging="360"/>
      </w:pPr>
      <w:rPr>
        <w:rFonts w:ascii="Symbol" w:hAnsi="Symbol" w:hint="default"/>
      </w:rPr>
    </w:lvl>
    <w:lvl w:ilvl="4" w:tplc="64D48E80">
      <w:start w:val="1"/>
      <w:numFmt w:val="bullet"/>
      <w:lvlText w:val="o"/>
      <w:lvlJc w:val="left"/>
      <w:pPr>
        <w:ind w:left="3600" w:hanging="360"/>
      </w:pPr>
      <w:rPr>
        <w:rFonts w:ascii="Courier New" w:hAnsi="Courier New" w:hint="default"/>
      </w:rPr>
    </w:lvl>
    <w:lvl w:ilvl="5" w:tplc="718CA29C">
      <w:start w:val="1"/>
      <w:numFmt w:val="bullet"/>
      <w:lvlText w:val=""/>
      <w:lvlJc w:val="left"/>
      <w:pPr>
        <w:ind w:left="4320" w:hanging="360"/>
      </w:pPr>
      <w:rPr>
        <w:rFonts w:ascii="Wingdings" w:hAnsi="Wingdings" w:hint="default"/>
      </w:rPr>
    </w:lvl>
    <w:lvl w:ilvl="6" w:tplc="E93641CC">
      <w:start w:val="1"/>
      <w:numFmt w:val="bullet"/>
      <w:lvlText w:val=""/>
      <w:lvlJc w:val="left"/>
      <w:pPr>
        <w:ind w:left="5040" w:hanging="360"/>
      </w:pPr>
      <w:rPr>
        <w:rFonts w:ascii="Symbol" w:hAnsi="Symbol" w:hint="default"/>
      </w:rPr>
    </w:lvl>
    <w:lvl w:ilvl="7" w:tplc="BCAC94F8">
      <w:start w:val="1"/>
      <w:numFmt w:val="bullet"/>
      <w:lvlText w:val="o"/>
      <w:lvlJc w:val="left"/>
      <w:pPr>
        <w:ind w:left="5760" w:hanging="360"/>
      </w:pPr>
      <w:rPr>
        <w:rFonts w:ascii="Courier New" w:hAnsi="Courier New" w:hint="default"/>
      </w:rPr>
    </w:lvl>
    <w:lvl w:ilvl="8" w:tplc="8DD471E6">
      <w:start w:val="1"/>
      <w:numFmt w:val="bullet"/>
      <w:lvlText w:val=""/>
      <w:lvlJc w:val="left"/>
      <w:pPr>
        <w:ind w:left="6480" w:hanging="360"/>
      </w:pPr>
      <w:rPr>
        <w:rFonts w:ascii="Wingdings" w:hAnsi="Wingdings" w:hint="default"/>
      </w:rPr>
    </w:lvl>
  </w:abstractNum>
  <w:abstractNum w:abstractNumId="30" w15:restartNumberingAfterBreak="0">
    <w:nsid w:val="5F0D4D6F"/>
    <w:multiLevelType w:val="multilevel"/>
    <w:tmpl w:val="C7883F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1" w15:restartNumberingAfterBreak="0">
    <w:nsid w:val="61B47B0F"/>
    <w:multiLevelType w:val="multilevel"/>
    <w:tmpl w:val="8D489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1E72059"/>
    <w:multiLevelType w:val="multilevel"/>
    <w:tmpl w:val="5404AE34"/>
    <w:lvl w:ilvl="0">
      <w:start w:val="1"/>
      <w:numFmt w:val="bullet"/>
      <w:pStyle w:val="EB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63075FFC"/>
    <w:multiLevelType w:val="multilevel"/>
    <w:tmpl w:val="15FCDA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66063CBE"/>
    <w:multiLevelType w:val="multilevel"/>
    <w:tmpl w:val="1C94B3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675613D9"/>
    <w:multiLevelType w:val="multilevel"/>
    <w:tmpl w:val="5FF6E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84C08B3"/>
    <w:multiLevelType w:val="multilevel"/>
    <w:tmpl w:val="E61C73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6FCF1F5F"/>
    <w:multiLevelType w:val="multilevel"/>
    <w:tmpl w:val="68F26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F43734"/>
    <w:multiLevelType w:val="multilevel"/>
    <w:tmpl w:val="FB2674E8"/>
    <w:lvl w:ilvl="0">
      <w:start w:val="1"/>
      <w:numFmt w:val="bullet"/>
      <w:pStyle w:val="IARefNumber"/>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7648B7A6"/>
    <w:multiLevelType w:val="hybridMultilevel"/>
    <w:tmpl w:val="E62EF794"/>
    <w:lvl w:ilvl="0" w:tplc="71F8D760">
      <w:start w:val="1"/>
      <w:numFmt w:val="bullet"/>
      <w:lvlText w:val=""/>
      <w:lvlJc w:val="left"/>
      <w:pPr>
        <w:ind w:left="720" w:hanging="360"/>
      </w:pPr>
      <w:rPr>
        <w:rFonts w:ascii="Symbol" w:hAnsi="Symbol" w:hint="default"/>
      </w:rPr>
    </w:lvl>
    <w:lvl w:ilvl="1" w:tplc="3F02B13A">
      <w:start w:val="1"/>
      <w:numFmt w:val="bullet"/>
      <w:lvlText w:val="o"/>
      <w:lvlJc w:val="left"/>
      <w:pPr>
        <w:ind w:left="1440" w:hanging="360"/>
      </w:pPr>
      <w:rPr>
        <w:rFonts w:ascii="Courier New" w:hAnsi="Courier New" w:hint="default"/>
      </w:rPr>
    </w:lvl>
    <w:lvl w:ilvl="2" w:tplc="9280B46A">
      <w:start w:val="1"/>
      <w:numFmt w:val="bullet"/>
      <w:lvlText w:val=""/>
      <w:lvlJc w:val="left"/>
      <w:pPr>
        <w:ind w:left="2160" w:hanging="360"/>
      </w:pPr>
      <w:rPr>
        <w:rFonts w:ascii="Wingdings" w:hAnsi="Wingdings" w:hint="default"/>
      </w:rPr>
    </w:lvl>
    <w:lvl w:ilvl="3" w:tplc="C9508FDC">
      <w:start w:val="1"/>
      <w:numFmt w:val="bullet"/>
      <w:lvlText w:val=""/>
      <w:lvlJc w:val="left"/>
      <w:pPr>
        <w:ind w:left="2880" w:hanging="360"/>
      </w:pPr>
      <w:rPr>
        <w:rFonts w:ascii="Symbol" w:hAnsi="Symbol" w:hint="default"/>
      </w:rPr>
    </w:lvl>
    <w:lvl w:ilvl="4" w:tplc="7C8C76FE">
      <w:start w:val="1"/>
      <w:numFmt w:val="bullet"/>
      <w:lvlText w:val="o"/>
      <w:lvlJc w:val="left"/>
      <w:pPr>
        <w:ind w:left="3600" w:hanging="360"/>
      </w:pPr>
      <w:rPr>
        <w:rFonts w:ascii="Courier New" w:hAnsi="Courier New" w:hint="default"/>
      </w:rPr>
    </w:lvl>
    <w:lvl w:ilvl="5" w:tplc="8F90F796">
      <w:start w:val="1"/>
      <w:numFmt w:val="bullet"/>
      <w:lvlText w:val=""/>
      <w:lvlJc w:val="left"/>
      <w:pPr>
        <w:ind w:left="4320" w:hanging="360"/>
      </w:pPr>
      <w:rPr>
        <w:rFonts w:ascii="Wingdings" w:hAnsi="Wingdings" w:hint="default"/>
      </w:rPr>
    </w:lvl>
    <w:lvl w:ilvl="6" w:tplc="E076A2C4">
      <w:start w:val="1"/>
      <w:numFmt w:val="bullet"/>
      <w:lvlText w:val=""/>
      <w:lvlJc w:val="left"/>
      <w:pPr>
        <w:ind w:left="5040" w:hanging="360"/>
      </w:pPr>
      <w:rPr>
        <w:rFonts w:ascii="Symbol" w:hAnsi="Symbol" w:hint="default"/>
      </w:rPr>
    </w:lvl>
    <w:lvl w:ilvl="7" w:tplc="B94ADA20">
      <w:start w:val="1"/>
      <w:numFmt w:val="bullet"/>
      <w:lvlText w:val="o"/>
      <w:lvlJc w:val="left"/>
      <w:pPr>
        <w:ind w:left="5760" w:hanging="360"/>
      </w:pPr>
      <w:rPr>
        <w:rFonts w:ascii="Courier New" w:hAnsi="Courier New" w:hint="default"/>
      </w:rPr>
    </w:lvl>
    <w:lvl w:ilvl="8" w:tplc="A34C212C">
      <w:start w:val="1"/>
      <w:numFmt w:val="bullet"/>
      <w:lvlText w:val=""/>
      <w:lvlJc w:val="left"/>
      <w:pPr>
        <w:ind w:left="6480" w:hanging="360"/>
      </w:pPr>
      <w:rPr>
        <w:rFonts w:ascii="Wingdings" w:hAnsi="Wingdings" w:hint="default"/>
      </w:rPr>
    </w:lvl>
  </w:abstractNum>
  <w:abstractNum w:abstractNumId="40" w15:restartNumberingAfterBreak="0">
    <w:nsid w:val="76D0504F"/>
    <w:multiLevelType w:val="multilevel"/>
    <w:tmpl w:val="77C2B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EF11B3"/>
    <w:multiLevelType w:val="multilevel"/>
    <w:tmpl w:val="8280E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BCA3F07"/>
    <w:multiLevelType w:val="multilevel"/>
    <w:tmpl w:val="824657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7BEC53E9"/>
    <w:multiLevelType w:val="multilevel"/>
    <w:tmpl w:val="8C344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1206157">
    <w:abstractNumId w:val="14"/>
  </w:num>
  <w:num w:numId="2" w16cid:durableId="1163352079">
    <w:abstractNumId w:val="2"/>
  </w:num>
  <w:num w:numId="3" w16cid:durableId="1478258880">
    <w:abstractNumId w:val="22"/>
  </w:num>
  <w:num w:numId="4" w16cid:durableId="1903052790">
    <w:abstractNumId w:val="10"/>
  </w:num>
  <w:num w:numId="5" w16cid:durableId="1487165176">
    <w:abstractNumId w:val="39"/>
  </w:num>
  <w:num w:numId="6" w16cid:durableId="1410269536">
    <w:abstractNumId w:val="12"/>
  </w:num>
  <w:num w:numId="7" w16cid:durableId="1348604655">
    <w:abstractNumId w:val="29"/>
  </w:num>
  <w:num w:numId="8" w16cid:durableId="42801848">
    <w:abstractNumId w:val="36"/>
  </w:num>
  <w:num w:numId="9" w16cid:durableId="1157116573">
    <w:abstractNumId w:val="30"/>
  </w:num>
  <w:num w:numId="10" w16cid:durableId="767043519">
    <w:abstractNumId w:val="34"/>
  </w:num>
  <w:num w:numId="11" w16cid:durableId="1392848003">
    <w:abstractNumId w:val="27"/>
  </w:num>
  <w:num w:numId="12" w16cid:durableId="351029606">
    <w:abstractNumId w:val="42"/>
  </w:num>
  <w:num w:numId="13" w16cid:durableId="1744912833">
    <w:abstractNumId w:val="33"/>
  </w:num>
  <w:num w:numId="14" w16cid:durableId="2137331764">
    <w:abstractNumId w:val="38"/>
  </w:num>
  <w:num w:numId="15" w16cid:durableId="2117211698">
    <w:abstractNumId w:val="32"/>
  </w:num>
  <w:num w:numId="16" w16cid:durableId="1863936885">
    <w:abstractNumId w:val="3"/>
  </w:num>
  <w:num w:numId="17" w16cid:durableId="1970361232">
    <w:abstractNumId w:val="8"/>
  </w:num>
  <w:num w:numId="18" w16cid:durableId="1349523015">
    <w:abstractNumId w:val="7"/>
  </w:num>
  <w:num w:numId="19" w16cid:durableId="549147972">
    <w:abstractNumId w:val="23"/>
  </w:num>
  <w:num w:numId="20" w16cid:durableId="363866199">
    <w:abstractNumId w:val="35"/>
  </w:num>
  <w:num w:numId="21" w16cid:durableId="618299062">
    <w:abstractNumId w:val="28"/>
  </w:num>
  <w:num w:numId="22" w16cid:durableId="146482076">
    <w:abstractNumId w:val="0"/>
  </w:num>
  <w:num w:numId="23" w16cid:durableId="1875531933">
    <w:abstractNumId w:val="20"/>
  </w:num>
  <w:num w:numId="24" w16cid:durableId="1575972036">
    <w:abstractNumId w:val="26"/>
  </w:num>
  <w:num w:numId="25" w16cid:durableId="557060738">
    <w:abstractNumId w:val="25"/>
  </w:num>
  <w:num w:numId="26" w16cid:durableId="1172261919">
    <w:abstractNumId w:val="19"/>
  </w:num>
  <w:num w:numId="27" w16cid:durableId="675232449">
    <w:abstractNumId w:val="9"/>
  </w:num>
  <w:num w:numId="28" w16cid:durableId="1206868518">
    <w:abstractNumId w:val="21"/>
  </w:num>
  <w:num w:numId="29" w16cid:durableId="1339118696">
    <w:abstractNumId w:val="18"/>
  </w:num>
  <w:num w:numId="30" w16cid:durableId="1724055959">
    <w:abstractNumId w:val="37"/>
  </w:num>
  <w:num w:numId="31" w16cid:durableId="1767533070">
    <w:abstractNumId w:val="6"/>
  </w:num>
  <w:num w:numId="32" w16cid:durableId="707145883">
    <w:abstractNumId w:val="40"/>
  </w:num>
  <w:num w:numId="33" w16cid:durableId="1450710077">
    <w:abstractNumId w:val="41"/>
  </w:num>
  <w:num w:numId="34" w16cid:durableId="1895584398">
    <w:abstractNumId w:val="16"/>
  </w:num>
  <w:num w:numId="35" w16cid:durableId="1229803121">
    <w:abstractNumId w:val="31"/>
  </w:num>
  <w:num w:numId="36" w16cid:durableId="70080948">
    <w:abstractNumId w:val="4"/>
  </w:num>
  <w:num w:numId="37" w16cid:durableId="1808009570">
    <w:abstractNumId w:val="5"/>
  </w:num>
  <w:num w:numId="38" w16cid:durableId="80880027">
    <w:abstractNumId w:val="24"/>
  </w:num>
  <w:num w:numId="39" w16cid:durableId="1721783045">
    <w:abstractNumId w:val="43"/>
  </w:num>
  <w:num w:numId="40" w16cid:durableId="1157964495">
    <w:abstractNumId w:val="11"/>
  </w:num>
  <w:num w:numId="41" w16cid:durableId="694185829">
    <w:abstractNumId w:val="13"/>
  </w:num>
  <w:num w:numId="42" w16cid:durableId="1858495525">
    <w:abstractNumId w:val="17"/>
  </w:num>
  <w:num w:numId="43" w16cid:durableId="1233808495">
    <w:abstractNumId w:val="15"/>
  </w:num>
  <w:num w:numId="44" w16cid:durableId="1832141796">
    <w:abstractNumId w:val="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6EB"/>
    <w:rsid w:val="00016CAA"/>
    <w:rsid w:val="000263FE"/>
    <w:rsid w:val="00047A68"/>
    <w:rsid w:val="00056795"/>
    <w:rsid w:val="00056C59"/>
    <w:rsid w:val="000615E4"/>
    <w:rsid w:val="0006214D"/>
    <w:rsid w:val="00065908"/>
    <w:rsid w:val="00067F0E"/>
    <w:rsid w:val="00085B00"/>
    <w:rsid w:val="000873CC"/>
    <w:rsid w:val="00093E0C"/>
    <w:rsid w:val="000A4D79"/>
    <w:rsid w:val="000C2760"/>
    <w:rsid w:val="000C6716"/>
    <w:rsid w:val="000D1B50"/>
    <w:rsid w:val="000E3355"/>
    <w:rsid w:val="000F1509"/>
    <w:rsid w:val="000F1BC3"/>
    <w:rsid w:val="000F2BAC"/>
    <w:rsid w:val="0010151E"/>
    <w:rsid w:val="0010417A"/>
    <w:rsid w:val="00106F85"/>
    <w:rsid w:val="00116271"/>
    <w:rsid w:val="001226EB"/>
    <w:rsid w:val="00124323"/>
    <w:rsid w:val="001311D6"/>
    <w:rsid w:val="00136427"/>
    <w:rsid w:val="00143E77"/>
    <w:rsid w:val="00157E57"/>
    <w:rsid w:val="0016371C"/>
    <w:rsid w:val="001653C4"/>
    <w:rsid w:val="001657F5"/>
    <w:rsid w:val="00174B2B"/>
    <w:rsid w:val="00175BA2"/>
    <w:rsid w:val="00190B52"/>
    <w:rsid w:val="001A79B2"/>
    <w:rsid w:val="001B784B"/>
    <w:rsid w:val="001D1C49"/>
    <w:rsid w:val="001E35E8"/>
    <w:rsid w:val="001E42DD"/>
    <w:rsid w:val="001E69B7"/>
    <w:rsid w:val="001F37F3"/>
    <w:rsid w:val="001F42E0"/>
    <w:rsid w:val="002047D9"/>
    <w:rsid w:val="00206077"/>
    <w:rsid w:val="002136E6"/>
    <w:rsid w:val="0021469F"/>
    <w:rsid w:val="00231F82"/>
    <w:rsid w:val="0023239E"/>
    <w:rsid w:val="00235C40"/>
    <w:rsid w:val="00240FE4"/>
    <w:rsid w:val="002418A9"/>
    <w:rsid w:val="00257169"/>
    <w:rsid w:val="00266D14"/>
    <w:rsid w:val="00267999"/>
    <w:rsid w:val="00271327"/>
    <w:rsid w:val="0028615B"/>
    <w:rsid w:val="002B4B79"/>
    <w:rsid w:val="002D4F41"/>
    <w:rsid w:val="002E2ACB"/>
    <w:rsid w:val="002E74D4"/>
    <w:rsid w:val="00311B6B"/>
    <w:rsid w:val="003140BD"/>
    <w:rsid w:val="00317500"/>
    <w:rsid w:val="00334C11"/>
    <w:rsid w:val="00350E51"/>
    <w:rsid w:val="003538D1"/>
    <w:rsid w:val="00360505"/>
    <w:rsid w:val="00387F4D"/>
    <w:rsid w:val="00395A7B"/>
    <w:rsid w:val="003B3D17"/>
    <w:rsid w:val="003B5C2A"/>
    <w:rsid w:val="003C1499"/>
    <w:rsid w:val="003C4C08"/>
    <w:rsid w:val="003E2522"/>
    <w:rsid w:val="003F35F5"/>
    <w:rsid w:val="004052CA"/>
    <w:rsid w:val="00435D6D"/>
    <w:rsid w:val="004448B4"/>
    <w:rsid w:val="00447441"/>
    <w:rsid w:val="004504B2"/>
    <w:rsid w:val="004550E5"/>
    <w:rsid w:val="00456CF2"/>
    <w:rsid w:val="00460A6E"/>
    <w:rsid w:val="004734B4"/>
    <w:rsid w:val="00474304"/>
    <w:rsid w:val="00481087"/>
    <w:rsid w:val="00493B6D"/>
    <w:rsid w:val="00496683"/>
    <w:rsid w:val="004A5626"/>
    <w:rsid w:val="004A67D9"/>
    <w:rsid w:val="004C5912"/>
    <w:rsid w:val="004D1712"/>
    <w:rsid w:val="004D342B"/>
    <w:rsid w:val="004D5E66"/>
    <w:rsid w:val="004F6C9E"/>
    <w:rsid w:val="004F7D7A"/>
    <w:rsid w:val="005138C1"/>
    <w:rsid w:val="00523DD3"/>
    <w:rsid w:val="005540FF"/>
    <w:rsid w:val="00555232"/>
    <w:rsid w:val="00560736"/>
    <w:rsid w:val="00561AA0"/>
    <w:rsid w:val="00562639"/>
    <w:rsid w:val="00596A60"/>
    <w:rsid w:val="00596E9A"/>
    <w:rsid w:val="005A1B28"/>
    <w:rsid w:val="005B2578"/>
    <w:rsid w:val="005C7A08"/>
    <w:rsid w:val="005D2212"/>
    <w:rsid w:val="005F1A5A"/>
    <w:rsid w:val="006077FB"/>
    <w:rsid w:val="00610335"/>
    <w:rsid w:val="006106AB"/>
    <w:rsid w:val="00611E0C"/>
    <w:rsid w:val="00623543"/>
    <w:rsid w:val="00625AED"/>
    <w:rsid w:val="00627763"/>
    <w:rsid w:val="00634FEE"/>
    <w:rsid w:val="00643D92"/>
    <w:rsid w:val="00643E14"/>
    <w:rsid w:val="00652BA1"/>
    <w:rsid w:val="006541BF"/>
    <w:rsid w:val="00664965"/>
    <w:rsid w:val="006A678C"/>
    <w:rsid w:val="006D0490"/>
    <w:rsid w:val="006E024B"/>
    <w:rsid w:val="00705696"/>
    <w:rsid w:val="00715245"/>
    <w:rsid w:val="00720CFC"/>
    <w:rsid w:val="00739EAE"/>
    <w:rsid w:val="007449F7"/>
    <w:rsid w:val="007501FB"/>
    <w:rsid w:val="00750641"/>
    <w:rsid w:val="00751844"/>
    <w:rsid w:val="00757C75"/>
    <w:rsid w:val="0076244C"/>
    <w:rsid w:val="00766836"/>
    <w:rsid w:val="00766AD7"/>
    <w:rsid w:val="0077249F"/>
    <w:rsid w:val="007730AE"/>
    <w:rsid w:val="007739A3"/>
    <w:rsid w:val="00773D83"/>
    <w:rsid w:val="00781237"/>
    <w:rsid w:val="00782AA2"/>
    <w:rsid w:val="00792C7A"/>
    <w:rsid w:val="007A09E4"/>
    <w:rsid w:val="007A2D55"/>
    <w:rsid w:val="007A737A"/>
    <w:rsid w:val="007C1C59"/>
    <w:rsid w:val="007C4C0B"/>
    <w:rsid w:val="007C4F70"/>
    <w:rsid w:val="007D1172"/>
    <w:rsid w:val="007E1E40"/>
    <w:rsid w:val="007F0690"/>
    <w:rsid w:val="007F4D04"/>
    <w:rsid w:val="007F672C"/>
    <w:rsid w:val="008030D7"/>
    <w:rsid w:val="00816B23"/>
    <w:rsid w:val="008526B4"/>
    <w:rsid w:val="00853CF4"/>
    <w:rsid w:val="00866EA4"/>
    <w:rsid w:val="00884AE9"/>
    <w:rsid w:val="00887B45"/>
    <w:rsid w:val="00894E8C"/>
    <w:rsid w:val="008A2673"/>
    <w:rsid w:val="008A2768"/>
    <w:rsid w:val="008B396B"/>
    <w:rsid w:val="008C03C7"/>
    <w:rsid w:val="008C055C"/>
    <w:rsid w:val="008C1DBF"/>
    <w:rsid w:val="008E4E22"/>
    <w:rsid w:val="008E590F"/>
    <w:rsid w:val="008E69BA"/>
    <w:rsid w:val="008E7FD7"/>
    <w:rsid w:val="008F443C"/>
    <w:rsid w:val="008F4775"/>
    <w:rsid w:val="00905972"/>
    <w:rsid w:val="0093166E"/>
    <w:rsid w:val="00932246"/>
    <w:rsid w:val="00961B72"/>
    <w:rsid w:val="00961BCD"/>
    <w:rsid w:val="00977B58"/>
    <w:rsid w:val="009930DD"/>
    <w:rsid w:val="009F5F96"/>
    <w:rsid w:val="00A1269F"/>
    <w:rsid w:val="00A2667E"/>
    <w:rsid w:val="00A37404"/>
    <w:rsid w:val="00A37803"/>
    <w:rsid w:val="00A4455F"/>
    <w:rsid w:val="00A62B2D"/>
    <w:rsid w:val="00A645CD"/>
    <w:rsid w:val="00A6682A"/>
    <w:rsid w:val="00A71096"/>
    <w:rsid w:val="00A808A1"/>
    <w:rsid w:val="00A85818"/>
    <w:rsid w:val="00AA32A0"/>
    <w:rsid w:val="00AA37A4"/>
    <w:rsid w:val="00AC3079"/>
    <w:rsid w:val="00AC3261"/>
    <w:rsid w:val="00AD66B2"/>
    <w:rsid w:val="00AD7FBE"/>
    <w:rsid w:val="00AF4FAA"/>
    <w:rsid w:val="00B07BB3"/>
    <w:rsid w:val="00B1226E"/>
    <w:rsid w:val="00B30359"/>
    <w:rsid w:val="00B4788B"/>
    <w:rsid w:val="00B5070F"/>
    <w:rsid w:val="00B50D7A"/>
    <w:rsid w:val="00B537C5"/>
    <w:rsid w:val="00B53DB0"/>
    <w:rsid w:val="00B55EDD"/>
    <w:rsid w:val="00B72C30"/>
    <w:rsid w:val="00B77E6B"/>
    <w:rsid w:val="00B82C3C"/>
    <w:rsid w:val="00B84EF7"/>
    <w:rsid w:val="00BA0DD3"/>
    <w:rsid w:val="00BB0BE5"/>
    <w:rsid w:val="00BD105D"/>
    <w:rsid w:val="00BD154A"/>
    <w:rsid w:val="00BE0CB1"/>
    <w:rsid w:val="00BE190B"/>
    <w:rsid w:val="00BE5BD5"/>
    <w:rsid w:val="00BF05A7"/>
    <w:rsid w:val="00BF6CF6"/>
    <w:rsid w:val="00C01420"/>
    <w:rsid w:val="00C12B06"/>
    <w:rsid w:val="00C460E5"/>
    <w:rsid w:val="00C478FF"/>
    <w:rsid w:val="00C52A8B"/>
    <w:rsid w:val="00C5347D"/>
    <w:rsid w:val="00C551F0"/>
    <w:rsid w:val="00C62FDB"/>
    <w:rsid w:val="00C63FA0"/>
    <w:rsid w:val="00C76CE0"/>
    <w:rsid w:val="00C83853"/>
    <w:rsid w:val="00C8473B"/>
    <w:rsid w:val="00C9218B"/>
    <w:rsid w:val="00CA2E3B"/>
    <w:rsid w:val="00CB30B5"/>
    <w:rsid w:val="00CB31BF"/>
    <w:rsid w:val="00CC1121"/>
    <w:rsid w:val="00CC64D8"/>
    <w:rsid w:val="00CD73BB"/>
    <w:rsid w:val="00CF4836"/>
    <w:rsid w:val="00CF7660"/>
    <w:rsid w:val="00CF78E4"/>
    <w:rsid w:val="00D0088D"/>
    <w:rsid w:val="00D00F95"/>
    <w:rsid w:val="00D0288E"/>
    <w:rsid w:val="00D12C6A"/>
    <w:rsid w:val="00D3741B"/>
    <w:rsid w:val="00D435CD"/>
    <w:rsid w:val="00D53F52"/>
    <w:rsid w:val="00D54581"/>
    <w:rsid w:val="00D57605"/>
    <w:rsid w:val="00DA2DD5"/>
    <w:rsid w:val="00DB0A91"/>
    <w:rsid w:val="00DB5B3F"/>
    <w:rsid w:val="00DB5ED3"/>
    <w:rsid w:val="00DC2129"/>
    <w:rsid w:val="00DC5242"/>
    <w:rsid w:val="00DD6378"/>
    <w:rsid w:val="00DD713D"/>
    <w:rsid w:val="00DD7F96"/>
    <w:rsid w:val="00DE5F8B"/>
    <w:rsid w:val="00DF0005"/>
    <w:rsid w:val="00DF2D58"/>
    <w:rsid w:val="00E00611"/>
    <w:rsid w:val="00E012C7"/>
    <w:rsid w:val="00E11775"/>
    <w:rsid w:val="00E2161B"/>
    <w:rsid w:val="00E26760"/>
    <w:rsid w:val="00E36B43"/>
    <w:rsid w:val="00E43F62"/>
    <w:rsid w:val="00E5560F"/>
    <w:rsid w:val="00E57418"/>
    <w:rsid w:val="00E63D14"/>
    <w:rsid w:val="00E731E9"/>
    <w:rsid w:val="00E833B2"/>
    <w:rsid w:val="00EA160A"/>
    <w:rsid w:val="00EA3895"/>
    <w:rsid w:val="00EB0A3E"/>
    <w:rsid w:val="00EB3FF7"/>
    <w:rsid w:val="00EC6575"/>
    <w:rsid w:val="00ED13BA"/>
    <w:rsid w:val="00EE04EC"/>
    <w:rsid w:val="00EE1EE1"/>
    <w:rsid w:val="00EE55DD"/>
    <w:rsid w:val="00EF5DB4"/>
    <w:rsid w:val="00F0292A"/>
    <w:rsid w:val="00F07EF0"/>
    <w:rsid w:val="00F101BE"/>
    <w:rsid w:val="00F14D4D"/>
    <w:rsid w:val="00F35CE1"/>
    <w:rsid w:val="00F40F52"/>
    <w:rsid w:val="00F45823"/>
    <w:rsid w:val="00F47973"/>
    <w:rsid w:val="00F51984"/>
    <w:rsid w:val="00F54162"/>
    <w:rsid w:val="00F55CC2"/>
    <w:rsid w:val="00F85F1C"/>
    <w:rsid w:val="00F919AA"/>
    <w:rsid w:val="00F97389"/>
    <w:rsid w:val="00FC2147"/>
    <w:rsid w:val="00FC2E92"/>
    <w:rsid w:val="00FD1CF7"/>
    <w:rsid w:val="0116E647"/>
    <w:rsid w:val="02E55177"/>
    <w:rsid w:val="03E5F87A"/>
    <w:rsid w:val="047290F0"/>
    <w:rsid w:val="07514030"/>
    <w:rsid w:val="07629121"/>
    <w:rsid w:val="07B1FAD3"/>
    <w:rsid w:val="086B18EB"/>
    <w:rsid w:val="095B896B"/>
    <w:rsid w:val="0C89F04D"/>
    <w:rsid w:val="10652A40"/>
    <w:rsid w:val="167EEA18"/>
    <w:rsid w:val="16F7ED31"/>
    <w:rsid w:val="19B6B81F"/>
    <w:rsid w:val="1C2D6994"/>
    <w:rsid w:val="1FDE1CC9"/>
    <w:rsid w:val="239F4E7E"/>
    <w:rsid w:val="246B5F94"/>
    <w:rsid w:val="26B7732E"/>
    <w:rsid w:val="279C61F5"/>
    <w:rsid w:val="282A0D3F"/>
    <w:rsid w:val="2894CC1B"/>
    <w:rsid w:val="2A75F94E"/>
    <w:rsid w:val="2DE83E2C"/>
    <w:rsid w:val="31C181E0"/>
    <w:rsid w:val="31ED4BD7"/>
    <w:rsid w:val="33B7498D"/>
    <w:rsid w:val="357787F0"/>
    <w:rsid w:val="37BF6CCF"/>
    <w:rsid w:val="395A5256"/>
    <w:rsid w:val="3DDAD39E"/>
    <w:rsid w:val="40A02938"/>
    <w:rsid w:val="414339B9"/>
    <w:rsid w:val="45E22779"/>
    <w:rsid w:val="46362169"/>
    <w:rsid w:val="47489BED"/>
    <w:rsid w:val="47F9DDE9"/>
    <w:rsid w:val="4C547BE9"/>
    <w:rsid w:val="4FC41FAF"/>
    <w:rsid w:val="54A4ED0F"/>
    <w:rsid w:val="57076DA4"/>
    <w:rsid w:val="5819422D"/>
    <w:rsid w:val="5865A0C2"/>
    <w:rsid w:val="5895F816"/>
    <w:rsid w:val="5A2DA319"/>
    <w:rsid w:val="5A8B8734"/>
    <w:rsid w:val="5AE78548"/>
    <w:rsid w:val="5CFBD0A0"/>
    <w:rsid w:val="5D6FCF7B"/>
    <w:rsid w:val="5DC9991F"/>
    <w:rsid w:val="5E524632"/>
    <w:rsid w:val="616DF76D"/>
    <w:rsid w:val="62E464B3"/>
    <w:rsid w:val="640CEA74"/>
    <w:rsid w:val="6A7EFEAF"/>
    <w:rsid w:val="6AACEEFB"/>
    <w:rsid w:val="6AE0CDA3"/>
    <w:rsid w:val="6B20CD89"/>
    <w:rsid w:val="6F7D9B1A"/>
    <w:rsid w:val="6FEF872A"/>
    <w:rsid w:val="72744FF3"/>
    <w:rsid w:val="73CD8FD6"/>
    <w:rsid w:val="7498E0AC"/>
    <w:rsid w:val="76579E86"/>
    <w:rsid w:val="77D70B37"/>
    <w:rsid w:val="797A9071"/>
    <w:rsid w:val="797D9B9B"/>
    <w:rsid w:val="7A8A8EBA"/>
    <w:rsid w:val="7E093858"/>
    <w:rsid w:val="7E5EC3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BEB9C"/>
  <w15:docId w15:val="{D7AAF9A9-F8C0-4EED-A692-E54D507FD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tabs>
        <w:tab w:val="right" w:pos="10206"/>
      </w:tabs>
      <w:spacing w:before="240" w:after="60"/>
      <w:outlineLvl w:val="0"/>
    </w:pPr>
    <w:rPr>
      <w:rFonts w:ascii="Arial" w:eastAsia="Arial" w:hAnsi="Arial" w:cs="Arial"/>
      <w:b/>
      <w:bCs/>
      <w:sz w:val="32"/>
      <w:szCs w:val="32"/>
    </w:rPr>
  </w:style>
  <w:style w:type="paragraph" w:styleId="Heading2">
    <w:name w:val="heading 2"/>
    <w:basedOn w:val="Normal"/>
    <w:next w:val="Normal"/>
    <w:link w:val="Heading2Char"/>
    <w:uiPriority w:val="9"/>
    <w:semiHidden/>
    <w:unhideWhenUsed/>
    <w:qFormat/>
    <w:pPr>
      <w:keepNext/>
      <w:keepLines/>
      <w:spacing w:before="480" w:after="240"/>
      <w:outlineLvl w:val="1"/>
    </w:pPr>
    <w:rPr>
      <w:color w:val="000000"/>
      <w:sz w:val="32"/>
      <w:szCs w:val="32"/>
    </w:rPr>
  </w:style>
  <w:style w:type="paragraph" w:styleId="Heading3">
    <w:name w:val="heading 3"/>
    <w:basedOn w:val="Normal"/>
    <w:next w:val="Normal"/>
    <w:link w:val="Heading3Char"/>
    <w:uiPriority w:val="9"/>
    <w:semiHidden/>
    <w:unhideWhenUsed/>
    <w:qFormat/>
    <w:pPr>
      <w:keepNext/>
      <w:keepLines/>
      <w:spacing w:before="360" w:after="240"/>
      <w:outlineLvl w:val="2"/>
    </w:pPr>
    <w:rPr>
      <w:b/>
      <w:bCs/>
      <w:color w:val="000000"/>
    </w:rPr>
  </w:style>
  <w:style w:type="paragraph" w:styleId="Heading4">
    <w:name w:val="heading 4"/>
    <w:basedOn w:val="Normal"/>
    <w:next w:val="Normal"/>
    <w:link w:val="Heading4Char"/>
    <w:uiPriority w:val="9"/>
    <w:semiHidden/>
    <w:unhideWhenUsed/>
    <w:qFormat/>
    <w:pPr>
      <w:spacing w:before="240" w:after="120"/>
      <w:outlineLvl w:val="3"/>
    </w:pPr>
    <w:rPr>
      <w:b/>
      <w:bCs/>
      <w:color w:val="000000"/>
      <w:sz w:val="22"/>
      <w:szCs w:val="22"/>
    </w:rPr>
  </w:style>
  <w:style w:type="paragraph" w:styleId="Heading5">
    <w:name w:val="heading 5"/>
    <w:basedOn w:val="Normal"/>
    <w:next w:val="Normal"/>
    <w:link w:val="Heading5Char"/>
    <w:uiPriority w:val="9"/>
    <w:semiHidden/>
    <w:unhideWhenUsed/>
    <w:qFormat/>
    <w:pPr>
      <w:spacing w:before="240" w:after="120"/>
      <w:outlineLvl w:val="4"/>
    </w:pPr>
    <w:rPr>
      <w:i/>
      <w:i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ind w:left="113"/>
    </w:pPr>
    <w:rPr>
      <w:color w:val="FFFFFF"/>
      <w:sz w:val="32"/>
      <w:szCs w:val="32"/>
    </w:rPr>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x-none"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x-none"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x-none"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x-none" w:eastAsia="en-US"/>
    </w:rPr>
  </w:style>
  <w:style w:type="character" w:customStyle="1" w:styleId="Heading5Char">
    <w:name w:val="Heading 5 Char"/>
    <w:basedOn w:val="DefaultParagraphFont"/>
    <w:link w:val="Heading5"/>
    <w:uiPriority w:val="9"/>
    <w:semiHidden/>
    <w:locked/>
    <w:rPr>
      <w:rFonts w:asciiTheme="minorHAnsi" w:eastAsiaTheme="minorEastAsia" w:hAnsiTheme="minorHAnsi" w:cs="Times New Roman"/>
      <w:b/>
      <w:bCs/>
      <w:i/>
      <w:iCs/>
      <w:sz w:val="26"/>
      <w:szCs w:val="26"/>
      <w:lang w:val="x-none" w:eastAsia="en-US"/>
    </w:rPr>
  </w:style>
  <w:style w:type="paragraph" w:customStyle="1" w:styleId="IATableLabel">
    <w:name w:val="IATableLabel"/>
    <w:basedOn w:val="Normal"/>
    <w:link w:val="IATableLabelCharChar"/>
    <w:rsid w:val="00402E80"/>
    <w:pPr>
      <w:spacing w:before="50" w:after="50"/>
      <w:ind w:left="113" w:right="113"/>
    </w:pPr>
    <w:rPr>
      <w:rFonts w:eastAsia="SimSun"/>
      <w:b/>
      <w:color w:val="000000"/>
      <w:spacing w:val="-5"/>
      <w:sz w:val="20"/>
      <w:lang w:eastAsia="zh-CN"/>
    </w:rPr>
  </w:style>
  <w:style w:type="character" w:customStyle="1" w:styleId="IATableLabelCharChar">
    <w:name w:val="IATableLabel Char Char"/>
    <w:link w:val="IATableLabel"/>
    <w:locked/>
    <w:rsid w:val="00402E80"/>
    <w:rPr>
      <w:rFonts w:ascii="Arial" w:eastAsia="SimSun" w:hAnsi="Arial"/>
      <w:b/>
      <w:color w:val="000000"/>
      <w:spacing w:val="-5"/>
      <w:lang w:val="en-GB" w:eastAsia="zh-CN"/>
    </w:rPr>
  </w:style>
  <w:style w:type="paragraph" w:customStyle="1" w:styleId="IASpacer">
    <w:name w:val="IASpacer"/>
    <w:basedOn w:val="Normal"/>
    <w:rsid w:val="007208D9"/>
    <w:pPr>
      <w:spacing w:line="80" w:lineRule="exact"/>
    </w:pPr>
    <w:rPr>
      <w:rFonts w:eastAsia="SimSun"/>
      <w:sz w:val="22"/>
      <w:lang w:eastAsia="zh-CN"/>
    </w:rPr>
  </w:style>
  <w:style w:type="paragraph" w:customStyle="1" w:styleId="IATableText">
    <w:name w:val="IATableText"/>
    <w:basedOn w:val="IATableLabel"/>
    <w:link w:val="IATableTextChar"/>
    <w:rsid w:val="00220F29"/>
    <w:rPr>
      <w:b w:val="0"/>
      <w:color w:val="auto"/>
      <w:sz w:val="22"/>
    </w:rPr>
  </w:style>
  <w:style w:type="character" w:customStyle="1" w:styleId="IATableTextChar">
    <w:name w:val="IATableText Char"/>
    <w:link w:val="IATableText"/>
    <w:locked/>
    <w:rsid w:val="00220F29"/>
    <w:rPr>
      <w:rFonts w:ascii="Arial" w:eastAsia="SimSun" w:hAnsi="Arial"/>
      <w:b/>
      <w:color w:val="000000"/>
      <w:spacing w:val="-5"/>
      <w:sz w:val="22"/>
      <w:lang w:val="en-GB" w:eastAsia="zh-CN"/>
    </w:rPr>
  </w:style>
  <w:style w:type="paragraph" w:styleId="BodyText">
    <w:name w:val="Body Text"/>
    <w:basedOn w:val="Normal"/>
    <w:link w:val="BodyTextChar"/>
    <w:uiPriority w:val="99"/>
    <w:rsid w:val="003E54B6"/>
    <w:pPr>
      <w:spacing w:after="120"/>
    </w:pPr>
    <w:rPr>
      <w:rFonts w:cs="Arial"/>
      <w:bCs/>
      <w:color w:val="000000"/>
      <w:sz w:val="22"/>
      <w:szCs w:val="22"/>
    </w:rPr>
  </w:style>
  <w:style w:type="character" w:customStyle="1" w:styleId="BodyTextChar">
    <w:name w:val="Body Text Char"/>
    <w:basedOn w:val="DefaultParagraphFont"/>
    <w:link w:val="BodyText"/>
    <w:uiPriority w:val="99"/>
    <w:locked/>
    <w:rsid w:val="0049416F"/>
    <w:rPr>
      <w:rFonts w:ascii="Arial" w:hAnsi="Arial" w:cs="Times New Roman"/>
      <w:color w:val="000000"/>
      <w:sz w:val="22"/>
      <w:lang w:val="en-GB" w:eastAsia="en-GB"/>
    </w:rPr>
  </w:style>
  <w:style w:type="table" w:styleId="TableGrid">
    <w:name w:val="Table Grid"/>
    <w:basedOn w:val="TableNormal"/>
    <w:uiPriority w:val="59"/>
    <w:rsid w:val="000265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uiPriority w:val="10"/>
    <w:locked/>
    <w:rsid w:val="00174C10"/>
    <w:rPr>
      <w:rFonts w:ascii="Arial" w:hAnsi="Arial" w:cs="Times New Roman"/>
      <w:color w:val="FFFFFF"/>
      <w:kern w:val="28"/>
      <w:sz w:val="32"/>
      <w:lang w:val="en-GB" w:eastAsia="en-US"/>
    </w:rPr>
  </w:style>
  <w:style w:type="paragraph" w:customStyle="1" w:styleId="IAHeadDept">
    <w:name w:val="IAHeadDept"/>
    <w:basedOn w:val="IATableText"/>
    <w:link w:val="IAHeadDeptChar"/>
    <w:rsid w:val="00C120C0"/>
    <w:pPr>
      <w:spacing w:after="120"/>
      <w:ind w:left="0" w:right="57"/>
    </w:pPr>
    <w:rPr>
      <w:spacing w:val="-6"/>
      <w:szCs w:val="22"/>
    </w:rPr>
  </w:style>
  <w:style w:type="paragraph" w:customStyle="1" w:styleId="IAHeadLabel">
    <w:name w:val="IAHeadLabel"/>
    <w:basedOn w:val="IATableLabel"/>
    <w:link w:val="IAHeadLabelChar"/>
    <w:rsid w:val="00570F8E"/>
    <w:pPr>
      <w:spacing w:before="110"/>
      <w:ind w:left="0" w:right="0"/>
    </w:pPr>
  </w:style>
  <w:style w:type="character" w:customStyle="1" w:styleId="IAHeadLabelChar">
    <w:name w:val="IAHeadLabel Char"/>
    <w:basedOn w:val="IATableLabelCharChar"/>
    <w:link w:val="IAHeadLabel"/>
    <w:locked/>
    <w:rsid w:val="00570F8E"/>
    <w:rPr>
      <w:rFonts w:ascii="Arial" w:eastAsia="SimSun" w:hAnsi="Arial" w:cs="Times New Roman"/>
      <w:b/>
      <w:color w:val="000000"/>
      <w:spacing w:val="-5"/>
      <w:lang w:val="en-GB" w:eastAsia="zh-CN" w:bidi="ar-SA"/>
    </w:rPr>
  </w:style>
  <w:style w:type="table" w:customStyle="1" w:styleId="TableIAHeading">
    <w:name w:val="Table_IAHeading"/>
    <w:basedOn w:val="TableNormal"/>
    <w:semiHidden/>
    <w:rsid w:val="006A5A2E"/>
    <w:rPr>
      <w:rFonts w:eastAsia="SimSun"/>
      <w:color w:val="FFFFFF"/>
    </w:rPr>
    <w:tblPr>
      <w:tblBorders>
        <w:top w:val="single" w:sz="12" w:space="0" w:color="008080"/>
        <w:left w:val="single" w:sz="12" w:space="0" w:color="008080"/>
        <w:bottom w:val="single" w:sz="12" w:space="0" w:color="008080"/>
        <w:right w:val="single" w:sz="12" w:space="0" w:color="008080"/>
        <w:insideH w:val="single" w:sz="12" w:space="0" w:color="008080"/>
      </w:tblBorders>
      <w:tblCellMar>
        <w:left w:w="0" w:type="dxa"/>
        <w:right w:w="0" w:type="dxa"/>
      </w:tblCellMar>
    </w:tblPr>
    <w:tcPr>
      <w:shd w:val="clear" w:color="auto" w:fill="008080"/>
    </w:tcPr>
  </w:style>
  <w:style w:type="paragraph" w:customStyle="1" w:styleId="IATableNotes">
    <w:name w:val="IATableNotes"/>
    <w:basedOn w:val="Normal"/>
    <w:link w:val="IATableNotesChar"/>
    <w:rsid w:val="006A5A2E"/>
    <w:pPr>
      <w:spacing w:before="60" w:after="60"/>
      <w:ind w:left="113" w:right="113"/>
    </w:pPr>
    <w:rPr>
      <w:rFonts w:eastAsia="SimSun"/>
      <w:sz w:val="18"/>
      <w:lang w:eastAsia="zh-CN"/>
    </w:rPr>
  </w:style>
  <w:style w:type="character" w:customStyle="1" w:styleId="IATableNotesChar">
    <w:name w:val="IATableNotes Char"/>
    <w:link w:val="IATableNotes"/>
    <w:locked/>
    <w:rsid w:val="006A5A2E"/>
    <w:rPr>
      <w:rFonts w:ascii="Arial" w:eastAsia="SimSun" w:hAnsi="Arial"/>
      <w:sz w:val="18"/>
      <w:lang w:val="en-GB" w:eastAsia="zh-CN"/>
    </w:rPr>
  </w:style>
  <w:style w:type="paragraph" w:customStyle="1" w:styleId="IASignOff">
    <w:name w:val="IASignOff"/>
    <w:basedOn w:val="IATableNotes"/>
    <w:next w:val="IATableNotes"/>
    <w:link w:val="IASignOffChar"/>
    <w:semiHidden/>
    <w:rsid w:val="006A5A2E"/>
    <w:pPr>
      <w:spacing w:before="120" w:after="120"/>
      <w:ind w:left="567" w:right="567"/>
    </w:pPr>
    <w:rPr>
      <w:b/>
      <w:bCs/>
      <w:i/>
      <w:iCs/>
    </w:rPr>
  </w:style>
  <w:style w:type="character" w:customStyle="1" w:styleId="IASignOffChar">
    <w:name w:val="IASignOff Char"/>
    <w:link w:val="IASignOff"/>
    <w:locked/>
    <w:rsid w:val="006A5A2E"/>
    <w:rPr>
      <w:rFonts w:ascii="Arial" w:eastAsia="SimSun" w:hAnsi="Arial"/>
      <w:b/>
      <w:i/>
      <w:sz w:val="18"/>
      <w:lang w:val="en-GB" w:eastAsia="zh-CN"/>
    </w:rPr>
  </w:style>
  <w:style w:type="paragraph" w:customStyle="1" w:styleId="IAHeadTitle">
    <w:name w:val="IAHeadTitle"/>
    <w:basedOn w:val="IAHeadDept"/>
    <w:link w:val="IAHeadTitleChar"/>
    <w:rsid w:val="008228A5"/>
    <w:pPr>
      <w:spacing w:before="0" w:after="0"/>
    </w:pPr>
    <w:rPr>
      <w:b/>
      <w:sz w:val="28"/>
      <w:szCs w:val="28"/>
    </w:rPr>
  </w:style>
  <w:style w:type="paragraph" w:customStyle="1" w:styleId="IASignature">
    <w:name w:val="IA Signature"/>
    <w:basedOn w:val="IATableText"/>
    <w:rsid w:val="00C67CDD"/>
    <w:pPr>
      <w:tabs>
        <w:tab w:val="left" w:leader="dot" w:pos="6804"/>
        <w:tab w:val="right" w:leader="dot" w:pos="10206"/>
      </w:tabs>
      <w:spacing w:before="0" w:after="0"/>
      <w:ind w:left="0"/>
    </w:pPr>
  </w:style>
  <w:style w:type="paragraph" w:customStyle="1" w:styleId="IASign-offlabel">
    <w:name w:val="IA Sign-off label"/>
    <w:basedOn w:val="IAHeadLabel"/>
    <w:link w:val="IASign-offlabelChar"/>
    <w:rsid w:val="00FB5CFE"/>
    <w:pPr>
      <w:spacing w:after="120"/>
    </w:pPr>
    <w:rPr>
      <w:szCs w:val="22"/>
      <w:u w:val="single"/>
    </w:rPr>
  </w:style>
  <w:style w:type="character" w:customStyle="1" w:styleId="IASign-offlabelChar">
    <w:name w:val="IA Sign-off label Char"/>
    <w:link w:val="IASign-offlabel"/>
    <w:locked/>
    <w:rsid w:val="009050B9"/>
    <w:rPr>
      <w:rFonts w:ascii="Arial" w:eastAsia="SimSun" w:hAnsi="Arial"/>
      <w:b/>
      <w:color w:val="000000"/>
      <w:spacing w:val="-5"/>
      <w:sz w:val="22"/>
      <w:u w:val="single"/>
      <w:lang w:val="en-GB" w:eastAsia="zh-CN"/>
    </w:rPr>
  </w:style>
  <w:style w:type="paragraph" w:customStyle="1" w:styleId="IASign-off">
    <w:name w:val="IA Sign-off"/>
    <w:basedOn w:val="IATableText"/>
    <w:rsid w:val="00C67CDD"/>
    <w:pPr>
      <w:spacing w:before="0" w:after="0"/>
      <w:ind w:left="0" w:right="284"/>
    </w:pPr>
    <w:rPr>
      <w:b/>
      <w:i/>
    </w:rPr>
  </w:style>
  <w:style w:type="paragraph" w:customStyle="1" w:styleId="IAHeading2">
    <w:name w:val="IAHeading2"/>
    <w:basedOn w:val="Normal"/>
    <w:semiHidden/>
    <w:rsid w:val="000A79FC"/>
    <w:pPr>
      <w:keepNext/>
      <w:keepLines/>
      <w:spacing w:before="60" w:after="60"/>
      <w:ind w:left="113" w:right="113"/>
    </w:pPr>
    <w:rPr>
      <w:rFonts w:eastAsia="SimSun"/>
      <w:b/>
      <w:sz w:val="20"/>
      <w:lang w:eastAsia="zh-CN"/>
    </w:rPr>
  </w:style>
  <w:style w:type="table" w:customStyle="1" w:styleId="TableIABox">
    <w:name w:val="Table_IABox"/>
    <w:basedOn w:val="TableNormal"/>
    <w:rsid w:val="007777A1"/>
    <w:rPr>
      <w:rFonts w:eastAsia="SimSun"/>
    </w:rPr>
    <w:tblPr>
      <w:tblBorders>
        <w:top w:val="single" w:sz="4" w:space="0" w:color="auto"/>
        <w:left w:val="single" w:sz="4" w:space="0" w:color="auto"/>
        <w:bottom w:val="single" w:sz="4" w:space="0" w:color="auto"/>
        <w:right w:val="single" w:sz="4" w:space="0" w:color="auto"/>
      </w:tblBorders>
      <w:tblCellMar>
        <w:left w:w="0" w:type="dxa"/>
        <w:right w:w="0" w:type="dxa"/>
      </w:tblCellMar>
    </w:tblPr>
  </w:style>
  <w:style w:type="paragraph" w:styleId="Header">
    <w:name w:val="header"/>
    <w:basedOn w:val="Normal"/>
    <w:link w:val="HeaderChar"/>
    <w:uiPriority w:val="99"/>
    <w:rsid w:val="00E96CB5"/>
    <w:pPr>
      <w:jc w:val="center"/>
    </w:pPr>
    <w:rPr>
      <w:caps/>
    </w:rPr>
  </w:style>
  <w:style w:type="character" w:customStyle="1" w:styleId="HeaderChar">
    <w:name w:val="Header Char"/>
    <w:basedOn w:val="DefaultParagraphFont"/>
    <w:link w:val="Header"/>
    <w:uiPriority w:val="99"/>
    <w:semiHidden/>
    <w:locked/>
    <w:rPr>
      <w:rFonts w:ascii="Arial" w:hAnsi="Arial" w:cs="Times New Roman"/>
      <w:sz w:val="24"/>
      <w:szCs w:val="24"/>
      <w:lang w:val="x-none" w:eastAsia="en-US"/>
    </w:rPr>
  </w:style>
  <w:style w:type="paragraph" w:styleId="Footer">
    <w:name w:val="footer"/>
    <w:basedOn w:val="Normal"/>
    <w:link w:val="FooterChar"/>
    <w:uiPriority w:val="99"/>
    <w:rsid w:val="000407D8"/>
    <w:pPr>
      <w:tabs>
        <w:tab w:val="center" w:pos="5132"/>
        <w:tab w:val="right" w:pos="10260"/>
      </w:tabs>
      <w:jc w:val="center"/>
    </w:pPr>
    <w:rPr>
      <w:b/>
      <w:sz w:val="18"/>
    </w:rPr>
  </w:style>
  <w:style w:type="character" w:customStyle="1" w:styleId="FooterChar">
    <w:name w:val="Footer Char"/>
    <w:basedOn w:val="DefaultParagraphFont"/>
    <w:link w:val="Footer"/>
    <w:uiPriority w:val="99"/>
    <w:semiHidden/>
    <w:locked/>
    <w:rPr>
      <w:rFonts w:ascii="Arial" w:hAnsi="Arial" w:cs="Times New Roman"/>
      <w:sz w:val="24"/>
      <w:szCs w:val="24"/>
      <w:lang w:val="x-none" w:eastAsia="en-US"/>
    </w:rPr>
  </w:style>
  <w:style w:type="character" w:styleId="PageNumber">
    <w:name w:val="page number"/>
    <w:basedOn w:val="DefaultParagraphFont"/>
    <w:uiPriority w:val="99"/>
    <w:rsid w:val="00EB43FD"/>
    <w:rPr>
      <w:rFonts w:cs="Times New Roman"/>
    </w:rPr>
  </w:style>
  <w:style w:type="paragraph" w:customStyle="1" w:styleId="IANotes">
    <w:name w:val="IANotes"/>
    <w:basedOn w:val="Normal"/>
    <w:semiHidden/>
    <w:rsid w:val="00650282"/>
    <w:rPr>
      <w:rFonts w:eastAsia="SimSun"/>
      <w:color w:val="008080"/>
      <w:sz w:val="22"/>
      <w:lang w:eastAsia="zh-CN"/>
    </w:rPr>
  </w:style>
  <w:style w:type="paragraph" w:customStyle="1" w:styleId="IATableHeading">
    <w:name w:val="IATableHeading"/>
    <w:basedOn w:val="IATableLabel"/>
    <w:rsid w:val="00716D5C"/>
    <w:rPr>
      <w:sz w:val="22"/>
    </w:rPr>
  </w:style>
  <w:style w:type="paragraph" w:styleId="FootnoteText">
    <w:name w:val="footnote text"/>
    <w:basedOn w:val="Normal"/>
    <w:link w:val="FootnoteTextChar"/>
    <w:uiPriority w:val="99"/>
    <w:semiHidden/>
    <w:rsid w:val="00490FF7"/>
    <w:rPr>
      <w:rFonts w:eastAsia="SimSun"/>
      <w:sz w:val="16"/>
      <w:lang w:eastAsia="zh-CN"/>
    </w:rPr>
  </w:style>
  <w:style w:type="character" w:customStyle="1" w:styleId="FootnoteTextChar">
    <w:name w:val="Footnote Text Char"/>
    <w:basedOn w:val="DefaultParagraphFont"/>
    <w:link w:val="FootnoteText"/>
    <w:uiPriority w:val="99"/>
    <w:semiHidden/>
    <w:locked/>
    <w:rPr>
      <w:rFonts w:ascii="Arial" w:hAnsi="Arial" w:cs="Times New Roman"/>
      <w:lang w:val="x-none" w:eastAsia="en-US"/>
    </w:rPr>
  </w:style>
  <w:style w:type="character" w:styleId="FootnoteReference">
    <w:name w:val="footnote reference"/>
    <w:basedOn w:val="DefaultParagraphFont"/>
    <w:uiPriority w:val="99"/>
    <w:rsid w:val="00B84190"/>
    <w:rPr>
      <w:rFonts w:cs="Times New Roman"/>
      <w:sz w:val="22"/>
      <w:vertAlign w:val="superscript"/>
    </w:rPr>
  </w:style>
  <w:style w:type="paragraph" w:customStyle="1" w:styleId="EBBodyPara">
    <w:name w:val="EBBodyPara"/>
    <w:basedOn w:val="BodyText"/>
    <w:rsid w:val="005A2FC0"/>
  </w:style>
  <w:style w:type="paragraph" w:styleId="BalloonText">
    <w:name w:val="Balloon Text"/>
    <w:basedOn w:val="Normal"/>
    <w:link w:val="BalloonTextChar"/>
    <w:uiPriority w:val="99"/>
    <w:semiHidden/>
    <w:rsid w:val="00300CED"/>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Segoe UI" w:hAnsi="Segoe UI" w:cs="Segoe UI"/>
      <w:sz w:val="18"/>
      <w:szCs w:val="18"/>
      <w:lang w:val="x-none" w:eastAsia="en-US"/>
    </w:rPr>
  </w:style>
  <w:style w:type="paragraph" w:customStyle="1" w:styleId="EBNumber">
    <w:name w:val="EBNumber"/>
    <w:basedOn w:val="BodyText"/>
    <w:rsid w:val="002B7335"/>
    <w:pPr>
      <w:numPr>
        <w:ilvl w:val="1"/>
        <w:numId w:val="16"/>
      </w:numPr>
    </w:pPr>
  </w:style>
  <w:style w:type="paragraph" w:customStyle="1" w:styleId="EBNumberRestart">
    <w:name w:val="EBNumberRestart"/>
    <w:basedOn w:val="BodyText"/>
    <w:next w:val="EBNumber"/>
    <w:rsid w:val="002B7335"/>
    <w:pPr>
      <w:numPr>
        <w:numId w:val="16"/>
      </w:numPr>
    </w:pPr>
  </w:style>
  <w:style w:type="paragraph" w:customStyle="1" w:styleId="StyleIATableText10ptRight">
    <w:name w:val="Style IATableText + 10 pt Right"/>
    <w:basedOn w:val="IATableText"/>
    <w:rsid w:val="008D39AA"/>
    <w:pPr>
      <w:ind w:left="0" w:right="57"/>
      <w:jc w:val="right"/>
    </w:pPr>
    <w:rPr>
      <w:rFonts w:eastAsia="Times New Roman"/>
      <w:sz w:val="20"/>
    </w:rPr>
  </w:style>
  <w:style w:type="paragraph" w:customStyle="1" w:styleId="SecurityClass">
    <w:name w:val="SecurityClass"/>
    <w:basedOn w:val="Header"/>
    <w:rsid w:val="00AE46AA"/>
  </w:style>
  <w:style w:type="paragraph" w:customStyle="1" w:styleId="IARefNumber">
    <w:name w:val="IARefNumber"/>
    <w:basedOn w:val="IATableText"/>
    <w:rsid w:val="001E152A"/>
    <w:pPr>
      <w:numPr>
        <w:numId w:val="14"/>
      </w:numPr>
      <w:ind w:left="0"/>
    </w:pPr>
  </w:style>
  <w:style w:type="character" w:styleId="Hyperlink">
    <w:name w:val="Hyperlink"/>
    <w:basedOn w:val="DefaultParagraphFont"/>
    <w:uiPriority w:val="99"/>
    <w:rsid w:val="00B4136C"/>
    <w:rPr>
      <w:rFonts w:cs="Times New Roman"/>
      <w:color w:val="auto"/>
      <w:u w:val="single"/>
    </w:rPr>
  </w:style>
  <w:style w:type="paragraph" w:customStyle="1" w:styleId="POPBY">
    <w:name w:val="POPBY"/>
    <w:basedOn w:val="IATableLabel"/>
    <w:rsid w:val="00AB574B"/>
  </w:style>
  <w:style w:type="paragraph" w:customStyle="1" w:styleId="EBBullet">
    <w:name w:val="EBBullet"/>
    <w:basedOn w:val="BodyText"/>
    <w:rsid w:val="002B7335"/>
    <w:pPr>
      <w:numPr>
        <w:numId w:val="15"/>
      </w:numPr>
    </w:pPr>
  </w:style>
  <w:style w:type="paragraph" w:customStyle="1" w:styleId="IAHeadText">
    <w:name w:val="IAHeadText"/>
    <w:basedOn w:val="IATableText"/>
    <w:rsid w:val="00632CB9"/>
    <w:pPr>
      <w:spacing w:before="0" w:after="0"/>
      <w:ind w:left="0" w:right="57"/>
    </w:pPr>
    <w:rPr>
      <w:spacing w:val="-6"/>
    </w:rPr>
  </w:style>
  <w:style w:type="paragraph" w:customStyle="1" w:styleId="IAHeadLabel0">
    <w:name w:val="IAHeadLabel0"/>
    <w:basedOn w:val="IAHeadLabel"/>
    <w:next w:val="IAHeadTitle"/>
    <w:rsid w:val="00632CB9"/>
    <w:pPr>
      <w:spacing w:before="0"/>
    </w:pPr>
  </w:style>
  <w:style w:type="paragraph" w:customStyle="1" w:styleId="IATableLines">
    <w:name w:val="IATableLines"/>
    <w:basedOn w:val="IATableText"/>
    <w:link w:val="IATableLinesChar"/>
    <w:rsid w:val="00E82A56"/>
    <w:pPr>
      <w:spacing w:before="0" w:after="0"/>
    </w:pPr>
  </w:style>
  <w:style w:type="paragraph" w:customStyle="1" w:styleId="EvidenceHeadPIR">
    <w:name w:val="EvidenceHeadPIR"/>
    <w:rsid w:val="00BE650A"/>
    <w:pPr>
      <w:spacing w:after="120"/>
    </w:pPr>
    <w:rPr>
      <w:rFonts w:ascii="Arial" w:hAnsi="Arial" w:cs="Arial"/>
      <w:bCs/>
      <w:color w:val="000000"/>
      <w:sz w:val="22"/>
      <w:szCs w:val="22"/>
    </w:rPr>
  </w:style>
  <w:style w:type="character" w:styleId="FollowedHyperlink">
    <w:name w:val="FollowedHyperlink"/>
    <w:basedOn w:val="DefaultParagraphFont"/>
    <w:uiPriority w:val="99"/>
    <w:rsid w:val="006D37CF"/>
    <w:rPr>
      <w:rFonts w:cs="Times New Roman"/>
      <w:color w:val="auto"/>
      <w:u w:val="single"/>
    </w:rPr>
  </w:style>
  <w:style w:type="paragraph" w:customStyle="1" w:styleId="IASpacer2">
    <w:name w:val="IASpacer2"/>
    <w:basedOn w:val="IASpacer"/>
    <w:rsid w:val="00311373"/>
    <w:pPr>
      <w:spacing w:line="40" w:lineRule="exact"/>
    </w:pPr>
  </w:style>
  <w:style w:type="paragraph" w:customStyle="1" w:styleId="POPVBY">
    <w:name w:val="POPVBY"/>
    <w:basedOn w:val="IATableLabel"/>
    <w:rsid w:val="00AB574B"/>
  </w:style>
  <w:style w:type="paragraph" w:customStyle="1" w:styleId="POTPY">
    <w:name w:val="POTPY"/>
    <w:basedOn w:val="IATableLabel"/>
    <w:rsid w:val="00F622E8"/>
  </w:style>
  <w:style w:type="paragraph" w:customStyle="1" w:styleId="PONBLow">
    <w:name w:val="PONBLow"/>
    <w:basedOn w:val="IATableLabel"/>
    <w:link w:val="PONBLowCharChar"/>
    <w:rsid w:val="00F622E8"/>
    <w:rPr>
      <w:b w:val="0"/>
      <w:szCs w:val="22"/>
    </w:rPr>
  </w:style>
  <w:style w:type="character" w:customStyle="1" w:styleId="PONBLowCharChar">
    <w:name w:val="PONBLow Char Char"/>
    <w:link w:val="PONBLow"/>
    <w:locked/>
    <w:rsid w:val="00F622E8"/>
    <w:rPr>
      <w:rFonts w:ascii="Arial" w:eastAsia="SimSun" w:hAnsi="Arial"/>
      <w:b/>
      <w:color w:val="000000"/>
      <w:spacing w:val="-5"/>
      <w:sz w:val="22"/>
      <w:lang w:val="en-GB" w:eastAsia="zh-CN"/>
    </w:rPr>
  </w:style>
  <w:style w:type="paragraph" w:customStyle="1" w:styleId="PONBHigh">
    <w:name w:val="PONBHigh"/>
    <w:basedOn w:val="IATableLabel"/>
    <w:link w:val="PONBHighChar"/>
    <w:rsid w:val="00F622E8"/>
    <w:rPr>
      <w:b w:val="0"/>
      <w:szCs w:val="22"/>
    </w:rPr>
  </w:style>
  <w:style w:type="character" w:customStyle="1" w:styleId="PONBHighChar">
    <w:name w:val="PONBHigh Char"/>
    <w:link w:val="PONBHigh"/>
    <w:locked/>
    <w:rsid w:val="00F622E8"/>
    <w:rPr>
      <w:rFonts w:ascii="Arial" w:eastAsia="SimSun" w:hAnsi="Arial"/>
      <w:b/>
      <w:color w:val="000000"/>
      <w:spacing w:val="-5"/>
      <w:sz w:val="22"/>
      <w:lang w:val="en-GB" w:eastAsia="zh-CN"/>
    </w:rPr>
  </w:style>
  <w:style w:type="paragraph" w:customStyle="1" w:styleId="PONBBestEst">
    <w:name w:val="PONBBestEst"/>
    <w:basedOn w:val="IATableLabel"/>
    <w:link w:val="PONBBestEstChar"/>
    <w:rsid w:val="00F622E8"/>
    <w:rPr>
      <w:b w:val="0"/>
      <w:szCs w:val="22"/>
    </w:rPr>
  </w:style>
  <w:style w:type="character" w:customStyle="1" w:styleId="PONBBestEstChar">
    <w:name w:val="PONBBestEst Char"/>
    <w:link w:val="PONBBestEst"/>
    <w:locked/>
    <w:rsid w:val="00F622E8"/>
    <w:rPr>
      <w:rFonts w:ascii="Arial" w:eastAsia="SimSun" w:hAnsi="Arial"/>
      <w:b/>
      <w:color w:val="000000"/>
      <w:spacing w:val="-5"/>
      <w:sz w:val="22"/>
      <w:lang w:val="en-GB" w:eastAsia="zh-CN"/>
    </w:rPr>
  </w:style>
  <w:style w:type="paragraph" w:customStyle="1" w:styleId="POTTCostsHigh">
    <w:name w:val="POTTCostsHigh"/>
    <w:basedOn w:val="IATableText"/>
    <w:rsid w:val="00B318B0"/>
    <w:pPr>
      <w:jc w:val="right"/>
    </w:pPr>
  </w:style>
  <w:style w:type="paragraph" w:customStyle="1" w:styleId="POTTCostsLow">
    <w:name w:val="POTTCostsLow"/>
    <w:basedOn w:val="POTTCostsHigh"/>
    <w:rsid w:val="00B318B0"/>
  </w:style>
  <w:style w:type="paragraph" w:customStyle="1" w:styleId="POTTCostsBest">
    <w:name w:val="POTTCostsBest"/>
    <w:basedOn w:val="IATableText"/>
    <w:rsid w:val="00B318B0"/>
    <w:pPr>
      <w:jc w:val="right"/>
    </w:pPr>
  </w:style>
  <w:style w:type="paragraph" w:customStyle="1" w:styleId="POTTCostsYear">
    <w:name w:val="POTTCostsYear"/>
    <w:basedOn w:val="IATableText"/>
    <w:rsid w:val="00B318B0"/>
    <w:pPr>
      <w:jc w:val="center"/>
    </w:pPr>
    <w:rPr>
      <w:szCs w:val="18"/>
    </w:rPr>
  </w:style>
  <w:style w:type="paragraph" w:customStyle="1" w:styleId="POAACostsLow">
    <w:name w:val="POAACostsLow"/>
    <w:basedOn w:val="IATableText"/>
    <w:rsid w:val="00B318B0"/>
    <w:pPr>
      <w:jc w:val="right"/>
    </w:pPr>
  </w:style>
  <w:style w:type="paragraph" w:customStyle="1" w:styleId="POAACostsHigh">
    <w:name w:val="POAACostsHigh"/>
    <w:basedOn w:val="POAACostsLow"/>
    <w:rsid w:val="00B318B0"/>
  </w:style>
  <w:style w:type="paragraph" w:customStyle="1" w:styleId="POAACostsBest">
    <w:name w:val="POAACostsBest"/>
    <w:basedOn w:val="IATableText"/>
    <w:rsid w:val="00B318B0"/>
    <w:pPr>
      <w:jc w:val="right"/>
    </w:pPr>
  </w:style>
  <w:style w:type="paragraph" w:customStyle="1" w:styleId="POTCCostsLow">
    <w:name w:val="POTCCostsLow"/>
    <w:basedOn w:val="IATableText"/>
    <w:rsid w:val="00B318B0"/>
    <w:pPr>
      <w:jc w:val="right"/>
    </w:pPr>
    <w:rPr>
      <w:b/>
    </w:rPr>
  </w:style>
  <w:style w:type="paragraph" w:customStyle="1" w:styleId="POTCCostsHigh">
    <w:name w:val="POTCCostsHigh"/>
    <w:basedOn w:val="IATableText"/>
    <w:rsid w:val="00B318B0"/>
    <w:pPr>
      <w:jc w:val="right"/>
    </w:pPr>
    <w:rPr>
      <w:b/>
    </w:rPr>
  </w:style>
  <w:style w:type="paragraph" w:customStyle="1" w:styleId="POTCCostsBest">
    <w:name w:val="POTCCostsBest"/>
    <w:basedOn w:val="IATableText"/>
    <w:rsid w:val="00B318B0"/>
    <w:pPr>
      <w:jc w:val="right"/>
    </w:pPr>
    <w:rPr>
      <w:b/>
    </w:rPr>
  </w:style>
  <w:style w:type="paragraph" w:customStyle="1" w:styleId="IAPOQ1">
    <w:name w:val="IAPOQ1"/>
    <w:basedOn w:val="IATableLabel"/>
    <w:rsid w:val="00B006A9"/>
  </w:style>
  <w:style w:type="paragraph" w:customStyle="1" w:styleId="IAPOA1">
    <w:name w:val="IAPOA1"/>
    <w:basedOn w:val="IATableLines"/>
    <w:rsid w:val="00B006A9"/>
  </w:style>
  <w:style w:type="paragraph" w:customStyle="1" w:styleId="IAPOQ2">
    <w:name w:val="IAPOQ2"/>
    <w:basedOn w:val="IATableLabel"/>
    <w:link w:val="IAPOQ2Char"/>
    <w:rsid w:val="00B006A9"/>
  </w:style>
  <w:style w:type="paragraph" w:customStyle="1" w:styleId="IAPOA2">
    <w:name w:val="IAPOA2"/>
    <w:basedOn w:val="IATableLines"/>
    <w:rsid w:val="00B006A9"/>
  </w:style>
  <w:style w:type="paragraph" w:customStyle="1" w:styleId="POTTBenLow">
    <w:name w:val="POTTBenLow"/>
    <w:basedOn w:val="POTTCostsLow"/>
    <w:rsid w:val="00B006A9"/>
  </w:style>
  <w:style w:type="paragraph" w:customStyle="1" w:styleId="POTTBenHigh">
    <w:name w:val="POTTBenHigh"/>
    <w:basedOn w:val="POTTCostsHigh"/>
    <w:rsid w:val="00B006A9"/>
  </w:style>
  <w:style w:type="paragraph" w:customStyle="1" w:styleId="POTTBenBest">
    <w:name w:val="POTTBenBest"/>
    <w:basedOn w:val="POTTCostsBest"/>
    <w:rsid w:val="00B006A9"/>
  </w:style>
  <w:style w:type="paragraph" w:customStyle="1" w:styleId="POAABenLow">
    <w:name w:val="POAABenLow"/>
    <w:basedOn w:val="POAACostsLow"/>
    <w:rsid w:val="00B006A9"/>
  </w:style>
  <w:style w:type="paragraph" w:customStyle="1" w:styleId="POAABenHigh">
    <w:name w:val="POAABenHigh"/>
    <w:basedOn w:val="POAABenLow"/>
    <w:rsid w:val="00B006A9"/>
  </w:style>
  <w:style w:type="paragraph" w:customStyle="1" w:styleId="POAABenBest">
    <w:name w:val="POAABenBest"/>
    <w:basedOn w:val="POAABenHigh"/>
    <w:rsid w:val="00B006A9"/>
  </w:style>
  <w:style w:type="paragraph" w:customStyle="1" w:styleId="POTBBenLow">
    <w:name w:val="POTBBenLow"/>
    <w:basedOn w:val="POTCCostsLow"/>
    <w:rsid w:val="00B006A9"/>
  </w:style>
  <w:style w:type="paragraph" w:customStyle="1" w:styleId="POTBBenHigh">
    <w:name w:val="POTBBenHigh"/>
    <w:basedOn w:val="POTBBenLow"/>
    <w:rsid w:val="00B006A9"/>
  </w:style>
  <w:style w:type="paragraph" w:customStyle="1" w:styleId="POTBBenBest">
    <w:name w:val="POTBBenBest"/>
    <w:basedOn w:val="POTBBenHigh"/>
    <w:rsid w:val="00B006A9"/>
  </w:style>
  <w:style w:type="paragraph" w:customStyle="1" w:styleId="IPPOQ3">
    <w:name w:val="IPPOQ3"/>
    <w:basedOn w:val="IAPOQ2"/>
    <w:link w:val="IPPOQ3Char"/>
    <w:rsid w:val="00F1653E"/>
  </w:style>
  <w:style w:type="paragraph" w:customStyle="1" w:styleId="IAPOQ4">
    <w:name w:val="IAPOQ4"/>
    <w:basedOn w:val="IPPOQ3"/>
    <w:link w:val="IAPOQ4Char"/>
    <w:rsid w:val="00F1653E"/>
  </w:style>
  <w:style w:type="paragraph" w:customStyle="1" w:styleId="IAPOA3">
    <w:name w:val="IAPOA3"/>
    <w:basedOn w:val="IAPOA2"/>
    <w:rsid w:val="00F1653E"/>
  </w:style>
  <w:style w:type="paragraph" w:customStyle="1" w:styleId="IAPOA4">
    <w:name w:val="IAPOA4"/>
    <w:basedOn w:val="IAPOA3"/>
    <w:rsid w:val="00F1653E"/>
  </w:style>
  <w:style w:type="paragraph" w:customStyle="1" w:styleId="IAPOA5">
    <w:name w:val="IAPOA5"/>
    <w:basedOn w:val="IAPOA4"/>
    <w:rsid w:val="00F1653E"/>
  </w:style>
  <w:style w:type="paragraph" w:customStyle="1" w:styleId="IAPOQ5">
    <w:name w:val="IAPOQ5"/>
    <w:basedOn w:val="IAPOQ4"/>
    <w:link w:val="IAPOQ5Char"/>
    <w:rsid w:val="00F1653E"/>
  </w:style>
  <w:style w:type="character" w:customStyle="1" w:styleId="IAPOQ2Char">
    <w:name w:val="IAPOQ2 Char"/>
    <w:basedOn w:val="IATableLabelCharChar"/>
    <w:link w:val="IAPOQ2"/>
    <w:locked/>
    <w:rsid w:val="00F1653E"/>
    <w:rPr>
      <w:rFonts w:ascii="Arial" w:eastAsia="SimSun" w:hAnsi="Arial" w:cs="Times New Roman"/>
      <w:b/>
      <w:color w:val="000000"/>
      <w:spacing w:val="-5"/>
      <w:lang w:val="en-GB" w:eastAsia="zh-CN" w:bidi="ar-SA"/>
    </w:rPr>
  </w:style>
  <w:style w:type="character" w:customStyle="1" w:styleId="IPPOQ3Char">
    <w:name w:val="IPPOQ3 Char"/>
    <w:basedOn w:val="IAPOQ2Char"/>
    <w:link w:val="IPPOQ3"/>
    <w:locked/>
    <w:rsid w:val="00F1653E"/>
    <w:rPr>
      <w:rFonts w:ascii="Arial" w:eastAsia="SimSun" w:hAnsi="Arial" w:cs="Times New Roman"/>
      <w:b/>
      <w:color w:val="000000"/>
      <w:spacing w:val="-5"/>
      <w:lang w:val="en-GB" w:eastAsia="zh-CN" w:bidi="ar-SA"/>
    </w:rPr>
  </w:style>
  <w:style w:type="character" w:customStyle="1" w:styleId="IAPOQ4Char">
    <w:name w:val="IAPOQ4 Char"/>
    <w:basedOn w:val="IPPOQ3Char"/>
    <w:link w:val="IAPOQ4"/>
    <w:locked/>
    <w:rsid w:val="00F1653E"/>
    <w:rPr>
      <w:rFonts w:ascii="Arial" w:eastAsia="SimSun" w:hAnsi="Arial" w:cs="Times New Roman"/>
      <w:b/>
      <w:color w:val="000000"/>
      <w:spacing w:val="-5"/>
      <w:lang w:val="en-GB" w:eastAsia="zh-CN" w:bidi="ar-SA"/>
    </w:rPr>
  </w:style>
  <w:style w:type="character" w:customStyle="1" w:styleId="IAPOQ5Char">
    <w:name w:val="IAPOQ5 Char"/>
    <w:basedOn w:val="IAPOQ4Char"/>
    <w:link w:val="IAPOQ5"/>
    <w:locked/>
    <w:rsid w:val="00F1653E"/>
    <w:rPr>
      <w:rFonts w:ascii="Arial" w:eastAsia="SimSun" w:hAnsi="Arial" w:cs="Times New Roman"/>
      <w:b/>
      <w:color w:val="000000"/>
      <w:spacing w:val="-5"/>
      <w:lang w:val="en-GB" w:eastAsia="zh-CN" w:bidi="ar-SA"/>
    </w:rPr>
  </w:style>
  <w:style w:type="paragraph" w:customStyle="1" w:styleId="IAPODisRate">
    <w:name w:val="IAPODisRate"/>
    <w:basedOn w:val="IATableLabel"/>
    <w:rsid w:val="00F1653E"/>
    <w:pPr>
      <w:ind w:left="0"/>
      <w:jc w:val="center"/>
    </w:pPr>
    <w:rPr>
      <w:b w:val="0"/>
    </w:rPr>
  </w:style>
  <w:style w:type="paragraph" w:customStyle="1" w:styleId="IAPODICost">
    <w:name w:val="IAPODICost"/>
    <w:basedOn w:val="IATableLabel"/>
    <w:link w:val="IAPODICostChar"/>
    <w:rsid w:val="000E3FD7"/>
    <w:rPr>
      <w:b w:val="0"/>
      <w:sz w:val="22"/>
      <w:szCs w:val="22"/>
    </w:rPr>
  </w:style>
  <w:style w:type="character" w:customStyle="1" w:styleId="IAPODICostChar">
    <w:name w:val="IAPODICost Char"/>
    <w:link w:val="IAPODICost"/>
    <w:locked/>
    <w:rsid w:val="000E3FD7"/>
    <w:rPr>
      <w:rFonts w:ascii="Arial" w:eastAsia="SimSun" w:hAnsi="Arial"/>
      <w:b/>
      <w:color w:val="000000"/>
      <w:spacing w:val="-5"/>
      <w:sz w:val="22"/>
      <w:lang w:val="en-GB" w:eastAsia="zh-CN"/>
    </w:rPr>
  </w:style>
  <w:style w:type="paragraph" w:customStyle="1" w:styleId="IAPODIBen">
    <w:name w:val="IAPODIBen"/>
    <w:basedOn w:val="IATableLabel"/>
    <w:link w:val="IAPODIBenChar"/>
    <w:rsid w:val="000E3FD7"/>
    <w:rPr>
      <w:b w:val="0"/>
      <w:sz w:val="22"/>
      <w:szCs w:val="22"/>
    </w:rPr>
  </w:style>
  <w:style w:type="paragraph" w:customStyle="1" w:styleId="IAPODINet">
    <w:name w:val="IAPODINet"/>
    <w:basedOn w:val="IATableLabel"/>
    <w:link w:val="IAPODINetChar"/>
    <w:rsid w:val="000E3FD7"/>
    <w:rPr>
      <w:b w:val="0"/>
      <w:sz w:val="22"/>
      <w:szCs w:val="22"/>
    </w:rPr>
  </w:style>
  <w:style w:type="paragraph" w:customStyle="1" w:styleId="IAPODIOIOO">
    <w:name w:val="IAPODIOIOO"/>
    <w:basedOn w:val="IATableLabel"/>
    <w:rsid w:val="000E3FD7"/>
    <w:rPr>
      <w:b w:val="0"/>
      <w:sz w:val="22"/>
      <w:szCs w:val="22"/>
    </w:rPr>
  </w:style>
  <w:style w:type="character" w:customStyle="1" w:styleId="IAPODINetChar">
    <w:name w:val="IAPODINet Char"/>
    <w:link w:val="IAPODINet"/>
    <w:locked/>
    <w:rsid w:val="000E3FD7"/>
    <w:rPr>
      <w:rFonts w:ascii="Arial" w:eastAsia="SimSun" w:hAnsi="Arial"/>
      <w:b/>
      <w:color w:val="000000"/>
      <w:spacing w:val="-5"/>
      <w:sz w:val="22"/>
      <w:lang w:val="en-GB" w:eastAsia="zh-CN"/>
    </w:rPr>
  </w:style>
  <w:style w:type="character" w:customStyle="1" w:styleId="IAPODIBenChar">
    <w:name w:val="IAPODIBen Char"/>
    <w:link w:val="IAPODIBen"/>
    <w:locked/>
    <w:rsid w:val="000E3FD7"/>
    <w:rPr>
      <w:rFonts w:ascii="Arial" w:eastAsia="SimSun" w:hAnsi="Arial"/>
      <w:b/>
      <w:color w:val="000000"/>
      <w:spacing w:val="-5"/>
      <w:sz w:val="22"/>
      <w:lang w:val="en-GB" w:eastAsia="zh-CN"/>
    </w:rPr>
  </w:style>
  <w:style w:type="paragraph" w:customStyle="1" w:styleId="IAPODIMQ">
    <w:name w:val="IAPODIMQ"/>
    <w:basedOn w:val="IATableText"/>
    <w:rsid w:val="000E3FD7"/>
    <w:rPr>
      <w:color w:val="000000"/>
      <w:sz w:val="20"/>
    </w:rPr>
  </w:style>
  <w:style w:type="paragraph" w:customStyle="1" w:styleId="ebbullet0">
    <w:name w:val="ebbullet"/>
    <w:basedOn w:val="Normal"/>
    <w:rsid w:val="001F5423"/>
    <w:pPr>
      <w:spacing w:before="100" w:beforeAutospacing="1" w:after="100" w:afterAutospacing="1"/>
    </w:pPr>
  </w:style>
  <w:style w:type="paragraph" w:customStyle="1" w:styleId="IATitle">
    <w:name w:val="IATitle"/>
    <w:basedOn w:val="Normal"/>
    <w:rsid w:val="005F32E7"/>
    <w:pPr>
      <w:ind w:left="113"/>
    </w:pPr>
    <w:rPr>
      <w:rFonts w:eastAsia="SimSun" w:cs="Arial"/>
      <w:sz w:val="20"/>
    </w:rPr>
  </w:style>
  <w:style w:type="paragraph" w:customStyle="1" w:styleId="IANo">
    <w:name w:val="IANo"/>
    <w:basedOn w:val="Normal"/>
    <w:link w:val="IANoChar"/>
    <w:rsid w:val="005F32E7"/>
    <w:pPr>
      <w:ind w:left="113"/>
    </w:pPr>
    <w:rPr>
      <w:sz w:val="20"/>
      <w:szCs w:val="22"/>
    </w:rPr>
  </w:style>
  <w:style w:type="character" w:customStyle="1" w:styleId="IAHeadDeptChar">
    <w:name w:val="IAHeadDept Char"/>
    <w:link w:val="IAHeadDept"/>
    <w:locked/>
    <w:rsid w:val="008031EC"/>
    <w:rPr>
      <w:rFonts w:ascii="Arial" w:eastAsia="SimSun" w:hAnsi="Arial"/>
      <w:b/>
      <w:color w:val="000000"/>
      <w:spacing w:val="-6"/>
      <w:sz w:val="22"/>
      <w:lang w:val="en-GB" w:eastAsia="zh-CN"/>
    </w:rPr>
  </w:style>
  <w:style w:type="character" w:customStyle="1" w:styleId="IAHeadTitleChar">
    <w:name w:val="IAHeadTitle Char"/>
    <w:link w:val="IAHeadTitle"/>
    <w:locked/>
    <w:rsid w:val="008031EC"/>
    <w:rPr>
      <w:rFonts w:ascii="Arial" w:eastAsia="SimSun" w:hAnsi="Arial"/>
      <w:b/>
      <w:color w:val="000000"/>
      <w:spacing w:val="-6"/>
      <w:sz w:val="28"/>
      <w:lang w:val="en-GB" w:eastAsia="zh-CN"/>
    </w:rPr>
  </w:style>
  <w:style w:type="character" w:customStyle="1" w:styleId="IANoChar">
    <w:name w:val="IANo Char"/>
    <w:link w:val="IANo"/>
    <w:locked/>
    <w:rsid w:val="005F32E7"/>
    <w:rPr>
      <w:rFonts w:ascii="Arial" w:eastAsia="SimSun" w:hAnsi="Arial"/>
      <w:b/>
      <w:color w:val="000000"/>
      <w:spacing w:val="-6"/>
      <w:sz w:val="22"/>
      <w:lang w:val="en-GB" w:eastAsia="en-US"/>
    </w:rPr>
  </w:style>
  <w:style w:type="paragraph" w:customStyle="1" w:styleId="IALeadDept">
    <w:name w:val="IALeadDept"/>
    <w:basedOn w:val="Normal"/>
    <w:rsid w:val="005F32E7"/>
    <w:pPr>
      <w:ind w:left="113"/>
    </w:pPr>
    <w:rPr>
      <w:rFonts w:cs="Arial"/>
      <w:noProof/>
      <w:sz w:val="20"/>
    </w:rPr>
  </w:style>
  <w:style w:type="paragraph" w:customStyle="1" w:styleId="IAOtherDepts">
    <w:name w:val="IAOtherDepts"/>
    <w:basedOn w:val="IATableLabel"/>
    <w:rsid w:val="008031EC"/>
    <w:pPr>
      <w:spacing w:after="0"/>
    </w:pPr>
    <w:rPr>
      <w:b w:val="0"/>
    </w:rPr>
  </w:style>
  <w:style w:type="paragraph" w:customStyle="1" w:styleId="IADate">
    <w:name w:val="IADate"/>
    <w:basedOn w:val="IATableLabel"/>
    <w:link w:val="IADateChar"/>
    <w:rsid w:val="008031EC"/>
    <w:rPr>
      <w:b w:val="0"/>
      <w:sz w:val="22"/>
      <w:szCs w:val="22"/>
    </w:rPr>
  </w:style>
  <w:style w:type="paragraph" w:customStyle="1" w:styleId="IAStage">
    <w:name w:val="IAStage"/>
    <w:basedOn w:val="IATableLabel"/>
    <w:link w:val="IAStageChar"/>
    <w:rsid w:val="008031EC"/>
    <w:rPr>
      <w:b w:val="0"/>
      <w:sz w:val="22"/>
    </w:rPr>
  </w:style>
  <w:style w:type="paragraph" w:customStyle="1" w:styleId="IASOI">
    <w:name w:val="IASOI"/>
    <w:basedOn w:val="IATableLabel"/>
    <w:link w:val="IASOIChar"/>
    <w:rsid w:val="008031EC"/>
    <w:rPr>
      <w:b w:val="0"/>
      <w:sz w:val="22"/>
    </w:rPr>
  </w:style>
  <w:style w:type="paragraph" w:customStyle="1" w:styleId="IATOM">
    <w:name w:val="IATOM"/>
    <w:basedOn w:val="IATableLabel"/>
    <w:link w:val="IATOMChar"/>
    <w:rsid w:val="008031EC"/>
    <w:rPr>
      <w:b w:val="0"/>
      <w:sz w:val="22"/>
    </w:rPr>
  </w:style>
  <w:style w:type="paragraph" w:customStyle="1" w:styleId="IACOE">
    <w:name w:val="IACOE"/>
    <w:basedOn w:val="Normal"/>
    <w:link w:val="IACOEChar"/>
    <w:autoRedefine/>
    <w:rsid w:val="00B225B0"/>
    <w:rPr>
      <w:rFonts w:eastAsia="SimSun"/>
      <w:spacing w:val="-5"/>
      <w:sz w:val="20"/>
      <w:lang w:eastAsia="zh-CN"/>
    </w:rPr>
  </w:style>
  <w:style w:type="paragraph" w:customStyle="1" w:styleId="IARPC">
    <w:name w:val="IARPC"/>
    <w:basedOn w:val="Title"/>
    <w:link w:val="IARPCChar"/>
    <w:rsid w:val="00174C10"/>
    <w:rPr>
      <w:rFonts w:eastAsia="SimSun"/>
      <w:color w:val="000000"/>
      <w:sz w:val="24"/>
      <w:szCs w:val="24"/>
    </w:rPr>
  </w:style>
  <w:style w:type="paragraph" w:customStyle="1" w:styleId="IAIIOTNPV">
    <w:name w:val="IAIIOTNPV"/>
    <w:basedOn w:val="IATableLabel"/>
    <w:rsid w:val="008031EC"/>
    <w:pPr>
      <w:spacing w:before="0" w:after="0"/>
      <w:jc w:val="both"/>
    </w:pPr>
    <w:rPr>
      <w:b w:val="0"/>
      <w:sz w:val="22"/>
      <w:szCs w:val="22"/>
    </w:rPr>
  </w:style>
  <w:style w:type="paragraph" w:customStyle="1" w:styleId="IAIOBNPV">
    <w:name w:val="IAIOBNPV"/>
    <w:basedOn w:val="IATableLabel"/>
    <w:rsid w:val="008031EC"/>
    <w:pPr>
      <w:spacing w:before="0" w:after="0"/>
    </w:pPr>
    <w:rPr>
      <w:b w:val="0"/>
      <w:sz w:val="22"/>
      <w:szCs w:val="22"/>
    </w:rPr>
  </w:style>
  <w:style w:type="paragraph" w:customStyle="1" w:styleId="IAIONCTBPY">
    <w:name w:val="IAIONCTBPY"/>
    <w:basedOn w:val="IATableLabel"/>
    <w:rsid w:val="008031EC"/>
    <w:pPr>
      <w:spacing w:before="0" w:after="0"/>
    </w:pPr>
    <w:rPr>
      <w:b w:val="0"/>
      <w:sz w:val="22"/>
      <w:szCs w:val="22"/>
    </w:rPr>
  </w:style>
  <w:style w:type="paragraph" w:customStyle="1" w:styleId="IAIOInScopeInOut">
    <w:name w:val="IAIOInScopeInOut"/>
    <w:basedOn w:val="IATableLabel"/>
    <w:rsid w:val="008369A3"/>
    <w:pPr>
      <w:spacing w:before="0" w:after="0"/>
    </w:pPr>
    <w:rPr>
      <w:b w:val="0"/>
      <w:sz w:val="22"/>
      <w:szCs w:val="22"/>
    </w:rPr>
  </w:style>
  <w:style w:type="paragraph" w:customStyle="1" w:styleId="IAIOPrefMQ">
    <w:name w:val="IAIOPrefMQ"/>
    <w:basedOn w:val="IATableText"/>
    <w:rsid w:val="008369A3"/>
    <w:pPr>
      <w:spacing w:before="0" w:after="0"/>
    </w:pPr>
    <w:rPr>
      <w:color w:val="000000"/>
      <w:szCs w:val="22"/>
    </w:rPr>
  </w:style>
  <w:style w:type="paragraph" w:customStyle="1" w:styleId="IAIOQ1">
    <w:name w:val="IAIOQ1"/>
    <w:basedOn w:val="IATableLabel"/>
    <w:rsid w:val="008369A3"/>
  </w:style>
  <w:style w:type="paragraph" w:customStyle="1" w:styleId="IAIOA1">
    <w:name w:val="IAIOA1"/>
    <w:basedOn w:val="IATableLines"/>
    <w:rsid w:val="008369A3"/>
  </w:style>
  <w:style w:type="paragraph" w:customStyle="1" w:styleId="IAIOQ2">
    <w:name w:val="IAIOQ2"/>
    <w:basedOn w:val="IATableLabel"/>
    <w:rsid w:val="008369A3"/>
  </w:style>
  <w:style w:type="paragraph" w:customStyle="1" w:styleId="IAIOA2">
    <w:name w:val="IAIOA2"/>
    <w:basedOn w:val="IATableLines"/>
    <w:rsid w:val="008369A3"/>
  </w:style>
  <w:style w:type="paragraph" w:customStyle="1" w:styleId="IAIOQ3">
    <w:name w:val="IAIOQ3"/>
    <w:basedOn w:val="IATableLabel"/>
    <w:rsid w:val="008369A3"/>
  </w:style>
  <w:style w:type="paragraph" w:customStyle="1" w:styleId="IAIOA3">
    <w:name w:val="IAIOA3"/>
    <w:basedOn w:val="IATableLines"/>
    <w:rsid w:val="008369A3"/>
  </w:style>
  <w:style w:type="paragraph" w:customStyle="1" w:styleId="IAIOPolicyReview">
    <w:name w:val="IAIOPolicyReview"/>
    <w:basedOn w:val="IATableLabel"/>
    <w:link w:val="IAIOPolicyReviewChar"/>
    <w:rsid w:val="00F91F5A"/>
    <w:rPr>
      <w:b w:val="0"/>
      <w:sz w:val="22"/>
      <w:szCs w:val="22"/>
    </w:rPr>
  </w:style>
  <w:style w:type="character" w:customStyle="1" w:styleId="IAIOPolicyReviewChar">
    <w:name w:val="IAIOPolicyReview Char"/>
    <w:link w:val="IAIOPolicyReview"/>
    <w:locked/>
    <w:rsid w:val="00F91F5A"/>
    <w:rPr>
      <w:rFonts w:ascii="Arial" w:eastAsia="SimSun" w:hAnsi="Arial"/>
      <w:b/>
      <w:color w:val="000000"/>
      <w:spacing w:val="-5"/>
      <w:sz w:val="22"/>
      <w:lang w:val="en-GB" w:eastAsia="zh-CN"/>
    </w:rPr>
  </w:style>
  <w:style w:type="paragraph" w:customStyle="1" w:styleId="IAIOReviewMonth">
    <w:name w:val="IAIOReviewMonth"/>
    <w:basedOn w:val="IATableLabel"/>
    <w:link w:val="IAIOReviewMonthChar"/>
    <w:rsid w:val="00F91F5A"/>
    <w:rPr>
      <w:b w:val="0"/>
      <w:sz w:val="22"/>
      <w:szCs w:val="22"/>
    </w:rPr>
  </w:style>
  <w:style w:type="paragraph" w:customStyle="1" w:styleId="IAIOReviewYear">
    <w:name w:val="IAIOReviewYear"/>
    <w:basedOn w:val="IATableLabel"/>
    <w:link w:val="IAIOReviewYearChar"/>
    <w:rsid w:val="00F91F5A"/>
    <w:rPr>
      <w:b w:val="0"/>
      <w:sz w:val="22"/>
      <w:szCs w:val="22"/>
    </w:rPr>
  </w:style>
  <w:style w:type="paragraph" w:customStyle="1" w:styleId="IAIOCheckEU">
    <w:name w:val="IAIOCheckEU"/>
    <w:basedOn w:val="IATableText"/>
    <w:rsid w:val="00F91F5A"/>
    <w:pPr>
      <w:spacing w:before="0" w:after="0"/>
    </w:pPr>
    <w:rPr>
      <w:sz w:val="20"/>
    </w:rPr>
  </w:style>
  <w:style w:type="character" w:customStyle="1" w:styleId="IAIOReviewYearChar">
    <w:name w:val="IAIOReviewYear Char"/>
    <w:link w:val="IAIOReviewYear"/>
    <w:locked/>
    <w:rsid w:val="00F91F5A"/>
    <w:rPr>
      <w:rFonts w:ascii="Arial" w:eastAsia="SimSun" w:hAnsi="Arial"/>
      <w:b/>
      <w:color w:val="000000"/>
      <w:spacing w:val="-5"/>
      <w:sz w:val="22"/>
      <w:lang w:val="en-GB" w:eastAsia="zh-CN"/>
    </w:rPr>
  </w:style>
  <w:style w:type="character" w:customStyle="1" w:styleId="IAIOReviewMonthChar">
    <w:name w:val="IAIOReviewMonth Char"/>
    <w:link w:val="IAIOReviewMonth"/>
    <w:locked/>
    <w:rsid w:val="00F91F5A"/>
    <w:rPr>
      <w:rFonts w:ascii="Arial" w:eastAsia="SimSun" w:hAnsi="Arial"/>
      <w:b/>
      <w:color w:val="000000"/>
      <w:spacing w:val="-5"/>
      <w:sz w:val="22"/>
      <w:lang w:val="en-GB" w:eastAsia="zh-CN"/>
    </w:rPr>
  </w:style>
  <w:style w:type="paragraph" w:customStyle="1" w:styleId="IAIOCheckMicro">
    <w:name w:val="IAIOCheckMicro"/>
    <w:basedOn w:val="IATableLines"/>
    <w:link w:val="IAIOCheckMicroChar"/>
    <w:rsid w:val="00F91F5A"/>
    <w:rPr>
      <w:sz w:val="20"/>
    </w:rPr>
  </w:style>
  <w:style w:type="paragraph" w:customStyle="1" w:styleId="IAIOCheck20">
    <w:name w:val="IAIOCheck20"/>
    <w:basedOn w:val="IATableLines"/>
    <w:rsid w:val="00F91F5A"/>
    <w:rPr>
      <w:sz w:val="20"/>
    </w:rPr>
  </w:style>
  <w:style w:type="paragraph" w:customStyle="1" w:styleId="IAIOCheckSmall">
    <w:name w:val="IAIOCheckSmall"/>
    <w:basedOn w:val="IATableLines"/>
    <w:link w:val="IAIOCheckSmallChar"/>
    <w:rsid w:val="00F91F5A"/>
    <w:rPr>
      <w:sz w:val="20"/>
    </w:rPr>
  </w:style>
  <w:style w:type="paragraph" w:customStyle="1" w:styleId="IAIOCheckMedium">
    <w:name w:val="IAIOCheckMedium"/>
    <w:basedOn w:val="IATableLines"/>
    <w:link w:val="IAIOCheckMediumChar"/>
    <w:rsid w:val="00F91F5A"/>
    <w:rPr>
      <w:sz w:val="20"/>
    </w:rPr>
  </w:style>
  <w:style w:type="paragraph" w:customStyle="1" w:styleId="IAIOCheckLarge">
    <w:name w:val="IAIOCheckLarge"/>
    <w:basedOn w:val="IATableLines"/>
    <w:link w:val="IAIOCheckLargeChar"/>
    <w:rsid w:val="00F91F5A"/>
    <w:rPr>
      <w:sz w:val="20"/>
    </w:rPr>
  </w:style>
  <w:style w:type="paragraph" w:customStyle="1" w:styleId="IAIOCO2Traded">
    <w:name w:val="IAIOCO2Traded"/>
    <w:basedOn w:val="IATableLabel"/>
    <w:link w:val="IAIOCO2TradedChar"/>
    <w:rsid w:val="00F91F5A"/>
    <w:rPr>
      <w:b w:val="0"/>
      <w:sz w:val="22"/>
    </w:rPr>
  </w:style>
  <w:style w:type="paragraph" w:customStyle="1" w:styleId="IAIOCO2NonTraded">
    <w:name w:val="IAIOCO2NonTraded"/>
    <w:basedOn w:val="IAIOCO2Traded"/>
    <w:rsid w:val="008155E3"/>
    <w:rPr>
      <w:sz w:val="20"/>
    </w:rPr>
  </w:style>
  <w:style w:type="paragraph" w:customStyle="1" w:styleId="IAIOtextSign">
    <w:name w:val="IAIOtextSign"/>
    <w:basedOn w:val="Normal"/>
    <w:rsid w:val="00F91F5A"/>
    <w:pPr>
      <w:jc w:val="center"/>
    </w:pPr>
  </w:style>
  <w:style w:type="paragraph" w:customStyle="1" w:styleId="IAIOSigDate">
    <w:name w:val="IAIOSigDate"/>
    <w:basedOn w:val="Normal"/>
    <w:rsid w:val="00F91F5A"/>
    <w:pPr>
      <w:jc w:val="center"/>
    </w:pPr>
    <w:rPr>
      <w:sz w:val="22"/>
      <w:szCs w:val="22"/>
    </w:rPr>
  </w:style>
  <w:style w:type="paragraph" w:customStyle="1" w:styleId="IAPODescription">
    <w:name w:val="IAPODescription"/>
    <w:basedOn w:val="IAHeadLabel"/>
    <w:link w:val="IAPODescriptionCharChar"/>
    <w:rsid w:val="00D00846"/>
    <w:pPr>
      <w:spacing w:before="50"/>
    </w:pPr>
    <w:rPr>
      <w:b w:val="0"/>
    </w:rPr>
  </w:style>
  <w:style w:type="character" w:customStyle="1" w:styleId="IAPODescriptionCharChar">
    <w:name w:val="IAPODescription Char Char"/>
    <w:basedOn w:val="IAHeadLabelChar"/>
    <w:link w:val="IAPODescription"/>
    <w:locked/>
    <w:rsid w:val="00D00846"/>
    <w:rPr>
      <w:rFonts w:ascii="Arial" w:eastAsia="SimSun" w:hAnsi="Arial" w:cs="Times New Roman"/>
      <w:b/>
      <w:color w:val="000000"/>
      <w:spacing w:val="-5"/>
      <w:lang w:val="en-GB" w:eastAsia="zh-CN" w:bidi="ar-SA"/>
    </w:rPr>
  </w:style>
  <w:style w:type="character" w:customStyle="1" w:styleId="IADateChar">
    <w:name w:val="IADate Char"/>
    <w:link w:val="IADate"/>
    <w:locked/>
    <w:rsid w:val="00174C10"/>
    <w:rPr>
      <w:rFonts w:ascii="Arial" w:eastAsia="SimSun" w:hAnsi="Arial"/>
      <w:b/>
      <w:color w:val="000000"/>
      <w:spacing w:val="-5"/>
      <w:sz w:val="22"/>
      <w:lang w:val="en-GB" w:eastAsia="zh-CN"/>
    </w:rPr>
  </w:style>
  <w:style w:type="character" w:customStyle="1" w:styleId="IATableLinesChar">
    <w:name w:val="IATableLines Char"/>
    <w:basedOn w:val="IATableTextChar"/>
    <w:link w:val="IATableLines"/>
    <w:locked/>
    <w:rsid w:val="00174C10"/>
    <w:rPr>
      <w:rFonts w:ascii="Arial" w:eastAsia="SimSun" w:hAnsi="Arial" w:cs="Times New Roman"/>
      <w:b/>
      <w:color w:val="000000"/>
      <w:spacing w:val="-5"/>
      <w:sz w:val="22"/>
      <w:lang w:val="en-GB" w:eastAsia="zh-CN" w:bidi="ar-SA"/>
    </w:rPr>
  </w:style>
  <w:style w:type="character" w:customStyle="1" w:styleId="IACOEChar">
    <w:name w:val="IACOE Char"/>
    <w:link w:val="IACOE"/>
    <w:locked/>
    <w:rsid w:val="00B225B0"/>
    <w:rPr>
      <w:rFonts w:ascii="Arial" w:eastAsia="SimSun" w:hAnsi="Arial"/>
      <w:b/>
      <w:color w:val="000000"/>
      <w:spacing w:val="-5"/>
      <w:sz w:val="24"/>
      <w:lang w:val="en-GB" w:eastAsia="zh-CN"/>
    </w:rPr>
  </w:style>
  <w:style w:type="character" w:customStyle="1" w:styleId="IAStageChar">
    <w:name w:val="IAStage Char"/>
    <w:link w:val="IAStage"/>
    <w:locked/>
    <w:rsid w:val="00174C10"/>
    <w:rPr>
      <w:rFonts w:ascii="Arial" w:eastAsia="SimSun" w:hAnsi="Arial"/>
      <w:b/>
      <w:color w:val="000000"/>
      <w:spacing w:val="-5"/>
      <w:sz w:val="22"/>
      <w:lang w:val="en-GB" w:eastAsia="zh-CN"/>
    </w:rPr>
  </w:style>
  <w:style w:type="character" w:customStyle="1" w:styleId="IASOIChar">
    <w:name w:val="IASOI Char"/>
    <w:link w:val="IASOI"/>
    <w:locked/>
    <w:rsid w:val="00174C10"/>
    <w:rPr>
      <w:rFonts w:ascii="Arial" w:eastAsia="SimSun" w:hAnsi="Arial"/>
      <w:b/>
      <w:color w:val="000000"/>
      <w:spacing w:val="-5"/>
      <w:sz w:val="22"/>
      <w:lang w:val="en-GB" w:eastAsia="zh-CN"/>
    </w:rPr>
  </w:style>
  <w:style w:type="character" w:customStyle="1" w:styleId="IATOMChar">
    <w:name w:val="IATOM Char"/>
    <w:link w:val="IATOM"/>
    <w:locked/>
    <w:rsid w:val="00174C10"/>
    <w:rPr>
      <w:rFonts w:ascii="Arial" w:eastAsia="SimSun" w:hAnsi="Arial"/>
      <w:b/>
      <w:color w:val="000000"/>
      <w:spacing w:val="-5"/>
      <w:sz w:val="22"/>
      <w:lang w:val="en-GB" w:eastAsia="zh-CN"/>
    </w:rPr>
  </w:style>
  <w:style w:type="character" w:customStyle="1" w:styleId="IARPCChar">
    <w:name w:val="IARPC Char"/>
    <w:link w:val="IARPC"/>
    <w:locked/>
    <w:rsid w:val="00174C10"/>
    <w:rPr>
      <w:rFonts w:ascii="Arial" w:eastAsia="SimSun" w:hAnsi="Arial"/>
      <w:color w:val="000000"/>
      <w:kern w:val="28"/>
      <w:sz w:val="24"/>
      <w:lang w:val="en-GB" w:eastAsia="en-US"/>
    </w:rPr>
  </w:style>
  <w:style w:type="character" w:customStyle="1" w:styleId="IAIOCheckMicroChar">
    <w:name w:val="IAIOCheckMicro Char"/>
    <w:basedOn w:val="IATableLinesChar"/>
    <w:link w:val="IAIOCheckMicro"/>
    <w:locked/>
    <w:rsid w:val="00D478C9"/>
    <w:rPr>
      <w:rFonts w:ascii="Arial" w:eastAsia="SimSun" w:hAnsi="Arial" w:cs="Times New Roman"/>
      <w:b/>
      <w:color w:val="000000"/>
      <w:spacing w:val="-5"/>
      <w:sz w:val="22"/>
      <w:lang w:val="en-GB" w:eastAsia="zh-CN" w:bidi="ar-SA"/>
    </w:rPr>
  </w:style>
  <w:style w:type="character" w:customStyle="1" w:styleId="IAIOCheckSmallChar">
    <w:name w:val="IAIOCheckSmall Char"/>
    <w:basedOn w:val="IATableLinesChar"/>
    <w:link w:val="IAIOCheckSmall"/>
    <w:locked/>
    <w:rsid w:val="00D478C9"/>
    <w:rPr>
      <w:rFonts w:ascii="Arial" w:eastAsia="SimSun" w:hAnsi="Arial" w:cs="Times New Roman"/>
      <w:b/>
      <w:color w:val="000000"/>
      <w:spacing w:val="-5"/>
      <w:sz w:val="22"/>
      <w:lang w:val="en-GB" w:eastAsia="zh-CN" w:bidi="ar-SA"/>
    </w:rPr>
  </w:style>
  <w:style w:type="character" w:customStyle="1" w:styleId="IAIOCheckMediumChar">
    <w:name w:val="IAIOCheckMedium Char"/>
    <w:basedOn w:val="IATableLinesChar"/>
    <w:link w:val="IAIOCheckMedium"/>
    <w:locked/>
    <w:rsid w:val="00D478C9"/>
    <w:rPr>
      <w:rFonts w:ascii="Arial" w:eastAsia="SimSun" w:hAnsi="Arial" w:cs="Times New Roman"/>
      <w:b/>
      <w:color w:val="000000"/>
      <w:spacing w:val="-5"/>
      <w:sz w:val="22"/>
      <w:lang w:val="en-GB" w:eastAsia="zh-CN" w:bidi="ar-SA"/>
    </w:rPr>
  </w:style>
  <w:style w:type="character" w:customStyle="1" w:styleId="IAIOCheckLargeChar">
    <w:name w:val="IAIOCheckLarge Char"/>
    <w:basedOn w:val="IATableLinesChar"/>
    <w:link w:val="IAIOCheckLarge"/>
    <w:locked/>
    <w:rsid w:val="00D478C9"/>
    <w:rPr>
      <w:rFonts w:ascii="Arial" w:eastAsia="SimSun" w:hAnsi="Arial" w:cs="Times New Roman"/>
      <w:b/>
      <w:color w:val="000000"/>
      <w:spacing w:val="-5"/>
      <w:sz w:val="22"/>
      <w:lang w:val="en-GB" w:eastAsia="zh-CN" w:bidi="ar-SA"/>
    </w:rPr>
  </w:style>
  <w:style w:type="character" w:customStyle="1" w:styleId="IAIOCO2TradedChar">
    <w:name w:val="IAIOCO2Traded Char"/>
    <w:link w:val="IAIOCO2Traded"/>
    <w:locked/>
    <w:rsid w:val="00D478C9"/>
    <w:rPr>
      <w:rFonts w:ascii="Arial" w:eastAsia="SimSun" w:hAnsi="Arial"/>
      <w:b/>
      <w:color w:val="000000"/>
      <w:spacing w:val="-5"/>
      <w:sz w:val="22"/>
      <w:lang w:val="en-GB" w:eastAsia="zh-CN"/>
    </w:rPr>
  </w:style>
  <w:style w:type="character" w:customStyle="1" w:styleId="IALabel">
    <w:name w:val="IALabel"/>
    <w:rsid w:val="009F6692"/>
    <w:rPr>
      <w:color w:val="000000"/>
      <w:sz w:val="20"/>
    </w:rPr>
  </w:style>
  <w:style w:type="character" w:styleId="CommentReference">
    <w:name w:val="annotation reference"/>
    <w:basedOn w:val="DefaultParagraphFont"/>
    <w:uiPriority w:val="99"/>
    <w:unhideWhenUsed/>
    <w:rsid w:val="00CA40EE"/>
    <w:rPr>
      <w:sz w:val="16"/>
      <w:szCs w:val="16"/>
    </w:rPr>
  </w:style>
  <w:style w:type="paragraph" w:styleId="CommentText">
    <w:name w:val="annotation text"/>
    <w:basedOn w:val="Normal"/>
    <w:link w:val="CommentTextChar"/>
    <w:uiPriority w:val="99"/>
    <w:unhideWhenUsed/>
    <w:rsid w:val="00CA40EE"/>
    <w:rPr>
      <w:sz w:val="20"/>
    </w:rPr>
  </w:style>
  <w:style w:type="character" w:customStyle="1" w:styleId="CommentTextChar">
    <w:name w:val="Comment Text Char"/>
    <w:basedOn w:val="DefaultParagraphFont"/>
    <w:link w:val="CommentText"/>
    <w:uiPriority w:val="99"/>
    <w:rsid w:val="00CA40EE"/>
    <w:rPr>
      <w:rFonts w:ascii="Arial" w:hAnsi="Arial"/>
      <w:lang w:eastAsia="en-US"/>
    </w:rPr>
  </w:style>
  <w:style w:type="character" w:styleId="PlaceholderText">
    <w:name w:val="Placeholder Text"/>
    <w:basedOn w:val="DefaultParagraphFont"/>
    <w:uiPriority w:val="99"/>
    <w:semiHidden/>
    <w:rsid w:val="00CA40EE"/>
    <w:rPr>
      <w:color w:val="808080"/>
    </w:rPr>
  </w:style>
  <w:style w:type="paragraph" w:styleId="ListParagraph">
    <w:name w:val="List Paragraph"/>
    <w:aliases w:val="F5 List Paragraph,List Paragraph1,Dot pt,No Spacing1,List Paragraph Char Char Char,Indicator Text,Numbered Para 1,List Paragraph11,Colorful List - Accent 11,Bullet 1,Bullet Points,MAIN CONTENT,Párrafo de lista,Recommendation,L,TOC style,l"/>
    <w:basedOn w:val="Normal"/>
    <w:link w:val="ListParagraphChar"/>
    <w:uiPriority w:val="34"/>
    <w:qFormat/>
    <w:rsid w:val="002125B7"/>
    <w:pPr>
      <w:tabs>
        <w:tab w:val="left" w:pos="567"/>
      </w:tabs>
      <w:spacing w:after="120"/>
      <w:ind w:left="567" w:hanging="567"/>
    </w:pPr>
    <w:rPr>
      <w:rFonts w:ascii="Calibri" w:hAnsi="Calibri"/>
      <w:sz w:val="22"/>
    </w:rPr>
  </w:style>
  <w:style w:type="paragraph" w:styleId="NoSpacing">
    <w:name w:val="No Spacing"/>
    <w:uiPriority w:val="1"/>
    <w:qFormat/>
    <w:rsid w:val="002125B7"/>
    <w:rPr>
      <w:rFonts w:ascii="Arial" w:hAnsi="Arial"/>
      <w:sz w:val="22"/>
    </w:rPr>
  </w:style>
  <w:style w:type="paragraph" w:customStyle="1" w:styleId="Style1-BodyText">
    <w:name w:val="Style1- Body Text"/>
    <w:basedOn w:val="Normal"/>
    <w:link w:val="Style1-BodyTextChar"/>
    <w:qFormat/>
    <w:rsid w:val="002125B7"/>
    <w:pPr>
      <w:spacing w:after="120"/>
      <w:jc w:val="both"/>
    </w:pPr>
    <w:rPr>
      <w:rFonts w:cs="Arial"/>
      <w:sz w:val="22"/>
    </w:rPr>
  </w:style>
  <w:style w:type="character" w:customStyle="1" w:styleId="Style1-BodyTextChar">
    <w:name w:val="Style1- Body Text Char"/>
    <w:basedOn w:val="DefaultParagraphFont"/>
    <w:link w:val="Style1-BodyText"/>
    <w:rsid w:val="002125B7"/>
    <w:rPr>
      <w:rFonts w:ascii="Arial" w:hAnsi="Arial" w:cs="Arial"/>
      <w:sz w:val="22"/>
      <w:szCs w:val="24"/>
      <w:lang w:eastAsia="en-US"/>
    </w:r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2125B7"/>
    <w:rPr>
      <w:rFonts w:ascii="Calibri" w:hAnsi="Calibri"/>
      <w:sz w:val="22"/>
      <w:lang w:eastAsia="en-US"/>
    </w:rPr>
  </w:style>
  <w:style w:type="character" w:styleId="Strong">
    <w:name w:val="Strong"/>
    <w:basedOn w:val="DefaultParagraphFont"/>
    <w:uiPriority w:val="22"/>
    <w:qFormat/>
    <w:rsid w:val="002125B7"/>
    <w:rPr>
      <w:b/>
      <w:bCs/>
    </w:rPr>
  </w:style>
  <w:style w:type="paragraph" w:styleId="CommentSubject">
    <w:name w:val="annotation subject"/>
    <w:basedOn w:val="CommentText"/>
    <w:next w:val="CommentText"/>
    <w:link w:val="CommentSubjectChar"/>
    <w:rsid w:val="00C133FC"/>
    <w:rPr>
      <w:b/>
      <w:bCs/>
    </w:rPr>
  </w:style>
  <w:style w:type="character" w:customStyle="1" w:styleId="CommentSubjectChar">
    <w:name w:val="Comment Subject Char"/>
    <w:basedOn w:val="CommentTextChar"/>
    <w:link w:val="CommentSubject"/>
    <w:rsid w:val="00C133FC"/>
    <w:rPr>
      <w:rFonts w:ascii="Arial" w:hAnsi="Arial"/>
      <w:b/>
      <w:bCs/>
      <w:sz w:val="20"/>
      <w:lang w:eastAsia="en-US"/>
    </w:rPr>
  </w:style>
  <w:style w:type="character" w:customStyle="1" w:styleId="normaltextrun">
    <w:name w:val="normaltextrun"/>
    <w:basedOn w:val="DefaultParagraphFont"/>
    <w:rsid w:val="00082B7D"/>
  </w:style>
  <w:style w:type="paragraph" w:styleId="NormalWeb">
    <w:name w:val="Normal (Web)"/>
    <w:basedOn w:val="Normal"/>
    <w:uiPriority w:val="99"/>
    <w:rsid w:val="00710D2D"/>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top w:w="15" w:type="dxa"/>
        <w:left w:w="15" w:type="dxa"/>
        <w:bottom w:w="15" w:type="dxa"/>
        <w:right w:w="15" w:type="dxa"/>
      </w:tblCellMar>
    </w:tbl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tblPr>
      <w:tblStyleRowBandSize w:val="1"/>
      <w:tblStyleColBandSize w:val="1"/>
      <w:tblCellMar>
        <w:top w:w="15" w:type="dxa"/>
        <w:left w:w="15" w:type="dxa"/>
        <w:bottom w:w="15" w:type="dxa"/>
        <w:right w:w="15" w:type="dxa"/>
      </w:tblCellMar>
    </w:tblPr>
  </w:style>
  <w:style w:type="paragraph" w:styleId="Revision">
    <w:name w:val="Revision"/>
    <w:hidden/>
    <w:uiPriority w:val="99"/>
    <w:semiHidden/>
    <w:rsid w:val="007A737A"/>
  </w:style>
  <w:style w:type="character" w:styleId="UnresolvedMention">
    <w:name w:val="Unresolved Mention"/>
    <w:basedOn w:val="DefaultParagraphFont"/>
    <w:uiPriority w:val="99"/>
    <w:semiHidden/>
    <w:unhideWhenUsed/>
    <w:rsid w:val="00EA16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NZjaQW3cCEsZxxrTJ4mhwRn+cw==">CgMxLjAyD2lkLmRkZjltNGx1NzVuMjIPaWQuejR5cXpnaGVhMzVpMg5oLmFlaXlrZnliMndpbjIOaC45djRidmRwdmRocHcyDmgubWoyNmhqZjh4NGI5Mg5oLnZkbjhkYnVobXlzczIOaC5teTZubWU2MnJ3YTUyDmguZDUxeWJhNHpjYzVuMg5oLnBocG14ZTg5anQ5ajIOaC5xOHFuanF0OWY2NzMyD2lkLjV3MjdzbHV3ZmVqNjIPaWQuNGMzenVqZnhpYWxsOAByITFtZEl2V1BRSXdQMjZuM3pPUkh3bVRjb21fek4xbExMZ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C2FC319-CDFA-490E-BE6A-24252BC5E96A}">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25086</Words>
  <Characters>142995</Characters>
  <Application>Microsoft Office Word</Application>
  <DocSecurity>0</DocSecurity>
  <Lines>1191</Lines>
  <Paragraphs>335</Paragraphs>
  <ScaleCrop>false</ScaleCrop>
  <Company/>
  <LinksUpToDate>false</LinksUpToDate>
  <CharactersWithSpaces>167746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Aldion Baze</dc:creator>
  <cp:lastModifiedBy>Anila Panajoti</cp:lastModifiedBy>
  <cp:revision>2</cp:revision>
  <dcterms:created xsi:type="dcterms:W3CDTF">2026-09-01T12:02:00Z</dcterms:created>
  <dcterms:modified xsi:type="dcterms:W3CDTF">2026-09-01T12:02:00Z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
  </property>
  <property fmtid="{D5CDD505-2E9C-101B-9397-08002B2CF9AE}" pid="3" name="Stage">
    <vt:lpwstr>Development/Options</vt:lpwstr>
  </property>
</Properties>
</file>