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7CE69" w14:textId="00DBEB1F" w:rsidR="005309E4" w:rsidRPr="002612A0" w:rsidRDefault="00D33783" w:rsidP="002612A0">
      <w:pPr>
        <w:spacing w:after="0" w:line="276" w:lineRule="auto"/>
        <w:jc w:val="center"/>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RELACION</w:t>
      </w:r>
    </w:p>
    <w:p w14:paraId="2097EE88" w14:textId="76A384C3" w:rsidR="005309E4" w:rsidRPr="002612A0" w:rsidRDefault="00D33783" w:rsidP="002612A0">
      <w:pPr>
        <w:spacing w:after="0" w:line="276" w:lineRule="auto"/>
        <w:jc w:val="center"/>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PËR PROJEKTLIGJIN</w:t>
      </w:r>
    </w:p>
    <w:p w14:paraId="195F2346" w14:textId="77777777" w:rsidR="0001619F" w:rsidRPr="002612A0" w:rsidRDefault="005309E4" w:rsidP="002612A0">
      <w:pPr>
        <w:spacing w:after="0" w:line="276" w:lineRule="auto"/>
        <w:jc w:val="center"/>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w:t>
      </w:r>
      <w:r w:rsidR="0001619F" w:rsidRPr="002612A0">
        <w:rPr>
          <w:rFonts w:ascii="Times New Roman" w:eastAsia="Times New Roman" w:hAnsi="Times New Roman" w:cs="Times New Roman"/>
          <w:b/>
          <w:bCs/>
          <w:sz w:val="28"/>
          <w:szCs w:val="28"/>
        </w:rPr>
        <w:t>PËR DISA SHTESA DHE NDRYSHIME NË LIGJIN NR. 76/2023, DATË 21.09.2023</w:t>
      </w:r>
    </w:p>
    <w:p w14:paraId="473F23DE" w14:textId="71D8FC0F" w:rsidR="00D33783" w:rsidRPr="002612A0" w:rsidRDefault="0001619F" w:rsidP="002612A0">
      <w:pPr>
        <w:spacing w:after="0" w:line="276" w:lineRule="auto"/>
        <w:jc w:val="center"/>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“PËR FONDET E PENSIONIT PRIVAT”</w:t>
      </w:r>
    </w:p>
    <w:p w14:paraId="2BE9A4D3" w14:textId="77777777" w:rsidR="0001619F" w:rsidRPr="002612A0" w:rsidRDefault="0001619F" w:rsidP="002612A0">
      <w:pPr>
        <w:spacing w:after="0" w:line="276" w:lineRule="auto"/>
        <w:jc w:val="both"/>
        <w:rPr>
          <w:rFonts w:ascii="Times New Roman" w:eastAsia="Times New Roman" w:hAnsi="Times New Roman" w:cs="Times New Roman"/>
          <w:b/>
          <w:bCs/>
          <w:sz w:val="28"/>
          <w:szCs w:val="28"/>
        </w:rPr>
      </w:pPr>
    </w:p>
    <w:p w14:paraId="5C4FD14A" w14:textId="56202764" w:rsidR="00D33783" w:rsidRPr="002612A0" w:rsidRDefault="00D33783" w:rsidP="002612A0">
      <w:pPr>
        <w:pStyle w:val="ListParagraph"/>
        <w:numPr>
          <w:ilvl w:val="0"/>
          <w:numId w:val="11"/>
        </w:numPr>
        <w:spacing w:after="0" w:line="276" w:lineRule="auto"/>
        <w:ind w:left="360" w:hanging="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 xml:space="preserve">QËLLIMI I PROJEKTAKTIT DHE OBJEKTIVAT QË SYNOHEN TË </w:t>
      </w:r>
      <w:r w:rsidR="0001619F" w:rsidRPr="002612A0">
        <w:rPr>
          <w:rFonts w:ascii="Times New Roman" w:eastAsia="Times New Roman" w:hAnsi="Times New Roman" w:cs="Times New Roman"/>
          <w:b/>
          <w:bCs/>
          <w:sz w:val="28"/>
          <w:szCs w:val="28"/>
        </w:rPr>
        <w:t>A</w:t>
      </w:r>
      <w:r w:rsidRPr="002612A0">
        <w:rPr>
          <w:rFonts w:ascii="Times New Roman" w:eastAsia="Times New Roman" w:hAnsi="Times New Roman" w:cs="Times New Roman"/>
          <w:b/>
          <w:bCs/>
          <w:sz w:val="28"/>
          <w:szCs w:val="28"/>
        </w:rPr>
        <w:t>RRIHEN</w:t>
      </w:r>
    </w:p>
    <w:p w14:paraId="61184630" w14:textId="77777777" w:rsidR="0001619F" w:rsidRPr="002612A0" w:rsidRDefault="0001619F" w:rsidP="002612A0">
      <w:pPr>
        <w:pStyle w:val="ListParagraph"/>
        <w:spacing w:after="0" w:line="276" w:lineRule="auto"/>
        <w:ind w:left="1080"/>
        <w:jc w:val="both"/>
        <w:rPr>
          <w:rFonts w:ascii="Times New Roman" w:eastAsia="Times New Roman" w:hAnsi="Times New Roman" w:cs="Times New Roman"/>
          <w:sz w:val="28"/>
          <w:szCs w:val="28"/>
        </w:rPr>
      </w:pPr>
    </w:p>
    <w:p w14:paraId="7D1CF552" w14:textId="77777777"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Ky projektligj ka për qëllim përditësimin, plotësimin dhe harmonizimin e dispozitave të ligjit nr. 76/2023, datë 21.09.2023, “Për fondet e pensionit privat”, duke e përafruar plotësisht me Direktivën 2016/2341/KE “Për veprimtarinë dhe mbikëqyrjen e institucioneve të pensionit profesional” (IORP II) të Parlamentit Europian dhe të Këshillit, datë 14 dhjetor 2016. Nëpërmjet këtyre ndryshimeve synohet forcimi i kuadrit rregullator dhe mbikëqyrës të tregut të pensioneve private, rritja e standardeve të qeverisjes, administrimit të riskut, transparencës dhe mbrojtjes së anëtarëve e përfituesve të skemave të pensionit privat.</w:t>
      </w:r>
    </w:p>
    <w:p w14:paraId="6BD3B76D" w14:textId="77777777" w:rsidR="00712EC2" w:rsidRPr="002612A0" w:rsidRDefault="00712EC2" w:rsidP="002612A0">
      <w:pPr>
        <w:spacing w:after="0" w:line="276" w:lineRule="auto"/>
        <w:jc w:val="both"/>
        <w:rPr>
          <w:rFonts w:ascii="Times New Roman" w:eastAsia="Times New Roman" w:hAnsi="Times New Roman" w:cs="Times New Roman"/>
          <w:sz w:val="28"/>
          <w:szCs w:val="28"/>
          <w:lang w:eastAsia="sq-AL"/>
        </w:rPr>
      </w:pPr>
    </w:p>
    <w:p w14:paraId="5AFC4B24" w14:textId="6E01967F"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Gjithashtu, projektligji synon të sigurojë përafrimin e mëtejshëm të legjislacionit kombëtar me standardet evropiane në fushën e pensioneve private, në përmbushje të detyrimeve që rrjedhin nga procesi i integrimit e</w:t>
      </w:r>
      <w:r w:rsidR="00712EC2" w:rsidRPr="002612A0">
        <w:rPr>
          <w:rFonts w:ascii="Times New Roman" w:eastAsia="Times New Roman" w:hAnsi="Times New Roman" w:cs="Times New Roman"/>
          <w:sz w:val="28"/>
          <w:szCs w:val="28"/>
          <w:lang w:eastAsia="sq-AL"/>
        </w:rPr>
        <w:t>v</w:t>
      </w:r>
      <w:r w:rsidRPr="002612A0">
        <w:rPr>
          <w:rFonts w:ascii="Times New Roman" w:eastAsia="Times New Roman" w:hAnsi="Times New Roman" w:cs="Times New Roman"/>
          <w:sz w:val="28"/>
          <w:szCs w:val="28"/>
          <w:lang w:eastAsia="sq-AL"/>
        </w:rPr>
        <w:t xml:space="preserve">ropian. Këto ndërhyrje ligjore marrin rëndësi të veçantë në kushtet kur Shqipëria është angazhuar për përfundimin e procesit të përafrimit të plotë të kuadrit ligjor dhe rregullator me atë të Bashkimit Evropian, në përputhje me objektivin politik të anëtarësimit </w:t>
      </w:r>
      <w:r w:rsidR="00601BF8" w:rsidRPr="002612A0">
        <w:rPr>
          <w:rFonts w:ascii="Times New Roman" w:eastAsia="Times New Roman" w:hAnsi="Times New Roman" w:cs="Times New Roman"/>
          <w:sz w:val="28"/>
          <w:szCs w:val="28"/>
          <w:lang w:eastAsia="sq-AL"/>
        </w:rPr>
        <w:t>n</w:t>
      </w:r>
      <w:r w:rsidR="00770D12" w:rsidRPr="002612A0">
        <w:rPr>
          <w:rFonts w:ascii="Times New Roman" w:eastAsia="Times New Roman" w:hAnsi="Times New Roman" w:cs="Times New Roman"/>
          <w:sz w:val="28"/>
          <w:szCs w:val="28"/>
          <w:lang w:eastAsia="sq-AL"/>
        </w:rPr>
        <w:t>ë</w:t>
      </w:r>
      <w:r w:rsidR="00601BF8" w:rsidRPr="002612A0">
        <w:rPr>
          <w:rFonts w:ascii="Times New Roman" w:eastAsia="Times New Roman" w:hAnsi="Times New Roman" w:cs="Times New Roman"/>
          <w:sz w:val="28"/>
          <w:szCs w:val="28"/>
          <w:lang w:eastAsia="sq-AL"/>
        </w:rPr>
        <w:t xml:space="preserve"> Bashkimin Evropian.</w:t>
      </w:r>
    </w:p>
    <w:p w14:paraId="0772D134" w14:textId="77777777" w:rsidR="00712EC2" w:rsidRPr="002612A0" w:rsidRDefault="00712EC2" w:rsidP="002612A0">
      <w:pPr>
        <w:spacing w:after="0" w:line="276" w:lineRule="auto"/>
        <w:jc w:val="both"/>
        <w:rPr>
          <w:rFonts w:ascii="Times New Roman" w:eastAsia="Times New Roman" w:hAnsi="Times New Roman" w:cs="Times New Roman"/>
          <w:sz w:val="28"/>
          <w:szCs w:val="28"/>
        </w:rPr>
      </w:pPr>
    </w:p>
    <w:p w14:paraId="1BDB83C4" w14:textId="347B1981"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w:t>
      </w:r>
      <w:r w:rsidR="00712EC2"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Për disa </w:t>
      </w:r>
      <w:r w:rsidR="00712EC2" w:rsidRPr="002612A0">
        <w:rPr>
          <w:rFonts w:ascii="Times New Roman" w:eastAsia="Times New Roman" w:hAnsi="Times New Roman" w:cs="Times New Roman"/>
          <w:sz w:val="28"/>
          <w:szCs w:val="28"/>
        </w:rPr>
        <w:t xml:space="preserve">shtesa dhe </w:t>
      </w:r>
      <w:r w:rsidRPr="002612A0">
        <w:rPr>
          <w:rFonts w:ascii="Times New Roman" w:eastAsia="Times New Roman" w:hAnsi="Times New Roman" w:cs="Times New Roman"/>
          <w:sz w:val="28"/>
          <w:szCs w:val="28"/>
        </w:rPr>
        <w:t xml:space="preserve">ndryshime në </w:t>
      </w:r>
      <w:r w:rsidR="00770D12" w:rsidRPr="002612A0">
        <w:rPr>
          <w:rFonts w:ascii="Times New Roman" w:eastAsia="Times New Roman" w:hAnsi="Times New Roman" w:cs="Times New Roman"/>
          <w:sz w:val="28"/>
          <w:szCs w:val="28"/>
        </w:rPr>
        <w:t>l</w:t>
      </w:r>
      <w:r w:rsidRPr="002612A0">
        <w:rPr>
          <w:rFonts w:ascii="Times New Roman" w:eastAsia="Times New Roman" w:hAnsi="Times New Roman" w:cs="Times New Roman"/>
          <w:sz w:val="28"/>
          <w:szCs w:val="28"/>
        </w:rPr>
        <w:t>igjin nr. 76/2023</w:t>
      </w:r>
      <w:r w:rsidR="00712EC2" w:rsidRPr="002612A0">
        <w:rPr>
          <w:rFonts w:ascii="Times New Roman" w:eastAsia="Times New Roman" w:hAnsi="Times New Roman" w:cs="Times New Roman"/>
          <w:sz w:val="28"/>
          <w:szCs w:val="28"/>
        </w:rPr>
        <w:t xml:space="preserve"> “P</w:t>
      </w:r>
      <w:r w:rsidR="00770D12" w:rsidRPr="002612A0">
        <w:rPr>
          <w:rFonts w:ascii="Times New Roman" w:eastAsia="Times New Roman" w:hAnsi="Times New Roman" w:cs="Times New Roman"/>
          <w:sz w:val="28"/>
          <w:szCs w:val="28"/>
        </w:rPr>
        <w:t>ë</w:t>
      </w:r>
      <w:r w:rsidR="00712EC2" w:rsidRPr="002612A0">
        <w:rPr>
          <w:rFonts w:ascii="Times New Roman" w:eastAsia="Times New Roman" w:hAnsi="Times New Roman" w:cs="Times New Roman"/>
          <w:sz w:val="28"/>
          <w:szCs w:val="28"/>
        </w:rPr>
        <w:t>r fond</w:t>
      </w:r>
      <w:r w:rsidR="00E162AA" w:rsidRPr="002612A0">
        <w:rPr>
          <w:rFonts w:ascii="Times New Roman" w:eastAsia="Times New Roman" w:hAnsi="Times New Roman" w:cs="Times New Roman"/>
          <w:sz w:val="28"/>
          <w:szCs w:val="28"/>
        </w:rPr>
        <w:t>e</w:t>
      </w:r>
      <w:r w:rsidR="00712EC2" w:rsidRPr="002612A0">
        <w:rPr>
          <w:rFonts w:ascii="Times New Roman" w:eastAsia="Times New Roman" w:hAnsi="Times New Roman" w:cs="Times New Roman"/>
          <w:sz w:val="28"/>
          <w:szCs w:val="28"/>
        </w:rPr>
        <w:t xml:space="preserve">t e pensionit </w:t>
      </w:r>
      <w:r w:rsidR="00E162AA" w:rsidRPr="002612A0">
        <w:rPr>
          <w:rFonts w:ascii="Times New Roman" w:eastAsia="Times New Roman" w:hAnsi="Times New Roman" w:cs="Times New Roman"/>
          <w:sz w:val="28"/>
          <w:szCs w:val="28"/>
        </w:rPr>
        <w:t>p</w:t>
      </w:r>
      <w:r w:rsidR="00712EC2" w:rsidRPr="002612A0">
        <w:rPr>
          <w:rFonts w:ascii="Times New Roman" w:eastAsia="Times New Roman" w:hAnsi="Times New Roman" w:cs="Times New Roman"/>
          <w:sz w:val="28"/>
          <w:szCs w:val="28"/>
        </w:rPr>
        <w:t>rivat</w:t>
      </w:r>
      <w:r w:rsidRPr="002612A0">
        <w:rPr>
          <w:rFonts w:ascii="Times New Roman" w:eastAsia="Times New Roman" w:hAnsi="Times New Roman" w:cs="Times New Roman"/>
          <w:sz w:val="28"/>
          <w:szCs w:val="28"/>
        </w:rPr>
        <w:t xml:space="preserve">" (në vijim </w:t>
      </w:r>
      <w:r w:rsidR="00E162AA"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projektligji</w:t>
      </w:r>
      <w:r w:rsidR="00E162AA"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është hartuar nga Autoriteti i Mbikëqyrjes Financiare me mbështetjen teknike të Bankës Botërore, në kuadër të Projektit të Zhvillimit Rregullator Financiar të Shqipërisë (AFRDP). </w:t>
      </w:r>
    </w:p>
    <w:p w14:paraId="4F5AA7F4"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63EA2CDB" w14:textId="7A9BE1B5"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Ligji nr. 76/2023, datë 21.09.2023, </w:t>
      </w:r>
      <w:r w:rsidR="00E162AA"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Për fondet e pensionit privat</w:t>
      </w:r>
      <w:r w:rsidR="00E162AA"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përbën kuadrin ligjor bazë që rregullon krijimin, licencimin, administrimin, funksionimin dhe mbikëqyrjen e fondeve të pensionit privat me kontribute të përcaktuara në Republikën e Shqipërisë. Ligji përcakton gjithashtu rregullat për veprimtarinë dhe mbikëqyrjen e shoqërive administruese, depozitarëve të fondeve të pensionit privat, si dhe mekanizmat e mbrojtjes së interesave të </w:t>
      </w:r>
      <w:r w:rsidRPr="002612A0">
        <w:rPr>
          <w:rFonts w:ascii="Times New Roman" w:eastAsia="Times New Roman" w:hAnsi="Times New Roman" w:cs="Times New Roman"/>
          <w:sz w:val="28"/>
          <w:szCs w:val="28"/>
        </w:rPr>
        <w:lastRenderedPageBreak/>
        <w:t>anëtarëve të fondeve të pensionit privat. Ky ligj hyri në fuqi në</w:t>
      </w:r>
      <w:r w:rsidR="00E162AA" w:rsidRPr="002612A0">
        <w:rPr>
          <w:rFonts w:ascii="Times New Roman" w:eastAsia="Times New Roman" w:hAnsi="Times New Roman" w:cs="Times New Roman"/>
          <w:sz w:val="28"/>
          <w:szCs w:val="28"/>
        </w:rPr>
        <w:t xml:space="preserve"> muajin</w:t>
      </w:r>
      <w:r w:rsidRPr="002612A0">
        <w:rPr>
          <w:rFonts w:ascii="Times New Roman" w:eastAsia="Times New Roman" w:hAnsi="Times New Roman" w:cs="Times New Roman"/>
          <w:sz w:val="28"/>
          <w:szCs w:val="28"/>
        </w:rPr>
        <w:t xml:space="preserve"> nëntor të vitit 2023 dhe </w:t>
      </w:r>
      <w:r w:rsidR="00E162AA" w:rsidRPr="002612A0">
        <w:rPr>
          <w:rFonts w:ascii="Times New Roman" w:eastAsia="Times New Roman" w:hAnsi="Times New Roman" w:cs="Times New Roman"/>
          <w:sz w:val="28"/>
          <w:szCs w:val="28"/>
        </w:rPr>
        <w:t>vendosi nj</w:t>
      </w:r>
      <w:r w:rsidR="00205C2B" w:rsidRPr="002612A0">
        <w:rPr>
          <w:rFonts w:ascii="Times New Roman" w:eastAsia="Times New Roman" w:hAnsi="Times New Roman" w:cs="Times New Roman"/>
          <w:sz w:val="28"/>
          <w:szCs w:val="28"/>
        </w:rPr>
        <w:t>ë</w:t>
      </w:r>
      <w:r w:rsidR="00E162AA" w:rsidRPr="002612A0">
        <w:rPr>
          <w:rFonts w:ascii="Times New Roman" w:eastAsia="Times New Roman" w:hAnsi="Times New Roman" w:cs="Times New Roman"/>
          <w:sz w:val="28"/>
          <w:szCs w:val="28"/>
        </w:rPr>
        <w:t xml:space="preserve"> afat prej 18 muajsh p</w:t>
      </w:r>
      <w:r w:rsidR="00205C2B" w:rsidRPr="002612A0">
        <w:rPr>
          <w:rFonts w:ascii="Times New Roman" w:eastAsia="Times New Roman" w:hAnsi="Times New Roman" w:cs="Times New Roman"/>
          <w:sz w:val="28"/>
          <w:szCs w:val="28"/>
        </w:rPr>
        <w:t>ë</w:t>
      </w:r>
      <w:r w:rsidR="00E162AA" w:rsidRPr="002612A0">
        <w:rPr>
          <w:rFonts w:ascii="Times New Roman" w:eastAsia="Times New Roman" w:hAnsi="Times New Roman" w:cs="Times New Roman"/>
          <w:sz w:val="28"/>
          <w:szCs w:val="28"/>
        </w:rPr>
        <w:t xml:space="preserve">r </w:t>
      </w:r>
      <w:r w:rsidRPr="002612A0">
        <w:rPr>
          <w:rFonts w:ascii="Times New Roman" w:eastAsia="Times New Roman" w:hAnsi="Times New Roman" w:cs="Times New Roman"/>
          <w:sz w:val="28"/>
          <w:szCs w:val="28"/>
        </w:rPr>
        <w:t>shoqëritë administruese</w:t>
      </w:r>
      <w:r w:rsidR="00E162AA"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për t'u përshtatur me kërkesat e tij.</w:t>
      </w:r>
    </w:p>
    <w:p w14:paraId="29C7B902"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6E114755" w14:textId="78A00F61"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Nevoja për shtesa dhe ndryshime në </w:t>
      </w:r>
      <w:r w:rsidR="00770D12" w:rsidRPr="002612A0">
        <w:rPr>
          <w:rFonts w:ascii="Times New Roman" w:eastAsia="Times New Roman" w:hAnsi="Times New Roman" w:cs="Times New Roman"/>
          <w:sz w:val="28"/>
          <w:szCs w:val="28"/>
        </w:rPr>
        <w:t>l</w:t>
      </w:r>
      <w:r w:rsidRPr="002612A0">
        <w:rPr>
          <w:rFonts w:ascii="Times New Roman" w:eastAsia="Times New Roman" w:hAnsi="Times New Roman" w:cs="Times New Roman"/>
          <w:sz w:val="28"/>
          <w:szCs w:val="28"/>
        </w:rPr>
        <w:t xml:space="preserve">igjin 76/2023 </w:t>
      </w:r>
      <w:r w:rsidR="00E162AA" w:rsidRPr="002612A0">
        <w:rPr>
          <w:rFonts w:ascii="Times New Roman" w:eastAsia="Times New Roman" w:hAnsi="Times New Roman" w:cs="Times New Roman"/>
          <w:sz w:val="28"/>
          <w:szCs w:val="28"/>
        </w:rPr>
        <w:t xml:space="preserve">“Për fondet e pensionit privat”, </w:t>
      </w:r>
      <w:r w:rsidRPr="002612A0">
        <w:rPr>
          <w:rFonts w:ascii="Times New Roman" w:eastAsia="Times New Roman" w:hAnsi="Times New Roman" w:cs="Times New Roman"/>
          <w:sz w:val="28"/>
          <w:szCs w:val="28"/>
        </w:rPr>
        <w:t>lind për disa arsye kryesore:</w:t>
      </w:r>
    </w:p>
    <w:p w14:paraId="58EA1982" w14:textId="77777777" w:rsidR="004E48AA" w:rsidRPr="002612A0" w:rsidRDefault="004E48AA" w:rsidP="002612A0">
      <w:pPr>
        <w:spacing w:after="0" w:line="276" w:lineRule="auto"/>
        <w:jc w:val="both"/>
        <w:rPr>
          <w:rFonts w:ascii="Times New Roman" w:eastAsia="Times New Roman" w:hAnsi="Times New Roman" w:cs="Times New Roman"/>
          <w:sz w:val="28"/>
          <w:szCs w:val="28"/>
        </w:rPr>
      </w:pPr>
    </w:p>
    <w:p w14:paraId="27EA7E44" w14:textId="5AC7C2E7" w:rsidR="00D33783" w:rsidRPr="002612A0" w:rsidRDefault="00D33783" w:rsidP="002612A0">
      <w:pPr>
        <w:numPr>
          <w:ilvl w:val="0"/>
          <w:numId w:val="10"/>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Ligji </w:t>
      </w:r>
      <w:r w:rsidR="00770D12" w:rsidRPr="002612A0">
        <w:rPr>
          <w:rFonts w:ascii="Times New Roman" w:eastAsia="Times New Roman" w:hAnsi="Times New Roman" w:cs="Times New Roman"/>
          <w:sz w:val="28"/>
          <w:szCs w:val="28"/>
        </w:rPr>
        <w:t xml:space="preserve">nr. </w:t>
      </w:r>
      <w:r w:rsidRPr="002612A0">
        <w:rPr>
          <w:rFonts w:ascii="Times New Roman" w:eastAsia="Times New Roman" w:hAnsi="Times New Roman" w:cs="Times New Roman"/>
          <w:sz w:val="28"/>
          <w:szCs w:val="28"/>
        </w:rPr>
        <w:t xml:space="preserve">76/2023 realizoi një hap të rëndësishëm drejt modernizimit të kuadrit ligjor, por e përafroi atë vetëm pjesërisht me Direktivën IORP II. </w:t>
      </w:r>
      <w:r w:rsidR="00E162AA" w:rsidRPr="002612A0">
        <w:rPr>
          <w:rFonts w:ascii="Times New Roman" w:eastAsia="Times New Roman" w:hAnsi="Times New Roman" w:cs="Times New Roman"/>
          <w:sz w:val="28"/>
          <w:szCs w:val="28"/>
        </w:rPr>
        <w:t>P</w:t>
      </w:r>
      <w:r w:rsidRPr="002612A0">
        <w:rPr>
          <w:rFonts w:ascii="Times New Roman" w:eastAsia="Times New Roman" w:hAnsi="Times New Roman" w:cs="Times New Roman"/>
          <w:sz w:val="28"/>
          <w:szCs w:val="28"/>
        </w:rPr>
        <w:t>rojektligj</w:t>
      </w:r>
      <w:r w:rsidR="00E162AA" w:rsidRPr="002612A0">
        <w:rPr>
          <w:rFonts w:ascii="Times New Roman" w:eastAsia="Times New Roman" w:hAnsi="Times New Roman" w:cs="Times New Roman"/>
          <w:sz w:val="28"/>
          <w:szCs w:val="28"/>
        </w:rPr>
        <w:t>i i propozur</w:t>
      </w:r>
      <w:r w:rsidRPr="002612A0">
        <w:rPr>
          <w:rFonts w:ascii="Times New Roman" w:eastAsia="Times New Roman" w:hAnsi="Times New Roman" w:cs="Times New Roman"/>
          <w:sz w:val="28"/>
          <w:szCs w:val="28"/>
        </w:rPr>
        <w:t xml:space="preserve"> adreson në më</w:t>
      </w:r>
      <w:r w:rsidR="004E48AA" w:rsidRPr="002612A0">
        <w:rPr>
          <w:rFonts w:ascii="Times New Roman" w:eastAsia="Times New Roman" w:hAnsi="Times New Roman" w:cs="Times New Roman"/>
          <w:sz w:val="28"/>
          <w:szCs w:val="28"/>
        </w:rPr>
        <w:t>n</w:t>
      </w:r>
      <w:r w:rsidRPr="002612A0">
        <w:rPr>
          <w:rFonts w:ascii="Times New Roman" w:eastAsia="Times New Roman" w:hAnsi="Times New Roman" w:cs="Times New Roman"/>
          <w:sz w:val="28"/>
          <w:szCs w:val="28"/>
        </w:rPr>
        <w:t>yrë strukturore këtë çështje, me synim përafrimin e plotë dhe përputhshmërinë me IORP II</w:t>
      </w:r>
      <w:r w:rsidR="005533F7" w:rsidRPr="002612A0">
        <w:rPr>
          <w:rFonts w:ascii="Times New Roman" w:eastAsia="Times New Roman" w:hAnsi="Times New Roman" w:cs="Times New Roman"/>
          <w:sz w:val="28"/>
          <w:szCs w:val="28"/>
        </w:rPr>
        <w:t>.</w:t>
      </w:r>
    </w:p>
    <w:p w14:paraId="69FAD03D" w14:textId="61134E0E" w:rsidR="00D33783" w:rsidRPr="002612A0" w:rsidRDefault="00D33783" w:rsidP="002612A0">
      <w:pPr>
        <w:numPr>
          <w:ilvl w:val="0"/>
          <w:numId w:val="10"/>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Nga analiza janë identifikuar disa hendeqe ndërmjet dispozitave të ligjit </w:t>
      </w:r>
      <w:r w:rsidR="00770D12" w:rsidRPr="002612A0">
        <w:rPr>
          <w:rFonts w:ascii="Times New Roman" w:eastAsia="Times New Roman" w:hAnsi="Times New Roman" w:cs="Times New Roman"/>
          <w:sz w:val="28"/>
          <w:szCs w:val="28"/>
        </w:rPr>
        <w:t xml:space="preserve">nr. </w:t>
      </w:r>
      <w:r w:rsidRPr="002612A0">
        <w:rPr>
          <w:rFonts w:ascii="Times New Roman" w:eastAsia="Times New Roman" w:hAnsi="Times New Roman" w:cs="Times New Roman"/>
          <w:sz w:val="28"/>
          <w:szCs w:val="28"/>
        </w:rPr>
        <w:t>76/2023 dhe kërkesave të IORP II, veçanërisht në lidhje me</w:t>
      </w:r>
      <w:r w:rsidR="001815D1"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(i) përjashtimet nga fusha e zbatimit të tij; (ii) saktësimin dhe mungesën e disa</w:t>
      </w:r>
      <w:r w:rsidR="00E254E9" w:rsidRPr="002612A0">
        <w:rPr>
          <w:rFonts w:ascii="Times New Roman" w:eastAsia="Times New Roman" w:hAnsi="Times New Roman" w:cs="Times New Roman"/>
          <w:sz w:val="28"/>
          <w:szCs w:val="28"/>
        </w:rPr>
        <w:t xml:space="preserve"> përkufizimeve</w:t>
      </w:r>
      <w:r w:rsidRPr="002612A0">
        <w:rPr>
          <w:rFonts w:ascii="Times New Roman" w:eastAsia="Times New Roman" w:hAnsi="Times New Roman" w:cs="Times New Roman"/>
          <w:sz w:val="28"/>
          <w:szCs w:val="28"/>
        </w:rPr>
        <w:t xml:space="preserve"> (si psh. </w:t>
      </w:r>
      <w:r w:rsidR="001815D1" w:rsidRPr="002612A0">
        <w:rPr>
          <w:rFonts w:ascii="Times New Roman" w:eastAsia="Times New Roman" w:hAnsi="Times New Roman" w:cs="Times New Roman"/>
          <w:sz w:val="28"/>
          <w:szCs w:val="28"/>
        </w:rPr>
        <w:t>“S</w:t>
      </w:r>
      <w:r w:rsidRPr="002612A0">
        <w:rPr>
          <w:rFonts w:ascii="Times New Roman" w:eastAsia="Times New Roman" w:hAnsi="Times New Roman" w:cs="Times New Roman"/>
          <w:sz w:val="28"/>
          <w:szCs w:val="28"/>
        </w:rPr>
        <w:t>kema pensioni</w:t>
      </w:r>
      <w:r w:rsidR="001815D1"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r w:rsidR="001815D1" w:rsidRPr="002612A0">
        <w:rPr>
          <w:rFonts w:ascii="Times New Roman" w:eastAsia="Times New Roman" w:hAnsi="Times New Roman" w:cs="Times New Roman"/>
          <w:sz w:val="28"/>
          <w:szCs w:val="28"/>
        </w:rPr>
        <w:t>“M</w:t>
      </w:r>
      <w:r w:rsidRPr="002612A0">
        <w:rPr>
          <w:rFonts w:ascii="Times New Roman" w:eastAsia="Times New Roman" w:hAnsi="Times New Roman" w:cs="Times New Roman"/>
          <w:sz w:val="28"/>
          <w:szCs w:val="28"/>
        </w:rPr>
        <w:t>jet i qëndrueshëm komunikimi</w:t>
      </w:r>
      <w:r w:rsidR="001815D1"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r w:rsidR="001815D1" w:rsidRPr="002612A0">
        <w:rPr>
          <w:rFonts w:ascii="Times New Roman" w:eastAsia="Times New Roman" w:hAnsi="Times New Roman" w:cs="Times New Roman"/>
          <w:sz w:val="28"/>
          <w:szCs w:val="28"/>
        </w:rPr>
        <w:t>“R</w:t>
      </w:r>
      <w:r w:rsidRPr="002612A0">
        <w:rPr>
          <w:rFonts w:ascii="Times New Roman" w:eastAsia="Times New Roman" w:hAnsi="Times New Roman" w:cs="Times New Roman"/>
          <w:sz w:val="28"/>
          <w:szCs w:val="28"/>
        </w:rPr>
        <w:t>reziqe biometrike</w:t>
      </w:r>
      <w:r w:rsidR="001815D1"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r w:rsidR="001815D1" w:rsidRPr="002612A0">
        <w:rPr>
          <w:rFonts w:ascii="Times New Roman" w:eastAsia="Times New Roman" w:hAnsi="Times New Roman" w:cs="Times New Roman"/>
          <w:sz w:val="28"/>
          <w:szCs w:val="28"/>
        </w:rPr>
        <w:t>“F</w:t>
      </w:r>
      <w:r w:rsidRPr="002612A0">
        <w:rPr>
          <w:rFonts w:ascii="Times New Roman" w:eastAsia="Times New Roman" w:hAnsi="Times New Roman" w:cs="Times New Roman"/>
          <w:sz w:val="28"/>
          <w:szCs w:val="28"/>
        </w:rPr>
        <w:t>unksionet kryesore</w:t>
      </w:r>
      <w:r w:rsidR="001815D1"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etj.</w:t>
      </w:r>
      <w:r w:rsidR="001815D1"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(iii) veprimtarinë ndërkufitare dhe transferime</w:t>
      </w:r>
      <w:r w:rsidR="001815D1" w:rsidRPr="002612A0">
        <w:rPr>
          <w:rFonts w:ascii="Times New Roman" w:eastAsia="Times New Roman" w:hAnsi="Times New Roman" w:cs="Times New Roman"/>
          <w:sz w:val="28"/>
          <w:szCs w:val="28"/>
        </w:rPr>
        <w:t>t</w:t>
      </w:r>
      <w:r w:rsidRPr="002612A0">
        <w:rPr>
          <w:rFonts w:ascii="Times New Roman" w:eastAsia="Times New Roman" w:hAnsi="Times New Roman" w:cs="Times New Roman"/>
          <w:sz w:val="28"/>
          <w:szCs w:val="28"/>
        </w:rPr>
        <w:t xml:space="preserve"> ndërkufitare të skemave të pensionit; (iv) parimin e personit të kujdesshëm dhe rregullat e investimit të harmonizuara me direktivën; (v) funksionet kryesore, përfshirë funksionin aktuarial, kur është i zbatueshëm; (vi) kërkesat për informimin e anëtarëve dhe përfituesve dhe </w:t>
      </w:r>
      <w:r w:rsidR="00770D12" w:rsidRPr="002612A0">
        <w:rPr>
          <w:rFonts w:ascii="Times New Roman" w:eastAsia="Times New Roman" w:hAnsi="Times New Roman" w:cs="Times New Roman"/>
          <w:sz w:val="28"/>
          <w:szCs w:val="28"/>
        </w:rPr>
        <w:t>p</w:t>
      </w:r>
      <w:r w:rsidR="00205C2B" w:rsidRPr="002612A0">
        <w:rPr>
          <w:rFonts w:ascii="Times New Roman" w:eastAsia="Times New Roman" w:hAnsi="Times New Roman" w:cs="Times New Roman"/>
          <w:sz w:val="28"/>
          <w:szCs w:val="28"/>
        </w:rPr>
        <w:t>ë</w:t>
      </w:r>
      <w:r w:rsidR="00770D12" w:rsidRPr="002612A0">
        <w:rPr>
          <w:rFonts w:ascii="Times New Roman" w:eastAsia="Times New Roman" w:hAnsi="Times New Roman" w:cs="Times New Roman"/>
          <w:sz w:val="28"/>
          <w:szCs w:val="28"/>
        </w:rPr>
        <w:t>rdit</w:t>
      </w:r>
      <w:r w:rsidR="00205C2B" w:rsidRPr="002612A0">
        <w:rPr>
          <w:rFonts w:ascii="Times New Roman" w:eastAsia="Times New Roman" w:hAnsi="Times New Roman" w:cs="Times New Roman"/>
          <w:sz w:val="28"/>
          <w:szCs w:val="28"/>
        </w:rPr>
        <w:t>ë</w:t>
      </w:r>
      <w:r w:rsidR="00770D12" w:rsidRPr="002612A0">
        <w:rPr>
          <w:rFonts w:ascii="Times New Roman" w:eastAsia="Times New Roman" w:hAnsi="Times New Roman" w:cs="Times New Roman"/>
          <w:sz w:val="28"/>
          <w:szCs w:val="28"/>
        </w:rPr>
        <w:t xml:space="preserve">simin e </w:t>
      </w:r>
      <w:r w:rsidRPr="002612A0">
        <w:rPr>
          <w:rFonts w:ascii="Times New Roman" w:eastAsia="Times New Roman" w:hAnsi="Times New Roman" w:cs="Times New Roman"/>
          <w:sz w:val="28"/>
          <w:szCs w:val="28"/>
        </w:rPr>
        <w:t>dokumenti</w:t>
      </w:r>
      <w:r w:rsidR="00770D12" w:rsidRPr="002612A0">
        <w:rPr>
          <w:rFonts w:ascii="Times New Roman" w:eastAsia="Times New Roman" w:hAnsi="Times New Roman" w:cs="Times New Roman"/>
          <w:sz w:val="28"/>
          <w:szCs w:val="28"/>
        </w:rPr>
        <w:t>t</w:t>
      </w:r>
      <w:r w:rsidRPr="002612A0">
        <w:rPr>
          <w:rFonts w:ascii="Times New Roman" w:eastAsia="Times New Roman" w:hAnsi="Times New Roman" w:cs="Times New Roman"/>
          <w:sz w:val="28"/>
          <w:szCs w:val="28"/>
        </w:rPr>
        <w:t xml:space="preserve"> </w:t>
      </w:r>
      <w:r w:rsidR="00054DDB"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Gjendja e </w:t>
      </w:r>
      <w:r w:rsidR="00054DDB" w:rsidRPr="002612A0">
        <w:rPr>
          <w:rFonts w:ascii="Times New Roman" w:eastAsia="Times New Roman" w:hAnsi="Times New Roman" w:cs="Times New Roman"/>
          <w:sz w:val="28"/>
          <w:szCs w:val="28"/>
        </w:rPr>
        <w:t>l</w:t>
      </w:r>
      <w:r w:rsidRPr="002612A0">
        <w:rPr>
          <w:rFonts w:ascii="Times New Roman" w:eastAsia="Times New Roman" w:hAnsi="Times New Roman" w:cs="Times New Roman"/>
          <w:sz w:val="28"/>
          <w:szCs w:val="28"/>
        </w:rPr>
        <w:t xml:space="preserve">logarisë së </w:t>
      </w:r>
      <w:r w:rsidR="00054DDB" w:rsidRPr="002612A0">
        <w:rPr>
          <w:rFonts w:ascii="Times New Roman" w:eastAsia="Times New Roman" w:hAnsi="Times New Roman" w:cs="Times New Roman"/>
          <w:sz w:val="28"/>
          <w:szCs w:val="28"/>
        </w:rPr>
        <w:t>p</w:t>
      </w:r>
      <w:r w:rsidRPr="002612A0">
        <w:rPr>
          <w:rFonts w:ascii="Times New Roman" w:eastAsia="Times New Roman" w:hAnsi="Times New Roman" w:cs="Times New Roman"/>
          <w:sz w:val="28"/>
          <w:szCs w:val="28"/>
        </w:rPr>
        <w:t xml:space="preserve">ërfitimeve të </w:t>
      </w:r>
      <w:r w:rsidR="00054DDB" w:rsidRPr="002612A0">
        <w:rPr>
          <w:rFonts w:ascii="Times New Roman" w:eastAsia="Times New Roman" w:hAnsi="Times New Roman" w:cs="Times New Roman"/>
          <w:sz w:val="28"/>
          <w:szCs w:val="28"/>
        </w:rPr>
        <w:t>p</w:t>
      </w:r>
      <w:r w:rsidRPr="002612A0">
        <w:rPr>
          <w:rFonts w:ascii="Times New Roman" w:eastAsia="Times New Roman" w:hAnsi="Times New Roman" w:cs="Times New Roman"/>
          <w:sz w:val="28"/>
          <w:szCs w:val="28"/>
        </w:rPr>
        <w:t>ensionit</w:t>
      </w:r>
      <w:r w:rsidR="00054DDB"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(vii) kërkesat për ruajtjen dhe trajtimin e sekretit profesional; viii) shkëmbimin e informacionit; </w:t>
      </w:r>
      <w:r w:rsidR="00054DDB" w:rsidRPr="002612A0">
        <w:rPr>
          <w:rFonts w:ascii="Times New Roman" w:eastAsia="Times New Roman" w:hAnsi="Times New Roman" w:cs="Times New Roman"/>
          <w:sz w:val="28"/>
          <w:szCs w:val="28"/>
        </w:rPr>
        <w:t xml:space="preserve">si </w:t>
      </w:r>
      <w:r w:rsidRPr="002612A0">
        <w:rPr>
          <w:rFonts w:ascii="Times New Roman" w:eastAsia="Times New Roman" w:hAnsi="Times New Roman" w:cs="Times New Roman"/>
          <w:sz w:val="28"/>
          <w:szCs w:val="28"/>
        </w:rPr>
        <w:t>dhe (ix) mbikëqyrjen me qasje perspektive dhe me bazë rreziku.</w:t>
      </w:r>
    </w:p>
    <w:p w14:paraId="582E7173" w14:textId="3C14A8A5" w:rsidR="00054DDB" w:rsidRPr="002612A0" w:rsidRDefault="00D33783" w:rsidP="002612A0">
      <w:pPr>
        <w:numPr>
          <w:ilvl w:val="0"/>
          <w:numId w:val="10"/>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Zhvillimet e reja rregullatore e</w:t>
      </w:r>
      <w:r w:rsidR="00054DDB" w:rsidRPr="002612A0">
        <w:rPr>
          <w:rFonts w:ascii="Times New Roman" w:eastAsia="Times New Roman" w:hAnsi="Times New Roman" w:cs="Times New Roman"/>
          <w:sz w:val="28"/>
          <w:szCs w:val="28"/>
        </w:rPr>
        <w:t>v</w:t>
      </w:r>
      <w:r w:rsidRPr="002612A0">
        <w:rPr>
          <w:rFonts w:ascii="Times New Roman" w:eastAsia="Times New Roman" w:hAnsi="Times New Roman" w:cs="Times New Roman"/>
          <w:sz w:val="28"/>
          <w:szCs w:val="28"/>
        </w:rPr>
        <w:t>ropiane, si Rregullorja (BE) 2023/2859 për Platformën e Vetme Europiane të Aksesit (ESAP) dhe kërkesat e harmonizuara të raportimit, kërkojnë dispozita të veçanta edhe në legjislacionin shqiptar</w:t>
      </w:r>
      <w:r w:rsidR="00770D12"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p>
    <w:p w14:paraId="1340E525" w14:textId="77777777" w:rsidR="00770D12" w:rsidRPr="002612A0" w:rsidRDefault="00770D12" w:rsidP="002612A0">
      <w:pPr>
        <w:spacing w:after="0" w:line="276" w:lineRule="auto"/>
        <w:ind w:left="360"/>
        <w:jc w:val="both"/>
        <w:rPr>
          <w:rFonts w:ascii="Times New Roman" w:eastAsia="Times New Roman" w:hAnsi="Times New Roman" w:cs="Times New Roman"/>
          <w:sz w:val="28"/>
          <w:szCs w:val="28"/>
        </w:rPr>
      </w:pPr>
    </w:p>
    <w:p w14:paraId="345FA581"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Objektivat kryesore që synohen të arrihen nëpërmjet miratimit të këtij projektligji janë:</w:t>
      </w:r>
    </w:p>
    <w:p w14:paraId="41A95258" w14:textId="77777777" w:rsidR="00054DDB" w:rsidRPr="002612A0" w:rsidRDefault="00054DDB" w:rsidP="002612A0">
      <w:pPr>
        <w:spacing w:after="0" w:line="276" w:lineRule="auto"/>
        <w:ind w:firstLine="360"/>
        <w:jc w:val="both"/>
        <w:rPr>
          <w:rFonts w:ascii="Times New Roman" w:eastAsia="Times New Roman" w:hAnsi="Times New Roman" w:cs="Times New Roman"/>
          <w:sz w:val="28"/>
          <w:szCs w:val="28"/>
        </w:rPr>
      </w:pPr>
    </w:p>
    <w:p w14:paraId="545D1FB4" w14:textId="2198A06A"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Përafrimi i plotë me Direktivën IORP II, duke plotësuar hendeqet e identifikuara gjatë analizës krahasuese të ligjit me </w:t>
      </w:r>
      <w:r w:rsidR="00054DDB" w:rsidRPr="002612A0">
        <w:rPr>
          <w:rFonts w:ascii="Times New Roman" w:eastAsia="Times New Roman" w:hAnsi="Times New Roman" w:cs="Times New Roman"/>
          <w:sz w:val="28"/>
          <w:szCs w:val="28"/>
        </w:rPr>
        <w:t>d</w:t>
      </w:r>
      <w:r w:rsidRPr="002612A0">
        <w:rPr>
          <w:rFonts w:ascii="Times New Roman" w:eastAsia="Times New Roman" w:hAnsi="Times New Roman" w:cs="Times New Roman"/>
          <w:sz w:val="28"/>
          <w:szCs w:val="28"/>
        </w:rPr>
        <w:t xml:space="preserve">irektivën; </w:t>
      </w:r>
    </w:p>
    <w:p w14:paraId="13960E11" w14:textId="43055F36"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Forcimi i mbrojtjes së anëtarëve dhe përfituesve nëpërmjet kërkesave të reja për informimin e tyre, përfshirë dokumentin </w:t>
      </w:r>
      <w:r w:rsidR="00E40EAB"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Gjendja e </w:t>
      </w:r>
      <w:r w:rsidR="00E40EAB" w:rsidRPr="002612A0">
        <w:rPr>
          <w:rFonts w:ascii="Times New Roman" w:eastAsia="Times New Roman" w:hAnsi="Times New Roman" w:cs="Times New Roman"/>
          <w:sz w:val="28"/>
          <w:szCs w:val="28"/>
        </w:rPr>
        <w:t>l</w:t>
      </w:r>
      <w:r w:rsidRPr="002612A0">
        <w:rPr>
          <w:rFonts w:ascii="Times New Roman" w:eastAsia="Times New Roman" w:hAnsi="Times New Roman" w:cs="Times New Roman"/>
          <w:sz w:val="28"/>
          <w:szCs w:val="28"/>
        </w:rPr>
        <w:t xml:space="preserve">logarisë së </w:t>
      </w:r>
      <w:r w:rsidR="00E40EAB" w:rsidRPr="002612A0">
        <w:rPr>
          <w:rFonts w:ascii="Times New Roman" w:eastAsia="Times New Roman" w:hAnsi="Times New Roman" w:cs="Times New Roman"/>
          <w:sz w:val="28"/>
          <w:szCs w:val="28"/>
        </w:rPr>
        <w:t>p</w:t>
      </w:r>
      <w:r w:rsidRPr="002612A0">
        <w:rPr>
          <w:rFonts w:ascii="Times New Roman" w:eastAsia="Times New Roman" w:hAnsi="Times New Roman" w:cs="Times New Roman"/>
          <w:sz w:val="28"/>
          <w:szCs w:val="28"/>
        </w:rPr>
        <w:t xml:space="preserve">ërfitimeve të </w:t>
      </w:r>
      <w:r w:rsidR="00E40EAB" w:rsidRPr="002612A0">
        <w:rPr>
          <w:rFonts w:ascii="Times New Roman" w:eastAsia="Times New Roman" w:hAnsi="Times New Roman" w:cs="Times New Roman"/>
          <w:sz w:val="28"/>
          <w:szCs w:val="28"/>
        </w:rPr>
        <w:t>p</w:t>
      </w:r>
      <w:r w:rsidRPr="002612A0">
        <w:rPr>
          <w:rFonts w:ascii="Times New Roman" w:eastAsia="Times New Roman" w:hAnsi="Times New Roman" w:cs="Times New Roman"/>
          <w:sz w:val="28"/>
          <w:szCs w:val="28"/>
        </w:rPr>
        <w:t>ensionit</w:t>
      </w:r>
      <w:r w:rsidR="00E40EAB"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i </w:t>
      </w:r>
      <w:r w:rsidR="00770D12" w:rsidRPr="002612A0">
        <w:rPr>
          <w:rFonts w:ascii="Times New Roman" w:eastAsia="Times New Roman" w:hAnsi="Times New Roman" w:cs="Times New Roman"/>
          <w:sz w:val="28"/>
          <w:szCs w:val="28"/>
        </w:rPr>
        <w:t>përmirësuar</w:t>
      </w:r>
      <w:r w:rsidRPr="002612A0">
        <w:rPr>
          <w:rFonts w:ascii="Times New Roman" w:eastAsia="Times New Roman" w:hAnsi="Times New Roman" w:cs="Times New Roman"/>
          <w:sz w:val="28"/>
          <w:szCs w:val="28"/>
        </w:rPr>
        <w:t xml:space="preserve"> me parashikime të përfitimeve dhe skenarë të mundshëm;</w:t>
      </w:r>
    </w:p>
    <w:p w14:paraId="7EA65533" w14:textId="77777777"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lastRenderedPageBreak/>
        <w:t xml:space="preserve">Krijimi i kuadrit ligjor për ushtrimin e veprimtarisë ndërkufitare dhe transferimet ndërkufitare të skemave të pensionit </w:t>
      </w:r>
      <w:r w:rsidR="00E254E9" w:rsidRPr="002612A0">
        <w:rPr>
          <w:rFonts w:ascii="Times New Roman" w:eastAsia="Times New Roman" w:hAnsi="Times New Roman" w:cs="Times New Roman"/>
          <w:sz w:val="28"/>
          <w:szCs w:val="28"/>
        </w:rPr>
        <w:t xml:space="preserve">privat </w:t>
      </w:r>
      <w:r w:rsidRPr="002612A0">
        <w:rPr>
          <w:rFonts w:ascii="Times New Roman" w:eastAsia="Times New Roman" w:hAnsi="Times New Roman" w:cs="Times New Roman"/>
          <w:sz w:val="28"/>
          <w:szCs w:val="28"/>
        </w:rPr>
        <w:t xml:space="preserve">ndërmjet Shqipërisë dhe shteteve anëtare të Bashkimit Evropian, duke mbështetur lëvizjen e lirë të punëmarrësve dhe mbrojtjen e të drejtave të tyre </w:t>
      </w:r>
      <w:r w:rsidR="003B27C2" w:rsidRPr="002612A0">
        <w:rPr>
          <w:rFonts w:ascii="Times New Roman" w:eastAsia="Times New Roman" w:hAnsi="Times New Roman" w:cs="Times New Roman"/>
          <w:sz w:val="28"/>
          <w:szCs w:val="28"/>
        </w:rPr>
        <w:t>t</w:t>
      </w:r>
      <w:r w:rsidR="00E254E9" w:rsidRPr="002612A0">
        <w:rPr>
          <w:rFonts w:ascii="Times New Roman" w:eastAsia="Times New Roman" w:hAnsi="Times New Roman" w:cs="Times New Roman"/>
          <w:sz w:val="28"/>
          <w:szCs w:val="28"/>
        </w:rPr>
        <w:t>ë</w:t>
      </w:r>
      <w:r w:rsidR="003B27C2" w:rsidRPr="002612A0">
        <w:rPr>
          <w:rFonts w:ascii="Times New Roman" w:eastAsia="Times New Roman" w:hAnsi="Times New Roman" w:cs="Times New Roman"/>
          <w:sz w:val="28"/>
          <w:szCs w:val="28"/>
        </w:rPr>
        <w:t xml:space="preserve"> pensionit</w:t>
      </w:r>
      <w:r w:rsidRPr="002612A0">
        <w:rPr>
          <w:rFonts w:ascii="Times New Roman" w:eastAsia="Times New Roman" w:hAnsi="Times New Roman" w:cs="Times New Roman"/>
          <w:sz w:val="28"/>
          <w:szCs w:val="28"/>
        </w:rPr>
        <w:t>;</w:t>
      </w:r>
    </w:p>
    <w:p w14:paraId="4E1F7A1D" w14:textId="49EB034F"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Forcimi i kuadrit të menaxhimit të rrezikut, përfshirë vlerësimin e rreziqeve që lidhen me veprimtarinë e fondit të pensionit dhe mbrojtjen afatgjatë të interesave të anëtarëve dhe përfituesve</w:t>
      </w:r>
      <w:r w:rsidR="00E40EAB"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p>
    <w:p w14:paraId="289C9CA7" w14:textId="77777777"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Forcimi i sistemit të qeverisjes nëpërmjet shtimit të funksioneve kryesore, përfshirë funksionin aktuarial, detyrimit të denoncimit nga mbajtësit e funksioneve kryesore, dhe sigurimit të pavarësisë së auditit të brendshëm;</w:t>
      </w:r>
    </w:p>
    <w:p w14:paraId="1B327EA6" w14:textId="77777777"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Forcimi i kërkesave të aftësisë dhe përshtatshmërisë, lidhur me integritetin, përshtatshmërinë profesionale dhe reputacionin e personave që drejtojnë ose ushtrojnë funksione kryesore;</w:t>
      </w:r>
    </w:p>
    <w:p w14:paraId="7B3160D2" w14:textId="40228517" w:rsidR="003B27C2"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Harmonizimi i rregullave të investimit me parimin e “personit të kujdesshëm” (prudent person rule), forcimi i mekanizmave të kontrollit të rrezikut, krijimi i mundësisë së emërimit të menaxherëve të investimeve me licencë europiane</w:t>
      </w:r>
      <w:r w:rsidR="00770D12"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pa </w:t>
      </w:r>
      <w:r w:rsidR="00E254E9" w:rsidRPr="002612A0">
        <w:rPr>
          <w:rFonts w:ascii="Times New Roman" w:eastAsia="Times New Roman" w:hAnsi="Times New Roman" w:cs="Times New Roman"/>
          <w:sz w:val="28"/>
          <w:szCs w:val="28"/>
        </w:rPr>
        <w:t xml:space="preserve">kërkuar </w:t>
      </w:r>
      <w:r w:rsidRPr="002612A0">
        <w:rPr>
          <w:rFonts w:ascii="Times New Roman" w:eastAsia="Times New Roman" w:hAnsi="Times New Roman" w:cs="Times New Roman"/>
          <w:sz w:val="28"/>
          <w:szCs w:val="28"/>
        </w:rPr>
        <w:t>autorizim shtesë;</w:t>
      </w:r>
    </w:p>
    <w:p w14:paraId="305C532C" w14:textId="77777777" w:rsidR="003B27C2"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Integrimi i faktorëve mjedisorë, socialë dhe të qeverisjes (ESG) në sistemin e qeverisjes, menaxhimit të rrezikut </w:t>
      </w:r>
      <w:r w:rsidR="003B27C2" w:rsidRPr="002612A0">
        <w:rPr>
          <w:rFonts w:ascii="Times New Roman" w:eastAsia="Times New Roman" w:hAnsi="Times New Roman" w:cs="Times New Roman"/>
          <w:sz w:val="28"/>
          <w:szCs w:val="28"/>
        </w:rPr>
        <w:t>dhe politikave të investimit;</w:t>
      </w:r>
    </w:p>
    <w:p w14:paraId="60EF94A0" w14:textId="4BE1986C"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Mundësia e kryerjes së shërbimeve të depozitarit nga subjekte të licencuara në vendet anëtare të BE-së, pa autorizim shtesë në Shqipëri, në përputhje me parimet e tregut të brendshëm e</w:t>
      </w:r>
      <w:r w:rsidR="00162F86" w:rsidRPr="002612A0">
        <w:rPr>
          <w:rFonts w:ascii="Times New Roman" w:eastAsia="Times New Roman" w:hAnsi="Times New Roman" w:cs="Times New Roman"/>
          <w:sz w:val="28"/>
          <w:szCs w:val="28"/>
        </w:rPr>
        <w:t>v</w:t>
      </w:r>
      <w:r w:rsidRPr="002612A0">
        <w:rPr>
          <w:rFonts w:ascii="Times New Roman" w:eastAsia="Times New Roman" w:hAnsi="Times New Roman" w:cs="Times New Roman"/>
          <w:sz w:val="28"/>
          <w:szCs w:val="28"/>
        </w:rPr>
        <w:t>ropian;</w:t>
      </w:r>
    </w:p>
    <w:p w14:paraId="6225AF91" w14:textId="77777777"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Krijimi i bazës ligjore për forcimin e bashkëpunimit ndërmjet Autoritetit të Mbikëqyrjes Financiare, autoriteteve homologe të shteteve anëtare dhe Autoritetit Europian të Sigurimeve dhe Pensioneve Profesionale (EIOPA), përfshirë shkëmbimin e informacionit, mbikëqyrjen ndërkufitare dhe mekanizmat e ndërmjetësimit;</w:t>
      </w:r>
    </w:p>
    <w:p w14:paraId="5ACD27AA" w14:textId="1C7840D5"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Krijimi i kuadrit ligjor për pjesëmarrjen e Shqipërisë në strukturat e</w:t>
      </w:r>
      <w:r w:rsidR="00162F86" w:rsidRPr="002612A0">
        <w:rPr>
          <w:rFonts w:ascii="Times New Roman" w:eastAsia="Times New Roman" w:hAnsi="Times New Roman" w:cs="Times New Roman"/>
          <w:sz w:val="28"/>
          <w:szCs w:val="28"/>
        </w:rPr>
        <w:t>v</w:t>
      </w:r>
      <w:r w:rsidRPr="002612A0">
        <w:rPr>
          <w:rFonts w:ascii="Times New Roman" w:eastAsia="Times New Roman" w:hAnsi="Times New Roman" w:cs="Times New Roman"/>
          <w:sz w:val="28"/>
          <w:szCs w:val="28"/>
        </w:rPr>
        <w:t xml:space="preserve">ropiane të mbikëqyrjes financiare, bashkëpunimin me EIOPA-n; </w:t>
      </w:r>
      <w:r w:rsidR="00162F86" w:rsidRPr="002612A0">
        <w:rPr>
          <w:rFonts w:ascii="Times New Roman" w:eastAsia="Times New Roman" w:hAnsi="Times New Roman" w:cs="Times New Roman"/>
          <w:sz w:val="28"/>
          <w:szCs w:val="28"/>
        </w:rPr>
        <w:t xml:space="preserve">si </w:t>
      </w:r>
      <w:r w:rsidRPr="002612A0">
        <w:rPr>
          <w:rFonts w:ascii="Times New Roman" w:eastAsia="Times New Roman" w:hAnsi="Times New Roman" w:cs="Times New Roman"/>
          <w:sz w:val="28"/>
          <w:szCs w:val="28"/>
        </w:rPr>
        <w:t xml:space="preserve">dhe </w:t>
      </w:r>
    </w:p>
    <w:p w14:paraId="0B77845F" w14:textId="77777777" w:rsidR="00D33783" w:rsidRPr="002612A0" w:rsidRDefault="00D33783" w:rsidP="002612A0">
      <w:pPr>
        <w:numPr>
          <w:ilvl w:val="0"/>
          <w:numId w:val="9"/>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Raportimi dhe depozitimi i informacionit pranë autoritetit kombëtar përgjegjës dhe në Platformën e Vetme Europiane të Aksesit (ESAP), me qëllim rritjen e transparencës, aksesit publik dhe ripërdorimit të të dhënave në formate të lexueshme.</w:t>
      </w:r>
    </w:p>
    <w:p w14:paraId="031DDB4D"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2B72C196" w14:textId="77777777" w:rsidR="00D33783" w:rsidRPr="002612A0" w:rsidRDefault="00D33783" w:rsidP="002612A0">
      <w:pPr>
        <w:spacing w:after="0" w:line="276" w:lineRule="auto"/>
        <w:ind w:left="540" w:hanging="540"/>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II.    VLERËSIM I PROJEKTLIGJIT NË RAPORT ME PROGRAMIN POLITIK TË KËSHILLIT TË MINISTRAVE, ME PROGRAMIN ANALITIK TË AKTEVE DHE DOKUMENTAVE TË TJERA</w:t>
      </w:r>
    </w:p>
    <w:p w14:paraId="6C795C34"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06D31707" w14:textId="4AF3B00C"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Hartimi i projektligjit është i lidhur drejtpërdrejt me procesin e integrimit europian të Shqipërisë dhe me rekomandimet e Komisionit E</w:t>
      </w:r>
      <w:r w:rsidR="005A4F42" w:rsidRPr="002612A0">
        <w:rPr>
          <w:rFonts w:ascii="Times New Roman" w:eastAsia="Times New Roman" w:hAnsi="Times New Roman" w:cs="Times New Roman"/>
          <w:sz w:val="28"/>
          <w:szCs w:val="28"/>
        </w:rPr>
        <w:t>v</w:t>
      </w:r>
      <w:r w:rsidRPr="002612A0">
        <w:rPr>
          <w:rFonts w:ascii="Times New Roman" w:eastAsia="Times New Roman" w:hAnsi="Times New Roman" w:cs="Times New Roman"/>
          <w:sz w:val="28"/>
          <w:szCs w:val="28"/>
        </w:rPr>
        <w:t>ropian për fushën e shërbimeve financiare dhe tregut të brendshëm. Plani Kombëtar për Integrimin E</w:t>
      </w:r>
      <w:r w:rsidR="005A4F42" w:rsidRPr="002612A0">
        <w:rPr>
          <w:rFonts w:ascii="Times New Roman" w:eastAsia="Times New Roman" w:hAnsi="Times New Roman" w:cs="Times New Roman"/>
          <w:sz w:val="28"/>
          <w:szCs w:val="28"/>
        </w:rPr>
        <w:t>v</w:t>
      </w:r>
      <w:r w:rsidRPr="002612A0">
        <w:rPr>
          <w:rFonts w:ascii="Times New Roman" w:eastAsia="Times New Roman" w:hAnsi="Times New Roman" w:cs="Times New Roman"/>
          <w:sz w:val="28"/>
          <w:szCs w:val="28"/>
        </w:rPr>
        <w:t>ropian dhe programet analitike të akteve të harmonizimit me acquis communautaire parashikojnë transpozimin e plotë të Direktivës IORP II si detyrim i vendit kandidat.</w:t>
      </w:r>
    </w:p>
    <w:p w14:paraId="2E8F315B" w14:textId="77777777" w:rsidR="005A4F42" w:rsidRPr="002612A0" w:rsidRDefault="005A4F42" w:rsidP="002612A0">
      <w:pPr>
        <w:spacing w:after="0" w:line="276" w:lineRule="auto"/>
        <w:jc w:val="both"/>
        <w:rPr>
          <w:rFonts w:ascii="Times New Roman" w:eastAsia="Times New Roman" w:hAnsi="Times New Roman" w:cs="Times New Roman"/>
          <w:sz w:val="28"/>
          <w:szCs w:val="28"/>
        </w:rPr>
      </w:pPr>
    </w:p>
    <w:p w14:paraId="6B271CD1" w14:textId="3C782A24"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Autoriteti i Mbikëqyrjes Financiare ka kryer një analizë të detajuar të përputhshmërisë së ligjit nr. 76/2023 me Direktivën (BE) 2016/2341 (IORP II), bazuar në metodologjinë e analizës së harmonizimit (concordance table) të kryer me mbështetjen e ekspertëve të Bankës Botërore. Gjetjet e kësaj analize evidentuan nevojën për </w:t>
      </w:r>
      <w:r w:rsidR="005A4F42" w:rsidRPr="002612A0">
        <w:rPr>
          <w:rFonts w:ascii="Times New Roman" w:eastAsia="Times New Roman" w:hAnsi="Times New Roman" w:cs="Times New Roman"/>
          <w:sz w:val="28"/>
          <w:szCs w:val="28"/>
        </w:rPr>
        <w:t xml:space="preserve">shtesat dhe </w:t>
      </w:r>
      <w:r w:rsidRPr="002612A0">
        <w:rPr>
          <w:rFonts w:ascii="Times New Roman" w:eastAsia="Times New Roman" w:hAnsi="Times New Roman" w:cs="Times New Roman"/>
          <w:sz w:val="28"/>
          <w:szCs w:val="28"/>
        </w:rPr>
        <w:t>ndryshimet e propozuara në këtë projektligj.</w:t>
      </w:r>
    </w:p>
    <w:p w14:paraId="56895D62"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6ED0622C" w14:textId="721D5972" w:rsidR="00D33783" w:rsidRPr="002612A0" w:rsidRDefault="00D33783" w:rsidP="002612A0">
      <w:pPr>
        <w:pStyle w:val="ListParagraph"/>
        <w:numPr>
          <w:ilvl w:val="0"/>
          <w:numId w:val="12"/>
        </w:numPr>
        <w:spacing w:after="0" w:line="276" w:lineRule="auto"/>
        <w:ind w:left="450" w:hanging="45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ARGUMENTIMI I PROJEKTLIGJIT LIDHUR ME PËRPARËSITË, PROBLEMATIKAT, EFEKTET E PRITSHME</w:t>
      </w:r>
    </w:p>
    <w:p w14:paraId="2BCD1B26" w14:textId="77777777" w:rsidR="005A4F42" w:rsidRPr="002612A0" w:rsidRDefault="005A4F42" w:rsidP="002612A0">
      <w:pPr>
        <w:pStyle w:val="ListParagraph"/>
        <w:spacing w:after="0" w:line="276" w:lineRule="auto"/>
        <w:ind w:left="360" w:hanging="360"/>
        <w:jc w:val="both"/>
        <w:rPr>
          <w:rFonts w:ascii="Times New Roman" w:eastAsia="Times New Roman" w:hAnsi="Times New Roman" w:cs="Times New Roman"/>
          <w:sz w:val="28"/>
          <w:szCs w:val="28"/>
        </w:rPr>
      </w:pPr>
    </w:p>
    <w:p w14:paraId="4B532F90" w14:textId="77777777"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 xml:space="preserve">Sistemi i pensioneve private në Republikën e Shqipërisë ndodhet në një fazë të hershme zhvillimi krahasuar me vendet e Bashkimit Europian. Megjithëse vitet e fundit është vërejtur një rritje graduale e numrit të anëtarëve dhe e aktiveve nën administrim, pjesëmarrja në fondet e pensionit privat mbetet relativisht e ulët në raport me popullsinë aktive dhe me nevojat afatgjata për kursime për moshën e pensioni. </w:t>
      </w:r>
    </w:p>
    <w:p w14:paraId="361ABCC9" w14:textId="77777777" w:rsidR="00D4401C" w:rsidRPr="002612A0" w:rsidRDefault="00D4401C" w:rsidP="002612A0">
      <w:pPr>
        <w:spacing w:after="0" w:line="276" w:lineRule="auto"/>
        <w:jc w:val="both"/>
        <w:rPr>
          <w:rFonts w:ascii="Times New Roman" w:eastAsia="Times New Roman" w:hAnsi="Times New Roman" w:cs="Times New Roman"/>
          <w:sz w:val="28"/>
          <w:szCs w:val="28"/>
          <w:lang w:eastAsia="sq-AL"/>
        </w:rPr>
      </w:pPr>
    </w:p>
    <w:p w14:paraId="515491A3" w14:textId="1B0BFCEE"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 xml:space="preserve">Tregu karakterizohet nga një pjesëmarrje e kufizuar e punëdhënësve në krijimin dhe financimin e skemave të pensionit për punëmarrësit, si dhe nga një nivel relativisht i ulët i ndërgjegjësimit të publikut mbi rëndësinë dhe përfitimet e kursimit afatgjatë për pension. </w:t>
      </w:r>
    </w:p>
    <w:p w14:paraId="575D9257" w14:textId="77777777" w:rsidR="00D4401C" w:rsidRPr="002612A0" w:rsidRDefault="00D4401C" w:rsidP="002612A0">
      <w:pPr>
        <w:spacing w:after="0" w:line="276" w:lineRule="auto"/>
        <w:jc w:val="both"/>
        <w:rPr>
          <w:rFonts w:ascii="Times New Roman" w:eastAsia="Times New Roman" w:hAnsi="Times New Roman" w:cs="Times New Roman"/>
          <w:sz w:val="28"/>
          <w:szCs w:val="28"/>
          <w:lang w:eastAsia="sq-AL"/>
        </w:rPr>
      </w:pPr>
    </w:p>
    <w:p w14:paraId="3463EA64" w14:textId="3AC94B61"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Zhvillimet demografike, përfshirë plakjen graduale të popullsisë, rritjen e jetëgjatësisë dhe ndryshimet në strukturën e tregut të punës, po rrisin rëndësinë e zhvillimit të tregut të pensioneve private në vend. Në këtë kontekst, fondet private të pensionit përbëjnë një instrument të rëndësishëm për plotësimin e të ardhurave të pensionit, diversifikimin e burimeve të të ardhurave për qytetarët dhe forcimin e sigurisë financiare në moshën e tretë.</w:t>
      </w:r>
    </w:p>
    <w:p w14:paraId="5AF8CCD2" w14:textId="77777777" w:rsidR="00A9156F" w:rsidRPr="002612A0" w:rsidRDefault="00A9156F" w:rsidP="002612A0">
      <w:pPr>
        <w:spacing w:after="0" w:line="276" w:lineRule="auto"/>
        <w:jc w:val="both"/>
        <w:rPr>
          <w:rFonts w:ascii="Times New Roman" w:eastAsia="Times New Roman" w:hAnsi="Times New Roman" w:cs="Times New Roman"/>
          <w:sz w:val="28"/>
          <w:szCs w:val="28"/>
          <w:lang w:eastAsia="sq-AL"/>
        </w:rPr>
      </w:pPr>
    </w:p>
    <w:p w14:paraId="7823BF70" w14:textId="35F2FC25"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lastRenderedPageBreak/>
        <w:t xml:space="preserve">Skemat e pensionit privat krijojnë përfitime të drejtpërdrejta për qytetarët, duke u mundësuar akumulimin e kursimeve afatgjata, përfitimin nga kthimet e investimeve në tregjet financiare, diversifikimin e burimeve të të ardhurave në pension dhe rritjen e mbrojtjes financiare pas përfundimit të jetës aktive të punës. </w:t>
      </w:r>
    </w:p>
    <w:p w14:paraId="6C0899E3" w14:textId="77777777" w:rsidR="00791A48" w:rsidRPr="002612A0" w:rsidRDefault="00791A48" w:rsidP="002612A0">
      <w:pPr>
        <w:spacing w:after="0" w:line="276" w:lineRule="auto"/>
        <w:jc w:val="both"/>
        <w:rPr>
          <w:rFonts w:ascii="Times New Roman" w:eastAsia="Times New Roman" w:hAnsi="Times New Roman" w:cs="Times New Roman"/>
          <w:sz w:val="28"/>
          <w:szCs w:val="28"/>
          <w:lang w:eastAsia="sq-AL"/>
        </w:rPr>
      </w:pPr>
    </w:p>
    <w:p w14:paraId="0E7425F9" w14:textId="7443E72D" w:rsidR="00F82E76" w:rsidRPr="002612A0" w:rsidRDefault="00F82E76"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Projektligji pritet të krijojë kushte më të favorshme për zhvillimin dhe konsolidimin e tregut të pensioneve private në Republikën e Shqipërisë, nëpërmjet modernizimit të kuadrit rregullator dhe përafrimit të tij me standardet e Bashkimit Evropian.</w:t>
      </w:r>
    </w:p>
    <w:p w14:paraId="4B720216" w14:textId="77777777" w:rsidR="00791A48" w:rsidRPr="002612A0" w:rsidRDefault="00791A48" w:rsidP="002612A0">
      <w:pPr>
        <w:spacing w:after="0" w:line="276" w:lineRule="auto"/>
        <w:jc w:val="both"/>
        <w:rPr>
          <w:rFonts w:ascii="Times New Roman" w:eastAsia="Times New Roman" w:hAnsi="Times New Roman" w:cs="Times New Roman"/>
          <w:sz w:val="28"/>
          <w:szCs w:val="28"/>
          <w:lang w:eastAsia="sq-AL"/>
        </w:rPr>
      </w:pPr>
    </w:p>
    <w:p w14:paraId="18E185B8" w14:textId="6B511E61" w:rsidR="00F82E76" w:rsidRPr="002612A0" w:rsidRDefault="00F82E76"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 xml:space="preserve">Në këtë drejtim, projektligji harmonizon rregullat që lidhen me investimin e aktiveve të fondeve të pensioneve, duke parashikuar zbatimin e parimit të </w:t>
      </w:r>
      <w:r w:rsidR="00791A48" w:rsidRPr="002612A0">
        <w:rPr>
          <w:rFonts w:ascii="Times New Roman" w:eastAsia="Times New Roman" w:hAnsi="Times New Roman" w:cs="Times New Roman"/>
          <w:sz w:val="28"/>
          <w:szCs w:val="28"/>
          <w:lang w:eastAsia="sq-AL"/>
        </w:rPr>
        <w:t>“</w:t>
      </w:r>
      <w:r w:rsidRPr="002612A0">
        <w:rPr>
          <w:rFonts w:ascii="Times New Roman" w:eastAsia="Times New Roman" w:hAnsi="Times New Roman" w:cs="Times New Roman"/>
          <w:sz w:val="28"/>
          <w:szCs w:val="28"/>
          <w:lang w:eastAsia="sq-AL"/>
        </w:rPr>
        <w:t>personit të kujdesshëm</w:t>
      </w:r>
      <w:r w:rsidR="00791A48" w:rsidRPr="002612A0">
        <w:rPr>
          <w:rFonts w:ascii="Times New Roman" w:eastAsia="Times New Roman" w:hAnsi="Times New Roman" w:cs="Times New Roman"/>
          <w:sz w:val="28"/>
          <w:szCs w:val="28"/>
          <w:lang w:eastAsia="sq-AL"/>
        </w:rPr>
        <w:t>”</w:t>
      </w:r>
      <w:r w:rsidRPr="002612A0">
        <w:rPr>
          <w:rFonts w:ascii="Times New Roman" w:eastAsia="Times New Roman" w:hAnsi="Times New Roman" w:cs="Times New Roman"/>
          <w:sz w:val="28"/>
          <w:szCs w:val="28"/>
          <w:lang w:eastAsia="sq-AL"/>
        </w:rPr>
        <w:t xml:space="preserve"> (prudent person principle), në përputhje me praktikat e Bashkimit Evropian. Ky parim synon të sigurojë që vendimet e investimit të bazohen në kritere të kujdesit profesional, diversifikimit të rrezikut, likuiditetit dhe rentabilitetit, duke garantuar administrimin e aktiveve të fondeve të pensioneve private në interesin më të mirë të anëtarëve dhe përfituesve. </w:t>
      </w:r>
    </w:p>
    <w:p w14:paraId="478B1240" w14:textId="77777777" w:rsidR="00791A48" w:rsidRPr="002612A0" w:rsidRDefault="00791A48" w:rsidP="002612A0">
      <w:pPr>
        <w:spacing w:after="0" w:line="276" w:lineRule="auto"/>
        <w:jc w:val="both"/>
        <w:rPr>
          <w:rFonts w:ascii="Times New Roman" w:eastAsia="Times New Roman" w:hAnsi="Times New Roman" w:cs="Times New Roman"/>
          <w:sz w:val="28"/>
          <w:szCs w:val="28"/>
          <w:lang w:eastAsia="sq-AL"/>
        </w:rPr>
      </w:pPr>
    </w:p>
    <w:p w14:paraId="1ED3A988" w14:textId="21049313" w:rsidR="00F82E76" w:rsidRPr="002612A0" w:rsidRDefault="00F82E76"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Gjithashtu, projektligji parashikon mundësinë e përdorimit të depozitarëve dhe menaxherëve të investimeve të autorizuar në një shtet anëtar të Bashkimit Evropian, duke krijuar një mjedis më të hapur dhe konkurrues për ofrimin e këtyre shërbimeve. Kjo pritet të rrisë nivelin e profesionalizmit në administrimin e aktiveve, të lehtësojë transferimin e ekspertizës dhe praktikave më të mira evropiane, si dhe të përmirësojë cilësinë dhe efikasitetin e shërbimeve të ofruara në tregun e pensioneve private.</w:t>
      </w:r>
    </w:p>
    <w:p w14:paraId="0B4DABFE" w14:textId="77777777" w:rsidR="00791A48" w:rsidRPr="002612A0" w:rsidRDefault="00791A48" w:rsidP="002612A0">
      <w:pPr>
        <w:spacing w:after="0" w:line="276" w:lineRule="auto"/>
        <w:jc w:val="both"/>
        <w:rPr>
          <w:rFonts w:ascii="Times New Roman" w:eastAsia="Times New Roman" w:hAnsi="Times New Roman" w:cs="Times New Roman"/>
          <w:sz w:val="28"/>
          <w:szCs w:val="28"/>
          <w:lang w:eastAsia="sq-AL"/>
        </w:rPr>
      </w:pPr>
    </w:p>
    <w:p w14:paraId="391B7709" w14:textId="52345EAD"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Projektligji synon të krijojë një kuadër ligjor plotësisht të harmonizuar me Direktivën IORP II. Nëpërmjet forcimit të kërkesave për qeverisjen, menaxhimin e rrezikut, funksionet kyçe dhe transparencën, projektligji rrit nivelin e mbrojtjes së anëtarëve dhe përfituesve të fondeve të pensionit. Në të njëjtën kohë, ai krijon kushte për administrim më profesional dhe më të sigurt të aktiveve t</w:t>
      </w:r>
      <w:r w:rsidR="00205C2B" w:rsidRPr="002612A0">
        <w:rPr>
          <w:rFonts w:ascii="Times New Roman" w:eastAsia="Times New Roman" w:hAnsi="Times New Roman" w:cs="Times New Roman"/>
          <w:sz w:val="28"/>
          <w:szCs w:val="28"/>
          <w:lang w:eastAsia="sq-AL"/>
        </w:rPr>
        <w:t>ë</w:t>
      </w:r>
      <w:r w:rsidRPr="002612A0">
        <w:rPr>
          <w:rFonts w:ascii="Times New Roman" w:eastAsia="Times New Roman" w:hAnsi="Times New Roman" w:cs="Times New Roman"/>
          <w:sz w:val="28"/>
          <w:szCs w:val="28"/>
          <w:lang w:eastAsia="sq-AL"/>
        </w:rPr>
        <w:t xml:space="preserve"> fon</w:t>
      </w:r>
      <w:r w:rsidR="00791A48" w:rsidRPr="002612A0">
        <w:rPr>
          <w:rFonts w:ascii="Times New Roman" w:eastAsia="Times New Roman" w:hAnsi="Times New Roman" w:cs="Times New Roman"/>
          <w:sz w:val="28"/>
          <w:szCs w:val="28"/>
          <w:lang w:eastAsia="sq-AL"/>
        </w:rPr>
        <w:t>d</w:t>
      </w:r>
      <w:r w:rsidRPr="002612A0">
        <w:rPr>
          <w:rFonts w:ascii="Times New Roman" w:eastAsia="Times New Roman" w:hAnsi="Times New Roman" w:cs="Times New Roman"/>
          <w:sz w:val="28"/>
          <w:szCs w:val="28"/>
          <w:lang w:eastAsia="sq-AL"/>
        </w:rPr>
        <w:t>eve të p</w:t>
      </w:r>
      <w:r w:rsidR="00791A48" w:rsidRPr="002612A0">
        <w:rPr>
          <w:rFonts w:ascii="Times New Roman" w:eastAsia="Times New Roman" w:hAnsi="Times New Roman" w:cs="Times New Roman"/>
          <w:sz w:val="28"/>
          <w:szCs w:val="28"/>
          <w:lang w:eastAsia="sq-AL"/>
        </w:rPr>
        <w:t>e</w:t>
      </w:r>
      <w:r w:rsidRPr="002612A0">
        <w:rPr>
          <w:rFonts w:ascii="Times New Roman" w:eastAsia="Times New Roman" w:hAnsi="Times New Roman" w:cs="Times New Roman"/>
          <w:sz w:val="28"/>
          <w:szCs w:val="28"/>
          <w:lang w:eastAsia="sq-AL"/>
        </w:rPr>
        <w:t>nsionit privat, duke forcuar besimin e publikut ndaj sistemit të pensioneve private.</w:t>
      </w:r>
    </w:p>
    <w:p w14:paraId="502BA3EA" w14:textId="77777777" w:rsidR="00791A48" w:rsidRPr="002612A0" w:rsidRDefault="00791A48" w:rsidP="002612A0">
      <w:pPr>
        <w:spacing w:after="0" w:line="276" w:lineRule="auto"/>
        <w:jc w:val="both"/>
        <w:rPr>
          <w:rFonts w:ascii="Times New Roman" w:eastAsia="Times New Roman" w:hAnsi="Times New Roman" w:cs="Times New Roman"/>
          <w:sz w:val="28"/>
          <w:szCs w:val="28"/>
          <w:lang w:eastAsia="sq-AL"/>
        </w:rPr>
      </w:pPr>
    </w:p>
    <w:p w14:paraId="6DB269AF" w14:textId="0E6266C2"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 xml:space="preserve">Një nga risitë më të rëndësishme të projektligjit është krijimi i kuadrit të plotë për ushtrimin e veprimtarisë ndërkufitare dhe transferimet ndërkufitare të skemave të pensionit, në përputhje me parimet e tregut të brendshëm evropian. Këto dispozita </w:t>
      </w:r>
      <w:r w:rsidRPr="002612A0">
        <w:rPr>
          <w:rFonts w:ascii="Times New Roman" w:eastAsia="Times New Roman" w:hAnsi="Times New Roman" w:cs="Times New Roman"/>
          <w:sz w:val="28"/>
          <w:szCs w:val="28"/>
          <w:lang w:eastAsia="sq-AL"/>
        </w:rPr>
        <w:lastRenderedPageBreak/>
        <w:t>janë veçanërisht të rëndësishme në kushtet e mobilitetit në rritje të fuqisë punëtore dhe do të mundësojnë ruajtjen dhe transferimin më të lehtë të të drejtave të pensionit të punëmarrësve që lëvizin ndërmjet Shqipërisë dhe vendeve anëtare të Bashkimit E</w:t>
      </w:r>
      <w:r w:rsidR="00791A48" w:rsidRPr="002612A0">
        <w:rPr>
          <w:rFonts w:ascii="Times New Roman" w:eastAsia="Times New Roman" w:hAnsi="Times New Roman" w:cs="Times New Roman"/>
          <w:sz w:val="28"/>
          <w:szCs w:val="28"/>
          <w:lang w:eastAsia="sq-AL"/>
        </w:rPr>
        <w:t>v</w:t>
      </w:r>
      <w:r w:rsidRPr="002612A0">
        <w:rPr>
          <w:rFonts w:ascii="Times New Roman" w:eastAsia="Times New Roman" w:hAnsi="Times New Roman" w:cs="Times New Roman"/>
          <w:sz w:val="28"/>
          <w:szCs w:val="28"/>
          <w:lang w:eastAsia="sq-AL"/>
        </w:rPr>
        <w:t>ropian.</w:t>
      </w:r>
    </w:p>
    <w:p w14:paraId="0DA50958" w14:textId="77777777" w:rsidR="00791A48" w:rsidRPr="002612A0" w:rsidRDefault="00791A48" w:rsidP="002612A0">
      <w:pPr>
        <w:spacing w:after="0" w:line="276" w:lineRule="auto"/>
        <w:jc w:val="both"/>
        <w:rPr>
          <w:rFonts w:ascii="Times New Roman" w:eastAsia="Times New Roman" w:hAnsi="Times New Roman" w:cs="Times New Roman"/>
          <w:sz w:val="28"/>
          <w:szCs w:val="28"/>
          <w:lang w:eastAsia="sq-AL"/>
        </w:rPr>
      </w:pPr>
    </w:p>
    <w:p w14:paraId="708D6179" w14:textId="2207506C"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Në aspektin institucional, projektligji forcon kapacitetet mbikëqyrëse të Autoritetit të Mbikëqyrjes Financiare, duke konsoliduar qasjen e mbikëqyrjes së bazuar në rrezik, duke përmirësuar mekanizmat e bashkëpunimit me autoritetet homologe europiane dhe duke rritur transparencën dhe llogaridhënien e procesit mbikëqyrës.</w:t>
      </w:r>
    </w:p>
    <w:p w14:paraId="6F2AEDBD" w14:textId="77777777" w:rsidR="00971277" w:rsidRPr="002612A0" w:rsidRDefault="00971277" w:rsidP="002612A0">
      <w:pPr>
        <w:spacing w:after="0" w:line="276" w:lineRule="auto"/>
        <w:jc w:val="both"/>
        <w:rPr>
          <w:rFonts w:ascii="Times New Roman" w:eastAsia="Times New Roman" w:hAnsi="Times New Roman" w:cs="Times New Roman"/>
          <w:sz w:val="28"/>
          <w:szCs w:val="28"/>
          <w:lang w:eastAsia="sq-AL"/>
        </w:rPr>
      </w:pPr>
    </w:p>
    <w:p w14:paraId="7AE14561" w14:textId="6425B011"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 xml:space="preserve">Në planin afatgjatë, miratimi i projektligjit pritet të kontribuojë në rritjen e pjesëmarrjes në fondet private të pensionit, të garantojë mbrojtjen e kursimeve për pension të qytetarëve, zhvillimin e tregut financiar vendas, rritjen e stabilitetit të sistemit të pensioneve private dhe </w:t>
      </w:r>
      <w:r w:rsidR="00971277" w:rsidRPr="002612A0">
        <w:rPr>
          <w:rFonts w:ascii="Times New Roman" w:eastAsia="Times New Roman" w:hAnsi="Times New Roman" w:cs="Times New Roman"/>
          <w:sz w:val="28"/>
          <w:szCs w:val="28"/>
          <w:lang w:eastAsia="sq-AL"/>
        </w:rPr>
        <w:t>plot</w:t>
      </w:r>
      <w:r w:rsidR="00205C2B" w:rsidRPr="002612A0">
        <w:rPr>
          <w:rFonts w:ascii="Times New Roman" w:eastAsia="Times New Roman" w:hAnsi="Times New Roman" w:cs="Times New Roman"/>
          <w:sz w:val="28"/>
          <w:szCs w:val="28"/>
          <w:lang w:eastAsia="sq-AL"/>
        </w:rPr>
        <w:t>ë</w:t>
      </w:r>
      <w:r w:rsidR="00971277" w:rsidRPr="002612A0">
        <w:rPr>
          <w:rFonts w:ascii="Times New Roman" w:eastAsia="Times New Roman" w:hAnsi="Times New Roman" w:cs="Times New Roman"/>
          <w:sz w:val="28"/>
          <w:szCs w:val="28"/>
          <w:lang w:eastAsia="sq-AL"/>
        </w:rPr>
        <w:t>simin e kushteve t</w:t>
      </w:r>
      <w:r w:rsidR="00205C2B" w:rsidRPr="002612A0">
        <w:rPr>
          <w:rFonts w:ascii="Times New Roman" w:eastAsia="Times New Roman" w:hAnsi="Times New Roman" w:cs="Times New Roman"/>
          <w:sz w:val="28"/>
          <w:szCs w:val="28"/>
          <w:lang w:eastAsia="sq-AL"/>
        </w:rPr>
        <w:t>ë</w:t>
      </w:r>
      <w:r w:rsidRPr="002612A0">
        <w:rPr>
          <w:rFonts w:ascii="Times New Roman" w:eastAsia="Times New Roman" w:hAnsi="Times New Roman" w:cs="Times New Roman"/>
          <w:sz w:val="28"/>
          <w:szCs w:val="28"/>
          <w:lang w:eastAsia="sq-AL"/>
        </w:rPr>
        <w:t xml:space="preserve"> procesit të integrimit të Shqipërisë në Bashkimi</w:t>
      </w:r>
      <w:r w:rsidR="00971277" w:rsidRPr="002612A0">
        <w:rPr>
          <w:rFonts w:ascii="Times New Roman" w:eastAsia="Times New Roman" w:hAnsi="Times New Roman" w:cs="Times New Roman"/>
          <w:sz w:val="28"/>
          <w:szCs w:val="28"/>
          <w:lang w:eastAsia="sq-AL"/>
        </w:rPr>
        <w:t>n</w:t>
      </w:r>
      <w:r w:rsidRPr="002612A0">
        <w:rPr>
          <w:rFonts w:ascii="Times New Roman" w:eastAsia="Times New Roman" w:hAnsi="Times New Roman" w:cs="Times New Roman"/>
          <w:sz w:val="28"/>
          <w:szCs w:val="28"/>
          <w:lang w:eastAsia="sq-AL"/>
        </w:rPr>
        <w:t xml:space="preserve"> Evropian.</w:t>
      </w:r>
    </w:p>
    <w:p w14:paraId="592E2A89" w14:textId="77777777" w:rsidR="00791A48" w:rsidRPr="002612A0" w:rsidRDefault="00791A48" w:rsidP="002612A0">
      <w:pPr>
        <w:spacing w:after="0" w:line="276" w:lineRule="auto"/>
        <w:jc w:val="both"/>
        <w:rPr>
          <w:rFonts w:ascii="Times New Roman" w:eastAsia="Times New Roman" w:hAnsi="Times New Roman" w:cs="Times New Roman"/>
          <w:sz w:val="28"/>
          <w:szCs w:val="28"/>
          <w:lang w:eastAsia="sq-AL"/>
        </w:rPr>
      </w:pPr>
    </w:p>
    <w:p w14:paraId="09A9D689" w14:textId="77777777" w:rsidR="0083219B" w:rsidRPr="002612A0" w:rsidRDefault="00954C34"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 xml:space="preserve">Ndryshimet e propozuara pritet të ndikojnë pozitivisht në rritjen e konkurrencës, zhvillimin e tregut, zgjerimin e mundësive për investim dhe administrimin më efikas të aktiveve të fondeve të pensioneve, duke garantuar njëkohësisht mbrojtjen e interesave të anëtarëve dhe përfituesve. </w:t>
      </w:r>
    </w:p>
    <w:p w14:paraId="0819795F" w14:textId="77777777" w:rsidR="0083219B" w:rsidRPr="002612A0" w:rsidRDefault="0083219B" w:rsidP="002612A0">
      <w:pPr>
        <w:spacing w:after="0" w:line="276" w:lineRule="auto"/>
        <w:jc w:val="both"/>
        <w:rPr>
          <w:rFonts w:ascii="Times New Roman" w:eastAsia="Times New Roman" w:hAnsi="Times New Roman" w:cs="Times New Roman"/>
          <w:sz w:val="28"/>
          <w:szCs w:val="28"/>
          <w:lang w:eastAsia="sq-AL"/>
        </w:rPr>
      </w:pPr>
    </w:p>
    <w:p w14:paraId="2F2FA621" w14:textId="5397F832" w:rsidR="00954C34" w:rsidRPr="002612A0" w:rsidRDefault="00954C34"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lang w:eastAsia="sq-AL"/>
        </w:rPr>
        <w:t>Në tërësi, projektligji kontribuon në rritjen e qëndrueshmërisë, transparencës dhe integritetit të tregut, si dhe në forcimin e besimit të publikut ndaj skemave të pensioneve private, në përputhje me objektivat e zhvillimit të tregut financiar dhe procesin e integrimit evropian.</w:t>
      </w:r>
    </w:p>
    <w:p w14:paraId="679EEEFD" w14:textId="77777777" w:rsidR="0083219B" w:rsidRPr="002612A0" w:rsidRDefault="0083219B" w:rsidP="002612A0">
      <w:pPr>
        <w:spacing w:after="0" w:line="276" w:lineRule="auto"/>
        <w:jc w:val="both"/>
        <w:rPr>
          <w:rFonts w:ascii="Times New Roman" w:eastAsia="Times New Roman" w:hAnsi="Times New Roman" w:cs="Times New Roman"/>
          <w:sz w:val="28"/>
          <w:szCs w:val="28"/>
        </w:rPr>
      </w:pPr>
    </w:p>
    <w:p w14:paraId="52051E9F" w14:textId="17B057E8"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r w:rsidRPr="002612A0">
        <w:rPr>
          <w:rFonts w:ascii="Times New Roman" w:eastAsia="Times New Roman" w:hAnsi="Times New Roman" w:cs="Times New Roman"/>
          <w:sz w:val="28"/>
          <w:szCs w:val="28"/>
        </w:rPr>
        <w:t xml:space="preserve">Projektligji sjell një sërë risish dhe përmirësimesh në krahasim me ligjin </w:t>
      </w:r>
      <w:r w:rsidR="00971277" w:rsidRPr="002612A0">
        <w:rPr>
          <w:rFonts w:ascii="Times New Roman" w:eastAsia="Times New Roman" w:hAnsi="Times New Roman" w:cs="Times New Roman"/>
          <w:sz w:val="28"/>
          <w:szCs w:val="28"/>
        </w:rPr>
        <w:t>nr.</w:t>
      </w:r>
      <w:r w:rsidRPr="002612A0">
        <w:rPr>
          <w:rFonts w:ascii="Times New Roman" w:eastAsia="Times New Roman" w:hAnsi="Times New Roman" w:cs="Times New Roman"/>
          <w:sz w:val="28"/>
          <w:szCs w:val="28"/>
        </w:rPr>
        <w:t>76/2023</w:t>
      </w:r>
      <w:r w:rsidR="0083219B" w:rsidRPr="002612A0">
        <w:rPr>
          <w:rFonts w:ascii="Times New Roman" w:eastAsia="Times New Roman" w:hAnsi="Times New Roman" w:cs="Times New Roman"/>
          <w:sz w:val="28"/>
          <w:szCs w:val="28"/>
        </w:rPr>
        <w:t xml:space="preserve"> “Për fondet e pensionit privat”</w:t>
      </w:r>
      <w:r w:rsidRPr="002612A0">
        <w:rPr>
          <w:rFonts w:ascii="Times New Roman" w:eastAsia="Times New Roman" w:hAnsi="Times New Roman" w:cs="Times New Roman"/>
          <w:sz w:val="28"/>
          <w:szCs w:val="28"/>
        </w:rPr>
        <w:t xml:space="preserve">. </w:t>
      </w:r>
      <w:r w:rsidR="00FF3B2F" w:rsidRPr="002612A0">
        <w:rPr>
          <w:rFonts w:ascii="Times New Roman" w:eastAsia="Times New Roman" w:hAnsi="Times New Roman" w:cs="Times New Roman"/>
          <w:sz w:val="28"/>
          <w:szCs w:val="28"/>
          <w:lang w:eastAsia="sq-AL"/>
        </w:rPr>
        <w:t xml:space="preserve">Risitë e parashikuara në projektligj përbëjnë përparësitë kryesore të tij dhe reflektojnë ndryshimet thelbësore të propozuara në kuadrin ligjor. Këto risi paraqiten më poshtë, të grupuara sipas fushave kryesore të ndërhyrjes: </w:t>
      </w:r>
    </w:p>
    <w:p w14:paraId="00560CB0" w14:textId="77777777" w:rsidR="0083219B" w:rsidRPr="002612A0" w:rsidRDefault="0083219B" w:rsidP="002612A0">
      <w:pPr>
        <w:spacing w:after="0" w:line="276" w:lineRule="auto"/>
        <w:jc w:val="both"/>
        <w:rPr>
          <w:rFonts w:ascii="Times New Roman" w:eastAsia="Times New Roman" w:hAnsi="Times New Roman" w:cs="Times New Roman"/>
          <w:sz w:val="28"/>
          <w:szCs w:val="28"/>
        </w:rPr>
      </w:pPr>
    </w:p>
    <w:p w14:paraId="2974A36A" w14:textId="21F76D8F" w:rsidR="00D33783" w:rsidRPr="002612A0" w:rsidRDefault="00B14843" w:rsidP="002612A0">
      <w:pPr>
        <w:pStyle w:val="ListParagraph"/>
        <w:numPr>
          <w:ilvl w:val="0"/>
          <w:numId w:val="13"/>
        </w:numPr>
        <w:spacing w:after="0" w:line="276" w:lineRule="auto"/>
        <w:ind w:left="360"/>
        <w:jc w:val="both"/>
        <w:rPr>
          <w:rFonts w:ascii="Times New Roman" w:eastAsia="Times New Roman" w:hAnsi="Times New Roman" w:cs="Times New Roman"/>
          <w:b/>
          <w:sz w:val="28"/>
          <w:szCs w:val="28"/>
          <w:lang w:eastAsia="sq-AL"/>
        </w:rPr>
      </w:pPr>
      <w:r w:rsidRPr="002612A0">
        <w:rPr>
          <w:rFonts w:ascii="Times New Roman" w:eastAsia="Times New Roman" w:hAnsi="Times New Roman" w:cs="Times New Roman"/>
          <w:b/>
          <w:sz w:val="28"/>
          <w:szCs w:val="28"/>
          <w:lang w:eastAsia="sq-AL"/>
        </w:rPr>
        <w:t>Objekti dhe f</w:t>
      </w:r>
      <w:r w:rsidR="00D33783" w:rsidRPr="002612A0">
        <w:rPr>
          <w:rFonts w:ascii="Times New Roman" w:eastAsia="Times New Roman" w:hAnsi="Times New Roman" w:cs="Times New Roman"/>
          <w:b/>
          <w:sz w:val="28"/>
          <w:szCs w:val="28"/>
          <w:lang w:eastAsia="sq-AL"/>
        </w:rPr>
        <w:t xml:space="preserve">usha e zbatimit </w:t>
      </w:r>
    </w:p>
    <w:p w14:paraId="04C55917" w14:textId="77777777" w:rsidR="0083219B" w:rsidRPr="002612A0" w:rsidRDefault="0083219B" w:rsidP="002612A0">
      <w:pPr>
        <w:pStyle w:val="ListParagraph"/>
        <w:spacing w:after="0" w:line="276" w:lineRule="auto"/>
        <w:jc w:val="both"/>
        <w:rPr>
          <w:rFonts w:ascii="Times New Roman" w:eastAsia="Times New Roman" w:hAnsi="Times New Roman" w:cs="Times New Roman"/>
          <w:b/>
          <w:sz w:val="28"/>
          <w:szCs w:val="28"/>
          <w:lang w:eastAsia="sq-AL"/>
        </w:rPr>
      </w:pPr>
    </w:p>
    <w:p w14:paraId="7AADD153" w14:textId="77777777" w:rsidR="00B14843" w:rsidRPr="002612A0" w:rsidRDefault="00B1484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riformulon dhe zgjeron dispozitat që përcaktojnë objektin dhe qëllimin e tij, në përputhje me kërkesat e Direktivës IORP II. Krahas përafrimit </w:t>
      </w:r>
      <w:r w:rsidRPr="002612A0">
        <w:rPr>
          <w:rFonts w:ascii="Times New Roman" w:eastAsia="Times New Roman" w:hAnsi="Times New Roman" w:cs="Times New Roman"/>
          <w:sz w:val="28"/>
          <w:szCs w:val="28"/>
        </w:rPr>
        <w:lastRenderedPageBreak/>
        <w:t xml:space="preserve">të objektit të rregullimit me standardet evropiane, projektligji parashikon, për herë të parë, dispozita të posaçme që përcaktojnë në mënyrë të qartë përjashtimet nga fusha e zbatimit të tij. Këto dispozita synojnë të qartësojnë </w:t>
      </w:r>
      <w:r w:rsidR="00623EBF" w:rsidRPr="002612A0">
        <w:rPr>
          <w:rFonts w:ascii="Times New Roman" w:eastAsia="Times New Roman" w:hAnsi="Times New Roman" w:cs="Times New Roman"/>
          <w:sz w:val="28"/>
          <w:szCs w:val="28"/>
        </w:rPr>
        <w:t>fushën</w:t>
      </w:r>
      <w:r w:rsidRPr="002612A0">
        <w:rPr>
          <w:rFonts w:ascii="Times New Roman" w:eastAsia="Times New Roman" w:hAnsi="Times New Roman" w:cs="Times New Roman"/>
          <w:sz w:val="28"/>
          <w:szCs w:val="28"/>
        </w:rPr>
        <w:t xml:space="preserve"> e zbatimit të projektligjit dhe raportin e tij me kuadrin ligjor që rregullon sektorë të tjerë të tregut financiar, veçanërisht në fushën e sigurimeve, fondeve të investimit dhe institucioneve të kreditit,</w:t>
      </w:r>
      <w:r w:rsidR="00E32919" w:rsidRPr="002612A0">
        <w:rPr>
          <w:rFonts w:ascii="Times New Roman" w:eastAsia="Times New Roman" w:hAnsi="Times New Roman" w:cs="Times New Roman"/>
          <w:sz w:val="28"/>
          <w:szCs w:val="28"/>
        </w:rPr>
        <w:t xml:space="preserve"> për aq sa ato ushtrojnë veprimtari bankare dhe financiare të rregulluara nga legjislacioni në fuqi,</w:t>
      </w:r>
      <w:r w:rsidRPr="002612A0">
        <w:rPr>
          <w:rFonts w:ascii="Times New Roman" w:eastAsia="Times New Roman" w:hAnsi="Times New Roman" w:cs="Times New Roman"/>
          <w:sz w:val="28"/>
          <w:szCs w:val="28"/>
        </w:rPr>
        <w:t xml:space="preserve"> </w:t>
      </w:r>
      <w:r w:rsidR="00623EBF" w:rsidRPr="002612A0">
        <w:rPr>
          <w:rFonts w:ascii="Times New Roman" w:eastAsia="Times New Roman" w:hAnsi="Times New Roman" w:cs="Times New Roman"/>
          <w:sz w:val="28"/>
          <w:szCs w:val="28"/>
        </w:rPr>
        <w:t>për të</w:t>
      </w:r>
      <w:r w:rsidRPr="002612A0">
        <w:rPr>
          <w:rFonts w:ascii="Times New Roman" w:eastAsia="Times New Roman" w:hAnsi="Times New Roman" w:cs="Times New Roman"/>
          <w:sz w:val="28"/>
          <w:szCs w:val="28"/>
        </w:rPr>
        <w:t xml:space="preserve"> shmangur mbivendosjen dhe pasiguritë në interpretimin e legjislacionit.</w:t>
      </w:r>
    </w:p>
    <w:p w14:paraId="794469B7" w14:textId="77777777" w:rsidR="00D33783" w:rsidRPr="002612A0" w:rsidRDefault="00D33783" w:rsidP="002612A0">
      <w:pPr>
        <w:spacing w:after="0" w:line="276" w:lineRule="auto"/>
        <w:jc w:val="both"/>
        <w:rPr>
          <w:rFonts w:ascii="Times New Roman" w:eastAsia="Times New Roman" w:hAnsi="Times New Roman" w:cs="Times New Roman"/>
          <w:sz w:val="28"/>
          <w:szCs w:val="28"/>
          <w:lang w:eastAsia="sq-AL"/>
        </w:rPr>
      </w:pPr>
    </w:p>
    <w:p w14:paraId="50988864" w14:textId="065007B2"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Kuadri i ri p</w:t>
      </w:r>
      <w:r w:rsidR="00CB0EF3" w:rsidRPr="002612A0">
        <w:rPr>
          <w:rFonts w:ascii="Times New Roman" w:eastAsia="Times New Roman" w:hAnsi="Times New Roman" w:cs="Times New Roman"/>
          <w:b/>
          <w:bCs/>
          <w:sz w:val="28"/>
          <w:szCs w:val="28"/>
        </w:rPr>
        <w:t>ë</w:t>
      </w:r>
      <w:r w:rsidRPr="002612A0">
        <w:rPr>
          <w:rFonts w:ascii="Times New Roman" w:eastAsia="Times New Roman" w:hAnsi="Times New Roman" w:cs="Times New Roman"/>
          <w:b/>
          <w:bCs/>
          <w:sz w:val="28"/>
          <w:szCs w:val="28"/>
        </w:rPr>
        <w:t>r veprimtarinë ndërkufitare</w:t>
      </w:r>
    </w:p>
    <w:p w14:paraId="7CF2B67E" w14:textId="77777777" w:rsidR="00476CC6" w:rsidRPr="002612A0" w:rsidRDefault="00476CC6" w:rsidP="002612A0">
      <w:pPr>
        <w:pStyle w:val="ListParagraph"/>
        <w:spacing w:after="0" w:line="276" w:lineRule="auto"/>
        <w:ind w:left="360" w:hanging="360"/>
        <w:jc w:val="both"/>
        <w:rPr>
          <w:rFonts w:ascii="Times New Roman" w:eastAsia="Times New Roman" w:hAnsi="Times New Roman" w:cs="Times New Roman"/>
          <w:sz w:val="28"/>
          <w:szCs w:val="28"/>
        </w:rPr>
      </w:pPr>
    </w:p>
    <w:p w14:paraId="06B5485C" w14:textId="02279164"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rindërton tërësisht sistemin e veprimtarisë ndërkufitare, duke krijuar mekanizmin </w:t>
      </w:r>
      <w:r w:rsidR="00476CC6" w:rsidRPr="002612A0">
        <w:rPr>
          <w:rFonts w:ascii="Times New Roman" w:eastAsia="Times New Roman" w:hAnsi="Times New Roman" w:cs="Times New Roman"/>
          <w:sz w:val="28"/>
          <w:szCs w:val="28"/>
        </w:rPr>
        <w:t>“</w:t>
      </w:r>
      <w:r w:rsidR="00B822CA" w:rsidRPr="002612A0">
        <w:rPr>
          <w:rFonts w:ascii="Times New Roman" w:eastAsia="Times New Roman" w:hAnsi="Times New Roman" w:cs="Times New Roman"/>
          <w:sz w:val="28"/>
          <w:szCs w:val="28"/>
        </w:rPr>
        <w:t>shtet anëtar i</w:t>
      </w:r>
      <w:r w:rsidRPr="002612A0">
        <w:rPr>
          <w:rFonts w:ascii="Times New Roman" w:eastAsia="Times New Roman" w:hAnsi="Times New Roman" w:cs="Times New Roman"/>
          <w:sz w:val="28"/>
          <w:szCs w:val="28"/>
        </w:rPr>
        <w:t xml:space="preserve"> origjin</w:t>
      </w:r>
      <w:r w:rsidR="00CC3B53" w:rsidRPr="002612A0">
        <w:rPr>
          <w:rFonts w:ascii="Times New Roman" w:eastAsia="Times New Roman" w:hAnsi="Times New Roman" w:cs="Times New Roman"/>
          <w:sz w:val="28"/>
          <w:szCs w:val="28"/>
        </w:rPr>
        <w:t>ës</w:t>
      </w:r>
      <w:r w:rsidRPr="002612A0">
        <w:rPr>
          <w:rFonts w:ascii="Times New Roman" w:eastAsia="Times New Roman" w:hAnsi="Times New Roman" w:cs="Times New Roman"/>
          <w:sz w:val="28"/>
          <w:szCs w:val="28"/>
        </w:rPr>
        <w:t xml:space="preserve"> </w:t>
      </w:r>
      <w:r w:rsidR="00E7552C"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r w:rsidR="00E7552C" w:rsidRPr="002612A0">
        <w:rPr>
          <w:rFonts w:ascii="Times New Roman" w:eastAsia="Times New Roman" w:hAnsi="Times New Roman" w:cs="Times New Roman"/>
          <w:sz w:val="28"/>
          <w:szCs w:val="28"/>
        </w:rPr>
        <w:t>shtet anëtar</w:t>
      </w:r>
      <w:r w:rsidRPr="002612A0">
        <w:rPr>
          <w:rFonts w:ascii="Times New Roman" w:eastAsia="Times New Roman" w:hAnsi="Times New Roman" w:cs="Times New Roman"/>
          <w:sz w:val="28"/>
          <w:szCs w:val="28"/>
        </w:rPr>
        <w:t xml:space="preserve"> pritës</w:t>
      </w:r>
      <w:r w:rsidR="00476CC6"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(home-host) të parashikuar nga Direktiva IORP II. </w:t>
      </w:r>
      <w:r w:rsidR="00FC12BE" w:rsidRPr="002612A0">
        <w:rPr>
          <w:rFonts w:ascii="Times New Roman" w:eastAsia="Times New Roman" w:hAnsi="Times New Roman" w:cs="Times New Roman"/>
          <w:sz w:val="28"/>
          <w:szCs w:val="28"/>
        </w:rPr>
        <w:t>N</w:t>
      </w:r>
      <w:r w:rsidR="00205C2B" w:rsidRPr="002612A0">
        <w:rPr>
          <w:rFonts w:ascii="Times New Roman" w:eastAsia="Times New Roman" w:hAnsi="Times New Roman" w:cs="Times New Roman"/>
          <w:sz w:val="28"/>
          <w:szCs w:val="28"/>
        </w:rPr>
        <w:t>ë</w:t>
      </w:r>
      <w:r w:rsidR="00FC12BE" w:rsidRPr="002612A0">
        <w:rPr>
          <w:rFonts w:ascii="Times New Roman" w:eastAsia="Times New Roman" w:hAnsi="Times New Roman" w:cs="Times New Roman"/>
          <w:sz w:val="28"/>
          <w:szCs w:val="28"/>
        </w:rPr>
        <w:t xml:space="preserve"> projektligj p</w:t>
      </w:r>
      <w:r w:rsidRPr="002612A0">
        <w:rPr>
          <w:rFonts w:ascii="Times New Roman" w:eastAsia="Times New Roman" w:hAnsi="Times New Roman" w:cs="Times New Roman"/>
          <w:sz w:val="28"/>
          <w:szCs w:val="28"/>
        </w:rPr>
        <w:t xml:space="preserve">arashikohet procedura e plotë e njoftimit ndërmjet autoriteteve kompetente, me afate të përcaktuara (3 muaj për autoritetin e origjinës, 6 javë për autoritetin pritës), si dhe respektimi i legjislacionit të punës dhe </w:t>
      </w:r>
      <w:r w:rsidR="004D1F7F" w:rsidRPr="002612A0">
        <w:rPr>
          <w:rFonts w:ascii="Times New Roman" w:eastAsia="Times New Roman" w:hAnsi="Times New Roman" w:cs="Times New Roman"/>
          <w:sz w:val="28"/>
          <w:szCs w:val="28"/>
        </w:rPr>
        <w:t xml:space="preserve">të </w:t>
      </w:r>
      <w:r w:rsidRPr="002612A0">
        <w:rPr>
          <w:rFonts w:ascii="Times New Roman" w:eastAsia="Times New Roman" w:hAnsi="Times New Roman" w:cs="Times New Roman"/>
          <w:sz w:val="28"/>
          <w:szCs w:val="28"/>
        </w:rPr>
        <w:t>mbrojtjes shoqërore (sigurimeve shoqërore) të vendit pritës. Simetrikisht, lejohet hyrja e shoqërive administruese dhe institucioneve të pensionit profesional të licencuara në vendet anëtare të BE-së për të administruar fonde pensioni me pjesëmarrje të mbyllur për sponsorë në Shqipëri, pa autorizim shtesë. Këto dispozita hyjnë në fuqi me anëtarësimin e Shqipërisë në BE.</w:t>
      </w:r>
    </w:p>
    <w:p w14:paraId="61C6EB5F" w14:textId="77777777" w:rsidR="00946E73" w:rsidRPr="002612A0" w:rsidRDefault="00946E73" w:rsidP="002612A0">
      <w:pPr>
        <w:spacing w:after="0" w:line="276" w:lineRule="auto"/>
        <w:jc w:val="both"/>
        <w:rPr>
          <w:rFonts w:ascii="Times New Roman" w:eastAsia="Times New Roman" w:hAnsi="Times New Roman" w:cs="Times New Roman"/>
          <w:sz w:val="28"/>
          <w:szCs w:val="28"/>
        </w:rPr>
      </w:pPr>
    </w:p>
    <w:p w14:paraId="4FA46C47" w14:textId="77777777" w:rsidR="004F0699" w:rsidRPr="002612A0" w:rsidRDefault="004F0699" w:rsidP="002612A0">
      <w:pPr>
        <w:spacing w:after="0" w:line="276" w:lineRule="auto"/>
        <w:jc w:val="both"/>
        <w:rPr>
          <w:rFonts w:ascii="Times New Roman" w:eastAsia="Times New Roman" w:hAnsi="Times New Roman" w:cs="Times New Roman"/>
          <w:sz w:val="28"/>
          <w:szCs w:val="28"/>
        </w:rPr>
      </w:pPr>
    </w:p>
    <w:p w14:paraId="73A5B7B4" w14:textId="5AF2704C"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Transferimet ndërkufitare të skemave të pensionit</w:t>
      </w:r>
    </w:p>
    <w:p w14:paraId="72A26465" w14:textId="77777777" w:rsidR="004F0699" w:rsidRPr="002612A0" w:rsidRDefault="004F0699" w:rsidP="002612A0">
      <w:pPr>
        <w:pStyle w:val="ListParagraph"/>
        <w:spacing w:after="0" w:line="276" w:lineRule="auto"/>
        <w:jc w:val="both"/>
        <w:rPr>
          <w:rFonts w:ascii="Times New Roman" w:eastAsia="Times New Roman" w:hAnsi="Times New Roman" w:cs="Times New Roman"/>
          <w:sz w:val="28"/>
          <w:szCs w:val="28"/>
        </w:rPr>
      </w:pPr>
    </w:p>
    <w:p w14:paraId="37855CC4"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Për herë të parë në legjislacionin shqiptar, projektligji krijon kuadrin ligjor të plotë për transferimet ndërkufitare të skemave të pensionit, duke parashikuar: të drejtën e transferimit të detyrimeve, rezervave teknike dhe aktiveve, miratimin e autoritetit kompetent të vendit të shoqërisë pritëse, miratimin e shumicës së anëtarëve dhe sponsorit, afate të qarta vendimmarrjeje, si dhe të drejtën e ankimimit. Këto dispozita hyjnë në fuqi me anëtarësimin e Shqipërisë në BE.</w:t>
      </w:r>
    </w:p>
    <w:p w14:paraId="67491B3E" w14:textId="77777777" w:rsidR="00A5646D" w:rsidRPr="002612A0" w:rsidRDefault="00A5646D" w:rsidP="002612A0">
      <w:pPr>
        <w:spacing w:after="0" w:line="276" w:lineRule="auto"/>
        <w:jc w:val="both"/>
        <w:rPr>
          <w:rFonts w:ascii="Times New Roman" w:eastAsia="Times New Roman" w:hAnsi="Times New Roman" w:cs="Times New Roman"/>
          <w:sz w:val="28"/>
          <w:szCs w:val="28"/>
        </w:rPr>
      </w:pPr>
    </w:p>
    <w:p w14:paraId="1244A618" w14:textId="08EBBBEE"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 xml:space="preserve">Rregullat e reja të investimit dhe parimi i </w:t>
      </w:r>
      <w:r w:rsidR="00A5646D" w:rsidRPr="002612A0">
        <w:rPr>
          <w:rFonts w:ascii="Times New Roman" w:eastAsia="Times New Roman" w:hAnsi="Times New Roman" w:cs="Times New Roman"/>
          <w:b/>
          <w:bCs/>
          <w:sz w:val="28"/>
          <w:szCs w:val="28"/>
        </w:rPr>
        <w:t>“</w:t>
      </w:r>
      <w:r w:rsidRPr="002612A0">
        <w:rPr>
          <w:rFonts w:ascii="Times New Roman" w:eastAsia="Times New Roman" w:hAnsi="Times New Roman" w:cs="Times New Roman"/>
          <w:b/>
          <w:bCs/>
          <w:sz w:val="28"/>
          <w:szCs w:val="28"/>
        </w:rPr>
        <w:t>personit të kujdesshëm</w:t>
      </w:r>
      <w:r w:rsidR="00A5646D" w:rsidRPr="002612A0">
        <w:rPr>
          <w:rFonts w:ascii="Times New Roman" w:eastAsia="Times New Roman" w:hAnsi="Times New Roman" w:cs="Times New Roman"/>
          <w:b/>
          <w:bCs/>
          <w:sz w:val="28"/>
          <w:szCs w:val="28"/>
        </w:rPr>
        <w:t>”</w:t>
      </w:r>
    </w:p>
    <w:p w14:paraId="7206C620" w14:textId="77777777" w:rsidR="00A5646D" w:rsidRPr="002612A0" w:rsidRDefault="00A5646D" w:rsidP="002612A0">
      <w:pPr>
        <w:spacing w:after="0" w:line="276" w:lineRule="auto"/>
        <w:jc w:val="both"/>
        <w:rPr>
          <w:rFonts w:ascii="Times New Roman" w:eastAsia="Times New Roman" w:hAnsi="Times New Roman" w:cs="Times New Roman"/>
          <w:sz w:val="28"/>
          <w:szCs w:val="28"/>
        </w:rPr>
      </w:pPr>
    </w:p>
    <w:p w14:paraId="6EA4A6DB" w14:textId="66EC9635" w:rsidR="00CB0EF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w:t>
      </w:r>
      <w:r w:rsidR="00CB0EF3" w:rsidRPr="002612A0">
        <w:rPr>
          <w:rFonts w:ascii="Times New Roman" w:eastAsia="Times New Roman" w:hAnsi="Times New Roman" w:cs="Times New Roman"/>
          <w:sz w:val="28"/>
          <w:szCs w:val="28"/>
        </w:rPr>
        <w:t>parashikon</w:t>
      </w:r>
      <w:r w:rsidRPr="002612A0">
        <w:rPr>
          <w:rFonts w:ascii="Times New Roman" w:eastAsia="Times New Roman" w:hAnsi="Times New Roman" w:cs="Times New Roman"/>
          <w:sz w:val="28"/>
          <w:szCs w:val="28"/>
        </w:rPr>
        <w:t xml:space="preserve"> shprehimisht </w:t>
      </w:r>
      <w:r w:rsidR="00A5646D"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parimin e personit të kujdesshëm</w:t>
      </w:r>
      <w:r w:rsidR="00A5646D"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(prudent person rule) si bazë të vendimmarrjes për investimet e fondeve të pensionit, duke </w:t>
      </w:r>
      <w:r w:rsidRPr="002612A0">
        <w:rPr>
          <w:rFonts w:ascii="Times New Roman" w:eastAsia="Times New Roman" w:hAnsi="Times New Roman" w:cs="Times New Roman"/>
          <w:sz w:val="28"/>
          <w:szCs w:val="28"/>
        </w:rPr>
        <w:lastRenderedPageBreak/>
        <w:t xml:space="preserve">zëvendësuar qasjen e mbështetur vetëm në kufizime sasiore. Parashikohet në mënytë të posaçme politika e menaxhimit të konfliktit të interesit në vendimmarrjen për investime, si dhe marrja në konsideratë e faktorëve mjedisorë, socialë dhe të qeverisjes (ESG). </w:t>
      </w:r>
    </w:p>
    <w:p w14:paraId="7119B785" w14:textId="77777777" w:rsidR="00A5646D" w:rsidRPr="002612A0" w:rsidRDefault="00A5646D" w:rsidP="002612A0">
      <w:pPr>
        <w:spacing w:after="0" w:line="276" w:lineRule="auto"/>
        <w:jc w:val="both"/>
        <w:rPr>
          <w:rFonts w:ascii="Times New Roman" w:eastAsia="Times New Roman" w:hAnsi="Times New Roman" w:cs="Times New Roman"/>
          <w:sz w:val="28"/>
          <w:szCs w:val="28"/>
        </w:rPr>
      </w:pPr>
    </w:p>
    <w:p w14:paraId="3DA20BFB" w14:textId="02A2597D" w:rsidR="00D33783" w:rsidRPr="002612A0" w:rsidRDefault="00CB0EF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Vendoset</w:t>
      </w:r>
      <w:r w:rsidR="00D33783" w:rsidRPr="002612A0">
        <w:rPr>
          <w:rFonts w:ascii="Times New Roman" w:eastAsia="Times New Roman" w:hAnsi="Times New Roman" w:cs="Times New Roman"/>
          <w:sz w:val="28"/>
          <w:szCs w:val="28"/>
        </w:rPr>
        <w:t xml:space="preserve"> kufiri i ekspozimit ndaj sipërmarrjes sponsorizuese (jo më shumë se 5%, ose 10%</w:t>
      </w:r>
      <w:r w:rsidR="000F79E9" w:rsidRPr="002612A0">
        <w:rPr>
          <w:rFonts w:ascii="Times New Roman" w:hAnsi="Times New Roman" w:cs="Times New Roman"/>
          <w:sz w:val="28"/>
          <w:szCs w:val="28"/>
        </w:rPr>
        <w:t xml:space="preserve"> </w:t>
      </w:r>
      <w:r w:rsidR="000F79E9" w:rsidRPr="002612A0">
        <w:rPr>
          <w:rFonts w:ascii="Times New Roman" w:eastAsia="Times New Roman" w:hAnsi="Times New Roman" w:cs="Times New Roman"/>
          <w:sz w:val="28"/>
          <w:szCs w:val="28"/>
        </w:rPr>
        <w:t>të portofolit në tërësi,</w:t>
      </w:r>
      <w:r w:rsidR="00D33783" w:rsidRPr="002612A0">
        <w:rPr>
          <w:rFonts w:ascii="Times New Roman" w:eastAsia="Times New Roman" w:hAnsi="Times New Roman" w:cs="Times New Roman"/>
          <w:sz w:val="28"/>
          <w:szCs w:val="28"/>
        </w:rPr>
        <w:t xml:space="preserve"> nëse i përket grupit). Projektligji parashikon ndalimin e përdorimit të aktiveve të fondit të pensionit si garanci për detyrimet </w:t>
      </w:r>
      <w:r w:rsidR="006D2A17" w:rsidRPr="002612A0">
        <w:rPr>
          <w:rFonts w:ascii="Times New Roman" w:eastAsia="Times New Roman" w:hAnsi="Times New Roman" w:cs="Times New Roman"/>
          <w:sz w:val="28"/>
          <w:szCs w:val="28"/>
        </w:rPr>
        <w:t xml:space="preserve">ndaj </w:t>
      </w:r>
      <w:r w:rsidR="00D33783" w:rsidRPr="002612A0">
        <w:rPr>
          <w:rFonts w:ascii="Times New Roman" w:eastAsia="Times New Roman" w:hAnsi="Times New Roman" w:cs="Times New Roman"/>
          <w:sz w:val="28"/>
          <w:szCs w:val="28"/>
        </w:rPr>
        <w:t>palëve të treta, duke forcuar mbrojtjen e aktiveve të anëtarëve dhe përfituesve. Emërimi i menaxherëve të investimeve me licencë europiane lejohet pa autorizim shtesë në Shqipëri. Gjithashtu, garanton që kufizimet sasiore të vendosura nga legjislacioni aktual nuk mund të pengojnë investimet e lejuara nga Direktiva IORP II.</w:t>
      </w:r>
      <w:r w:rsidR="00E21AE0" w:rsidRPr="002612A0">
        <w:rPr>
          <w:rFonts w:ascii="Times New Roman" w:eastAsia="Times New Roman" w:hAnsi="Times New Roman" w:cs="Times New Roman"/>
          <w:sz w:val="28"/>
          <w:szCs w:val="28"/>
        </w:rPr>
        <w:t xml:space="preserve"> </w:t>
      </w:r>
    </w:p>
    <w:p w14:paraId="73A1F291" w14:textId="77777777" w:rsidR="00A5646D" w:rsidRPr="002612A0" w:rsidRDefault="00A5646D" w:rsidP="002612A0">
      <w:pPr>
        <w:spacing w:after="0" w:line="276" w:lineRule="auto"/>
        <w:jc w:val="both"/>
        <w:rPr>
          <w:rFonts w:ascii="Times New Roman" w:eastAsia="Times New Roman" w:hAnsi="Times New Roman" w:cs="Times New Roman"/>
          <w:sz w:val="28"/>
          <w:szCs w:val="28"/>
        </w:rPr>
      </w:pPr>
    </w:p>
    <w:p w14:paraId="0CB26FBB" w14:textId="5036F6B3"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Forcimi i sistemit të qeverisjes dhe funksionet kryesore</w:t>
      </w:r>
    </w:p>
    <w:p w14:paraId="06CBB6F8" w14:textId="77777777" w:rsidR="00A5646D" w:rsidRPr="002612A0" w:rsidRDefault="00A5646D" w:rsidP="002612A0">
      <w:pPr>
        <w:spacing w:after="0" w:line="276" w:lineRule="auto"/>
        <w:ind w:left="360"/>
        <w:jc w:val="both"/>
        <w:rPr>
          <w:rFonts w:ascii="Times New Roman" w:eastAsia="Times New Roman" w:hAnsi="Times New Roman" w:cs="Times New Roman"/>
          <w:sz w:val="28"/>
          <w:szCs w:val="28"/>
        </w:rPr>
      </w:pPr>
    </w:p>
    <w:p w14:paraId="347520B7" w14:textId="77777777" w:rsidR="00D33783" w:rsidRPr="002612A0" w:rsidRDefault="00774B2B"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Në funksion të forcimit të sistemit të qeverisjes, p</w:t>
      </w:r>
      <w:r w:rsidR="00D33783" w:rsidRPr="002612A0">
        <w:rPr>
          <w:rFonts w:ascii="Times New Roman" w:eastAsia="Times New Roman" w:hAnsi="Times New Roman" w:cs="Times New Roman"/>
          <w:sz w:val="28"/>
          <w:szCs w:val="28"/>
        </w:rPr>
        <w:t>rojektligji p</w:t>
      </w:r>
      <w:r w:rsidR="00DA6BFF" w:rsidRPr="002612A0">
        <w:rPr>
          <w:rFonts w:ascii="Times New Roman" w:eastAsia="Times New Roman" w:hAnsi="Times New Roman" w:cs="Times New Roman"/>
          <w:sz w:val="28"/>
          <w:szCs w:val="28"/>
        </w:rPr>
        <w:t>a</w:t>
      </w:r>
      <w:r w:rsidR="00D33783" w:rsidRPr="002612A0">
        <w:rPr>
          <w:rFonts w:ascii="Times New Roman" w:eastAsia="Times New Roman" w:hAnsi="Times New Roman" w:cs="Times New Roman"/>
          <w:sz w:val="28"/>
          <w:szCs w:val="28"/>
        </w:rPr>
        <w:t xml:space="preserve">rashikon </w:t>
      </w:r>
      <w:r w:rsidRPr="002612A0">
        <w:rPr>
          <w:rFonts w:ascii="Times New Roman" w:eastAsia="Times New Roman" w:hAnsi="Times New Roman" w:cs="Times New Roman"/>
          <w:sz w:val="28"/>
          <w:szCs w:val="28"/>
        </w:rPr>
        <w:t xml:space="preserve">rregulla të detajuara për organizimin dhe ushtrimin e funksioneve kryesore, konkretisht: </w:t>
      </w:r>
    </w:p>
    <w:p w14:paraId="0C74E6C6" w14:textId="604D6E94" w:rsidR="00D33783" w:rsidRPr="002612A0" w:rsidRDefault="00D33783" w:rsidP="002612A0">
      <w:pPr>
        <w:pStyle w:val="ListParagraph"/>
        <w:numPr>
          <w:ilvl w:val="0"/>
          <w:numId w:val="15"/>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Përfshirjen e funksionit aktuarial si funksion kryesor (për skemat me përfitime të përcaktuara në kuadër të veprimtarisë ndërkufitare); </w:t>
      </w:r>
    </w:p>
    <w:p w14:paraId="7BC5E8AE" w14:textId="30E876D7" w:rsidR="00D33783" w:rsidRPr="002612A0" w:rsidRDefault="00D33783" w:rsidP="002612A0">
      <w:pPr>
        <w:pStyle w:val="ListParagraph"/>
        <w:numPr>
          <w:ilvl w:val="0"/>
          <w:numId w:val="16"/>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Detyrimin e mbajtësve të funksioneve kryesore për të njoftuar menjëherë Autoritetin kur organi drejtues nuk merr masa korrigjuese të nevojshme ndaj shkeljeve apo rreziqeve materiale (mekanizëm denoncimi); </w:t>
      </w:r>
    </w:p>
    <w:p w14:paraId="727C6899" w14:textId="107B5EA6" w:rsidR="00D33783" w:rsidRPr="002612A0" w:rsidRDefault="00D33783" w:rsidP="002612A0">
      <w:pPr>
        <w:pStyle w:val="ListParagraph"/>
        <w:numPr>
          <w:ilvl w:val="0"/>
          <w:numId w:val="16"/>
        </w:num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Pavarësinë e funksionit të auditit të brendshëm nga funksione të tjera kryesore; </w:t>
      </w:r>
    </w:p>
    <w:p w14:paraId="29C5AC7F" w14:textId="24891113" w:rsidR="000E0582" w:rsidRPr="002612A0" w:rsidRDefault="00372D25" w:rsidP="002612A0">
      <w:pPr>
        <w:pStyle w:val="ListParagraph"/>
        <w:numPr>
          <w:ilvl w:val="0"/>
          <w:numId w:val="16"/>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rcaktimin se o</w:t>
      </w:r>
      <w:r w:rsidR="00D33783" w:rsidRPr="002612A0">
        <w:rPr>
          <w:rFonts w:ascii="Times New Roman" w:eastAsia="Times New Roman" w:hAnsi="Times New Roman" w:cs="Times New Roman"/>
          <w:sz w:val="28"/>
          <w:szCs w:val="28"/>
        </w:rPr>
        <w:t>rgan drejtues t</w:t>
      </w:r>
      <w:r w:rsidR="00CB0EF3" w:rsidRPr="002612A0">
        <w:rPr>
          <w:rFonts w:ascii="Times New Roman" w:eastAsia="Times New Roman" w:hAnsi="Times New Roman" w:cs="Times New Roman"/>
          <w:sz w:val="28"/>
          <w:szCs w:val="28"/>
        </w:rPr>
        <w:t>ë</w:t>
      </w:r>
      <w:r w:rsidR="00D33783" w:rsidRPr="002612A0">
        <w:rPr>
          <w:rFonts w:ascii="Times New Roman" w:eastAsia="Times New Roman" w:hAnsi="Times New Roman" w:cs="Times New Roman"/>
          <w:sz w:val="28"/>
          <w:szCs w:val="28"/>
        </w:rPr>
        <w:t xml:space="preserve"> p</w:t>
      </w:r>
      <w:r w:rsidR="00CB0EF3" w:rsidRPr="002612A0">
        <w:rPr>
          <w:rFonts w:ascii="Times New Roman" w:eastAsia="Times New Roman" w:hAnsi="Times New Roman" w:cs="Times New Roman"/>
          <w:sz w:val="28"/>
          <w:szCs w:val="28"/>
        </w:rPr>
        <w:t>ë</w:t>
      </w:r>
      <w:r w:rsidR="00D33783" w:rsidRPr="002612A0">
        <w:rPr>
          <w:rFonts w:ascii="Times New Roman" w:eastAsia="Times New Roman" w:hAnsi="Times New Roman" w:cs="Times New Roman"/>
          <w:sz w:val="28"/>
          <w:szCs w:val="28"/>
        </w:rPr>
        <w:t>rb</w:t>
      </w:r>
      <w:r w:rsidR="00CB0EF3" w:rsidRPr="002612A0">
        <w:rPr>
          <w:rFonts w:ascii="Times New Roman" w:eastAsia="Times New Roman" w:hAnsi="Times New Roman" w:cs="Times New Roman"/>
          <w:sz w:val="28"/>
          <w:szCs w:val="28"/>
        </w:rPr>
        <w:t>ë</w:t>
      </w:r>
      <w:r w:rsidR="00D33783" w:rsidRPr="002612A0">
        <w:rPr>
          <w:rFonts w:ascii="Times New Roman" w:eastAsia="Times New Roman" w:hAnsi="Times New Roman" w:cs="Times New Roman"/>
          <w:sz w:val="28"/>
          <w:szCs w:val="28"/>
        </w:rPr>
        <w:t>r</w:t>
      </w:r>
      <w:r w:rsidR="00CB0EF3" w:rsidRPr="002612A0">
        <w:rPr>
          <w:rFonts w:ascii="Times New Roman" w:eastAsia="Times New Roman" w:hAnsi="Times New Roman" w:cs="Times New Roman"/>
          <w:sz w:val="28"/>
          <w:szCs w:val="28"/>
        </w:rPr>
        <w:t>ë</w:t>
      </w:r>
      <w:r w:rsidR="00D33783" w:rsidRPr="002612A0">
        <w:rPr>
          <w:rFonts w:ascii="Times New Roman" w:eastAsia="Times New Roman" w:hAnsi="Times New Roman" w:cs="Times New Roman"/>
          <w:sz w:val="28"/>
          <w:szCs w:val="28"/>
        </w:rPr>
        <w:t xml:space="preserve"> nga të paktën dy persona që duhet të drejtojnë shoqërinë administruese</w:t>
      </w:r>
      <w:r w:rsidR="004127C8" w:rsidRPr="002612A0">
        <w:rPr>
          <w:rFonts w:ascii="Times New Roman" w:eastAsia="Times New Roman" w:hAnsi="Times New Roman" w:cs="Times New Roman"/>
          <w:sz w:val="28"/>
          <w:szCs w:val="28"/>
        </w:rPr>
        <w:t xml:space="preserve">, administratori dhe si drejtues i dytë personi që ushtron një funksion kryesor në shoqërinë administruese. Përjashtimisht nga ky rregull, Autoriteti mund të lejojë, me vendim të arsyetuar, që shoqëria administruese të administrohet nga vetëm një person, kur kjo justifikohet nga madhësia, natyra, shkalla dhe kompleksiteti i veprimtarisë së shoqërisë dhe nuk cenon interesat e anëtarëve të fondit dhe përfituesve. </w:t>
      </w:r>
      <w:r w:rsidR="000E0582" w:rsidRPr="002612A0">
        <w:rPr>
          <w:rFonts w:ascii="Times New Roman" w:eastAsia="Times New Roman" w:hAnsi="Times New Roman" w:cs="Times New Roman"/>
          <w:sz w:val="28"/>
          <w:szCs w:val="28"/>
        </w:rPr>
        <w:t>Kushtet, kriteret, kompetencat dhe përgjegjësitë e drejtuesit të dytë do të përcaktohen me rregullore të Autoritetit, duke siguruar një strukturë qeverisëse më efektive, forcimin e kontrollit të brendshëm dhe një ndarje më të qartë të përgjegjësive në administrimin e shoqërisë.</w:t>
      </w:r>
    </w:p>
    <w:p w14:paraId="1F7741CE" w14:textId="57D53354" w:rsidR="00D33783" w:rsidRPr="002612A0" w:rsidRDefault="00D33783" w:rsidP="002612A0">
      <w:pPr>
        <w:pStyle w:val="ListParagraph"/>
        <w:numPr>
          <w:ilvl w:val="0"/>
          <w:numId w:val="16"/>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lastRenderedPageBreak/>
        <w:t>Njohjen reciproke të kualifikimeve profesionale dhe të dokumentacionit të aftësisë dhe përshtatshmërisë të lëshuar në vendet anëtare të Bashkimit Evropian, sipas procedurave të mirëpërcaktuara.</w:t>
      </w:r>
    </w:p>
    <w:p w14:paraId="26A95DF9" w14:textId="77777777" w:rsidR="00D31187" w:rsidRPr="002612A0" w:rsidRDefault="00D31187" w:rsidP="002612A0">
      <w:pPr>
        <w:spacing w:after="0" w:line="276" w:lineRule="auto"/>
        <w:jc w:val="both"/>
        <w:rPr>
          <w:rFonts w:ascii="Times New Roman" w:eastAsia="Times New Roman" w:hAnsi="Times New Roman" w:cs="Times New Roman"/>
          <w:sz w:val="28"/>
          <w:szCs w:val="28"/>
        </w:rPr>
      </w:pPr>
    </w:p>
    <w:p w14:paraId="3D24421F" w14:textId="7E2B01D2"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 xml:space="preserve">Dokumenti </w:t>
      </w:r>
      <w:r w:rsidR="00E2355D" w:rsidRPr="002612A0">
        <w:rPr>
          <w:rFonts w:ascii="Times New Roman" w:eastAsia="Times New Roman" w:hAnsi="Times New Roman" w:cs="Times New Roman"/>
          <w:b/>
          <w:bCs/>
          <w:sz w:val="28"/>
          <w:szCs w:val="28"/>
        </w:rPr>
        <w:t>“</w:t>
      </w:r>
      <w:r w:rsidRPr="002612A0">
        <w:rPr>
          <w:rFonts w:ascii="Times New Roman" w:eastAsia="Times New Roman" w:hAnsi="Times New Roman" w:cs="Times New Roman"/>
          <w:b/>
          <w:bCs/>
          <w:sz w:val="28"/>
          <w:szCs w:val="28"/>
        </w:rPr>
        <w:t>Gjendja e Llogarisë së Përfitimeve të Pensionit</w:t>
      </w:r>
      <w:r w:rsidR="00E2355D" w:rsidRPr="002612A0">
        <w:rPr>
          <w:rFonts w:ascii="Times New Roman" w:eastAsia="Times New Roman" w:hAnsi="Times New Roman" w:cs="Times New Roman"/>
          <w:b/>
          <w:bCs/>
          <w:sz w:val="28"/>
          <w:szCs w:val="28"/>
        </w:rPr>
        <w:t>”</w:t>
      </w:r>
    </w:p>
    <w:p w14:paraId="004FA5C6" w14:textId="77777777" w:rsidR="00E2355D" w:rsidRPr="002612A0" w:rsidRDefault="00E2355D" w:rsidP="002612A0">
      <w:pPr>
        <w:spacing w:after="0" w:line="276" w:lineRule="auto"/>
        <w:ind w:left="360"/>
        <w:jc w:val="both"/>
        <w:rPr>
          <w:rFonts w:ascii="Times New Roman" w:eastAsia="Times New Roman" w:hAnsi="Times New Roman" w:cs="Times New Roman"/>
          <w:sz w:val="28"/>
          <w:szCs w:val="28"/>
        </w:rPr>
      </w:pPr>
    </w:p>
    <w:p w14:paraId="33096146" w14:textId="25FD53F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Titulli i dokumentit vjetor të llogarisë ndryshon në </w:t>
      </w:r>
      <w:r w:rsidR="008249FC" w:rsidRPr="002612A0">
        <w:rPr>
          <w:rFonts w:ascii="Times New Roman" w:eastAsia="Times New Roman" w:hAnsi="Times New Roman" w:cs="Times New Roman"/>
          <w:sz w:val="28"/>
          <w:szCs w:val="28"/>
        </w:rPr>
        <w:t>“</w:t>
      </w:r>
      <w:r w:rsidR="00BA5092" w:rsidRPr="002612A0">
        <w:rPr>
          <w:rFonts w:ascii="Times New Roman" w:eastAsia="Times New Roman" w:hAnsi="Times New Roman" w:cs="Times New Roman"/>
          <w:sz w:val="28"/>
          <w:szCs w:val="28"/>
        </w:rPr>
        <w:t>Vërtetim për gjendjen e llogarisë së Përfitimeve të Pensionit</w:t>
      </w:r>
      <w:r w:rsidR="008249FC"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(Pension Benefit Statement), në përputhje me terminologjinë e Direktivës IORP II. Përmbajtja e dokumentit p</w:t>
      </w:r>
      <w:r w:rsidR="00971277" w:rsidRPr="002612A0">
        <w:rPr>
          <w:rFonts w:ascii="Times New Roman" w:eastAsia="Times New Roman" w:hAnsi="Times New Roman" w:cs="Times New Roman"/>
          <w:sz w:val="28"/>
          <w:szCs w:val="28"/>
        </w:rPr>
        <w:t xml:space="preserve">ërmiresohen disa element si, </w:t>
      </w:r>
      <w:r w:rsidRPr="002612A0">
        <w:rPr>
          <w:rFonts w:ascii="Times New Roman" w:eastAsia="Times New Roman" w:hAnsi="Times New Roman" w:cs="Times New Roman"/>
          <w:sz w:val="28"/>
          <w:szCs w:val="28"/>
        </w:rPr>
        <w:t>të dhënat personale të anëtarit</w:t>
      </w:r>
      <w:r w:rsidR="007F4B2F"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r w:rsidR="007F4B2F" w:rsidRPr="002612A0">
        <w:rPr>
          <w:rFonts w:ascii="Times New Roman" w:eastAsia="Times New Roman" w:hAnsi="Times New Roman" w:cs="Times New Roman"/>
          <w:sz w:val="28"/>
          <w:szCs w:val="28"/>
        </w:rPr>
        <w:t xml:space="preserve">përfshirë, sipas rastit, moshën ligjore të daljes në pension, moshën e pensionit të përcaktuar në rregullat e skemës së pensionit ose moshën e pensionit të zgjedhur nga anëtari në </w:t>
      </w:r>
      <w:r w:rsidR="003A5E4A" w:rsidRPr="002612A0">
        <w:rPr>
          <w:rFonts w:ascii="Times New Roman" w:eastAsia="Times New Roman" w:hAnsi="Times New Roman" w:cs="Times New Roman"/>
          <w:sz w:val="28"/>
          <w:szCs w:val="28"/>
        </w:rPr>
        <w:t>deklaratën e pranimit të pjesëmarrjes</w:t>
      </w:r>
      <w:r w:rsidRPr="002612A0">
        <w:rPr>
          <w:rFonts w:ascii="Times New Roman" w:eastAsia="Times New Roman" w:hAnsi="Times New Roman" w:cs="Times New Roman"/>
          <w:sz w:val="28"/>
          <w:szCs w:val="28"/>
        </w:rPr>
        <w:t xml:space="preserve">, parashikimet e përfitimeve të pensionit me të paktën dy skenarë (bazë dhe të pafavorshëm). Informacioni para daljes në pension zgjerohet duke parashikuar njoftimin </w:t>
      </w:r>
      <w:r w:rsidR="007F4B2F" w:rsidRPr="002612A0">
        <w:rPr>
          <w:rFonts w:ascii="Times New Roman" w:eastAsia="Times New Roman" w:hAnsi="Times New Roman" w:cs="Times New Roman"/>
          <w:sz w:val="28"/>
          <w:szCs w:val="28"/>
        </w:rPr>
        <w:t>jo më vonë se tre vjet përpara se anëtari të arrijë moshën për pension.</w:t>
      </w:r>
      <w:r w:rsidR="007F4B2F" w:rsidRPr="002612A0" w:rsidDel="007F4B2F">
        <w:rPr>
          <w:rFonts w:ascii="Times New Roman" w:eastAsia="Times New Roman" w:hAnsi="Times New Roman" w:cs="Times New Roman"/>
          <w:sz w:val="28"/>
          <w:szCs w:val="28"/>
        </w:rPr>
        <w:t xml:space="preserve"> </w:t>
      </w:r>
      <w:r w:rsidR="007F4B2F" w:rsidRPr="002612A0">
        <w:rPr>
          <w:rFonts w:ascii="Times New Roman" w:eastAsia="Times New Roman" w:hAnsi="Times New Roman" w:cs="Times New Roman"/>
          <w:sz w:val="28"/>
          <w:szCs w:val="28"/>
        </w:rPr>
        <w:t xml:space="preserve">Ky informacion do t’i dërgohet i azhornuar anëtarit të fondit edhe tre muaj përpara se anëtari të arrijë moshën për pension. </w:t>
      </w:r>
    </w:p>
    <w:p w14:paraId="0B652042" w14:textId="77777777" w:rsidR="008249FC" w:rsidRPr="002612A0" w:rsidRDefault="008249FC" w:rsidP="002612A0">
      <w:pPr>
        <w:spacing w:after="0" w:line="276" w:lineRule="auto"/>
        <w:jc w:val="both"/>
        <w:rPr>
          <w:rFonts w:ascii="Times New Roman" w:eastAsia="Times New Roman" w:hAnsi="Times New Roman" w:cs="Times New Roman"/>
          <w:sz w:val="28"/>
          <w:szCs w:val="28"/>
        </w:rPr>
      </w:pPr>
    </w:p>
    <w:p w14:paraId="09E5953F" w14:textId="64B60EB4"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Informimi i anëtarëve të mundshëm edhe gjatë fazës së pagesave</w:t>
      </w:r>
    </w:p>
    <w:p w14:paraId="49052054" w14:textId="77777777" w:rsidR="008249FC" w:rsidRPr="002612A0" w:rsidRDefault="008249FC" w:rsidP="002612A0">
      <w:pPr>
        <w:spacing w:after="0" w:line="276" w:lineRule="auto"/>
        <w:jc w:val="both"/>
        <w:rPr>
          <w:rFonts w:ascii="Times New Roman" w:eastAsia="Times New Roman" w:hAnsi="Times New Roman" w:cs="Times New Roman"/>
          <w:sz w:val="28"/>
          <w:szCs w:val="28"/>
        </w:rPr>
      </w:pPr>
    </w:p>
    <w:p w14:paraId="479B4B0F" w14:textId="61021044"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w:t>
      </w:r>
      <w:r w:rsidR="008249FC" w:rsidRPr="002612A0">
        <w:rPr>
          <w:rFonts w:ascii="Times New Roman" w:eastAsia="Times New Roman" w:hAnsi="Times New Roman" w:cs="Times New Roman"/>
          <w:sz w:val="28"/>
          <w:szCs w:val="28"/>
        </w:rPr>
        <w:t>parashikon</w:t>
      </w:r>
      <w:r w:rsidRPr="002612A0">
        <w:rPr>
          <w:rFonts w:ascii="Times New Roman" w:eastAsia="Times New Roman" w:hAnsi="Times New Roman" w:cs="Times New Roman"/>
          <w:sz w:val="28"/>
          <w:szCs w:val="28"/>
        </w:rPr>
        <w:t xml:space="preserve"> dy dispozita të reja: (i) detyrimin e informimit të anëtarëve të mundshëm, duke përfshirë informacion mbi faktorët mjedisorë, socialë dhe të qeverisjes (ESG) dhe të drejtat e anëtarëve të mundshëm në skemat automatike</w:t>
      </w:r>
      <w:r w:rsidR="00313042" w:rsidRPr="002612A0">
        <w:rPr>
          <w:rFonts w:ascii="Times New Roman" w:eastAsia="Times New Roman" w:hAnsi="Times New Roman" w:cs="Times New Roman"/>
          <w:sz w:val="28"/>
          <w:szCs w:val="28"/>
        </w:rPr>
        <w:t xml:space="preserve"> për tu informuar menjëherë pas anëtarësimit </w:t>
      </w:r>
      <w:r w:rsidR="00AA2698" w:rsidRPr="002612A0">
        <w:rPr>
          <w:rFonts w:ascii="Times New Roman" w:eastAsia="Times New Roman" w:hAnsi="Times New Roman" w:cs="Times New Roman"/>
          <w:sz w:val="28"/>
          <w:szCs w:val="28"/>
        </w:rPr>
        <w:t>në këto skema</w:t>
      </w:r>
      <w:r w:rsidRPr="002612A0">
        <w:rPr>
          <w:rFonts w:ascii="Times New Roman" w:eastAsia="Times New Roman" w:hAnsi="Times New Roman" w:cs="Times New Roman"/>
          <w:sz w:val="28"/>
          <w:szCs w:val="28"/>
        </w:rPr>
        <w:t xml:space="preserve">; si dhe (ii) detyrimin e informimit periodik të përfituesve gjatë fazës së pagesave, përfshirë njoftimin me jo më pak se tre muaj përpara zbatimit të çdo vendimi për ulje të përfitimeve në skemat me përfitime të përcaktuara. Dokumenti i </w:t>
      </w:r>
      <w:r w:rsidR="00F34A7E" w:rsidRPr="002612A0">
        <w:rPr>
          <w:rFonts w:ascii="Times New Roman" w:eastAsia="Times New Roman" w:hAnsi="Times New Roman" w:cs="Times New Roman"/>
          <w:sz w:val="28"/>
          <w:szCs w:val="28"/>
        </w:rPr>
        <w:t xml:space="preserve">vërtetimit të </w:t>
      </w:r>
      <w:r w:rsidRPr="002612A0">
        <w:rPr>
          <w:rFonts w:ascii="Times New Roman" w:eastAsia="Times New Roman" w:hAnsi="Times New Roman" w:cs="Times New Roman"/>
          <w:sz w:val="28"/>
          <w:szCs w:val="28"/>
        </w:rPr>
        <w:t>gjendjes së llogarisë</w:t>
      </w:r>
      <w:r w:rsidR="00F31966" w:rsidRPr="002612A0">
        <w:rPr>
          <w:rFonts w:ascii="Times New Roman" w:eastAsia="Times New Roman" w:hAnsi="Times New Roman" w:cs="Times New Roman"/>
          <w:sz w:val="28"/>
          <w:szCs w:val="28"/>
        </w:rPr>
        <w:t xml:space="preserve"> së përfitimeve të pensionit</w:t>
      </w:r>
      <w:r w:rsidRPr="002612A0">
        <w:rPr>
          <w:rFonts w:ascii="Times New Roman" w:eastAsia="Times New Roman" w:hAnsi="Times New Roman" w:cs="Times New Roman"/>
          <w:sz w:val="28"/>
          <w:szCs w:val="28"/>
        </w:rPr>
        <w:t xml:space="preserve"> konsolidohet si dokumenti kryesor i informimit të anëtarit, duke përfshirë referenca të qarta për aksesimin e informacionit dhe dokumentacionit shtesë mbi skemën e pensionit.</w:t>
      </w:r>
    </w:p>
    <w:p w14:paraId="7EE95279" w14:textId="77777777" w:rsidR="008249FC" w:rsidRPr="002612A0" w:rsidRDefault="008249FC" w:rsidP="002612A0">
      <w:pPr>
        <w:spacing w:after="0" w:line="276" w:lineRule="auto"/>
        <w:jc w:val="both"/>
        <w:rPr>
          <w:rFonts w:ascii="Times New Roman" w:eastAsia="Times New Roman" w:hAnsi="Times New Roman" w:cs="Times New Roman"/>
          <w:sz w:val="28"/>
          <w:szCs w:val="28"/>
        </w:rPr>
      </w:pPr>
    </w:p>
    <w:p w14:paraId="2B9B48A1" w14:textId="78928B48"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Depozitar</w:t>
      </w:r>
      <w:r w:rsidR="00CB0EF3" w:rsidRPr="002612A0">
        <w:rPr>
          <w:rFonts w:ascii="Times New Roman" w:eastAsia="Times New Roman" w:hAnsi="Times New Roman" w:cs="Times New Roman"/>
          <w:b/>
          <w:bCs/>
          <w:sz w:val="28"/>
          <w:szCs w:val="28"/>
        </w:rPr>
        <w:t>ë</w:t>
      </w:r>
      <w:r w:rsidRPr="002612A0">
        <w:rPr>
          <w:rFonts w:ascii="Times New Roman" w:eastAsia="Times New Roman" w:hAnsi="Times New Roman" w:cs="Times New Roman"/>
          <w:b/>
          <w:bCs/>
          <w:sz w:val="28"/>
          <w:szCs w:val="28"/>
        </w:rPr>
        <w:t>t me licencë europiane</w:t>
      </w:r>
    </w:p>
    <w:p w14:paraId="2AAAE150" w14:textId="77777777" w:rsidR="008249FC" w:rsidRPr="002612A0" w:rsidRDefault="008249FC" w:rsidP="002612A0">
      <w:pPr>
        <w:spacing w:after="0" w:line="276" w:lineRule="auto"/>
        <w:ind w:left="360"/>
        <w:jc w:val="both"/>
        <w:rPr>
          <w:rFonts w:ascii="Times New Roman" w:eastAsia="Times New Roman" w:hAnsi="Times New Roman" w:cs="Times New Roman"/>
          <w:sz w:val="28"/>
          <w:szCs w:val="28"/>
        </w:rPr>
      </w:pPr>
    </w:p>
    <w:p w14:paraId="7F3E1B95" w14:textId="1AA5FE83"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w:t>
      </w:r>
      <w:r w:rsidR="00A37FFB" w:rsidRPr="002612A0">
        <w:rPr>
          <w:rFonts w:ascii="Times New Roman" w:eastAsia="Times New Roman" w:hAnsi="Times New Roman" w:cs="Times New Roman"/>
          <w:sz w:val="28"/>
          <w:szCs w:val="28"/>
        </w:rPr>
        <w:t>parashikon</w:t>
      </w:r>
      <w:r w:rsidRPr="002612A0">
        <w:rPr>
          <w:rFonts w:ascii="Times New Roman" w:eastAsia="Times New Roman" w:hAnsi="Times New Roman" w:cs="Times New Roman"/>
          <w:sz w:val="28"/>
          <w:szCs w:val="28"/>
        </w:rPr>
        <w:t xml:space="preserve"> emërimin e depozitarëve të autorizuar në vendet anëtare të BE-së pa autorizim shtesë në Shqipëri, me kusht garantimin e bashkëpunimit efektiv midis Autoritetit dhe autoritetit kompetent të vendit të origjinës. Kriteret dhe procedurat për njohjen dhe regjistrimin e depozitarëve të autorizuar në vendet </w:t>
      </w:r>
      <w:r w:rsidRPr="002612A0">
        <w:rPr>
          <w:rFonts w:ascii="Times New Roman" w:eastAsia="Times New Roman" w:hAnsi="Times New Roman" w:cs="Times New Roman"/>
          <w:sz w:val="28"/>
          <w:szCs w:val="28"/>
        </w:rPr>
        <w:lastRenderedPageBreak/>
        <w:t>anëtare të Bashkimit Evropian përcaktohen me rregullore</w:t>
      </w:r>
      <w:r w:rsidR="00A37FFB" w:rsidRPr="002612A0">
        <w:rPr>
          <w:rFonts w:ascii="Times New Roman" w:hAnsi="Times New Roman" w:cs="Times New Roman"/>
          <w:sz w:val="28"/>
          <w:szCs w:val="28"/>
        </w:rPr>
        <w:t xml:space="preserve"> </w:t>
      </w:r>
      <w:r w:rsidR="00A37FFB" w:rsidRPr="002612A0">
        <w:rPr>
          <w:rFonts w:ascii="Times New Roman" w:eastAsia="Times New Roman" w:hAnsi="Times New Roman" w:cs="Times New Roman"/>
          <w:sz w:val="28"/>
          <w:szCs w:val="28"/>
        </w:rPr>
        <w:t>të Autoritetit</w:t>
      </w:r>
      <w:r w:rsidRPr="002612A0">
        <w:rPr>
          <w:rFonts w:ascii="Times New Roman" w:eastAsia="Times New Roman" w:hAnsi="Times New Roman" w:cs="Times New Roman"/>
          <w:sz w:val="28"/>
          <w:szCs w:val="28"/>
        </w:rPr>
        <w:t xml:space="preserve">. </w:t>
      </w:r>
      <w:r w:rsidR="00A37FFB" w:rsidRPr="002612A0">
        <w:rPr>
          <w:rFonts w:ascii="Times New Roman" w:eastAsia="Times New Roman" w:hAnsi="Times New Roman" w:cs="Times New Roman"/>
          <w:sz w:val="28"/>
          <w:szCs w:val="28"/>
        </w:rPr>
        <w:t>P</w:t>
      </w:r>
      <w:r w:rsidRPr="002612A0">
        <w:rPr>
          <w:rFonts w:ascii="Times New Roman" w:eastAsia="Times New Roman" w:hAnsi="Times New Roman" w:cs="Times New Roman"/>
          <w:sz w:val="28"/>
          <w:szCs w:val="28"/>
        </w:rPr>
        <w:t>rojektligji forcon rolin e depozitarit duke zgjeruar funksionet e tij me verifikimin e pronësisë mbi aktivet jofinanciare dhe duke sanksionuar detyrimin për të vepruar në mënyrë të ndershme, profesionale dhe të pavarur. Gjithashtu, përcaktohen më qartë përgjegjësitë dhe llogaridhënia e depozitarit ndaj fondit të pensionit, shoqërisë administruese, anëtarëve dhe përfituesve.</w:t>
      </w:r>
    </w:p>
    <w:p w14:paraId="1FF4A5BD" w14:textId="77777777" w:rsidR="00A37FFB" w:rsidRPr="002612A0" w:rsidRDefault="00A37FFB" w:rsidP="002612A0">
      <w:pPr>
        <w:spacing w:after="0" w:line="276" w:lineRule="auto"/>
        <w:jc w:val="both"/>
        <w:rPr>
          <w:rFonts w:ascii="Times New Roman" w:eastAsia="Times New Roman" w:hAnsi="Times New Roman" w:cs="Times New Roman"/>
          <w:sz w:val="28"/>
          <w:szCs w:val="28"/>
        </w:rPr>
      </w:pPr>
    </w:p>
    <w:p w14:paraId="0CB50DD5" w14:textId="10ADB9CF"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Ndarja juridike nga sponsori dhe mbrojtja në rast falimentimi</w:t>
      </w:r>
    </w:p>
    <w:p w14:paraId="3C8335A4" w14:textId="77777777" w:rsidR="00A37FFB" w:rsidRPr="002612A0" w:rsidRDefault="00A37FFB" w:rsidP="002612A0">
      <w:pPr>
        <w:spacing w:after="0" w:line="276" w:lineRule="auto"/>
        <w:ind w:left="360"/>
        <w:jc w:val="both"/>
        <w:rPr>
          <w:rFonts w:ascii="Times New Roman" w:eastAsia="Times New Roman" w:hAnsi="Times New Roman" w:cs="Times New Roman"/>
          <w:sz w:val="28"/>
          <w:szCs w:val="28"/>
        </w:rPr>
      </w:pPr>
    </w:p>
    <w:p w14:paraId="18E04AAC"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forcon mbrojtjen e aktiveve të fondit të pensionit duke përcaktuar shprehimisht ndarjen juridike të fondit nga sipërmarrja sponsorizuese dhe duke garantuar se këto aktive nuk përfshihen në procedurat e falimentimit të shoqërisë administruese apo të sipërmarrjes sponsorizuese. </w:t>
      </w:r>
    </w:p>
    <w:p w14:paraId="2352785C" w14:textId="77777777" w:rsidR="00A37FFB" w:rsidRPr="002612A0" w:rsidRDefault="00A37FFB" w:rsidP="002612A0">
      <w:pPr>
        <w:spacing w:after="0" w:line="276" w:lineRule="auto"/>
        <w:jc w:val="both"/>
        <w:rPr>
          <w:rFonts w:ascii="Times New Roman" w:eastAsia="Times New Roman" w:hAnsi="Times New Roman" w:cs="Times New Roman"/>
          <w:sz w:val="28"/>
          <w:szCs w:val="28"/>
        </w:rPr>
      </w:pPr>
    </w:p>
    <w:p w14:paraId="6F9D54FD" w14:textId="595D68A0" w:rsidR="00D33783" w:rsidRPr="002612A0" w:rsidRDefault="00D33783"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Të drejtat e anëtarëve në lëvizjen ndërkufitare</w:t>
      </w:r>
    </w:p>
    <w:p w14:paraId="0BB928C3" w14:textId="77777777" w:rsidR="00A37FFB" w:rsidRPr="002612A0" w:rsidRDefault="00A37FFB" w:rsidP="002612A0">
      <w:pPr>
        <w:spacing w:after="0" w:line="276" w:lineRule="auto"/>
        <w:ind w:left="360"/>
        <w:jc w:val="both"/>
        <w:rPr>
          <w:rFonts w:ascii="Times New Roman" w:eastAsia="Times New Roman" w:hAnsi="Times New Roman" w:cs="Times New Roman"/>
          <w:strike/>
          <w:sz w:val="28"/>
          <w:szCs w:val="28"/>
        </w:rPr>
      </w:pPr>
    </w:p>
    <w:p w14:paraId="75A99B34" w14:textId="74749219" w:rsidR="00DB17BA" w:rsidRPr="002612A0" w:rsidRDefault="00EE5889"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Projektligji parashikon mbrojtjen e të drejtave të anëtarëve që transferohen për qëllime punësimi në një shtet tjetër anëtar. Ai garanton ruajtjen e të drejtave të fituara në skemën e pensionit (vested rights), të drejtën për informim të plotë dhe në kohë lidhur me këto të drejta, si dhe mundësinë e pagesës së përfitimeve të pensionit dhe transferimit të aktiveve përkatëse në favor të anëtarëve dhe përfituesve që ndodhen ose transferohen në një shtet tjetër anëtar.</w:t>
      </w:r>
    </w:p>
    <w:p w14:paraId="452C0A1F" w14:textId="77777777" w:rsidR="00DB17BA" w:rsidRPr="002612A0" w:rsidRDefault="00DB17BA" w:rsidP="002612A0">
      <w:pPr>
        <w:spacing w:after="0" w:line="276" w:lineRule="auto"/>
        <w:jc w:val="both"/>
        <w:rPr>
          <w:rFonts w:ascii="Times New Roman" w:eastAsia="Times New Roman" w:hAnsi="Times New Roman" w:cs="Times New Roman"/>
          <w:sz w:val="28"/>
          <w:szCs w:val="28"/>
        </w:rPr>
      </w:pPr>
    </w:p>
    <w:p w14:paraId="0B76F333" w14:textId="7DAEA48E" w:rsidR="00A37FFB" w:rsidRPr="002612A0" w:rsidRDefault="00A41CF7"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Projektligji parashikon reduktimin e periudhës së fitimit të së drejtës mbi kontributet e derdhura nga punëdhënësi në fondet e pensionit të mbyllura “vesting period”, nga pesë (5) vite në tre (3) vite.</w:t>
      </w:r>
    </w:p>
    <w:p w14:paraId="062F1626" w14:textId="77777777" w:rsidR="00A41CF7" w:rsidRPr="002612A0" w:rsidRDefault="00A41CF7" w:rsidP="002612A0">
      <w:pPr>
        <w:spacing w:after="0" w:line="276" w:lineRule="auto"/>
        <w:jc w:val="both"/>
        <w:rPr>
          <w:rFonts w:ascii="Times New Roman" w:eastAsia="Times New Roman" w:hAnsi="Times New Roman" w:cs="Times New Roman"/>
          <w:sz w:val="28"/>
          <w:szCs w:val="28"/>
        </w:rPr>
      </w:pPr>
    </w:p>
    <w:p w14:paraId="003BE745" w14:textId="7FF4DB66" w:rsidR="00D33783" w:rsidRPr="002612A0" w:rsidRDefault="008B4BEC"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 xml:space="preserve"> </w:t>
      </w:r>
      <w:r w:rsidR="00D33783" w:rsidRPr="002612A0">
        <w:rPr>
          <w:rFonts w:ascii="Times New Roman" w:eastAsia="Times New Roman" w:hAnsi="Times New Roman" w:cs="Times New Roman"/>
          <w:b/>
          <w:bCs/>
          <w:sz w:val="28"/>
          <w:szCs w:val="28"/>
        </w:rPr>
        <w:t>Mbikëqyrja me qasje perspektive dhe e bazuar në rrezik</w:t>
      </w:r>
    </w:p>
    <w:p w14:paraId="28882BF7" w14:textId="77777777" w:rsidR="00AB619D" w:rsidRPr="002612A0" w:rsidRDefault="00AB619D" w:rsidP="002612A0">
      <w:pPr>
        <w:pStyle w:val="ListParagraph"/>
        <w:spacing w:after="0" w:line="276" w:lineRule="auto"/>
        <w:jc w:val="both"/>
        <w:rPr>
          <w:rFonts w:ascii="Times New Roman" w:eastAsia="Times New Roman" w:hAnsi="Times New Roman" w:cs="Times New Roman"/>
          <w:sz w:val="28"/>
          <w:szCs w:val="28"/>
        </w:rPr>
      </w:pPr>
    </w:p>
    <w:p w14:paraId="1523F46C"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Projektligji forcon kuadrin e mbikëqyrjes së fondeve të pensionit privat duke parashikuar:</w:t>
      </w:r>
    </w:p>
    <w:p w14:paraId="1F64A01C" w14:textId="16C91503" w:rsidR="00D33783" w:rsidRPr="002612A0" w:rsidRDefault="00D33783" w:rsidP="002612A0">
      <w:pPr>
        <w:pStyle w:val="ListParagraph"/>
        <w:numPr>
          <w:ilvl w:val="0"/>
          <w:numId w:val="17"/>
        </w:num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qasje perspektive dhe të bazuar në rrezik si parim dhe metodologji të mbikëqyrjes;</w:t>
      </w:r>
    </w:p>
    <w:p w14:paraId="725F0352" w14:textId="67E6E0B7" w:rsidR="00D33783" w:rsidRPr="002612A0" w:rsidRDefault="00D33783" w:rsidP="002612A0">
      <w:pPr>
        <w:pStyle w:val="ListParagraph"/>
        <w:numPr>
          <w:ilvl w:val="0"/>
          <w:numId w:val="17"/>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kombinimin e mbikëqyrjes në distancë me inspektimet në vend, kryerjen e testeve të stresit sipas rastit dhe instrumenteve të tjera vlerësuese;</w:t>
      </w:r>
    </w:p>
    <w:p w14:paraId="420F66FC" w14:textId="528BA3AE" w:rsidR="00D33783" w:rsidRPr="002612A0" w:rsidRDefault="00D33783" w:rsidP="002612A0">
      <w:pPr>
        <w:pStyle w:val="ListParagraph"/>
        <w:numPr>
          <w:ilvl w:val="0"/>
          <w:numId w:val="17"/>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vendosjen e procesit të rishikimit mbikëqyrës (Supervisory Revie</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Process – SRP), i cili përfshin vlerësimin cilësor të sistemit të qeverisjes, profileve të </w:t>
      </w:r>
      <w:r w:rsidRPr="002612A0">
        <w:rPr>
          <w:rFonts w:ascii="Times New Roman" w:eastAsia="Times New Roman" w:hAnsi="Times New Roman" w:cs="Times New Roman"/>
          <w:sz w:val="28"/>
          <w:szCs w:val="28"/>
        </w:rPr>
        <w:lastRenderedPageBreak/>
        <w:t>rrezikut dhe aftësisë së subjektit për identifikimin, monitorimin dhe menaxhimin e tyre;</w:t>
      </w:r>
    </w:p>
    <w:p w14:paraId="63EEB7AC" w14:textId="1A03EEDF" w:rsidR="00D33783" w:rsidRPr="002612A0" w:rsidRDefault="00D33783" w:rsidP="002612A0">
      <w:pPr>
        <w:pStyle w:val="ListParagraph"/>
        <w:numPr>
          <w:ilvl w:val="0"/>
          <w:numId w:val="17"/>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dokumentacion të shtuar që vihet në dispozicion të autoritetit mbikëqyrës, duke përfshirë vlerësimet aktuariale sipas rastit, analizat aktive/detyrime dhe dokumente të tjera të nevojshme për vlerësimin e gjendjes financiare dhe të riskut;</w:t>
      </w:r>
    </w:p>
    <w:p w14:paraId="5809316D" w14:textId="3D5080D8" w:rsidR="00D33783" w:rsidRPr="002612A0" w:rsidRDefault="00D33783" w:rsidP="002612A0">
      <w:pPr>
        <w:pStyle w:val="ListParagraph"/>
        <w:numPr>
          <w:ilvl w:val="0"/>
          <w:numId w:val="17"/>
        </w:numPr>
        <w:spacing w:after="0" w:line="276" w:lineRule="auto"/>
        <w:ind w:left="0" w:firstLine="360"/>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rishikimin dhe qartësimin e kushteve, procedurave dhe kompetencave që lidhen me vendosjen e masave mbikëqyrëse, kufizimin e veprimtarisë dhe emërimin e administratorit të posaçëm.</w:t>
      </w:r>
    </w:p>
    <w:p w14:paraId="2ED0CC85" w14:textId="77777777" w:rsidR="005052DB" w:rsidRPr="002612A0" w:rsidRDefault="005052DB" w:rsidP="002612A0">
      <w:pPr>
        <w:pStyle w:val="ListParagraph"/>
        <w:spacing w:after="0" w:line="276" w:lineRule="auto"/>
        <w:ind w:left="360"/>
        <w:jc w:val="both"/>
        <w:rPr>
          <w:rFonts w:ascii="Times New Roman" w:eastAsia="Times New Roman" w:hAnsi="Times New Roman" w:cs="Times New Roman"/>
          <w:sz w:val="28"/>
          <w:szCs w:val="28"/>
        </w:rPr>
      </w:pPr>
    </w:p>
    <w:p w14:paraId="73BA0AAC" w14:textId="66E1CFFC" w:rsidR="00D33783" w:rsidRPr="002612A0" w:rsidRDefault="008B4BEC" w:rsidP="002612A0">
      <w:pPr>
        <w:pStyle w:val="ListParagraph"/>
        <w:numPr>
          <w:ilvl w:val="0"/>
          <w:numId w:val="13"/>
        </w:numPr>
        <w:spacing w:after="0" w:line="276" w:lineRule="auto"/>
        <w:ind w:left="360"/>
        <w:jc w:val="both"/>
        <w:rPr>
          <w:rFonts w:ascii="Times New Roman" w:eastAsia="Times New Roman" w:hAnsi="Times New Roman" w:cs="Times New Roman"/>
          <w:b/>
          <w:bCs/>
          <w:sz w:val="28"/>
          <w:szCs w:val="28"/>
        </w:rPr>
      </w:pPr>
      <w:r w:rsidRPr="002612A0">
        <w:rPr>
          <w:rFonts w:ascii="Times New Roman" w:eastAsia="Times New Roman" w:hAnsi="Times New Roman" w:cs="Times New Roman"/>
          <w:b/>
          <w:bCs/>
          <w:sz w:val="28"/>
          <w:szCs w:val="28"/>
        </w:rPr>
        <w:t xml:space="preserve"> </w:t>
      </w:r>
      <w:r w:rsidR="00D33783" w:rsidRPr="002612A0">
        <w:rPr>
          <w:rFonts w:ascii="Times New Roman" w:eastAsia="Times New Roman" w:hAnsi="Times New Roman" w:cs="Times New Roman"/>
          <w:b/>
          <w:bCs/>
          <w:sz w:val="28"/>
          <w:szCs w:val="28"/>
        </w:rPr>
        <w:t>Sekreti profesional dhe shkëmbimi i informacionit</w:t>
      </w:r>
    </w:p>
    <w:p w14:paraId="3D128DB4" w14:textId="77777777" w:rsidR="00971277" w:rsidRPr="002612A0" w:rsidRDefault="00971277" w:rsidP="002612A0">
      <w:pPr>
        <w:pStyle w:val="ListParagraph"/>
        <w:spacing w:after="0" w:line="276" w:lineRule="auto"/>
        <w:jc w:val="both"/>
        <w:rPr>
          <w:rFonts w:ascii="Times New Roman" w:eastAsia="Times New Roman" w:hAnsi="Times New Roman" w:cs="Times New Roman"/>
          <w:sz w:val="28"/>
          <w:szCs w:val="28"/>
        </w:rPr>
      </w:pPr>
    </w:p>
    <w:p w14:paraId="43384DCA" w14:textId="46DDF48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Projektligji përfshin një seksion të ri të plotë mbi sekretin profesional dhe shkëmbimin e informacionit, duke transpozuar Kreu V, Seksioni 2 të Direktivës IORP II. Parashikohen detyrimet e sekretit profesional për të gjithë punonjësit e Autoritetit</w:t>
      </w:r>
      <w:r w:rsidR="008B58E8"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kushte të rrepta për shkëmbimin, transmetimin ose vënien në dispozicion të informacionit konfidencial</w:t>
      </w:r>
      <w:r w:rsidR="008B58E8"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transmetimi i informacionit për bankat qendrore dhe autoritetet europiane të mbikëqyrjes (EIOPA, ESRB, EBA, ESMA)</w:t>
      </w:r>
      <w:r w:rsidR="008B58E8" w:rsidRPr="002612A0">
        <w:rPr>
          <w:rFonts w:ascii="Times New Roman" w:eastAsia="Times New Roman" w:hAnsi="Times New Roman" w:cs="Times New Roman"/>
          <w:sz w:val="28"/>
          <w:szCs w:val="28"/>
        </w:rPr>
        <w:t xml:space="preserve">, </w:t>
      </w:r>
      <w:r w:rsidRPr="002612A0">
        <w:rPr>
          <w:rFonts w:ascii="Times New Roman" w:eastAsia="Times New Roman" w:hAnsi="Times New Roman" w:cs="Times New Roman"/>
          <w:sz w:val="28"/>
          <w:szCs w:val="28"/>
        </w:rPr>
        <w:t>e drejta e hetimit të Parlamentit Europian</w:t>
      </w:r>
      <w:r w:rsidR="008B58E8"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bashkëpunimi me EIOPA-n</w:t>
      </w:r>
      <w:r w:rsidR="008B58E8"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përpunimi i të dhënave personale në përputhje me Rregulloren (BE) 2016/679 (GDPR) dhe </w:t>
      </w:r>
      <w:r w:rsidR="008B58E8" w:rsidRPr="002612A0">
        <w:rPr>
          <w:rFonts w:ascii="Times New Roman" w:eastAsia="Times New Roman" w:hAnsi="Times New Roman" w:cs="Times New Roman"/>
          <w:sz w:val="28"/>
          <w:szCs w:val="28"/>
        </w:rPr>
        <w:t>de</w:t>
      </w:r>
      <w:r w:rsidR="008817F7" w:rsidRPr="002612A0">
        <w:rPr>
          <w:rFonts w:ascii="Times New Roman" w:eastAsia="Times New Roman" w:hAnsi="Times New Roman" w:cs="Times New Roman"/>
          <w:sz w:val="28"/>
          <w:szCs w:val="28"/>
        </w:rPr>
        <w:t xml:space="preserve">tyrimi per </w:t>
      </w:r>
      <w:r w:rsidRPr="002612A0">
        <w:rPr>
          <w:rFonts w:ascii="Times New Roman" w:eastAsia="Times New Roman" w:hAnsi="Times New Roman" w:cs="Times New Roman"/>
          <w:sz w:val="28"/>
          <w:szCs w:val="28"/>
        </w:rPr>
        <w:t xml:space="preserve">raportim në ESAP duke filluar </w:t>
      </w:r>
      <w:r w:rsidR="00CD50A0" w:rsidRPr="002612A0">
        <w:rPr>
          <w:rFonts w:ascii="Times New Roman" w:eastAsia="Times New Roman" w:hAnsi="Times New Roman" w:cs="Times New Roman"/>
          <w:sz w:val="28"/>
          <w:szCs w:val="28"/>
        </w:rPr>
        <w:t xml:space="preserve">nga data </w:t>
      </w:r>
      <w:r w:rsidR="00617583" w:rsidRPr="002612A0">
        <w:rPr>
          <w:rFonts w:ascii="Times New Roman" w:eastAsia="Times New Roman" w:hAnsi="Times New Roman" w:cs="Times New Roman"/>
          <w:sz w:val="28"/>
          <w:szCs w:val="28"/>
        </w:rPr>
        <w:t>e an</w:t>
      </w:r>
      <w:r w:rsidR="00205C2B" w:rsidRPr="002612A0">
        <w:rPr>
          <w:rFonts w:ascii="Times New Roman" w:eastAsia="Times New Roman" w:hAnsi="Times New Roman" w:cs="Times New Roman"/>
          <w:sz w:val="28"/>
          <w:szCs w:val="28"/>
        </w:rPr>
        <w:t>ë</w:t>
      </w:r>
      <w:r w:rsidR="00617583" w:rsidRPr="002612A0">
        <w:rPr>
          <w:rFonts w:ascii="Times New Roman" w:eastAsia="Times New Roman" w:hAnsi="Times New Roman" w:cs="Times New Roman"/>
          <w:sz w:val="28"/>
          <w:szCs w:val="28"/>
        </w:rPr>
        <w:t>tar</w:t>
      </w:r>
      <w:r w:rsidR="00205C2B" w:rsidRPr="002612A0">
        <w:rPr>
          <w:rFonts w:ascii="Times New Roman" w:eastAsia="Times New Roman" w:hAnsi="Times New Roman" w:cs="Times New Roman"/>
          <w:sz w:val="28"/>
          <w:szCs w:val="28"/>
        </w:rPr>
        <w:t>ë</w:t>
      </w:r>
      <w:r w:rsidR="00617583" w:rsidRPr="002612A0">
        <w:rPr>
          <w:rFonts w:ascii="Times New Roman" w:eastAsia="Times New Roman" w:hAnsi="Times New Roman" w:cs="Times New Roman"/>
          <w:sz w:val="28"/>
          <w:szCs w:val="28"/>
        </w:rPr>
        <w:t>simi</w:t>
      </w:r>
      <w:r w:rsidR="00CD50A0" w:rsidRPr="002612A0">
        <w:rPr>
          <w:rFonts w:ascii="Times New Roman" w:eastAsia="Times New Roman" w:hAnsi="Times New Roman" w:cs="Times New Roman"/>
          <w:sz w:val="28"/>
          <w:szCs w:val="28"/>
        </w:rPr>
        <w:t>t</w:t>
      </w:r>
      <w:r w:rsidR="00617583" w:rsidRPr="002612A0">
        <w:rPr>
          <w:rFonts w:ascii="Times New Roman" w:eastAsia="Times New Roman" w:hAnsi="Times New Roman" w:cs="Times New Roman"/>
          <w:sz w:val="28"/>
          <w:szCs w:val="28"/>
        </w:rPr>
        <w:t xml:space="preserve"> n</w:t>
      </w:r>
      <w:r w:rsidR="00205C2B" w:rsidRPr="002612A0">
        <w:rPr>
          <w:rFonts w:ascii="Times New Roman" w:eastAsia="Times New Roman" w:hAnsi="Times New Roman" w:cs="Times New Roman"/>
          <w:sz w:val="28"/>
          <w:szCs w:val="28"/>
        </w:rPr>
        <w:t>ë</w:t>
      </w:r>
      <w:r w:rsidR="00617583" w:rsidRPr="002612A0">
        <w:rPr>
          <w:rFonts w:ascii="Times New Roman" w:eastAsia="Times New Roman" w:hAnsi="Times New Roman" w:cs="Times New Roman"/>
          <w:sz w:val="28"/>
          <w:szCs w:val="28"/>
        </w:rPr>
        <w:t xml:space="preserve"> Bashkimin Evropian</w:t>
      </w:r>
      <w:r w:rsidRPr="002612A0">
        <w:rPr>
          <w:rFonts w:ascii="Times New Roman" w:eastAsia="Times New Roman" w:hAnsi="Times New Roman" w:cs="Times New Roman"/>
          <w:sz w:val="28"/>
          <w:szCs w:val="28"/>
        </w:rPr>
        <w:t>.</w:t>
      </w:r>
    </w:p>
    <w:p w14:paraId="7156A6B0" w14:textId="77777777" w:rsidR="00617583" w:rsidRPr="002612A0" w:rsidRDefault="00617583" w:rsidP="002612A0">
      <w:pPr>
        <w:spacing w:after="0" w:line="276" w:lineRule="auto"/>
        <w:jc w:val="both"/>
        <w:rPr>
          <w:rFonts w:ascii="Times New Roman" w:eastAsia="Times New Roman" w:hAnsi="Times New Roman" w:cs="Times New Roman"/>
          <w:sz w:val="28"/>
          <w:szCs w:val="28"/>
        </w:rPr>
      </w:pPr>
    </w:p>
    <w:p w14:paraId="620D0809"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13. Transparenca dhe llogaridhënia e Autoritetit të Mbikëqyrjes Financiare</w:t>
      </w:r>
    </w:p>
    <w:p w14:paraId="4E0A8AC0" w14:textId="77777777" w:rsidR="00CD50A0" w:rsidRPr="002612A0" w:rsidRDefault="00CD50A0" w:rsidP="002612A0">
      <w:pPr>
        <w:spacing w:after="0" w:line="276" w:lineRule="auto"/>
        <w:jc w:val="both"/>
        <w:rPr>
          <w:rFonts w:ascii="Times New Roman" w:eastAsia="Times New Roman" w:hAnsi="Times New Roman" w:cs="Times New Roman"/>
          <w:sz w:val="28"/>
          <w:szCs w:val="28"/>
        </w:rPr>
      </w:pPr>
    </w:p>
    <w:p w14:paraId="28FA3051" w14:textId="044E61CC"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parashikon shprehimisht detyrimin për transparencë dhe llogaridhënie institucionale të Autoritetit, duke parashikuar publikimin e detyrueshëm të teksteve ligjore, statistikave agregate, procesit të rishikimit mbikëqyrës dhe rregullave mbi sanksionet. </w:t>
      </w:r>
    </w:p>
    <w:p w14:paraId="211C4E3F"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55F290EA" w14:textId="5DCC0E7D" w:rsidR="00D33783" w:rsidRPr="002612A0" w:rsidRDefault="00D33783" w:rsidP="002612A0">
      <w:pPr>
        <w:tabs>
          <w:tab w:val="left" w:pos="540"/>
          <w:tab w:val="left" w:pos="720"/>
        </w:tabs>
        <w:spacing w:after="0" w:line="276" w:lineRule="auto"/>
        <w:ind w:left="450" w:hanging="450"/>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IV. VLERËSIMI I LIGJSHMËRISË, KUSHTETUESHMËRISË DHE HARMONIZIMI ME LEGJISLACIONIN NË FUQI VENDAS E NDËRKOMBËTAR</w:t>
      </w:r>
    </w:p>
    <w:p w14:paraId="55AE4C87"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11F58C65" w14:textId="77777777" w:rsidR="00205C2B" w:rsidRPr="002612A0" w:rsidRDefault="00205C2B"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është përgatitur në mbështetje të neneve 78 dhe 83, pika 1, të Kushtetutës së Republikës së Shqipërisë, të cilat sanksionojnë kompetencën e Kuvendit për miratimin e ligjeve (procedurën legjislative të zakonshme). </w:t>
      </w:r>
      <w:r w:rsidRPr="002612A0">
        <w:rPr>
          <w:rFonts w:ascii="Times New Roman" w:eastAsia="Times New Roman" w:hAnsi="Times New Roman" w:cs="Times New Roman"/>
          <w:sz w:val="28"/>
          <w:szCs w:val="28"/>
        </w:rPr>
        <w:lastRenderedPageBreak/>
        <w:t>Dispozitat e projektligjit janë në harmoni me parimet kushtetuese dhe të drejtat themelore. Janë respektuar gjithashtu parimet e proporcionalitetit dhe sigurisë juridike, dhe formulimi i dispozitave është i qartë, në mënyrë që subjektet e adresuara të kenë mundësi t’i kuptojnë dhe zbatojnë lehtësisht ato.</w:t>
      </w:r>
    </w:p>
    <w:p w14:paraId="3897D9AC" w14:textId="77777777" w:rsidR="00205C2B" w:rsidRPr="002612A0" w:rsidRDefault="00205C2B" w:rsidP="002612A0">
      <w:pPr>
        <w:spacing w:after="0" w:line="276" w:lineRule="auto"/>
        <w:jc w:val="both"/>
        <w:rPr>
          <w:rFonts w:ascii="Times New Roman" w:eastAsia="Times New Roman" w:hAnsi="Times New Roman" w:cs="Times New Roman"/>
          <w:sz w:val="28"/>
          <w:szCs w:val="28"/>
        </w:rPr>
      </w:pPr>
    </w:p>
    <w:p w14:paraId="05576223" w14:textId="6AE1B3B2" w:rsidR="00D33783" w:rsidRPr="002612A0" w:rsidRDefault="00205C2B"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Projektligji do të bashk</w:t>
      </w:r>
      <w:r w:rsidR="008B4BEC" w:rsidRPr="002612A0">
        <w:rPr>
          <w:rFonts w:ascii="Times New Roman" w:eastAsia="Times New Roman" w:hAnsi="Times New Roman" w:cs="Times New Roman"/>
          <w:sz w:val="28"/>
          <w:szCs w:val="28"/>
        </w:rPr>
        <w:t>e</w:t>
      </w:r>
      <w:r w:rsidRPr="002612A0">
        <w:rPr>
          <w:rFonts w:ascii="Times New Roman" w:eastAsia="Times New Roman" w:hAnsi="Times New Roman" w:cs="Times New Roman"/>
          <w:sz w:val="28"/>
          <w:szCs w:val="28"/>
        </w:rPr>
        <w:t xml:space="preserve">kzistojë me ligjet aktuale që rregullojnë sektorët financiarë, duke i plotësuar ato në aspektin ndër sektorial. </w:t>
      </w:r>
      <w:r w:rsidR="00D33783" w:rsidRPr="002612A0">
        <w:rPr>
          <w:rFonts w:ascii="Times New Roman" w:eastAsia="Times New Roman" w:hAnsi="Times New Roman" w:cs="Times New Roman"/>
          <w:sz w:val="28"/>
          <w:szCs w:val="28"/>
        </w:rPr>
        <w:t>Gjatë hartimit të tij janë marrë në konsideratë</w:t>
      </w:r>
      <w:r w:rsidR="00A35EF8" w:rsidRPr="002612A0">
        <w:rPr>
          <w:rFonts w:ascii="Times New Roman" w:eastAsia="Times New Roman" w:hAnsi="Times New Roman" w:cs="Times New Roman"/>
          <w:sz w:val="28"/>
          <w:szCs w:val="28"/>
        </w:rPr>
        <w:t xml:space="preserve"> legjisilacioni q</w:t>
      </w:r>
      <w:r w:rsidR="0062370C" w:rsidRPr="002612A0">
        <w:rPr>
          <w:rFonts w:ascii="Times New Roman" w:eastAsia="Times New Roman" w:hAnsi="Times New Roman" w:cs="Times New Roman"/>
          <w:sz w:val="28"/>
          <w:szCs w:val="28"/>
        </w:rPr>
        <w:t>ë</w:t>
      </w:r>
      <w:r w:rsidR="00A35EF8" w:rsidRPr="002612A0">
        <w:rPr>
          <w:rFonts w:ascii="Times New Roman" w:eastAsia="Times New Roman" w:hAnsi="Times New Roman" w:cs="Times New Roman"/>
          <w:sz w:val="28"/>
          <w:szCs w:val="28"/>
        </w:rPr>
        <w:t xml:space="preserve"> rregullon tregun e </w:t>
      </w:r>
      <w:r w:rsidR="00D33783" w:rsidRPr="002612A0">
        <w:rPr>
          <w:rFonts w:ascii="Times New Roman" w:eastAsia="Times New Roman" w:hAnsi="Times New Roman" w:cs="Times New Roman"/>
          <w:sz w:val="28"/>
          <w:szCs w:val="28"/>
        </w:rPr>
        <w:t>sipërmarrje</w:t>
      </w:r>
      <w:r w:rsidR="00A35EF8" w:rsidRPr="002612A0">
        <w:rPr>
          <w:rFonts w:ascii="Times New Roman" w:eastAsia="Times New Roman" w:hAnsi="Times New Roman" w:cs="Times New Roman"/>
          <w:sz w:val="28"/>
          <w:szCs w:val="28"/>
        </w:rPr>
        <w:t>ve</w:t>
      </w:r>
      <w:r w:rsidR="00D33783" w:rsidRPr="002612A0">
        <w:rPr>
          <w:rFonts w:ascii="Times New Roman" w:eastAsia="Times New Roman" w:hAnsi="Times New Roman" w:cs="Times New Roman"/>
          <w:sz w:val="28"/>
          <w:szCs w:val="28"/>
        </w:rPr>
        <w:t xml:space="preserve"> </w:t>
      </w:r>
      <w:r w:rsidR="00A35EF8" w:rsidRPr="002612A0">
        <w:rPr>
          <w:rFonts w:ascii="Times New Roman" w:eastAsia="Times New Roman" w:hAnsi="Times New Roman" w:cs="Times New Roman"/>
          <w:sz w:val="28"/>
          <w:szCs w:val="28"/>
        </w:rPr>
        <w:t>t</w:t>
      </w:r>
      <w:r w:rsidR="0062370C" w:rsidRPr="002612A0">
        <w:rPr>
          <w:rFonts w:ascii="Times New Roman" w:eastAsia="Times New Roman" w:hAnsi="Times New Roman" w:cs="Times New Roman"/>
          <w:sz w:val="28"/>
          <w:szCs w:val="28"/>
        </w:rPr>
        <w:t>ë</w:t>
      </w:r>
      <w:r w:rsidR="00A35EF8"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investimeve kolektive</w:t>
      </w:r>
      <w:r w:rsidR="00A35EF8" w:rsidRPr="002612A0">
        <w:rPr>
          <w:rFonts w:ascii="Times New Roman" w:eastAsia="Times New Roman" w:hAnsi="Times New Roman" w:cs="Times New Roman"/>
          <w:sz w:val="28"/>
          <w:szCs w:val="28"/>
        </w:rPr>
        <w:t>, t</w:t>
      </w:r>
      <w:r w:rsidR="00D33783" w:rsidRPr="002612A0">
        <w:rPr>
          <w:rFonts w:ascii="Times New Roman" w:eastAsia="Times New Roman" w:hAnsi="Times New Roman" w:cs="Times New Roman"/>
          <w:sz w:val="28"/>
          <w:szCs w:val="28"/>
        </w:rPr>
        <w:t xml:space="preserve">regjet e </w:t>
      </w:r>
      <w:r w:rsidR="00EC20E8" w:rsidRPr="002612A0">
        <w:rPr>
          <w:rFonts w:ascii="Times New Roman" w:eastAsia="Times New Roman" w:hAnsi="Times New Roman" w:cs="Times New Roman"/>
          <w:sz w:val="28"/>
          <w:szCs w:val="28"/>
        </w:rPr>
        <w:t>k</w:t>
      </w:r>
      <w:r w:rsidR="00D33783" w:rsidRPr="002612A0">
        <w:rPr>
          <w:rFonts w:ascii="Times New Roman" w:eastAsia="Times New Roman" w:hAnsi="Times New Roman" w:cs="Times New Roman"/>
          <w:sz w:val="28"/>
          <w:szCs w:val="28"/>
        </w:rPr>
        <w:t>apitalit</w:t>
      </w:r>
      <w:r w:rsidR="00EC20E8" w:rsidRPr="002612A0">
        <w:rPr>
          <w:rFonts w:ascii="Times New Roman" w:eastAsia="Times New Roman" w:hAnsi="Times New Roman" w:cs="Times New Roman"/>
          <w:sz w:val="28"/>
          <w:szCs w:val="28"/>
        </w:rPr>
        <w:t xml:space="preserve">, </w:t>
      </w:r>
      <w:r w:rsidR="002A5481" w:rsidRPr="002612A0">
        <w:rPr>
          <w:rFonts w:ascii="Times New Roman" w:eastAsia="Times New Roman" w:hAnsi="Times New Roman" w:cs="Times New Roman"/>
          <w:sz w:val="28"/>
          <w:szCs w:val="28"/>
        </w:rPr>
        <w:t>legjis</w:t>
      </w:r>
      <w:r w:rsidR="002B2E3A" w:rsidRPr="002612A0">
        <w:rPr>
          <w:rFonts w:ascii="Times New Roman" w:eastAsia="Times New Roman" w:hAnsi="Times New Roman" w:cs="Times New Roman"/>
          <w:sz w:val="28"/>
          <w:szCs w:val="28"/>
        </w:rPr>
        <w:t>lacioni q</w:t>
      </w:r>
      <w:r w:rsidR="0062370C" w:rsidRPr="002612A0">
        <w:rPr>
          <w:rFonts w:ascii="Times New Roman" w:eastAsia="Times New Roman" w:hAnsi="Times New Roman" w:cs="Times New Roman"/>
          <w:sz w:val="28"/>
          <w:szCs w:val="28"/>
        </w:rPr>
        <w:t>ë</w:t>
      </w:r>
      <w:r w:rsidR="002B2E3A" w:rsidRPr="002612A0">
        <w:rPr>
          <w:rFonts w:ascii="Times New Roman" w:eastAsia="Times New Roman" w:hAnsi="Times New Roman" w:cs="Times New Roman"/>
          <w:sz w:val="28"/>
          <w:szCs w:val="28"/>
        </w:rPr>
        <w:t xml:space="preserve"> rregullon v</w:t>
      </w:r>
      <w:r w:rsidR="00FD1DC7" w:rsidRPr="002612A0">
        <w:rPr>
          <w:rFonts w:ascii="Times New Roman" w:eastAsia="Times New Roman" w:hAnsi="Times New Roman" w:cs="Times New Roman"/>
          <w:sz w:val="28"/>
          <w:szCs w:val="28"/>
        </w:rPr>
        <w:t>eprimtarin</w:t>
      </w:r>
      <w:r w:rsidRPr="002612A0">
        <w:rPr>
          <w:rFonts w:ascii="Times New Roman" w:eastAsia="Times New Roman" w:hAnsi="Times New Roman" w:cs="Times New Roman"/>
          <w:sz w:val="28"/>
          <w:szCs w:val="28"/>
        </w:rPr>
        <w:t>ë</w:t>
      </w:r>
      <w:r w:rsidR="00FD1DC7" w:rsidRPr="002612A0">
        <w:rPr>
          <w:rFonts w:ascii="Times New Roman" w:eastAsia="Times New Roman" w:hAnsi="Times New Roman" w:cs="Times New Roman"/>
          <w:sz w:val="28"/>
          <w:szCs w:val="28"/>
        </w:rPr>
        <w:t xml:space="preserve"> e</w:t>
      </w:r>
      <w:r w:rsidR="00D33783" w:rsidRPr="002612A0">
        <w:rPr>
          <w:rFonts w:ascii="Times New Roman" w:eastAsia="Times New Roman" w:hAnsi="Times New Roman" w:cs="Times New Roman"/>
          <w:sz w:val="28"/>
          <w:szCs w:val="28"/>
        </w:rPr>
        <w:t xml:space="preserve"> sigurimi</w:t>
      </w:r>
      <w:r w:rsidR="00FD1DC7" w:rsidRPr="002612A0">
        <w:rPr>
          <w:rFonts w:ascii="Times New Roman" w:eastAsia="Times New Roman" w:hAnsi="Times New Roman" w:cs="Times New Roman"/>
          <w:sz w:val="28"/>
          <w:szCs w:val="28"/>
        </w:rPr>
        <w:t>t</w:t>
      </w:r>
      <w:r w:rsidR="00D33783" w:rsidRPr="002612A0">
        <w:rPr>
          <w:rFonts w:ascii="Times New Roman" w:eastAsia="Times New Roman" w:hAnsi="Times New Roman" w:cs="Times New Roman"/>
          <w:sz w:val="28"/>
          <w:szCs w:val="28"/>
        </w:rPr>
        <w:t xml:space="preserve"> dhe risigurimi</w:t>
      </w:r>
      <w:r w:rsidR="00FD1DC7" w:rsidRPr="002612A0">
        <w:rPr>
          <w:rFonts w:ascii="Times New Roman" w:eastAsia="Times New Roman" w:hAnsi="Times New Roman" w:cs="Times New Roman"/>
          <w:sz w:val="28"/>
          <w:szCs w:val="28"/>
        </w:rPr>
        <w:t>t</w:t>
      </w:r>
      <w:r w:rsidR="00EC20E8" w:rsidRPr="002612A0">
        <w:rPr>
          <w:rFonts w:ascii="Times New Roman" w:eastAsia="Times New Roman" w:hAnsi="Times New Roman" w:cs="Times New Roman"/>
          <w:sz w:val="28"/>
          <w:szCs w:val="28"/>
        </w:rPr>
        <w:t xml:space="preserve">, si dhe </w:t>
      </w:r>
      <w:r w:rsidR="002B2E3A" w:rsidRPr="002612A0">
        <w:rPr>
          <w:rFonts w:ascii="Times New Roman" w:eastAsia="Times New Roman" w:hAnsi="Times New Roman" w:cs="Times New Roman"/>
          <w:sz w:val="28"/>
          <w:szCs w:val="28"/>
        </w:rPr>
        <w:t>l</w:t>
      </w:r>
      <w:r w:rsidR="00D33783" w:rsidRPr="002612A0">
        <w:rPr>
          <w:rFonts w:ascii="Times New Roman" w:eastAsia="Times New Roman" w:hAnsi="Times New Roman" w:cs="Times New Roman"/>
          <w:sz w:val="28"/>
          <w:szCs w:val="28"/>
        </w:rPr>
        <w:t>egjislacioni për mbrojtjen e të dhënave personale, në përputhje me parimet e Rregullores (BE) 2016/679 (GDPR).</w:t>
      </w:r>
    </w:p>
    <w:p w14:paraId="6F1BD2B8" w14:textId="36E55107" w:rsidR="00D33783" w:rsidRPr="002612A0" w:rsidRDefault="00D33783" w:rsidP="002612A0">
      <w:pPr>
        <w:spacing w:after="0" w:line="276" w:lineRule="auto"/>
        <w:jc w:val="both"/>
        <w:rPr>
          <w:rFonts w:ascii="Times New Roman" w:eastAsia="Times New Roman" w:hAnsi="Times New Roman" w:cs="Times New Roman"/>
          <w:sz w:val="28"/>
          <w:szCs w:val="28"/>
        </w:rPr>
      </w:pPr>
    </w:p>
    <w:p w14:paraId="196FC67F"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V. VLERËSIMI I SHKALLËS SË PËRAFRIMIT ME ACQUIS COMMUNAUTAIRE</w:t>
      </w:r>
    </w:p>
    <w:p w14:paraId="701EADF5"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64047634" w14:textId="14844BBF"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w:t>
      </w:r>
      <w:r w:rsidR="005D0673"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Për disa </w:t>
      </w:r>
      <w:r w:rsidR="005D0673" w:rsidRPr="002612A0">
        <w:rPr>
          <w:rFonts w:ascii="Times New Roman" w:eastAsia="Times New Roman" w:hAnsi="Times New Roman" w:cs="Times New Roman"/>
          <w:sz w:val="28"/>
          <w:szCs w:val="28"/>
        </w:rPr>
        <w:t xml:space="preserve">shtesa dhe </w:t>
      </w:r>
      <w:r w:rsidRPr="002612A0">
        <w:rPr>
          <w:rFonts w:ascii="Times New Roman" w:eastAsia="Times New Roman" w:hAnsi="Times New Roman" w:cs="Times New Roman"/>
          <w:sz w:val="28"/>
          <w:szCs w:val="28"/>
        </w:rPr>
        <w:t xml:space="preserve">ndryshime në </w:t>
      </w:r>
      <w:r w:rsidR="00F535D1" w:rsidRPr="002612A0">
        <w:rPr>
          <w:rFonts w:ascii="Times New Roman" w:eastAsia="Times New Roman" w:hAnsi="Times New Roman" w:cs="Times New Roman"/>
          <w:sz w:val="28"/>
          <w:szCs w:val="28"/>
        </w:rPr>
        <w:t>l</w:t>
      </w:r>
      <w:r w:rsidRPr="002612A0">
        <w:rPr>
          <w:rFonts w:ascii="Times New Roman" w:eastAsia="Times New Roman" w:hAnsi="Times New Roman" w:cs="Times New Roman"/>
          <w:sz w:val="28"/>
          <w:szCs w:val="28"/>
        </w:rPr>
        <w:t>igjin nr. 76/2023</w:t>
      </w:r>
      <w:r w:rsidR="005D0673" w:rsidRPr="002612A0">
        <w:rPr>
          <w:rFonts w:ascii="Times New Roman" w:eastAsia="Times New Roman" w:hAnsi="Times New Roman" w:cs="Times New Roman"/>
          <w:sz w:val="28"/>
          <w:szCs w:val="28"/>
        </w:rPr>
        <w:t xml:space="preserve"> “P</w:t>
      </w:r>
      <w:r w:rsidR="00205C2B" w:rsidRPr="002612A0">
        <w:rPr>
          <w:rFonts w:ascii="Times New Roman" w:eastAsia="Times New Roman" w:hAnsi="Times New Roman" w:cs="Times New Roman"/>
          <w:sz w:val="28"/>
          <w:szCs w:val="28"/>
        </w:rPr>
        <w:t>ë</w:t>
      </w:r>
      <w:r w:rsidR="005D0673" w:rsidRPr="002612A0">
        <w:rPr>
          <w:rFonts w:ascii="Times New Roman" w:eastAsia="Times New Roman" w:hAnsi="Times New Roman" w:cs="Times New Roman"/>
          <w:sz w:val="28"/>
          <w:szCs w:val="28"/>
        </w:rPr>
        <w:t>r fondet e pensionit privat</w:t>
      </w:r>
      <w:r w:rsidR="00D95B56"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synon të realizojë përafrimin e plotë të legjislacionit shqiptar me Direktivën 2016/2341/KE të Parlamentit Europian dhe të Këshillit, datë 14 dhjetor 2016, </w:t>
      </w:r>
      <w:r w:rsidR="00D95B56"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Për veprimtaritë dhe mbikëqyrjen e institucioneve të pensionit </w:t>
      </w:r>
      <w:r w:rsidR="00D95B56" w:rsidRPr="002612A0">
        <w:rPr>
          <w:rFonts w:ascii="Times New Roman" w:eastAsia="Times New Roman" w:hAnsi="Times New Roman" w:cs="Times New Roman"/>
          <w:sz w:val="28"/>
          <w:szCs w:val="28"/>
        </w:rPr>
        <w:t>profesional”</w:t>
      </w:r>
      <w:r w:rsidRPr="002612A0">
        <w:rPr>
          <w:rFonts w:ascii="Times New Roman" w:eastAsia="Times New Roman" w:hAnsi="Times New Roman" w:cs="Times New Roman"/>
          <w:sz w:val="28"/>
          <w:szCs w:val="28"/>
        </w:rPr>
        <w:t xml:space="preserve"> (IORP II), numri celex 32016L2341, Fletorja Zyrtare e Bashkimit Europian, seria L, nr. 354, datë 23.12.2016, f. 37-85.</w:t>
      </w:r>
    </w:p>
    <w:p w14:paraId="583ACBF9" w14:textId="77777777" w:rsidR="00D95B56" w:rsidRPr="002612A0" w:rsidRDefault="00D95B56" w:rsidP="002612A0">
      <w:pPr>
        <w:spacing w:after="0" w:line="276" w:lineRule="auto"/>
        <w:jc w:val="both"/>
        <w:rPr>
          <w:rFonts w:ascii="Times New Roman" w:eastAsia="Times New Roman" w:hAnsi="Times New Roman" w:cs="Times New Roman"/>
          <w:sz w:val="28"/>
          <w:szCs w:val="28"/>
        </w:rPr>
      </w:pPr>
    </w:p>
    <w:p w14:paraId="1A379FCE" w14:textId="2C3190E9"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Me miratimin e </w:t>
      </w:r>
      <w:r w:rsidR="00CE711A" w:rsidRPr="002612A0">
        <w:rPr>
          <w:rFonts w:ascii="Times New Roman" w:eastAsia="Times New Roman" w:hAnsi="Times New Roman" w:cs="Times New Roman"/>
          <w:sz w:val="28"/>
          <w:szCs w:val="28"/>
        </w:rPr>
        <w:t xml:space="preserve">shtesave dhe </w:t>
      </w:r>
      <w:r w:rsidRPr="002612A0">
        <w:rPr>
          <w:rFonts w:ascii="Times New Roman" w:eastAsia="Times New Roman" w:hAnsi="Times New Roman" w:cs="Times New Roman"/>
          <w:sz w:val="28"/>
          <w:szCs w:val="28"/>
        </w:rPr>
        <w:t xml:space="preserve">ndryshimeve të propozuara, ligji </w:t>
      </w:r>
      <w:r w:rsidR="00CE711A" w:rsidRPr="002612A0">
        <w:rPr>
          <w:rFonts w:ascii="Times New Roman" w:eastAsia="Times New Roman" w:hAnsi="Times New Roman" w:cs="Times New Roman"/>
          <w:sz w:val="28"/>
          <w:szCs w:val="28"/>
        </w:rPr>
        <w:t xml:space="preserve">nr. </w:t>
      </w:r>
      <w:r w:rsidRPr="002612A0">
        <w:rPr>
          <w:rFonts w:ascii="Times New Roman" w:eastAsia="Times New Roman" w:hAnsi="Times New Roman" w:cs="Times New Roman"/>
          <w:sz w:val="28"/>
          <w:szCs w:val="28"/>
        </w:rPr>
        <w:t>76/2023</w:t>
      </w:r>
      <w:r w:rsidR="00D95B56" w:rsidRPr="002612A0">
        <w:rPr>
          <w:rFonts w:ascii="Times New Roman" w:hAnsi="Times New Roman" w:cs="Times New Roman"/>
          <w:sz w:val="28"/>
          <w:szCs w:val="28"/>
        </w:rPr>
        <w:t xml:space="preserve"> </w:t>
      </w:r>
      <w:r w:rsidR="00CE711A" w:rsidRPr="002612A0">
        <w:rPr>
          <w:rFonts w:ascii="Times New Roman" w:hAnsi="Times New Roman" w:cs="Times New Roman"/>
          <w:sz w:val="28"/>
          <w:szCs w:val="28"/>
        </w:rPr>
        <w:t>“</w:t>
      </w:r>
      <w:r w:rsidR="00D95B56" w:rsidRPr="002612A0">
        <w:rPr>
          <w:rFonts w:ascii="Times New Roman" w:eastAsia="Times New Roman" w:hAnsi="Times New Roman" w:cs="Times New Roman"/>
          <w:sz w:val="28"/>
          <w:szCs w:val="28"/>
        </w:rPr>
        <w:t>P</w:t>
      </w:r>
      <w:r w:rsidR="00205C2B" w:rsidRPr="002612A0">
        <w:rPr>
          <w:rFonts w:ascii="Times New Roman" w:eastAsia="Times New Roman" w:hAnsi="Times New Roman" w:cs="Times New Roman"/>
          <w:sz w:val="28"/>
          <w:szCs w:val="28"/>
        </w:rPr>
        <w:t>ë</w:t>
      </w:r>
      <w:r w:rsidR="00D95B56" w:rsidRPr="002612A0">
        <w:rPr>
          <w:rFonts w:ascii="Times New Roman" w:eastAsia="Times New Roman" w:hAnsi="Times New Roman" w:cs="Times New Roman"/>
          <w:sz w:val="28"/>
          <w:szCs w:val="28"/>
        </w:rPr>
        <w:t>r fondet e pensionit privat”</w:t>
      </w:r>
      <w:r w:rsidRPr="002612A0">
        <w:rPr>
          <w:rFonts w:ascii="Times New Roman" w:eastAsia="Times New Roman" w:hAnsi="Times New Roman" w:cs="Times New Roman"/>
          <w:sz w:val="28"/>
          <w:szCs w:val="28"/>
        </w:rPr>
        <w:t xml:space="preserve"> dhe aktet nënligjore të miratuara në zbatim të tij do të transpozojnë plotësisht të gjitha dispozitat e Direktivës IORP II. Kjo është pasqyruar edhe në shënimin e harmonizimit të ligjit 76/2023, i cili kalon nga </w:t>
      </w:r>
      <w:r w:rsidR="00D95B56"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përafron pjesërisht</w:t>
      </w:r>
      <w:r w:rsidR="00D95B56"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në </w:t>
      </w:r>
      <w:r w:rsidR="00D95B56"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përafron plotësisht</w:t>
      </w:r>
      <w:r w:rsidR="00D95B56"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Direktivën IORP II.</w:t>
      </w:r>
    </w:p>
    <w:p w14:paraId="25B6106D" w14:textId="77777777" w:rsidR="002D2081" w:rsidRPr="002612A0" w:rsidRDefault="002D2081" w:rsidP="002612A0">
      <w:pPr>
        <w:spacing w:after="0" w:line="276" w:lineRule="auto"/>
        <w:jc w:val="both"/>
        <w:rPr>
          <w:rFonts w:ascii="Times New Roman" w:eastAsia="Times New Roman" w:hAnsi="Times New Roman" w:cs="Times New Roman"/>
          <w:sz w:val="28"/>
          <w:szCs w:val="28"/>
        </w:rPr>
      </w:pPr>
    </w:p>
    <w:p w14:paraId="0B0472D6" w14:textId="77CA4495" w:rsidR="002D2081" w:rsidRPr="002612A0" w:rsidRDefault="002D2081"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Përveç Direktivës 2016/2341/BE (IORP II), projektligji transpozon edhe Direktivën 98/49/KE dhe Direktivën 2014/50/BE, të cilat synojnë mbrojtjen, ruajtjen dhe transferueshmërinë e të drejtave të pensionit të punëmarrësve dhe të vetëpunësuarve në rastet e lëvizjes ndërkufitare. Transpozimi i këtyre akteve realizohet në kuadër të angazhimeve të Autoritetit në Kapitullin 2 “Lëvizja e lirë e punëtorëve”, ku institucioni kontribuon si anëtar i Grupit Ndërinstitucional të Punës për Integrimin Evropian (GNPIE), për aspektet që lidhen me pensionet private në kontekstin e lëvizshmërisë ndërkufitare të punëmarrësve. </w:t>
      </w:r>
    </w:p>
    <w:p w14:paraId="3C0A64AD" w14:textId="77777777" w:rsidR="002D2081" w:rsidRPr="002612A0" w:rsidRDefault="002D2081" w:rsidP="002612A0">
      <w:pPr>
        <w:spacing w:after="0" w:line="276" w:lineRule="auto"/>
        <w:jc w:val="both"/>
        <w:rPr>
          <w:rFonts w:ascii="Times New Roman" w:eastAsia="Times New Roman" w:hAnsi="Times New Roman" w:cs="Times New Roman"/>
          <w:sz w:val="28"/>
          <w:szCs w:val="28"/>
        </w:rPr>
      </w:pPr>
    </w:p>
    <w:p w14:paraId="041E496A" w14:textId="12AC8DDB" w:rsidR="002D2081" w:rsidRPr="002612A0" w:rsidRDefault="002D2081"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lastRenderedPageBreak/>
        <w:t>Nenet e Direktivave adresohen në mënyrë të përshtatshme duke parashikuar edhe afatin për hyrjen në fuqi të disa dispozitave me anëtarësimin në BE.</w:t>
      </w:r>
    </w:p>
    <w:p w14:paraId="3A2BBE47"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3B2F6FED"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VI.    PËRMBLEDHJE SHPJEGUESE E PËRMBAJTJES SË PROJEKTLIGJIT</w:t>
      </w:r>
    </w:p>
    <w:p w14:paraId="25E5B18A"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77D8B7D2" w14:textId="4A89D31C"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përmban 69 nene dhe realizon ndryshime dhe shtesa në </w:t>
      </w:r>
      <w:r w:rsidR="007D7B3D" w:rsidRPr="002612A0">
        <w:rPr>
          <w:rFonts w:ascii="Times New Roman" w:eastAsia="Times New Roman" w:hAnsi="Times New Roman" w:cs="Times New Roman"/>
          <w:sz w:val="28"/>
          <w:szCs w:val="28"/>
        </w:rPr>
        <w:t>l</w:t>
      </w:r>
      <w:r w:rsidRPr="002612A0">
        <w:rPr>
          <w:rFonts w:ascii="Times New Roman" w:eastAsia="Times New Roman" w:hAnsi="Times New Roman" w:cs="Times New Roman"/>
          <w:sz w:val="28"/>
          <w:szCs w:val="28"/>
        </w:rPr>
        <w:t>igjin nr. 76/2023</w:t>
      </w:r>
      <w:r w:rsidR="007D7B3D" w:rsidRPr="002612A0">
        <w:rPr>
          <w:rFonts w:ascii="Times New Roman" w:hAnsi="Times New Roman" w:cs="Times New Roman"/>
          <w:sz w:val="28"/>
          <w:szCs w:val="28"/>
        </w:rPr>
        <w:t xml:space="preserve"> “</w:t>
      </w:r>
      <w:r w:rsidR="007D7B3D" w:rsidRPr="002612A0">
        <w:rPr>
          <w:rFonts w:ascii="Times New Roman" w:eastAsia="Times New Roman" w:hAnsi="Times New Roman" w:cs="Times New Roman"/>
          <w:sz w:val="28"/>
          <w:szCs w:val="28"/>
        </w:rPr>
        <w:t>P</w:t>
      </w:r>
      <w:r w:rsidR="00205C2B" w:rsidRPr="002612A0">
        <w:rPr>
          <w:rFonts w:ascii="Times New Roman" w:eastAsia="Times New Roman" w:hAnsi="Times New Roman" w:cs="Times New Roman"/>
          <w:sz w:val="28"/>
          <w:szCs w:val="28"/>
        </w:rPr>
        <w:t>ë</w:t>
      </w:r>
      <w:r w:rsidR="007D7B3D" w:rsidRPr="002612A0">
        <w:rPr>
          <w:rFonts w:ascii="Times New Roman" w:eastAsia="Times New Roman" w:hAnsi="Times New Roman" w:cs="Times New Roman"/>
          <w:sz w:val="28"/>
          <w:szCs w:val="28"/>
        </w:rPr>
        <w:t>r fondet e pensionit privat”</w:t>
      </w:r>
      <w:r w:rsidRPr="002612A0">
        <w:rPr>
          <w:rFonts w:ascii="Times New Roman" w:eastAsia="Times New Roman" w:hAnsi="Times New Roman" w:cs="Times New Roman"/>
          <w:sz w:val="28"/>
          <w:szCs w:val="28"/>
        </w:rPr>
        <w:t>. Më poshtë paraqitet një përmbledhje e strukturuar e ndryshimeve:</w:t>
      </w:r>
    </w:p>
    <w:p w14:paraId="5010F870"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3617B1FC" w14:textId="30A42E84"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1 - Objekti dhe fusha e zbatimit </w:t>
      </w:r>
      <w:r w:rsidRPr="002612A0">
        <w:rPr>
          <w:rFonts w:ascii="Times New Roman" w:eastAsia="Times New Roman" w:hAnsi="Times New Roman" w:cs="Times New Roman"/>
          <w:sz w:val="28"/>
          <w:szCs w:val="28"/>
        </w:rPr>
        <w:t>(ndryshon nenin 1 të ligjit)</w:t>
      </w:r>
    </w:p>
    <w:p w14:paraId="4613ED75" w14:textId="64934616" w:rsidR="00D33783" w:rsidRPr="002612A0" w:rsidRDefault="007D7B3D"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Dispozita riformulohet </w:t>
      </w:r>
      <w:r w:rsidR="00D33783" w:rsidRPr="002612A0">
        <w:rPr>
          <w:rFonts w:ascii="Times New Roman" w:eastAsia="Times New Roman" w:hAnsi="Times New Roman" w:cs="Times New Roman"/>
          <w:sz w:val="28"/>
          <w:szCs w:val="28"/>
        </w:rPr>
        <w:t>tërësisht duke iu referuar Direktivës IORP II</w:t>
      </w:r>
      <w:r w:rsidR="00D97D2A" w:rsidRPr="002612A0">
        <w:rPr>
          <w:rFonts w:ascii="Times New Roman" w:eastAsia="Times New Roman" w:hAnsi="Times New Roman" w:cs="Times New Roman"/>
          <w:sz w:val="28"/>
          <w:szCs w:val="28"/>
        </w:rPr>
        <w:t>,</w:t>
      </w:r>
      <w:r w:rsidR="00D33783" w:rsidRPr="002612A0">
        <w:rPr>
          <w:rFonts w:ascii="Times New Roman" w:eastAsia="Times New Roman" w:hAnsi="Times New Roman" w:cs="Times New Roman"/>
          <w:sz w:val="28"/>
          <w:szCs w:val="28"/>
        </w:rPr>
        <w:t xml:space="preserve"> duke përfshirë institucionet e pensionit profesional (IORP), skemat me përfitime të përcaktuara në kontekstin e veprimtarisë ndërkufitare, si dhe dispozitat për transferimet ndërkufitare. </w:t>
      </w:r>
    </w:p>
    <w:p w14:paraId="72B05DAB" w14:textId="77777777" w:rsidR="008B4BEC" w:rsidRPr="002612A0" w:rsidRDefault="008B4BEC" w:rsidP="002612A0">
      <w:pPr>
        <w:spacing w:after="0" w:line="276" w:lineRule="auto"/>
        <w:jc w:val="both"/>
        <w:rPr>
          <w:rFonts w:ascii="Times New Roman" w:eastAsia="Times New Roman" w:hAnsi="Times New Roman" w:cs="Times New Roman"/>
          <w:bCs/>
          <w:sz w:val="28"/>
          <w:szCs w:val="28"/>
        </w:rPr>
      </w:pPr>
    </w:p>
    <w:p w14:paraId="05898457" w14:textId="6FB7A135"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2 — Përjashtimet nga fusha e zbatimit</w:t>
      </w:r>
      <w:r w:rsidRPr="002612A0">
        <w:rPr>
          <w:rFonts w:ascii="Times New Roman" w:eastAsia="Times New Roman" w:hAnsi="Times New Roman" w:cs="Times New Roman"/>
          <w:sz w:val="28"/>
          <w:szCs w:val="28"/>
        </w:rPr>
        <w:t xml:space="preserve"> (shtohet neni 1/1 në ligj)</w:t>
      </w:r>
    </w:p>
    <w:p w14:paraId="07A6A120" w14:textId="54B4FF7D" w:rsidR="00D33783" w:rsidRPr="002612A0" w:rsidRDefault="008E41F9"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k</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dispozit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p</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rcaktohen</w:t>
      </w:r>
      <w:r w:rsidR="00464F63" w:rsidRPr="002612A0">
        <w:rPr>
          <w:rFonts w:ascii="Times New Roman" w:eastAsia="Times New Roman" w:hAnsi="Times New Roman" w:cs="Times New Roman"/>
          <w:strike/>
          <w:sz w:val="28"/>
          <w:szCs w:val="28"/>
        </w:rPr>
        <w:t xml:space="preserve"> </w:t>
      </w:r>
      <w:r w:rsidR="00D33783" w:rsidRPr="002612A0">
        <w:rPr>
          <w:rFonts w:ascii="Times New Roman" w:eastAsia="Times New Roman" w:hAnsi="Times New Roman" w:cs="Times New Roman"/>
          <w:sz w:val="28"/>
          <w:szCs w:val="28"/>
        </w:rPr>
        <w:t>kategoritë e përjashtuara, ndër të tjera: skemat e sigurimeve shoqërore të detyrueshme, sipërmarrjet e investimeve kolektive, shoqëritë e sigurimit, institucionet e kreditit, shoqëritë komisionere, institucionet dhe skemat e pensionit që funksionojnë sipas parimit të financimit të drejtpërdrejtë (PAYG).</w:t>
      </w:r>
    </w:p>
    <w:p w14:paraId="1E7FFFD9"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F86FCA7" w14:textId="0A122BCF"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3 - Përkufizime</w:t>
      </w:r>
      <w:r w:rsidRPr="002612A0">
        <w:rPr>
          <w:rFonts w:ascii="Times New Roman" w:eastAsia="Times New Roman" w:hAnsi="Times New Roman" w:cs="Times New Roman"/>
          <w:sz w:val="28"/>
          <w:szCs w:val="28"/>
        </w:rPr>
        <w:t xml:space="preserve"> (ndryshon nenin 2 të ligjit) </w:t>
      </w:r>
    </w:p>
    <w:p w14:paraId="68975DD2" w14:textId="7E939DBC" w:rsidR="00D33783" w:rsidRPr="002612A0" w:rsidRDefault="008E41F9"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k</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dispozit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a</w:t>
      </w:r>
      <w:r w:rsidR="00D33783" w:rsidRPr="002612A0">
        <w:rPr>
          <w:rFonts w:ascii="Times New Roman" w:eastAsia="Times New Roman" w:hAnsi="Times New Roman" w:cs="Times New Roman"/>
          <w:sz w:val="28"/>
          <w:szCs w:val="28"/>
        </w:rPr>
        <w:t xml:space="preserve">mendohen disa përkufizime ekzistuese dhe shtohen </w:t>
      </w:r>
      <w:r w:rsidR="00BE6A67" w:rsidRPr="002612A0">
        <w:rPr>
          <w:rFonts w:ascii="Times New Roman" w:eastAsia="Times New Roman" w:hAnsi="Times New Roman" w:cs="Times New Roman"/>
          <w:sz w:val="28"/>
          <w:szCs w:val="28"/>
        </w:rPr>
        <w:t>2</w:t>
      </w:r>
      <w:r w:rsidR="0023016D" w:rsidRPr="002612A0">
        <w:rPr>
          <w:rFonts w:ascii="Times New Roman" w:eastAsia="Times New Roman" w:hAnsi="Times New Roman" w:cs="Times New Roman"/>
          <w:sz w:val="28"/>
          <w:szCs w:val="28"/>
        </w:rPr>
        <w:t>7</w:t>
      </w:r>
      <w:r w:rsidR="00BE6A67"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 xml:space="preserve">përkufizime të reja, duke </w:t>
      </w:r>
      <w:r w:rsidR="00BE6A67" w:rsidRPr="002612A0">
        <w:rPr>
          <w:rFonts w:ascii="Times New Roman" w:eastAsia="Times New Roman" w:hAnsi="Times New Roman" w:cs="Times New Roman"/>
          <w:sz w:val="28"/>
          <w:szCs w:val="28"/>
        </w:rPr>
        <w:t>përfshirë ndër të tjera</w:t>
      </w:r>
      <w:r w:rsidR="00D33783" w:rsidRPr="002612A0">
        <w:rPr>
          <w:rFonts w:ascii="Times New Roman" w:eastAsia="Times New Roman" w:hAnsi="Times New Roman" w:cs="Times New Roman"/>
          <w:sz w:val="28"/>
          <w:szCs w:val="28"/>
        </w:rPr>
        <w:t xml:space="preserve">: IORP, skema pensioni, përfitimet e pensionit, skemat me kontribute të përcaktuara dhe skemat me përfitime të përcaktuara, </w:t>
      </w:r>
      <w:r w:rsidR="00DD6D0B" w:rsidRPr="002612A0">
        <w:rPr>
          <w:rFonts w:ascii="Times New Roman" w:eastAsia="Times New Roman" w:hAnsi="Times New Roman" w:cs="Times New Roman"/>
          <w:sz w:val="28"/>
          <w:szCs w:val="28"/>
        </w:rPr>
        <w:t>shtet</w:t>
      </w:r>
      <w:r w:rsidR="00D33783" w:rsidRPr="002612A0">
        <w:rPr>
          <w:rFonts w:ascii="Times New Roman" w:eastAsia="Times New Roman" w:hAnsi="Times New Roman" w:cs="Times New Roman"/>
          <w:sz w:val="28"/>
          <w:szCs w:val="28"/>
        </w:rPr>
        <w:t xml:space="preserve"> anëtar pritës/origjinës, </w:t>
      </w:r>
      <w:r w:rsidR="00BE6A67" w:rsidRPr="002612A0">
        <w:rPr>
          <w:rFonts w:ascii="Times New Roman" w:eastAsia="Times New Roman" w:hAnsi="Times New Roman" w:cs="Times New Roman"/>
          <w:sz w:val="28"/>
          <w:szCs w:val="28"/>
        </w:rPr>
        <w:t>v</w:t>
      </w:r>
      <w:r w:rsidR="00D33783" w:rsidRPr="002612A0">
        <w:rPr>
          <w:rFonts w:ascii="Times New Roman" w:eastAsia="Times New Roman" w:hAnsi="Times New Roman" w:cs="Times New Roman"/>
          <w:sz w:val="28"/>
          <w:szCs w:val="28"/>
        </w:rPr>
        <w:t xml:space="preserve">eçim </w:t>
      </w:r>
      <w:r w:rsidR="00D33783" w:rsidRPr="002612A0">
        <w:rPr>
          <w:rFonts w:ascii="Times New Roman" w:eastAsia="Times New Roman" w:hAnsi="Times New Roman" w:cs="Times New Roman"/>
          <w:bCs/>
          <w:sz w:val="28"/>
          <w:szCs w:val="28"/>
        </w:rPr>
        <w:t>i aktiveve dhe detyrimeve</w:t>
      </w:r>
      <w:r w:rsidR="00D33783" w:rsidRPr="002612A0">
        <w:rPr>
          <w:rFonts w:ascii="Times New Roman" w:eastAsia="Times New Roman" w:hAnsi="Times New Roman" w:cs="Times New Roman"/>
          <w:sz w:val="28"/>
          <w:szCs w:val="28"/>
        </w:rPr>
        <w:t xml:space="preserve"> (ring-fencing), kërkesat e aftësisë dhe përshtatshmërisë, EIOPA, institucionin transferues dhe marrës, mjetin e qëndrueshëm të komunikimit, rreziqet biometrike, të drejtat e pensionit të fituara, përfituesin e shtyrë</w:t>
      </w:r>
      <w:r w:rsidR="00B04419"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 xml:space="preserve">të drejta pensioni </w:t>
      </w:r>
      <w:r w:rsidR="00B04419" w:rsidRPr="002612A0">
        <w:rPr>
          <w:rFonts w:ascii="Times New Roman" w:eastAsia="Times New Roman" w:hAnsi="Times New Roman" w:cs="Times New Roman"/>
          <w:sz w:val="28"/>
          <w:szCs w:val="28"/>
        </w:rPr>
        <w:t>pasive, skemë</w:t>
      </w:r>
      <w:r w:rsidR="003E0827" w:rsidRPr="002612A0">
        <w:rPr>
          <w:rFonts w:ascii="Times New Roman" w:eastAsia="Times New Roman" w:hAnsi="Times New Roman" w:cs="Times New Roman"/>
          <w:sz w:val="28"/>
          <w:szCs w:val="28"/>
        </w:rPr>
        <w:t xml:space="preserve"> pensioni profesionale, përfitime shtesë</w:t>
      </w:r>
      <w:r w:rsidR="00D33783" w:rsidRPr="002612A0">
        <w:rPr>
          <w:rFonts w:ascii="Times New Roman" w:eastAsia="Times New Roman" w:hAnsi="Times New Roman" w:cs="Times New Roman"/>
          <w:sz w:val="28"/>
          <w:szCs w:val="28"/>
        </w:rPr>
        <w:t>.</w:t>
      </w:r>
    </w:p>
    <w:p w14:paraId="11F72240"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0E9A660" w14:textId="0613613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4 </w:t>
      </w:r>
      <w:r w:rsidRPr="002612A0">
        <w:rPr>
          <w:rFonts w:ascii="Times New Roman" w:eastAsia="Times New Roman" w:hAnsi="Times New Roman" w:cs="Times New Roman"/>
          <w:sz w:val="28"/>
          <w:szCs w:val="28"/>
        </w:rPr>
        <w:t>- Kryerja e veprimtarisë së administrimit të fondit të pensionit privat (ndryshon nenin 3 të ligjit)</w:t>
      </w:r>
    </w:p>
    <w:p w14:paraId="2EA08266" w14:textId="525A8260" w:rsidR="00D33783" w:rsidRPr="002612A0" w:rsidRDefault="00C079F4"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Parashikimet n</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nenin 4 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projektligjit</w:t>
      </w:r>
      <w:r w:rsidR="00464F63"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përfshijnë institucionet e pensionit profesional të vendeve anëtare</w:t>
      </w:r>
      <w:r w:rsidR="006D736F" w:rsidRPr="002612A0">
        <w:rPr>
          <w:rFonts w:ascii="Times New Roman" w:eastAsia="Times New Roman" w:hAnsi="Times New Roman" w:cs="Times New Roman"/>
          <w:sz w:val="28"/>
          <w:szCs w:val="28"/>
        </w:rPr>
        <w:t xml:space="preserve">, të cilat </w:t>
      </w:r>
      <w:r w:rsidR="001F3A2B" w:rsidRPr="002612A0">
        <w:rPr>
          <w:rFonts w:ascii="Times New Roman" w:eastAsia="Times New Roman" w:hAnsi="Times New Roman" w:cs="Times New Roman"/>
          <w:sz w:val="28"/>
          <w:szCs w:val="28"/>
        </w:rPr>
        <w:t>njihen</w:t>
      </w:r>
      <w:r w:rsidR="006D736F" w:rsidRPr="002612A0">
        <w:rPr>
          <w:rFonts w:ascii="Times New Roman" w:eastAsia="Times New Roman" w:hAnsi="Times New Roman" w:cs="Times New Roman"/>
          <w:sz w:val="28"/>
          <w:szCs w:val="28"/>
        </w:rPr>
        <w:t xml:space="preserve"> nga Autoriteti për ushtrimin e </w:t>
      </w:r>
      <w:r w:rsidR="006D736F" w:rsidRPr="002612A0">
        <w:rPr>
          <w:rFonts w:ascii="Times New Roman" w:eastAsia="Times New Roman" w:hAnsi="Times New Roman" w:cs="Times New Roman"/>
          <w:sz w:val="28"/>
          <w:szCs w:val="28"/>
        </w:rPr>
        <w:lastRenderedPageBreak/>
        <w:t>veprimtarisë së administrimit të fondeve të pensionit privat me pjesëmarrje të mbyllur në Republikën e Shqipërisë</w:t>
      </w:r>
      <w:r w:rsidR="00D33783" w:rsidRPr="002612A0">
        <w:rPr>
          <w:rFonts w:ascii="Times New Roman" w:eastAsia="Times New Roman" w:hAnsi="Times New Roman" w:cs="Times New Roman"/>
          <w:sz w:val="28"/>
          <w:szCs w:val="28"/>
        </w:rPr>
        <w:t>. Shtohet detyrimi</w:t>
      </w:r>
      <w:r w:rsidR="006D736F" w:rsidRPr="002612A0">
        <w:rPr>
          <w:rFonts w:ascii="Times New Roman" w:eastAsia="Times New Roman" w:hAnsi="Times New Roman" w:cs="Times New Roman"/>
          <w:sz w:val="28"/>
          <w:szCs w:val="28"/>
        </w:rPr>
        <w:t xml:space="preserve"> për institucionet e pensionit, gjatë ushtrimit të veprimtarisë së tyre, në rastet kur është e zbatueshme, </w:t>
      </w:r>
      <w:r w:rsidR="0011024A" w:rsidRPr="002612A0">
        <w:rPr>
          <w:rFonts w:ascii="Times New Roman" w:eastAsia="Times New Roman" w:hAnsi="Times New Roman" w:cs="Times New Roman"/>
          <w:sz w:val="28"/>
          <w:szCs w:val="28"/>
        </w:rPr>
        <w:t>që të sigurojnë</w:t>
      </w:r>
      <w:r w:rsidR="006D736F" w:rsidRPr="002612A0">
        <w:rPr>
          <w:rFonts w:ascii="Times New Roman" w:eastAsia="Times New Roman" w:hAnsi="Times New Roman" w:cs="Times New Roman"/>
          <w:sz w:val="28"/>
          <w:szCs w:val="28"/>
        </w:rPr>
        <w:t xml:space="preserve"> shpërndarjen e drejtë të rreziqeve dhe përfitimeve ndërmjet brezave të ndryshëm të anëtarëve dhe përfituesve.</w:t>
      </w:r>
    </w:p>
    <w:p w14:paraId="5EB74E82"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66D22AB" w14:textId="6684CF90"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2E220B" w:rsidRPr="002612A0">
        <w:rPr>
          <w:rFonts w:ascii="Times New Roman" w:eastAsia="Times New Roman" w:hAnsi="Times New Roman" w:cs="Times New Roman"/>
          <w:bCs/>
          <w:sz w:val="28"/>
          <w:szCs w:val="28"/>
        </w:rPr>
        <w:t>5</w:t>
      </w:r>
      <w:r w:rsidRPr="002612A0">
        <w:rPr>
          <w:rFonts w:ascii="Times New Roman" w:eastAsia="Times New Roman" w:hAnsi="Times New Roman" w:cs="Times New Roman"/>
          <w:bCs/>
          <w:sz w:val="28"/>
          <w:szCs w:val="28"/>
        </w:rPr>
        <w:t xml:space="preserve"> - Regjistri i Autoritetit</w:t>
      </w:r>
      <w:r w:rsidRPr="002612A0">
        <w:rPr>
          <w:rFonts w:ascii="Times New Roman" w:eastAsia="Times New Roman" w:hAnsi="Times New Roman" w:cs="Times New Roman"/>
          <w:sz w:val="28"/>
          <w:szCs w:val="28"/>
        </w:rPr>
        <w:t xml:space="preserve"> (ndryshon nenin 7 të ligjit) </w:t>
      </w:r>
    </w:p>
    <w:p w14:paraId="43D7CD24" w14:textId="527B9C2C" w:rsidR="00D33783" w:rsidRPr="002612A0" w:rsidRDefault="00246620"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k</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dispozit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w:t>
      </w:r>
      <w:r w:rsidR="00894CFD" w:rsidRPr="002612A0">
        <w:rPr>
          <w:rFonts w:ascii="Times New Roman" w:eastAsia="Times New Roman" w:hAnsi="Times New Roman" w:cs="Times New Roman"/>
          <w:sz w:val="28"/>
          <w:szCs w:val="28"/>
        </w:rPr>
        <w:t>parashikohet</w:t>
      </w:r>
      <w:r w:rsidR="00332D37"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përfshir</w:t>
      </w:r>
      <w:r w:rsidR="00894CFD" w:rsidRPr="002612A0">
        <w:rPr>
          <w:rFonts w:ascii="Times New Roman" w:eastAsia="Times New Roman" w:hAnsi="Times New Roman" w:cs="Times New Roman"/>
          <w:sz w:val="28"/>
          <w:szCs w:val="28"/>
        </w:rPr>
        <w:t>ja</w:t>
      </w:r>
      <w:r w:rsidR="003F48D4" w:rsidRPr="002612A0">
        <w:rPr>
          <w:rFonts w:ascii="Times New Roman" w:eastAsia="Times New Roman" w:hAnsi="Times New Roman" w:cs="Times New Roman"/>
          <w:sz w:val="28"/>
          <w:szCs w:val="28"/>
        </w:rPr>
        <w:t xml:space="preserve"> e</w:t>
      </w:r>
      <w:r w:rsidR="00D33783" w:rsidRPr="002612A0">
        <w:rPr>
          <w:rFonts w:ascii="Times New Roman" w:eastAsia="Times New Roman" w:hAnsi="Times New Roman" w:cs="Times New Roman"/>
          <w:sz w:val="28"/>
          <w:szCs w:val="28"/>
        </w:rPr>
        <w:t xml:space="preserve"> institucione</w:t>
      </w:r>
      <w:r w:rsidR="003F48D4" w:rsidRPr="002612A0">
        <w:rPr>
          <w:rFonts w:ascii="Times New Roman" w:eastAsia="Times New Roman" w:hAnsi="Times New Roman" w:cs="Times New Roman"/>
          <w:sz w:val="28"/>
          <w:szCs w:val="28"/>
        </w:rPr>
        <w:t>ve</w:t>
      </w:r>
      <w:r w:rsidR="00D33783" w:rsidRPr="002612A0">
        <w:rPr>
          <w:rFonts w:ascii="Times New Roman" w:eastAsia="Times New Roman" w:hAnsi="Times New Roman" w:cs="Times New Roman"/>
          <w:sz w:val="28"/>
          <w:szCs w:val="28"/>
        </w:rPr>
        <w:t xml:space="preserve"> </w:t>
      </w:r>
      <w:r w:rsidR="003F48D4" w:rsidRPr="002612A0">
        <w:rPr>
          <w:rFonts w:ascii="Times New Roman" w:eastAsia="Times New Roman" w:hAnsi="Times New Roman" w:cs="Times New Roman"/>
          <w:sz w:val="28"/>
          <w:szCs w:val="28"/>
        </w:rPr>
        <w:t>t</w:t>
      </w:r>
      <w:r w:rsidR="00205C2B" w:rsidRPr="002612A0">
        <w:rPr>
          <w:rFonts w:ascii="Times New Roman" w:eastAsia="Times New Roman" w:hAnsi="Times New Roman" w:cs="Times New Roman"/>
          <w:sz w:val="28"/>
          <w:szCs w:val="28"/>
        </w:rPr>
        <w:t>ë</w:t>
      </w:r>
      <w:r w:rsidR="00D33783" w:rsidRPr="002612A0">
        <w:rPr>
          <w:rFonts w:ascii="Times New Roman" w:eastAsia="Times New Roman" w:hAnsi="Times New Roman" w:cs="Times New Roman"/>
          <w:sz w:val="28"/>
          <w:szCs w:val="28"/>
        </w:rPr>
        <w:t xml:space="preserve"> pensionit dhe veprimtari</w:t>
      </w:r>
      <w:r w:rsidR="003F48D4" w:rsidRPr="002612A0">
        <w:rPr>
          <w:rFonts w:ascii="Times New Roman" w:eastAsia="Times New Roman" w:hAnsi="Times New Roman" w:cs="Times New Roman"/>
          <w:sz w:val="28"/>
          <w:szCs w:val="28"/>
        </w:rPr>
        <w:t>a</w:t>
      </w:r>
      <w:r w:rsidR="00D33783" w:rsidRPr="002612A0">
        <w:rPr>
          <w:rFonts w:ascii="Times New Roman" w:eastAsia="Times New Roman" w:hAnsi="Times New Roman" w:cs="Times New Roman"/>
          <w:sz w:val="28"/>
          <w:szCs w:val="28"/>
        </w:rPr>
        <w:t xml:space="preserve"> ndërkufitare në regjistër, si dhe detyrimi </w:t>
      </w:r>
      <w:r w:rsidR="003F48D4"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 xml:space="preserve"> komunikimit me EIOPA-n (hyn në fuqi me anëtarësimin në BE).</w:t>
      </w:r>
    </w:p>
    <w:p w14:paraId="48E5C1CF"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3148F2F9" w14:textId="4158AC50"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Neni </w:t>
      </w:r>
      <w:r w:rsidR="002E220B" w:rsidRPr="002612A0">
        <w:rPr>
          <w:rFonts w:ascii="Times New Roman" w:eastAsia="Times New Roman" w:hAnsi="Times New Roman" w:cs="Times New Roman"/>
          <w:sz w:val="28"/>
          <w:szCs w:val="28"/>
        </w:rPr>
        <w:t>6</w:t>
      </w:r>
      <w:r w:rsidRPr="002612A0">
        <w:rPr>
          <w:rFonts w:ascii="Times New Roman" w:eastAsia="Times New Roman" w:hAnsi="Times New Roman" w:cs="Times New Roman"/>
          <w:sz w:val="28"/>
          <w:szCs w:val="28"/>
        </w:rPr>
        <w:t xml:space="preserve"> – Veprimtaria e shoqërisë administruese (ndryshon nenin 8 të ligjit)</w:t>
      </w:r>
    </w:p>
    <w:p w14:paraId="569E0CF4" w14:textId="2B8C1915" w:rsidR="00D33783" w:rsidRPr="002612A0" w:rsidRDefault="00205C2B"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Ë</w:t>
      </w:r>
      <w:r w:rsidR="004F4631" w:rsidRPr="002612A0">
        <w:rPr>
          <w:rFonts w:ascii="Times New Roman" w:eastAsia="Times New Roman" w:hAnsi="Times New Roman" w:cs="Times New Roman"/>
          <w:sz w:val="28"/>
          <w:szCs w:val="28"/>
        </w:rPr>
        <w:t>sht</w:t>
      </w:r>
      <w:r w:rsidRPr="002612A0">
        <w:rPr>
          <w:rFonts w:ascii="Times New Roman" w:eastAsia="Times New Roman" w:hAnsi="Times New Roman" w:cs="Times New Roman"/>
          <w:sz w:val="28"/>
          <w:szCs w:val="28"/>
        </w:rPr>
        <w:t>ë</w:t>
      </w:r>
      <w:r w:rsidR="004F4631" w:rsidRPr="002612A0">
        <w:rPr>
          <w:rFonts w:ascii="Times New Roman" w:eastAsia="Times New Roman" w:hAnsi="Times New Roman" w:cs="Times New Roman"/>
          <w:sz w:val="28"/>
          <w:szCs w:val="28"/>
        </w:rPr>
        <w:t xml:space="preserve"> parashikuar q</w:t>
      </w:r>
      <w:r w:rsidRPr="002612A0">
        <w:rPr>
          <w:rFonts w:ascii="Times New Roman" w:eastAsia="Times New Roman" w:hAnsi="Times New Roman" w:cs="Times New Roman"/>
          <w:sz w:val="28"/>
          <w:szCs w:val="28"/>
        </w:rPr>
        <w:t>ë</w:t>
      </w:r>
      <w:r w:rsidR="004F4631" w:rsidRPr="002612A0">
        <w:rPr>
          <w:rFonts w:ascii="Times New Roman" w:eastAsia="Times New Roman" w:hAnsi="Times New Roman" w:cs="Times New Roman"/>
          <w:sz w:val="28"/>
          <w:szCs w:val="28"/>
        </w:rPr>
        <w:t xml:space="preserve"> s</w:t>
      </w:r>
      <w:r w:rsidR="00D33783" w:rsidRPr="002612A0">
        <w:rPr>
          <w:rFonts w:ascii="Times New Roman" w:eastAsia="Times New Roman" w:hAnsi="Times New Roman" w:cs="Times New Roman"/>
          <w:sz w:val="28"/>
          <w:szCs w:val="28"/>
        </w:rPr>
        <w:t>hoqëria administruese e licencuar për administrimin e fondeve të pensionit privat, ushtron veprimtarinë e administrimit të fondeve të pensionit, si dhe mund të ushtrojë veprimtarinë e administrimit të sipërmarrjeve të investimeve kolektive, fondeve të investimeve alternative, menaxhimit individual të portofolit, sipas kushteve të përcaktuara.</w:t>
      </w:r>
    </w:p>
    <w:p w14:paraId="0863C5F5"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76AE0F42" w14:textId="02059BAE"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2E220B" w:rsidRPr="002612A0">
        <w:rPr>
          <w:rFonts w:ascii="Times New Roman" w:eastAsia="Times New Roman" w:hAnsi="Times New Roman" w:cs="Times New Roman"/>
          <w:bCs/>
          <w:sz w:val="28"/>
          <w:szCs w:val="28"/>
        </w:rPr>
        <w:t>7</w:t>
      </w:r>
      <w:r w:rsidRPr="002612A0">
        <w:rPr>
          <w:rFonts w:ascii="Times New Roman" w:eastAsia="Times New Roman" w:hAnsi="Times New Roman" w:cs="Times New Roman"/>
          <w:bCs/>
          <w:sz w:val="28"/>
          <w:szCs w:val="28"/>
        </w:rPr>
        <w:t xml:space="preserve"> - Kërkesa </w:t>
      </w:r>
      <w:r w:rsidR="002E220B" w:rsidRPr="002612A0">
        <w:rPr>
          <w:rFonts w:ascii="Times New Roman" w:eastAsia="Times New Roman" w:hAnsi="Times New Roman" w:cs="Times New Roman"/>
          <w:bCs/>
          <w:sz w:val="28"/>
          <w:szCs w:val="28"/>
        </w:rPr>
        <w:t xml:space="preserve">organizative dhe </w:t>
      </w:r>
      <w:r w:rsidRPr="002612A0">
        <w:rPr>
          <w:rFonts w:ascii="Times New Roman" w:eastAsia="Times New Roman" w:hAnsi="Times New Roman" w:cs="Times New Roman"/>
          <w:bCs/>
          <w:sz w:val="28"/>
          <w:szCs w:val="28"/>
        </w:rPr>
        <w:t xml:space="preserve">operacionale </w:t>
      </w:r>
      <w:r w:rsidRPr="002612A0">
        <w:rPr>
          <w:rFonts w:ascii="Times New Roman" w:eastAsia="Times New Roman" w:hAnsi="Times New Roman" w:cs="Times New Roman"/>
          <w:sz w:val="28"/>
          <w:szCs w:val="28"/>
        </w:rPr>
        <w:t>(shtohet neni 8/1 në ligj)</w:t>
      </w:r>
    </w:p>
    <w:p w14:paraId="0E8C4D37"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Përcakton kërkesa operacionale </w:t>
      </w:r>
      <w:r w:rsidRPr="002612A0">
        <w:rPr>
          <w:rFonts w:ascii="Times New Roman" w:eastAsia="Times New Roman" w:hAnsi="Times New Roman" w:cs="Times New Roman"/>
          <w:bCs/>
          <w:sz w:val="28"/>
          <w:szCs w:val="28"/>
        </w:rPr>
        <w:t xml:space="preserve">për subjektet e licencuara ose të autorizuara për administrimin e fondeve të pensionit privat. </w:t>
      </w:r>
      <w:r w:rsidR="002E220B" w:rsidRPr="002612A0">
        <w:rPr>
          <w:rFonts w:ascii="Times New Roman" w:eastAsia="Times New Roman" w:hAnsi="Times New Roman" w:cs="Times New Roman"/>
          <w:bCs/>
          <w:sz w:val="28"/>
          <w:szCs w:val="28"/>
        </w:rPr>
        <w:t>Rregullat e s</w:t>
      </w:r>
      <w:r w:rsidRPr="002612A0">
        <w:rPr>
          <w:rFonts w:ascii="Times New Roman" w:eastAsia="Times New Roman" w:hAnsi="Times New Roman" w:cs="Times New Roman"/>
          <w:bCs/>
          <w:sz w:val="28"/>
          <w:szCs w:val="28"/>
        </w:rPr>
        <w:t>kem</w:t>
      </w:r>
      <w:r w:rsidR="002E220B" w:rsidRPr="002612A0">
        <w:rPr>
          <w:rFonts w:ascii="Times New Roman" w:eastAsia="Times New Roman" w:hAnsi="Times New Roman" w:cs="Times New Roman"/>
          <w:bCs/>
          <w:sz w:val="28"/>
          <w:szCs w:val="28"/>
        </w:rPr>
        <w:t xml:space="preserve">ës së </w:t>
      </w:r>
      <w:r w:rsidRPr="002612A0">
        <w:rPr>
          <w:rFonts w:ascii="Times New Roman" w:eastAsia="Times New Roman" w:hAnsi="Times New Roman" w:cs="Times New Roman"/>
          <w:bCs/>
          <w:sz w:val="28"/>
          <w:szCs w:val="28"/>
        </w:rPr>
        <w:t>pensionit mund të parashikoj</w:t>
      </w:r>
      <w:r w:rsidR="002E220B" w:rsidRPr="002612A0">
        <w:rPr>
          <w:rFonts w:ascii="Times New Roman" w:eastAsia="Times New Roman" w:hAnsi="Times New Roman" w:cs="Times New Roman"/>
          <w:bCs/>
          <w:sz w:val="28"/>
          <w:szCs w:val="28"/>
        </w:rPr>
        <w:t>n</w:t>
      </w:r>
      <w:r w:rsidRPr="002612A0">
        <w:rPr>
          <w:rFonts w:ascii="Times New Roman" w:eastAsia="Times New Roman" w:hAnsi="Times New Roman" w:cs="Times New Roman"/>
          <w:bCs/>
          <w:sz w:val="28"/>
          <w:szCs w:val="28"/>
        </w:rPr>
        <w:t>ë përfitime shtesë, përfshirë mbulimin e rreziqeve të jetëgjatësisë dhe paaftësisë, mbrojtjen e personave në ngarkim dhe të të mbijetuarve, si dhe garantimin e kthimit të kontributeve</w:t>
      </w:r>
      <w:r w:rsidR="002E220B" w:rsidRPr="002612A0">
        <w:rPr>
          <w:rFonts w:ascii="Times New Roman" w:eastAsia="Times New Roman" w:hAnsi="Times New Roman" w:cs="Times New Roman"/>
          <w:bCs/>
          <w:sz w:val="28"/>
          <w:szCs w:val="28"/>
        </w:rPr>
        <w:t xml:space="preserve">. </w:t>
      </w:r>
    </w:p>
    <w:p w14:paraId="377B0295"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051EF289" w14:textId="785DB3A5" w:rsidR="002E220B" w:rsidRPr="002612A0" w:rsidRDefault="002E220B"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Neni 8 – Kapitali aksionar (ndryshon nenin 9 të ligjit)</w:t>
      </w:r>
    </w:p>
    <w:p w14:paraId="0F4B3489" w14:textId="1787A01A" w:rsidR="002E220B" w:rsidRPr="002612A0" w:rsidRDefault="008711D8"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w:t>
      </w:r>
      <w:r w:rsidR="00A272B1" w:rsidRPr="002612A0">
        <w:rPr>
          <w:rFonts w:ascii="Times New Roman" w:eastAsia="Times New Roman" w:hAnsi="Times New Roman" w:cs="Times New Roman"/>
          <w:sz w:val="28"/>
          <w:szCs w:val="28"/>
        </w:rPr>
        <w:t>ërkes</w:t>
      </w:r>
      <w:r w:rsidRPr="002612A0">
        <w:rPr>
          <w:rFonts w:ascii="Times New Roman" w:eastAsia="Times New Roman" w:hAnsi="Times New Roman" w:cs="Times New Roman"/>
          <w:sz w:val="28"/>
          <w:szCs w:val="28"/>
        </w:rPr>
        <w:t>a</w:t>
      </w:r>
      <w:r w:rsidR="00A272B1" w:rsidRPr="002612A0">
        <w:rPr>
          <w:rFonts w:ascii="Times New Roman" w:eastAsia="Times New Roman" w:hAnsi="Times New Roman" w:cs="Times New Roman"/>
          <w:sz w:val="28"/>
          <w:szCs w:val="28"/>
        </w:rPr>
        <w:t xml:space="preserve"> për kapitalin minimal aksionar të shoqërisë administruese, </w:t>
      </w:r>
      <w:r w:rsidR="004C3D7B" w:rsidRPr="002612A0">
        <w:rPr>
          <w:rFonts w:ascii="Times New Roman" w:eastAsia="Times New Roman" w:hAnsi="Times New Roman" w:cs="Times New Roman"/>
          <w:sz w:val="28"/>
          <w:szCs w:val="28"/>
        </w:rPr>
        <w:t>n</w:t>
      </w:r>
      <w:r w:rsidR="00CE1539" w:rsidRPr="002612A0">
        <w:rPr>
          <w:rFonts w:ascii="Times New Roman" w:eastAsia="Times New Roman" w:hAnsi="Times New Roman" w:cs="Times New Roman"/>
          <w:sz w:val="28"/>
          <w:szCs w:val="28"/>
        </w:rPr>
        <w:t>ë</w:t>
      </w:r>
      <w:r w:rsidR="004C3D7B" w:rsidRPr="002612A0">
        <w:rPr>
          <w:rFonts w:ascii="Times New Roman" w:eastAsia="Times New Roman" w:hAnsi="Times New Roman" w:cs="Times New Roman"/>
          <w:sz w:val="28"/>
          <w:szCs w:val="28"/>
        </w:rPr>
        <w:t xml:space="preserve"> krahasim me Ligjin ekzistues </w:t>
      </w:r>
      <w:r w:rsidR="008C0E54" w:rsidRPr="002612A0">
        <w:rPr>
          <w:rFonts w:ascii="Times New Roman" w:eastAsia="Times New Roman" w:hAnsi="Times New Roman" w:cs="Times New Roman"/>
          <w:sz w:val="28"/>
          <w:szCs w:val="28"/>
        </w:rPr>
        <w:t xml:space="preserve">ka </w:t>
      </w:r>
      <w:r w:rsidR="008E0B74" w:rsidRPr="002612A0">
        <w:rPr>
          <w:rFonts w:ascii="Times New Roman" w:eastAsia="Times New Roman" w:hAnsi="Times New Roman" w:cs="Times New Roman"/>
          <w:sz w:val="28"/>
          <w:szCs w:val="28"/>
        </w:rPr>
        <w:t>ndryshuar monedh</w:t>
      </w:r>
      <w:r w:rsidR="00CE1539" w:rsidRPr="002612A0">
        <w:rPr>
          <w:rFonts w:ascii="Times New Roman" w:eastAsia="Times New Roman" w:hAnsi="Times New Roman" w:cs="Times New Roman"/>
          <w:sz w:val="28"/>
          <w:szCs w:val="28"/>
        </w:rPr>
        <w:t>ë</w:t>
      </w:r>
      <w:r w:rsidR="008E0B74" w:rsidRPr="002612A0">
        <w:rPr>
          <w:rFonts w:ascii="Times New Roman" w:eastAsia="Times New Roman" w:hAnsi="Times New Roman" w:cs="Times New Roman"/>
          <w:sz w:val="28"/>
          <w:szCs w:val="28"/>
        </w:rPr>
        <w:t xml:space="preserve">n duke </w:t>
      </w:r>
      <w:r w:rsidR="008C0E54" w:rsidRPr="002612A0">
        <w:rPr>
          <w:rFonts w:ascii="Times New Roman" w:eastAsia="Times New Roman" w:hAnsi="Times New Roman" w:cs="Times New Roman"/>
          <w:sz w:val="28"/>
          <w:szCs w:val="28"/>
        </w:rPr>
        <w:t>p</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rcaktuar vler</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n n</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 xml:space="preserve"> Euro </w:t>
      </w:r>
      <w:r w:rsidR="008E0B74" w:rsidRPr="002612A0">
        <w:rPr>
          <w:rFonts w:ascii="Times New Roman" w:eastAsia="Times New Roman" w:hAnsi="Times New Roman" w:cs="Times New Roman"/>
          <w:sz w:val="28"/>
          <w:szCs w:val="28"/>
        </w:rPr>
        <w:t xml:space="preserve">dhe </w:t>
      </w:r>
      <w:r w:rsidR="00A272B1" w:rsidRPr="002612A0">
        <w:rPr>
          <w:rFonts w:ascii="Times New Roman" w:eastAsia="Times New Roman" w:hAnsi="Times New Roman" w:cs="Times New Roman"/>
          <w:sz w:val="28"/>
          <w:szCs w:val="28"/>
        </w:rPr>
        <w:t xml:space="preserve">duke përcaktuar se ai nuk mund të jetë më i ulët se vlera ekuivalente në lekë e shumës 125,000 euro, </w:t>
      </w:r>
      <w:r w:rsidR="000E3F3A" w:rsidRPr="002612A0">
        <w:rPr>
          <w:rFonts w:ascii="Times New Roman" w:eastAsia="Times New Roman" w:hAnsi="Times New Roman" w:cs="Times New Roman"/>
          <w:sz w:val="28"/>
          <w:szCs w:val="28"/>
        </w:rPr>
        <w:t xml:space="preserve">duke </w:t>
      </w:r>
      <w:r w:rsidR="008C0E54" w:rsidRPr="002612A0">
        <w:rPr>
          <w:rFonts w:ascii="Times New Roman" w:eastAsia="Times New Roman" w:hAnsi="Times New Roman" w:cs="Times New Roman"/>
          <w:sz w:val="28"/>
          <w:szCs w:val="28"/>
        </w:rPr>
        <w:t>qen</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 xml:space="preserve"> n</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 xml:space="preserve"> linj</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 xml:space="preserve"> me k</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rkes</w:t>
      </w:r>
      <w:r w:rsidR="00CE1539" w:rsidRPr="002612A0">
        <w:rPr>
          <w:rFonts w:ascii="Times New Roman" w:eastAsia="Times New Roman" w:hAnsi="Times New Roman" w:cs="Times New Roman"/>
          <w:sz w:val="28"/>
          <w:szCs w:val="28"/>
        </w:rPr>
        <w:t>ë</w:t>
      </w:r>
      <w:r w:rsidR="008C0E54" w:rsidRPr="002612A0">
        <w:rPr>
          <w:rFonts w:ascii="Times New Roman" w:eastAsia="Times New Roman" w:hAnsi="Times New Roman" w:cs="Times New Roman"/>
          <w:sz w:val="28"/>
          <w:szCs w:val="28"/>
        </w:rPr>
        <w:t xml:space="preserve">n e </w:t>
      </w:r>
      <w:r w:rsidR="0047077D" w:rsidRPr="002612A0">
        <w:rPr>
          <w:rFonts w:ascii="Times New Roman" w:eastAsia="Times New Roman" w:hAnsi="Times New Roman" w:cs="Times New Roman"/>
          <w:sz w:val="28"/>
          <w:szCs w:val="28"/>
        </w:rPr>
        <w:t>Direktivave t</w:t>
      </w:r>
      <w:r w:rsidR="00CE1539" w:rsidRPr="002612A0">
        <w:rPr>
          <w:rFonts w:ascii="Times New Roman" w:eastAsia="Times New Roman" w:hAnsi="Times New Roman" w:cs="Times New Roman"/>
          <w:sz w:val="28"/>
          <w:szCs w:val="28"/>
        </w:rPr>
        <w:t>ë</w:t>
      </w:r>
      <w:r w:rsidR="0047077D" w:rsidRPr="002612A0">
        <w:rPr>
          <w:rFonts w:ascii="Times New Roman" w:eastAsia="Times New Roman" w:hAnsi="Times New Roman" w:cs="Times New Roman"/>
          <w:sz w:val="28"/>
          <w:szCs w:val="28"/>
        </w:rPr>
        <w:t xml:space="preserve"> UCITS dhe AIFMD p</w:t>
      </w:r>
      <w:r w:rsidR="00CE1539" w:rsidRPr="002612A0">
        <w:rPr>
          <w:rFonts w:ascii="Times New Roman" w:eastAsia="Times New Roman" w:hAnsi="Times New Roman" w:cs="Times New Roman"/>
          <w:sz w:val="28"/>
          <w:szCs w:val="28"/>
        </w:rPr>
        <w:t>ë</w:t>
      </w:r>
      <w:r w:rsidR="0047077D" w:rsidRPr="002612A0">
        <w:rPr>
          <w:rFonts w:ascii="Times New Roman" w:eastAsia="Times New Roman" w:hAnsi="Times New Roman" w:cs="Times New Roman"/>
          <w:sz w:val="28"/>
          <w:szCs w:val="28"/>
        </w:rPr>
        <w:t>r kapitalin aksionar t</w:t>
      </w:r>
      <w:r w:rsidR="00CE1539" w:rsidRPr="002612A0">
        <w:rPr>
          <w:rFonts w:ascii="Times New Roman" w:eastAsia="Times New Roman" w:hAnsi="Times New Roman" w:cs="Times New Roman"/>
          <w:sz w:val="28"/>
          <w:szCs w:val="28"/>
        </w:rPr>
        <w:t>ë</w:t>
      </w:r>
      <w:r w:rsidR="0047077D" w:rsidRPr="002612A0">
        <w:rPr>
          <w:rFonts w:ascii="Times New Roman" w:eastAsia="Times New Roman" w:hAnsi="Times New Roman" w:cs="Times New Roman"/>
          <w:sz w:val="28"/>
          <w:szCs w:val="28"/>
        </w:rPr>
        <w:t xml:space="preserve"> shoq</w:t>
      </w:r>
      <w:r w:rsidR="00CE1539" w:rsidRPr="002612A0">
        <w:rPr>
          <w:rFonts w:ascii="Times New Roman" w:eastAsia="Times New Roman" w:hAnsi="Times New Roman" w:cs="Times New Roman"/>
          <w:sz w:val="28"/>
          <w:szCs w:val="28"/>
        </w:rPr>
        <w:t>ë</w:t>
      </w:r>
      <w:r w:rsidR="0047077D" w:rsidRPr="002612A0">
        <w:rPr>
          <w:rFonts w:ascii="Times New Roman" w:eastAsia="Times New Roman" w:hAnsi="Times New Roman" w:cs="Times New Roman"/>
          <w:sz w:val="28"/>
          <w:szCs w:val="28"/>
        </w:rPr>
        <w:t>rive administruese.</w:t>
      </w:r>
    </w:p>
    <w:p w14:paraId="532B192D" w14:textId="77777777" w:rsidR="00A272B1" w:rsidRPr="002612A0" w:rsidRDefault="00A272B1" w:rsidP="002612A0">
      <w:pPr>
        <w:spacing w:after="0" w:line="276" w:lineRule="auto"/>
        <w:jc w:val="both"/>
        <w:rPr>
          <w:rFonts w:ascii="Times New Roman" w:eastAsia="Times New Roman" w:hAnsi="Times New Roman" w:cs="Times New Roman"/>
          <w:sz w:val="28"/>
          <w:szCs w:val="28"/>
        </w:rPr>
      </w:pPr>
    </w:p>
    <w:p w14:paraId="3771B009" w14:textId="3736047D"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9 - </w:t>
      </w:r>
      <w:r w:rsidRPr="002612A0">
        <w:rPr>
          <w:rFonts w:ascii="Times New Roman" w:eastAsia="Times New Roman" w:hAnsi="Times New Roman" w:cs="Times New Roman"/>
          <w:sz w:val="28"/>
          <w:szCs w:val="28"/>
        </w:rPr>
        <w:t>Kërkesat për mjaftueshmërinë e kapitalit të shoqërisë administruese (ndryshon nenin 10 të ligjit)</w:t>
      </w:r>
    </w:p>
    <w:p w14:paraId="1F7B1733" w14:textId="7F1A4C80" w:rsidR="00D33783" w:rsidRPr="002612A0" w:rsidRDefault="004F4631"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k</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dispozit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w:t>
      </w:r>
      <w:r w:rsidR="003863B7" w:rsidRPr="002612A0">
        <w:rPr>
          <w:rFonts w:ascii="Times New Roman" w:eastAsia="Times New Roman" w:hAnsi="Times New Roman" w:cs="Times New Roman"/>
          <w:sz w:val="28"/>
          <w:szCs w:val="28"/>
        </w:rPr>
        <w:t>parashikohet q</w:t>
      </w:r>
      <w:r w:rsidR="00205C2B" w:rsidRPr="002612A0">
        <w:rPr>
          <w:rFonts w:ascii="Times New Roman" w:eastAsia="Times New Roman" w:hAnsi="Times New Roman" w:cs="Times New Roman"/>
          <w:sz w:val="28"/>
          <w:szCs w:val="28"/>
        </w:rPr>
        <w:t>ë</w:t>
      </w:r>
      <w:r w:rsidR="003863B7" w:rsidRPr="002612A0">
        <w:rPr>
          <w:rFonts w:ascii="Times New Roman" w:eastAsia="Times New Roman" w:hAnsi="Times New Roman" w:cs="Times New Roman"/>
          <w:sz w:val="28"/>
          <w:szCs w:val="28"/>
        </w:rPr>
        <w:t xml:space="preserve"> k</w:t>
      </w:r>
      <w:r w:rsidR="00D33783" w:rsidRPr="002612A0">
        <w:rPr>
          <w:rFonts w:ascii="Times New Roman" w:eastAsia="Times New Roman" w:hAnsi="Times New Roman" w:cs="Times New Roman"/>
          <w:sz w:val="28"/>
          <w:szCs w:val="28"/>
        </w:rPr>
        <w:t xml:space="preserve">ërkesat e kapitalit minimal ndryshojnë, shuma minimalе bëhet ekuivalenti i </w:t>
      </w:r>
      <w:r w:rsidR="003863B7" w:rsidRPr="002612A0">
        <w:rPr>
          <w:rFonts w:ascii="Times New Roman" w:eastAsia="Times New Roman" w:hAnsi="Times New Roman" w:cs="Times New Roman"/>
          <w:sz w:val="28"/>
          <w:szCs w:val="28"/>
        </w:rPr>
        <w:t>125,000 euro</w:t>
      </w:r>
      <w:r w:rsidR="00D33783" w:rsidRPr="002612A0">
        <w:rPr>
          <w:rFonts w:ascii="Times New Roman" w:eastAsia="Times New Roman" w:hAnsi="Times New Roman" w:cs="Times New Roman"/>
          <w:sz w:val="28"/>
          <w:szCs w:val="28"/>
        </w:rPr>
        <w:t>, duke u harmonizuar me standardet europiane.</w:t>
      </w:r>
    </w:p>
    <w:p w14:paraId="5035AF68"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3697053E" w14:textId="2B477B0D"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10 - </w:t>
      </w:r>
      <w:r w:rsidRPr="002612A0">
        <w:rPr>
          <w:rFonts w:ascii="Times New Roman" w:eastAsia="Times New Roman" w:hAnsi="Times New Roman" w:cs="Times New Roman"/>
          <w:sz w:val="28"/>
          <w:szCs w:val="28"/>
        </w:rPr>
        <w:t xml:space="preserve">Kërkesa për përshtatshmëri dhe aftësi (ndryshon nenin 15 të ligjit)  </w:t>
      </w:r>
    </w:p>
    <w:p w14:paraId="5AB0FAE8" w14:textId="3D808E4E" w:rsidR="00D33783" w:rsidRPr="002612A0" w:rsidRDefault="00205C2B"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Ë</w:t>
      </w:r>
      <w:r w:rsidR="0002590E" w:rsidRPr="002612A0">
        <w:rPr>
          <w:rFonts w:ascii="Times New Roman" w:eastAsia="Times New Roman" w:hAnsi="Times New Roman" w:cs="Times New Roman"/>
          <w:sz w:val="28"/>
          <w:szCs w:val="28"/>
        </w:rPr>
        <w:t>sht</w:t>
      </w:r>
      <w:r w:rsidRPr="002612A0">
        <w:rPr>
          <w:rFonts w:ascii="Times New Roman" w:eastAsia="Times New Roman" w:hAnsi="Times New Roman" w:cs="Times New Roman"/>
          <w:sz w:val="28"/>
          <w:szCs w:val="28"/>
        </w:rPr>
        <w:t>ë</w:t>
      </w:r>
      <w:r w:rsidR="0002590E" w:rsidRPr="002612A0">
        <w:rPr>
          <w:rFonts w:ascii="Times New Roman" w:eastAsia="Times New Roman" w:hAnsi="Times New Roman" w:cs="Times New Roman"/>
          <w:sz w:val="28"/>
          <w:szCs w:val="28"/>
        </w:rPr>
        <w:t xml:space="preserve"> parashikuar f</w:t>
      </w:r>
      <w:r w:rsidR="00D33783" w:rsidRPr="002612A0">
        <w:rPr>
          <w:rFonts w:ascii="Times New Roman" w:eastAsia="Times New Roman" w:hAnsi="Times New Roman" w:cs="Times New Roman"/>
          <w:sz w:val="28"/>
          <w:szCs w:val="28"/>
        </w:rPr>
        <w:t>orc</w:t>
      </w:r>
      <w:r w:rsidR="0002590E" w:rsidRPr="002612A0">
        <w:rPr>
          <w:rFonts w:ascii="Times New Roman" w:eastAsia="Times New Roman" w:hAnsi="Times New Roman" w:cs="Times New Roman"/>
          <w:sz w:val="28"/>
          <w:szCs w:val="28"/>
        </w:rPr>
        <w:t>imi</w:t>
      </w:r>
      <w:r w:rsidR="00D33783" w:rsidRPr="002612A0">
        <w:rPr>
          <w:rFonts w:ascii="Times New Roman" w:eastAsia="Times New Roman" w:hAnsi="Times New Roman" w:cs="Times New Roman"/>
          <w:sz w:val="28"/>
          <w:szCs w:val="28"/>
        </w:rPr>
        <w:t xml:space="preserve"> dhe diferenc</w:t>
      </w:r>
      <w:r w:rsidR="0084431C" w:rsidRPr="002612A0">
        <w:rPr>
          <w:rFonts w:ascii="Times New Roman" w:eastAsia="Times New Roman" w:hAnsi="Times New Roman" w:cs="Times New Roman"/>
          <w:sz w:val="28"/>
          <w:szCs w:val="28"/>
        </w:rPr>
        <w:t>imi</w:t>
      </w:r>
      <w:r w:rsidR="00D33783" w:rsidRPr="002612A0">
        <w:rPr>
          <w:rFonts w:ascii="Times New Roman" w:eastAsia="Times New Roman" w:hAnsi="Times New Roman" w:cs="Times New Roman"/>
          <w:sz w:val="28"/>
          <w:szCs w:val="28"/>
        </w:rPr>
        <w:t xml:space="preserve"> sipas funksionit </w:t>
      </w:r>
      <w:r w:rsidR="0084431C" w:rsidRPr="002612A0">
        <w:rPr>
          <w:rFonts w:ascii="Times New Roman" w:eastAsia="Times New Roman" w:hAnsi="Times New Roman" w:cs="Times New Roman"/>
          <w:sz w:val="28"/>
          <w:szCs w:val="28"/>
        </w:rPr>
        <w:t>t</w:t>
      </w:r>
      <w:r w:rsidRPr="002612A0">
        <w:rPr>
          <w:rFonts w:ascii="Times New Roman" w:eastAsia="Times New Roman" w:hAnsi="Times New Roman" w:cs="Times New Roman"/>
          <w:sz w:val="28"/>
          <w:szCs w:val="28"/>
        </w:rPr>
        <w:t>ë</w:t>
      </w:r>
      <w:r w:rsidR="0084431C"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kërkesa</w:t>
      </w:r>
      <w:r w:rsidR="0084431C" w:rsidRPr="002612A0">
        <w:rPr>
          <w:rFonts w:ascii="Times New Roman" w:eastAsia="Times New Roman" w:hAnsi="Times New Roman" w:cs="Times New Roman"/>
          <w:sz w:val="28"/>
          <w:szCs w:val="28"/>
        </w:rPr>
        <w:t>ve</w:t>
      </w:r>
      <w:r w:rsidR="00D33783" w:rsidRPr="002612A0">
        <w:rPr>
          <w:rFonts w:ascii="Times New Roman" w:eastAsia="Times New Roman" w:hAnsi="Times New Roman" w:cs="Times New Roman"/>
          <w:sz w:val="28"/>
          <w:szCs w:val="28"/>
        </w:rPr>
        <w:t xml:space="preserve"> për aftësinë dhe përshtatshmërinë e aksionarëve, administratorëve dhe personave me funksione drejtuese e kyçe në shoqëritë administruese, duke detajuar kriteret profesionale, rregullat për dokumentimin e reputacionit të mirë dhe mungesës së falimentimit për aplikantët nga vendet anëtare të BE-së, njohjen e dokumenteve dhe kualifikimeve ekuivalente nga autoritetet e vendeve anëtare.</w:t>
      </w:r>
    </w:p>
    <w:p w14:paraId="529678E3"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1A877CD" w14:textId="65C1DD30"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11 - Emërimi i menaxherëve të investimeve nga vendet anëtare të BE-së </w:t>
      </w:r>
      <w:r w:rsidRPr="002612A0">
        <w:rPr>
          <w:rFonts w:ascii="Times New Roman" w:eastAsia="Times New Roman" w:hAnsi="Times New Roman" w:cs="Times New Roman"/>
          <w:sz w:val="28"/>
          <w:szCs w:val="28"/>
        </w:rPr>
        <w:t>(shton nenin 15/1 në ligj</w:t>
      </w:r>
      <w:r w:rsidRPr="002612A0">
        <w:rPr>
          <w:rFonts w:ascii="Times New Roman" w:eastAsia="Times New Roman" w:hAnsi="Times New Roman" w:cs="Times New Roman"/>
          <w:strike/>
          <w:sz w:val="28"/>
          <w:szCs w:val="28"/>
        </w:rPr>
        <w:t>)</w:t>
      </w:r>
    </w:p>
    <w:p w14:paraId="6708DD6B" w14:textId="4D3E1B7B" w:rsidR="00D33783" w:rsidRPr="002612A0" w:rsidRDefault="0084431C"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k</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dispozit</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p</w:t>
      </w:r>
      <w:r w:rsidR="00D33783" w:rsidRPr="002612A0">
        <w:rPr>
          <w:rFonts w:ascii="Times New Roman" w:eastAsia="Times New Roman" w:hAnsi="Times New Roman" w:cs="Times New Roman"/>
          <w:sz w:val="28"/>
          <w:szCs w:val="28"/>
        </w:rPr>
        <w:t>arashiko</w:t>
      </w:r>
      <w:r w:rsidRPr="002612A0">
        <w:rPr>
          <w:rFonts w:ascii="Times New Roman" w:eastAsia="Times New Roman" w:hAnsi="Times New Roman" w:cs="Times New Roman"/>
          <w:sz w:val="28"/>
          <w:szCs w:val="28"/>
        </w:rPr>
        <w:t>het</w:t>
      </w:r>
      <w:r w:rsidR="00D33783" w:rsidRPr="002612A0">
        <w:rPr>
          <w:rFonts w:ascii="Times New Roman" w:eastAsia="Times New Roman" w:hAnsi="Times New Roman" w:cs="Times New Roman"/>
          <w:sz w:val="28"/>
          <w:szCs w:val="28"/>
        </w:rPr>
        <w:t xml:space="preserve"> emërimi </w:t>
      </w:r>
      <w:r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 xml:space="preserve"> menaxherëve të investimeve me licencë europiane pa autorizim shtesë (hyn në fuqi me anëtarësimin në BE).</w:t>
      </w:r>
    </w:p>
    <w:p w14:paraId="5A234BEE"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724BF2F" w14:textId="378A8759"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12 - </w:t>
      </w:r>
      <w:r w:rsidRPr="002612A0">
        <w:rPr>
          <w:rFonts w:ascii="Times New Roman" w:eastAsia="Times New Roman" w:hAnsi="Times New Roman" w:cs="Times New Roman"/>
          <w:sz w:val="28"/>
          <w:szCs w:val="28"/>
        </w:rPr>
        <w:t>Administratori, anëtarët e këshillit të administrimit/mbikëqyrës të shoqërisë administruese (ndryshon nenin 16 të ligjit)</w:t>
      </w:r>
    </w:p>
    <w:p w14:paraId="77C719C1" w14:textId="6F95D5F0" w:rsidR="00D33783" w:rsidRPr="002612A0" w:rsidRDefault="0084431C"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Parashikohet</w:t>
      </w:r>
      <w:r w:rsidR="00FA63B7"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 xml:space="preserve">detyrimi </w:t>
      </w:r>
      <w:r w:rsidRPr="002612A0">
        <w:rPr>
          <w:rFonts w:ascii="Times New Roman" w:eastAsia="Times New Roman" w:hAnsi="Times New Roman" w:cs="Times New Roman"/>
          <w:sz w:val="28"/>
          <w:szCs w:val="28"/>
        </w:rPr>
        <w:t>q</w:t>
      </w:r>
      <w:r w:rsidR="00205C2B"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s</w:t>
      </w:r>
      <w:r w:rsidR="007E7855" w:rsidRPr="002612A0">
        <w:rPr>
          <w:rFonts w:ascii="Times New Roman" w:eastAsia="Times New Roman" w:hAnsi="Times New Roman" w:cs="Times New Roman"/>
          <w:sz w:val="28"/>
          <w:szCs w:val="28"/>
        </w:rPr>
        <w:t>hoq</w:t>
      </w:r>
      <w:r w:rsidR="00205C2B" w:rsidRPr="002612A0">
        <w:rPr>
          <w:rFonts w:ascii="Times New Roman" w:eastAsia="Times New Roman" w:hAnsi="Times New Roman" w:cs="Times New Roman"/>
          <w:sz w:val="28"/>
          <w:szCs w:val="28"/>
        </w:rPr>
        <w:t>ë</w:t>
      </w:r>
      <w:r w:rsidR="007E7855" w:rsidRPr="002612A0">
        <w:rPr>
          <w:rFonts w:ascii="Times New Roman" w:eastAsia="Times New Roman" w:hAnsi="Times New Roman" w:cs="Times New Roman"/>
          <w:sz w:val="28"/>
          <w:szCs w:val="28"/>
        </w:rPr>
        <w:t>ria administruese do t</w:t>
      </w:r>
      <w:r w:rsidR="00205C2B" w:rsidRPr="002612A0">
        <w:rPr>
          <w:rFonts w:ascii="Times New Roman" w:eastAsia="Times New Roman" w:hAnsi="Times New Roman" w:cs="Times New Roman"/>
          <w:sz w:val="28"/>
          <w:szCs w:val="28"/>
        </w:rPr>
        <w:t>ë</w:t>
      </w:r>
      <w:r w:rsidR="007E7855" w:rsidRPr="002612A0">
        <w:rPr>
          <w:rFonts w:ascii="Times New Roman" w:eastAsia="Times New Roman" w:hAnsi="Times New Roman" w:cs="Times New Roman"/>
          <w:sz w:val="28"/>
          <w:szCs w:val="28"/>
        </w:rPr>
        <w:t xml:space="preserve"> drejtohet efektivisht nga t</w:t>
      </w:r>
      <w:r w:rsidR="00205C2B" w:rsidRPr="002612A0">
        <w:rPr>
          <w:rFonts w:ascii="Times New Roman" w:eastAsia="Times New Roman" w:hAnsi="Times New Roman" w:cs="Times New Roman"/>
          <w:sz w:val="28"/>
          <w:szCs w:val="28"/>
        </w:rPr>
        <w:t>ë</w:t>
      </w:r>
      <w:r w:rsidR="007E7855" w:rsidRPr="002612A0">
        <w:rPr>
          <w:rFonts w:ascii="Times New Roman" w:eastAsia="Times New Roman" w:hAnsi="Times New Roman" w:cs="Times New Roman"/>
          <w:sz w:val="28"/>
          <w:szCs w:val="28"/>
        </w:rPr>
        <w:t xml:space="preserve"> pakt</w:t>
      </w:r>
      <w:r w:rsidR="00205C2B" w:rsidRPr="002612A0">
        <w:rPr>
          <w:rFonts w:ascii="Times New Roman" w:eastAsia="Times New Roman" w:hAnsi="Times New Roman" w:cs="Times New Roman"/>
          <w:sz w:val="28"/>
          <w:szCs w:val="28"/>
        </w:rPr>
        <w:t>ë</w:t>
      </w:r>
      <w:r w:rsidR="007E7855" w:rsidRPr="002612A0">
        <w:rPr>
          <w:rFonts w:ascii="Times New Roman" w:eastAsia="Times New Roman" w:hAnsi="Times New Roman" w:cs="Times New Roman"/>
          <w:sz w:val="28"/>
          <w:szCs w:val="28"/>
        </w:rPr>
        <w:t xml:space="preserve">n </w:t>
      </w:r>
      <w:r w:rsidR="00D33783" w:rsidRPr="002612A0">
        <w:rPr>
          <w:rFonts w:ascii="Times New Roman" w:eastAsia="Times New Roman" w:hAnsi="Times New Roman" w:cs="Times New Roman"/>
          <w:sz w:val="28"/>
          <w:szCs w:val="28"/>
        </w:rPr>
        <w:t>dy persona</w:t>
      </w:r>
      <w:r w:rsidR="007E7855" w:rsidRPr="002612A0">
        <w:rPr>
          <w:rFonts w:ascii="Times New Roman" w:eastAsia="Times New Roman" w:hAnsi="Times New Roman" w:cs="Times New Roman"/>
          <w:sz w:val="28"/>
          <w:szCs w:val="28"/>
        </w:rPr>
        <w:t xml:space="preserve">. </w:t>
      </w:r>
      <w:r w:rsidR="00917D5E" w:rsidRPr="002612A0">
        <w:rPr>
          <w:rFonts w:ascii="Times New Roman" w:eastAsia="Times New Roman" w:hAnsi="Times New Roman" w:cs="Times New Roman"/>
          <w:sz w:val="28"/>
          <w:szCs w:val="28"/>
        </w:rPr>
        <w:t>K</w:t>
      </w:r>
      <w:r w:rsidR="005C1566" w:rsidRPr="002612A0">
        <w:rPr>
          <w:rFonts w:ascii="Times New Roman" w:eastAsia="Times New Roman" w:hAnsi="Times New Roman" w:cs="Times New Roman"/>
          <w:sz w:val="28"/>
          <w:szCs w:val="28"/>
        </w:rPr>
        <w:t>ushtet, kriteret, kompetencat dhe përgjegjësitë e drejtuesit të dytë</w:t>
      </w:r>
      <w:r w:rsidR="00D33783" w:rsidRPr="002612A0">
        <w:rPr>
          <w:rFonts w:ascii="Times New Roman" w:eastAsia="Times New Roman" w:hAnsi="Times New Roman" w:cs="Times New Roman"/>
          <w:sz w:val="28"/>
          <w:szCs w:val="28"/>
        </w:rPr>
        <w:t xml:space="preserve"> </w:t>
      </w:r>
      <w:r w:rsidR="00917D5E" w:rsidRPr="002612A0">
        <w:rPr>
          <w:rFonts w:ascii="Times New Roman" w:eastAsia="Times New Roman" w:hAnsi="Times New Roman" w:cs="Times New Roman"/>
          <w:sz w:val="28"/>
          <w:szCs w:val="28"/>
        </w:rPr>
        <w:t>do t</w:t>
      </w:r>
      <w:r w:rsidR="00205C2B" w:rsidRPr="002612A0">
        <w:rPr>
          <w:rFonts w:ascii="Times New Roman" w:eastAsia="Times New Roman" w:hAnsi="Times New Roman" w:cs="Times New Roman"/>
          <w:sz w:val="28"/>
          <w:szCs w:val="28"/>
        </w:rPr>
        <w:t>ë</w:t>
      </w:r>
      <w:r w:rsidR="00917D5E" w:rsidRPr="002612A0">
        <w:rPr>
          <w:rFonts w:ascii="Times New Roman" w:eastAsia="Times New Roman" w:hAnsi="Times New Roman" w:cs="Times New Roman"/>
          <w:sz w:val="28"/>
          <w:szCs w:val="28"/>
        </w:rPr>
        <w:t xml:space="preserve"> </w:t>
      </w:r>
      <w:r w:rsidR="00D33783" w:rsidRPr="002612A0">
        <w:rPr>
          <w:rFonts w:ascii="Times New Roman" w:eastAsia="Times New Roman" w:hAnsi="Times New Roman" w:cs="Times New Roman"/>
          <w:sz w:val="28"/>
          <w:szCs w:val="28"/>
        </w:rPr>
        <w:t>përcaktohen me rregullore</w:t>
      </w:r>
      <w:r w:rsidR="00917D5E" w:rsidRPr="002612A0">
        <w:rPr>
          <w:rFonts w:ascii="Times New Roman" w:eastAsia="Times New Roman" w:hAnsi="Times New Roman" w:cs="Times New Roman"/>
          <w:sz w:val="28"/>
          <w:szCs w:val="28"/>
        </w:rPr>
        <w:t xml:space="preserve"> t</w:t>
      </w:r>
      <w:r w:rsidR="00205C2B" w:rsidRPr="002612A0">
        <w:rPr>
          <w:rFonts w:ascii="Times New Roman" w:eastAsia="Times New Roman" w:hAnsi="Times New Roman" w:cs="Times New Roman"/>
          <w:sz w:val="28"/>
          <w:szCs w:val="28"/>
        </w:rPr>
        <w:t>ë</w:t>
      </w:r>
      <w:r w:rsidR="00917D5E" w:rsidRPr="002612A0">
        <w:rPr>
          <w:rFonts w:ascii="Times New Roman" w:eastAsia="Times New Roman" w:hAnsi="Times New Roman" w:cs="Times New Roman"/>
          <w:sz w:val="28"/>
          <w:szCs w:val="28"/>
        </w:rPr>
        <w:t xml:space="preserve"> Autoritetit.</w:t>
      </w:r>
      <w:r w:rsidR="00D33783" w:rsidRPr="002612A0">
        <w:rPr>
          <w:rFonts w:ascii="Times New Roman" w:eastAsia="Times New Roman" w:hAnsi="Times New Roman" w:cs="Times New Roman"/>
          <w:sz w:val="28"/>
          <w:szCs w:val="28"/>
        </w:rPr>
        <w:t xml:space="preserve"> </w:t>
      </w:r>
      <w:r w:rsidR="00276AD5"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ntegrim</w:t>
      </w:r>
      <w:r w:rsidR="00276AD5"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 xml:space="preserve"> </w:t>
      </w:r>
      <w:r w:rsidR="00276AD5"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 xml:space="preserve"> faktorëve ESG në qeverisje dhe </w:t>
      </w:r>
      <w:r w:rsidR="005C1566" w:rsidRPr="002612A0">
        <w:rPr>
          <w:rFonts w:ascii="Times New Roman" w:eastAsia="Times New Roman" w:hAnsi="Times New Roman" w:cs="Times New Roman"/>
          <w:bCs/>
          <w:sz w:val="28"/>
          <w:szCs w:val="28"/>
        </w:rPr>
        <w:t>s</w:t>
      </w:r>
      <w:r w:rsidR="00D33783" w:rsidRPr="002612A0">
        <w:rPr>
          <w:rFonts w:ascii="Times New Roman" w:eastAsia="Times New Roman" w:hAnsi="Times New Roman" w:cs="Times New Roman"/>
          <w:bCs/>
          <w:sz w:val="28"/>
          <w:szCs w:val="28"/>
        </w:rPr>
        <w:t>istemi i qeverisjes duhet të jetë proporcional me madhësinë, natyrën, shkallën dhe kompleksitetin e veprimtarisë.</w:t>
      </w:r>
    </w:p>
    <w:p w14:paraId="2C33FD59"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618AF8F3" w14:textId="7313D0C1"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13 - </w:t>
      </w:r>
      <w:r w:rsidRPr="002612A0">
        <w:rPr>
          <w:rFonts w:ascii="Times New Roman" w:eastAsia="Times New Roman" w:hAnsi="Times New Roman" w:cs="Times New Roman"/>
          <w:sz w:val="28"/>
          <w:szCs w:val="28"/>
        </w:rPr>
        <w:t>Miratimi i emërimit (ndryshon nenin 17 të ligjit)</w:t>
      </w:r>
    </w:p>
    <w:p w14:paraId="2B7D7645"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Një person mund të emërohet administrator, anëtar i këshillit të administrimit/mbikëqyrës i shoqërisë administruese apo të ushtrojë funksione kryesore vetëm me miratim të Autoritetit.</w:t>
      </w:r>
    </w:p>
    <w:p w14:paraId="072EEF70"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EA46245" w14:textId="76239673"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14 - </w:t>
      </w:r>
      <w:r w:rsidRPr="002612A0">
        <w:rPr>
          <w:rFonts w:ascii="Times New Roman" w:eastAsia="Times New Roman" w:hAnsi="Times New Roman" w:cs="Times New Roman"/>
          <w:sz w:val="28"/>
          <w:szCs w:val="28"/>
        </w:rPr>
        <w:t>Funksionet kryesore (ndryshon nenin 19 të ligjit)</w:t>
      </w:r>
    </w:p>
    <w:p w14:paraId="735ACEF3" w14:textId="46EC8288" w:rsidR="00D33783" w:rsidRPr="002612A0" w:rsidRDefault="00D33783" w:rsidP="002612A0">
      <w:pPr>
        <w:tabs>
          <w:tab w:val="left" w:pos="4809"/>
        </w:tabs>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737387" w:rsidRPr="002612A0">
        <w:rPr>
          <w:rFonts w:ascii="Times New Roman" w:eastAsia="Times New Roman" w:hAnsi="Times New Roman" w:cs="Times New Roman"/>
          <w:sz w:val="28"/>
          <w:szCs w:val="28"/>
        </w:rPr>
        <w:t>d</w:t>
      </w:r>
      <w:r w:rsidRPr="002612A0">
        <w:rPr>
          <w:rFonts w:ascii="Times New Roman" w:eastAsia="Times New Roman" w:hAnsi="Times New Roman" w:cs="Times New Roman"/>
          <w:sz w:val="28"/>
          <w:szCs w:val="28"/>
        </w:rPr>
        <w:t xml:space="preserve">ryshon titulli i nenit nga </w:t>
      </w:r>
      <w:r w:rsidR="00FA6E4C"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Personel kyç</w:t>
      </w:r>
      <w:r w:rsidR="00FA6E4C"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në </w:t>
      </w:r>
      <w:r w:rsidR="00FA6E4C"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Funksionet kryesore</w:t>
      </w:r>
      <w:r w:rsidR="00FA6E4C"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Përcakton qartë funksionet kryesore, shtohet funksioni aktuarial shtohet si funksion kryesor në rastet kur është i zbatueshëm. Është përgjegjësi e këshillit të administrimit/mbikëqyrës të shoqërisë administruese të sigurojë që personat të cilët ushtrojnë funksione kryesore, përmbushin kriteret e aftësisë dhe përshtatshmërisë,</w:t>
      </w:r>
    </w:p>
    <w:p w14:paraId="7DC230F7"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DDD7B21" w14:textId="71912F26"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15 - Detyrimet e personave me funksione kryesore</w:t>
      </w:r>
      <w:r w:rsidRPr="002612A0">
        <w:rPr>
          <w:rFonts w:ascii="Times New Roman" w:eastAsia="Times New Roman" w:hAnsi="Times New Roman" w:cs="Times New Roman"/>
          <w:sz w:val="28"/>
          <w:szCs w:val="28"/>
        </w:rPr>
        <w:t xml:space="preserve"> (shton nenin 19/1 në ligj)</w:t>
      </w:r>
    </w:p>
    <w:p w14:paraId="54C95D28" w14:textId="78595505"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lastRenderedPageBreak/>
        <w:t>Parashikon detyrimin e njoftimit kur organi drejtues nuk merr masa korrigjuese ndaj shkeljeve material</w:t>
      </w:r>
      <w:r w:rsidR="00654CC9" w:rsidRPr="002612A0">
        <w:rPr>
          <w:rFonts w:ascii="Times New Roman" w:eastAsia="Times New Roman" w:hAnsi="Times New Roman" w:cs="Times New Roman"/>
          <w:sz w:val="28"/>
          <w:szCs w:val="28"/>
        </w:rPr>
        <w:t xml:space="preserve">e </w:t>
      </w:r>
      <w:r w:rsidRPr="002612A0">
        <w:rPr>
          <w:rFonts w:ascii="Times New Roman" w:eastAsia="Times New Roman" w:hAnsi="Times New Roman" w:cs="Times New Roman"/>
          <w:sz w:val="28"/>
          <w:szCs w:val="28"/>
        </w:rPr>
        <w:t>dhe pavarësinë e auditit të brendshëm nga funksionet e tjera kryesore.</w:t>
      </w:r>
    </w:p>
    <w:p w14:paraId="4C079BE6"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AF4B49F" w14:textId="01034682"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16 - Shoqëritë administruese që kryejnë veprimtari në një vend anëtar </w:t>
      </w:r>
      <w:r w:rsidRPr="002612A0">
        <w:rPr>
          <w:rFonts w:ascii="Times New Roman" w:eastAsia="Times New Roman" w:hAnsi="Times New Roman" w:cs="Times New Roman"/>
          <w:sz w:val="28"/>
          <w:szCs w:val="28"/>
        </w:rPr>
        <w:t>(ndryshon nenin 20 të ligjit)</w:t>
      </w:r>
    </w:p>
    <w:p w14:paraId="78C23171" w14:textId="0C3D552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Përcakton rregullat dhe procedurën e njoftimit për ushtrimin e veprimtarisë ndërkufitare nga subjektet e autorizuara nga Autoriteti për administrimin e një </w:t>
      </w:r>
      <w:r w:rsidR="00AA0FEA" w:rsidRPr="002612A0">
        <w:rPr>
          <w:rFonts w:ascii="Times New Roman" w:eastAsia="Times New Roman" w:hAnsi="Times New Roman" w:cs="Times New Roman"/>
          <w:sz w:val="28"/>
          <w:szCs w:val="28"/>
        </w:rPr>
        <w:t>fondi të mbyllur</w:t>
      </w:r>
      <w:r w:rsidRPr="002612A0">
        <w:rPr>
          <w:rFonts w:ascii="Times New Roman" w:eastAsia="Times New Roman" w:hAnsi="Times New Roman" w:cs="Times New Roman"/>
          <w:sz w:val="28"/>
          <w:szCs w:val="28"/>
        </w:rPr>
        <w:t xml:space="preserve"> në një shtet tjetër anëtar, për llogari të një sponsori të vendosur në atë shtet, si dhe përcakton afatet për përcjelljen e njoftimit nga Autoriteti tek autoriteti kompetent i shtetit anëtar pritës. Gjithashtu, parashikon shkaqet e refuzimit të përcjelljes së njoftimit dhe afatet përkatëse të njoftimit të vendimit të arsyetuar në rast të refuzimit.</w:t>
      </w:r>
    </w:p>
    <w:p w14:paraId="4CEFBBA7"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3FEDC66" w14:textId="65DBA628" w:rsidR="00D33783" w:rsidRPr="002612A0" w:rsidRDefault="00E21AE0"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17 </w:t>
      </w:r>
      <w:r w:rsidR="00D33783" w:rsidRPr="002612A0">
        <w:rPr>
          <w:rFonts w:ascii="Times New Roman" w:eastAsia="Times New Roman" w:hAnsi="Times New Roman" w:cs="Times New Roman"/>
          <w:sz w:val="28"/>
          <w:szCs w:val="28"/>
        </w:rPr>
        <w:t>- shton nenet 20/1 dhe 20/2 në ligj</w:t>
      </w:r>
    </w:p>
    <w:p w14:paraId="0359E9A9"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2B659924"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Neni 20/1 </w:t>
      </w:r>
      <w:r w:rsidRPr="002612A0">
        <w:rPr>
          <w:rFonts w:ascii="Times New Roman" w:eastAsia="Times New Roman" w:hAnsi="Times New Roman" w:cs="Times New Roman"/>
          <w:bCs/>
          <w:sz w:val="28"/>
          <w:szCs w:val="28"/>
        </w:rPr>
        <w:t xml:space="preserve">Procedurat e njoftimit </w:t>
      </w:r>
      <w:r w:rsidRPr="002612A0">
        <w:rPr>
          <w:rFonts w:ascii="Times New Roman" w:eastAsia="Times New Roman" w:hAnsi="Times New Roman" w:cs="Times New Roman"/>
          <w:sz w:val="28"/>
          <w:szCs w:val="28"/>
        </w:rPr>
        <w:t xml:space="preserve">për ushtrimin </w:t>
      </w:r>
      <w:r w:rsidRPr="002612A0">
        <w:rPr>
          <w:rFonts w:ascii="Times New Roman" w:eastAsia="Times New Roman" w:hAnsi="Times New Roman" w:cs="Times New Roman"/>
          <w:bCs/>
          <w:sz w:val="28"/>
          <w:szCs w:val="28"/>
        </w:rPr>
        <w:t xml:space="preserve">e veprimtarisë ndërkufitare </w:t>
      </w:r>
    </w:p>
    <w:p w14:paraId="73B0BC03"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Rregullon ushtrimin e veprimtarisë ndërkufitare të administrimit të fondeve të pensionit në një shtet tjetër anëtar dhe detyrimin për respektimin e legjislacionit të vendit pritës, si dhe për informimin e anëtarëve dhe përfituesve. Ai përcakton procedurën e shkëmbimit të informacionit ndërmjet autoriteteve kompetente, si dhe afatet për komunikimin dhe fillimin e veprimtarisë. Gjithashtu, parashikon detyrimin për njoftimin dhe përcjelljen e çdo ndryshimi të rëndësishëm në legjislacionin e punës dhe mbrojtjes shoqërore që ndikon në ushtrimin e kësaj veprimtarie.</w:t>
      </w:r>
    </w:p>
    <w:p w14:paraId="5E29B94C"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1B67C58"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20/2 </w:t>
      </w:r>
      <w:r w:rsidRPr="002612A0">
        <w:rPr>
          <w:rFonts w:ascii="Times New Roman" w:eastAsia="Times New Roman" w:hAnsi="Times New Roman" w:cs="Times New Roman"/>
          <w:sz w:val="28"/>
          <w:szCs w:val="28"/>
        </w:rPr>
        <w:t xml:space="preserve">Ushtrimi i veprimtarisë në Republikën e Shqipërisë nga shoqëritë e huaja  </w:t>
      </w:r>
    </w:p>
    <w:p w14:paraId="50CCE661"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Ky nen lejon që shoqëritë administruese ose IORP-et e autorizuara në një vend anëtar të administrojnë fonde pensioni privat për sponsorë në Republikën e Shqipërisë pa miratim paraprak nga Autoriteti. Ai përcakton detyrimin për zbatimin e legjislacionit shqiptar të punës dhe mbrojtjes shoqërore, si dhe për informimin e rregullt të anëtarëve dhe përfituesve të skemës. Gjithashtu, rregullon procedurën e njoftimit dhe bashkëpunimit ndërmjet autoriteteve kompetente dhe shkëmbimin e informacionit për ndryshimet ligjore që mund të ndikojnë në veprimtarinë. </w:t>
      </w:r>
    </w:p>
    <w:p w14:paraId="5FAEE9BC"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449C19D"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lastRenderedPageBreak/>
        <w:t>Neni 18 - Transferimet ndërkufitare (ndryshon nenin 21 të ligjit)</w:t>
      </w:r>
    </w:p>
    <w:p w14:paraId="2C958897"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Ky nen rregullon transferimet ndërkufitare të fondeve të pensionit privat, përcakton kushtet, procedurat dhe dokumentacionin e nevojshëm për transferimin e detyrimeve, aktiveve dhe të drejtave midis shoqërive administruese ose IORP-ve në vende të ndryshme anëtare. Përcakton rolin e autoriteteve kompetente në vendin pritës dhe të origjinës për miratimin, vlerësimin dhe mbikëqyrjen e transferimit, si dhe garantimin e mbrojtjes së interesave të anëtarëve dhe përfituesve të skemës. Gjithashtu, parashikon rregulla për fillimin e veprimtarisë pas transferimit, masat mbikëqyrëse dhe sanksionuese, si dhe bashkëpunimin ndërmjet autoriteteve dhe EIOPA-s në rast mosmarrëveshjesh ose shkeljesh.</w:t>
      </w:r>
    </w:p>
    <w:p w14:paraId="610F4F9D" w14:textId="77777777" w:rsidR="008853A7" w:rsidRPr="002612A0" w:rsidRDefault="008853A7" w:rsidP="002612A0">
      <w:pPr>
        <w:spacing w:after="0" w:line="276" w:lineRule="auto"/>
        <w:jc w:val="both"/>
        <w:rPr>
          <w:rFonts w:ascii="Times New Roman" w:eastAsia="Times New Roman" w:hAnsi="Times New Roman" w:cs="Times New Roman"/>
          <w:bCs/>
          <w:sz w:val="28"/>
          <w:szCs w:val="28"/>
        </w:rPr>
      </w:pPr>
    </w:p>
    <w:p w14:paraId="7FA5D98D" w14:textId="33FE53A5"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Neni 19 – shton nenet 21/1 deri 21/7 në ligj</w:t>
      </w:r>
    </w:p>
    <w:p w14:paraId="1897E81E" w14:textId="21E9A7E5"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Këto </w:t>
      </w:r>
      <w:r w:rsidR="008B4BEC" w:rsidRPr="002612A0">
        <w:rPr>
          <w:rFonts w:ascii="Times New Roman" w:eastAsia="Times New Roman" w:hAnsi="Times New Roman" w:cs="Times New Roman"/>
          <w:sz w:val="28"/>
          <w:szCs w:val="28"/>
        </w:rPr>
        <w:t>dispozita</w:t>
      </w:r>
      <w:r w:rsidRPr="002612A0">
        <w:rPr>
          <w:rFonts w:ascii="Times New Roman" w:eastAsia="Times New Roman" w:hAnsi="Times New Roman" w:cs="Times New Roman"/>
          <w:sz w:val="28"/>
          <w:szCs w:val="28"/>
        </w:rPr>
        <w:t xml:space="preserve"> rregullojnë kuadrin e plotë teknik për skemat e pensionit me përfitime të përcaktuara në veprimtarinë ndërkufitare, si dhe ndalimin e ofrimit të tyre në tregun e brendshëm. Vendosin kërkesa të detajuara për llogaritjen e provigjoneve teknike, përfshirë parime aktuariale, përdorimin e normave të kujdesshme të skontimit dhe certifikimin nga aktuarë të licencuar. Gjithashtu, përcaktohen rregullat për investimin e aktiveve që mbulojnë provigjonet teknike, duke siguruar përputhje me natyrën dhe afatin e detyrimeve të pensioneve. Parashikohet detyrimi për financim të plotë të provigjoneve në çdo kohë, si dhe ndërhyrja e Autoritetit dhe planet e rimëkëmbjes në rast mosplotësimi të kërkesave financiare. Në të njëjtën kohë, vendosen kërkesa për mbajtjen e fondeve të veta shtesë kur rreziku mbulohet nga vetë IORP, si dhe për ruajtjen e nivelit të mjaftueshëm të aftësisë paguese dhe rregullimin e tij me akte nënligjore të Autoritetit. </w:t>
      </w:r>
    </w:p>
    <w:p w14:paraId="16B07DF9"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BDD8058" w14:textId="1BA77D10"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20 - </w:t>
      </w:r>
      <w:r w:rsidRPr="002612A0">
        <w:rPr>
          <w:rFonts w:ascii="Times New Roman" w:eastAsia="Times New Roman" w:hAnsi="Times New Roman" w:cs="Times New Roman"/>
          <w:sz w:val="28"/>
          <w:szCs w:val="28"/>
        </w:rPr>
        <w:t>Përgjegjësia e shoqërisë administruese (ndryshon nenin 22 të ligjit)</w:t>
      </w:r>
    </w:p>
    <w:p w14:paraId="4B915D00" w14:textId="441680F4" w:rsidR="00D33783" w:rsidRPr="002612A0" w:rsidRDefault="008F50AA"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Në këtë dispozitë p</w:t>
      </w:r>
      <w:r w:rsidR="00D33783" w:rsidRPr="002612A0">
        <w:rPr>
          <w:rFonts w:ascii="Times New Roman" w:eastAsia="Times New Roman" w:hAnsi="Times New Roman" w:cs="Times New Roman"/>
          <w:sz w:val="28"/>
          <w:szCs w:val="28"/>
        </w:rPr>
        <w:t>ërcakto</w:t>
      </w:r>
      <w:r w:rsidRPr="002612A0">
        <w:rPr>
          <w:rFonts w:ascii="Times New Roman" w:eastAsia="Times New Roman" w:hAnsi="Times New Roman" w:cs="Times New Roman"/>
          <w:sz w:val="28"/>
          <w:szCs w:val="28"/>
        </w:rPr>
        <w:t>het</w:t>
      </w:r>
      <w:r w:rsidR="00D33783" w:rsidRPr="002612A0">
        <w:rPr>
          <w:rFonts w:ascii="Times New Roman" w:eastAsia="Times New Roman" w:hAnsi="Times New Roman" w:cs="Times New Roman"/>
          <w:sz w:val="28"/>
          <w:szCs w:val="28"/>
        </w:rPr>
        <w:t xml:space="preserve"> detyrimi </w:t>
      </w:r>
      <w:r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 xml:space="preserve"> shoqërive administruese për të garantuar ushtrimin e veprimtarisë në përputhje me ligjin dhe rregulloret e Autoritetit, duke përfshirë masa për vazhdimësinë operacionale dhe qëndrueshmërinë dixhitale. </w:t>
      </w:r>
      <w:r w:rsidRPr="002612A0">
        <w:rPr>
          <w:rFonts w:ascii="Times New Roman" w:eastAsia="Times New Roman" w:hAnsi="Times New Roman" w:cs="Times New Roman"/>
          <w:sz w:val="28"/>
          <w:szCs w:val="28"/>
        </w:rPr>
        <w:t>Parashi</w:t>
      </w:r>
      <w:r w:rsidR="00D33783" w:rsidRPr="002612A0">
        <w:rPr>
          <w:rFonts w:ascii="Times New Roman" w:eastAsia="Times New Roman" w:hAnsi="Times New Roman" w:cs="Times New Roman"/>
          <w:sz w:val="28"/>
          <w:szCs w:val="28"/>
        </w:rPr>
        <w:t>kon miratimin dhe zbatimin e politikave të brendshme për menaxhimin e rrezikut, auditimin dhe funksionet kryesore dhe rishikim periodik të tyre. Gjithashtu, forcon përgjegjësinë e organeve drejtuese për pajtueshmërinë ligjore dhe ruan rolin e punëdhënësve dhe punëmarrësve në qeverisjen e fondeve të pensionit.</w:t>
      </w:r>
    </w:p>
    <w:p w14:paraId="22A9A936"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61CD38C8" w14:textId="5FA907F8"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lastRenderedPageBreak/>
        <w:t xml:space="preserve">Neni 21 - Zbatimi </w:t>
      </w:r>
      <w:r w:rsidR="000B1B3A" w:rsidRPr="002612A0">
        <w:rPr>
          <w:rFonts w:ascii="Times New Roman" w:eastAsia="Times New Roman" w:hAnsi="Times New Roman" w:cs="Times New Roman"/>
          <w:bCs/>
          <w:sz w:val="28"/>
          <w:szCs w:val="28"/>
        </w:rPr>
        <w:t xml:space="preserve">i ligjit </w:t>
      </w:r>
      <w:r w:rsidRPr="002612A0">
        <w:rPr>
          <w:rFonts w:ascii="Times New Roman" w:eastAsia="Times New Roman" w:hAnsi="Times New Roman" w:cs="Times New Roman"/>
          <w:bCs/>
          <w:sz w:val="28"/>
          <w:szCs w:val="28"/>
        </w:rPr>
        <w:t xml:space="preserve">ndaj institucioneve të pensionit që </w:t>
      </w:r>
      <w:r w:rsidR="000B1B3A" w:rsidRPr="002612A0">
        <w:rPr>
          <w:rFonts w:ascii="Times New Roman" w:eastAsia="Times New Roman" w:hAnsi="Times New Roman" w:cs="Times New Roman"/>
          <w:bCs/>
          <w:sz w:val="28"/>
          <w:szCs w:val="28"/>
        </w:rPr>
        <w:t>administrojn</w:t>
      </w:r>
      <w:r w:rsidR="000B1B3A" w:rsidRPr="002612A0">
        <w:rPr>
          <w:rFonts w:ascii="Times New Roman" w:eastAsia="Times New Roman" w:hAnsi="Times New Roman" w:cs="Times New Roman"/>
          <w:sz w:val="28"/>
          <w:szCs w:val="28"/>
        </w:rPr>
        <w:t>ë</w:t>
      </w:r>
      <w:r w:rsidR="002E76BC" w:rsidRPr="002612A0">
        <w:rPr>
          <w:rFonts w:ascii="Times New Roman" w:eastAsia="Times New Roman" w:hAnsi="Times New Roman" w:cs="Times New Roman"/>
          <w:sz w:val="28"/>
          <w:szCs w:val="28"/>
        </w:rPr>
        <w:t xml:space="preserve"> </w:t>
      </w:r>
      <w:r w:rsidRPr="002612A0">
        <w:rPr>
          <w:rFonts w:ascii="Times New Roman" w:eastAsia="Times New Roman" w:hAnsi="Times New Roman" w:cs="Times New Roman"/>
          <w:bCs/>
          <w:sz w:val="28"/>
          <w:szCs w:val="28"/>
        </w:rPr>
        <w:t>skema të sigurimeve shoqërore (shton nenin 22/1 në ligj)</w:t>
      </w:r>
      <w:r w:rsidR="000B1B3A" w:rsidRPr="002612A0">
        <w:rPr>
          <w:rFonts w:ascii="Times New Roman" w:eastAsia="Times New Roman" w:hAnsi="Times New Roman" w:cs="Times New Roman"/>
          <w:bCs/>
          <w:sz w:val="28"/>
          <w:szCs w:val="28"/>
        </w:rPr>
        <w:t xml:space="preserve"> </w:t>
      </w:r>
    </w:p>
    <w:p w14:paraId="19084B64" w14:textId="1B74735F" w:rsidR="00D33783" w:rsidRPr="002612A0" w:rsidRDefault="00FF28EC"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8D1472" w:rsidRPr="002612A0">
        <w:rPr>
          <w:rFonts w:ascii="Times New Roman" w:eastAsia="Times New Roman" w:hAnsi="Times New Roman" w:cs="Times New Roman"/>
          <w:sz w:val="28"/>
          <w:szCs w:val="28"/>
        </w:rPr>
        <w:t>ë këtë dispozitë parashikohet që i</w:t>
      </w:r>
      <w:r w:rsidR="00D33783" w:rsidRPr="002612A0">
        <w:rPr>
          <w:rFonts w:ascii="Times New Roman" w:eastAsia="Times New Roman" w:hAnsi="Times New Roman" w:cs="Times New Roman"/>
          <w:sz w:val="28"/>
          <w:szCs w:val="28"/>
        </w:rPr>
        <w:t xml:space="preserve">nstitucionet e pensionit që administrojnë si skema të detyrueshme të sigurimeve shoqërore, ashtu edhe pensione private, i nënshtrohen këtij ligji vetëm për veprimtarinë e pensionit privat. Kërkon ndarjen e plotë të aktiveve dhe detyrimeve ndërmjet dy skemave dhe ndalon transferimet midis tyre. </w:t>
      </w:r>
    </w:p>
    <w:p w14:paraId="6E410308"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4F1E4397" w14:textId="691B51A6"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Neni 22 - </w:t>
      </w:r>
      <w:r w:rsidRPr="002612A0">
        <w:rPr>
          <w:rFonts w:ascii="Times New Roman" w:eastAsia="Times New Roman" w:hAnsi="Times New Roman" w:cs="Times New Roman"/>
          <w:sz w:val="28"/>
          <w:szCs w:val="28"/>
        </w:rPr>
        <w:t>Konflikti i interesit dhe konfidencialiteti në shoqërinë administruese (ndryshon nenin 23 të ligjit)</w:t>
      </w:r>
    </w:p>
    <w:p w14:paraId="5713D118" w14:textId="65AC1755" w:rsidR="000B1B3A" w:rsidRPr="002612A0" w:rsidRDefault="008D1472"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Kjo dispozitë r</w:t>
      </w:r>
      <w:r w:rsidR="000B1B3A" w:rsidRPr="002612A0">
        <w:rPr>
          <w:rFonts w:ascii="Times New Roman" w:eastAsia="Times New Roman" w:hAnsi="Times New Roman" w:cs="Times New Roman"/>
          <w:sz w:val="28"/>
          <w:szCs w:val="28"/>
        </w:rPr>
        <w:t xml:space="preserve">regullon kryerjen e transaksioneve me palët e lidhura, duke përcaktuar se ato lejohen vetëm kur realizohen në kushte tregu, në interesin më të mirë të anëtarëve dhe përfituesve të fondit dhe në përputhje me rregullat për menaxhimin e konfliktit të interesit. Gjithashtu, i delegohet Autoritetit kompetenca për të miratuar me rregullore kriteret për identifikimin e palëve të lidhura, procedurat për kryerjen e transaksioneve dhe kufijtë e investimeve të zbatueshme për këto transaksione. </w:t>
      </w:r>
    </w:p>
    <w:p w14:paraId="2E496C5F"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1CF4C81" w14:textId="13FBEB12"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23 - </w:t>
      </w:r>
      <w:r w:rsidRPr="002612A0">
        <w:rPr>
          <w:rFonts w:ascii="Times New Roman" w:eastAsia="Times New Roman" w:hAnsi="Times New Roman" w:cs="Times New Roman"/>
          <w:sz w:val="28"/>
          <w:szCs w:val="28"/>
        </w:rPr>
        <w:t>Monitorimi i përputhshmërisë me rregulloret përkatëse (ndryshon nenin 24 të ligjit)</w:t>
      </w:r>
    </w:p>
    <w:p w14:paraId="18B6E275" w14:textId="6780332A" w:rsidR="00D33783" w:rsidRPr="002612A0" w:rsidRDefault="00846E90"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Në këtë dispozitë p</w:t>
      </w:r>
      <w:r w:rsidR="00D33783" w:rsidRPr="002612A0">
        <w:rPr>
          <w:rFonts w:ascii="Times New Roman" w:eastAsia="Times New Roman" w:hAnsi="Times New Roman" w:cs="Times New Roman"/>
          <w:sz w:val="28"/>
          <w:szCs w:val="28"/>
        </w:rPr>
        <w:t>ërcakto</w:t>
      </w:r>
      <w:r w:rsidRPr="002612A0">
        <w:rPr>
          <w:rFonts w:ascii="Times New Roman" w:eastAsia="Times New Roman" w:hAnsi="Times New Roman" w:cs="Times New Roman"/>
          <w:sz w:val="28"/>
          <w:szCs w:val="28"/>
        </w:rPr>
        <w:t>het</w:t>
      </w:r>
      <w:r w:rsidR="00D33783" w:rsidRPr="002612A0">
        <w:rPr>
          <w:rFonts w:ascii="Times New Roman" w:eastAsia="Times New Roman" w:hAnsi="Times New Roman" w:cs="Times New Roman"/>
          <w:sz w:val="28"/>
          <w:szCs w:val="28"/>
        </w:rPr>
        <w:t xml:space="preserve"> detyrimi për shoqërinë administruese që t</w:t>
      </w:r>
      <w:r w:rsidR="00893DAB" w:rsidRPr="002612A0">
        <w:rPr>
          <w:rFonts w:ascii="Times New Roman" w:eastAsia="Times New Roman" w:hAnsi="Times New Roman" w:cs="Times New Roman"/>
          <w:sz w:val="28"/>
          <w:szCs w:val="28"/>
        </w:rPr>
        <w:t>ë</w:t>
      </w:r>
      <w:r w:rsidR="00D33783" w:rsidRPr="002612A0">
        <w:rPr>
          <w:rFonts w:ascii="Times New Roman" w:eastAsia="Times New Roman" w:hAnsi="Times New Roman" w:cs="Times New Roman"/>
          <w:sz w:val="28"/>
          <w:szCs w:val="28"/>
        </w:rPr>
        <w:t xml:space="preserve"> ketë procedura të përshtatshme administrative dhe kontabël, si dhe sisteme efektive të kontrollit të brendshëm dhe të administrimit të rrezikut.</w:t>
      </w:r>
      <w:r w:rsidR="00893DAB" w:rsidRPr="002612A0">
        <w:rPr>
          <w:rFonts w:ascii="Times New Roman" w:eastAsia="Times New Roman" w:hAnsi="Times New Roman" w:cs="Times New Roman"/>
          <w:sz w:val="28"/>
          <w:szCs w:val="28"/>
        </w:rPr>
        <w:t xml:space="preserve"> </w:t>
      </w:r>
    </w:p>
    <w:p w14:paraId="3B1A6411"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E7DB78A" w14:textId="4275DA98"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24 - </w:t>
      </w:r>
      <w:r w:rsidRPr="002612A0">
        <w:rPr>
          <w:rFonts w:ascii="Times New Roman" w:eastAsia="Times New Roman" w:hAnsi="Times New Roman" w:cs="Times New Roman"/>
          <w:sz w:val="28"/>
          <w:szCs w:val="28"/>
        </w:rPr>
        <w:t>Auditi i brendshëm (ndryshon nenin 25 të ligjit)</w:t>
      </w:r>
    </w:p>
    <w:p w14:paraId="37F72165" w14:textId="4FE60FF1"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Përcakton detyrimin e shoqërisë administruese për të pasur një funksion të auditit të brendshëm proporcional me madhësinë, natyrën, shkallën dhe kompleksitetin e veprimtarisë që kryen. Gjithas</w:t>
      </w:r>
      <w:r w:rsidR="00E21AE0" w:rsidRPr="002612A0">
        <w:rPr>
          <w:rFonts w:ascii="Times New Roman" w:eastAsia="Times New Roman" w:hAnsi="Times New Roman" w:cs="Times New Roman"/>
          <w:sz w:val="28"/>
          <w:szCs w:val="28"/>
        </w:rPr>
        <w:t>htu kërkon vlerësimin e sistemit t</w:t>
      </w:r>
      <w:r w:rsidR="000945F0"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kontrollit të brendshëm dhe të</w:t>
      </w:r>
      <w:r w:rsidR="00E21AE0" w:rsidRPr="002612A0">
        <w:rPr>
          <w:rFonts w:ascii="Times New Roman" w:eastAsia="Times New Roman" w:hAnsi="Times New Roman" w:cs="Times New Roman"/>
          <w:sz w:val="28"/>
          <w:szCs w:val="28"/>
        </w:rPr>
        <w:t xml:space="preserve"> qeverisjes,</w:t>
      </w:r>
      <w:r w:rsidRPr="002612A0">
        <w:rPr>
          <w:rFonts w:ascii="Times New Roman" w:eastAsia="Times New Roman" w:hAnsi="Times New Roman" w:cs="Times New Roman"/>
          <w:sz w:val="28"/>
          <w:szCs w:val="28"/>
        </w:rPr>
        <w:t xml:space="preserve"> ngritjen e një sistemi efektiv të kontrollit të brendshëm</w:t>
      </w:r>
      <w:r w:rsidR="00E21AE0" w:rsidRPr="002612A0">
        <w:rPr>
          <w:rFonts w:ascii="Times New Roman" w:eastAsia="Times New Roman" w:hAnsi="Times New Roman" w:cs="Times New Roman"/>
          <w:sz w:val="28"/>
          <w:szCs w:val="28"/>
        </w:rPr>
        <w:t xml:space="preserve"> dhe raportim</w:t>
      </w:r>
      <w:r w:rsidRPr="002612A0">
        <w:rPr>
          <w:rFonts w:ascii="Times New Roman" w:eastAsia="Times New Roman" w:hAnsi="Times New Roman" w:cs="Times New Roman"/>
          <w:sz w:val="28"/>
          <w:szCs w:val="28"/>
        </w:rPr>
        <w:t xml:space="preserve"> në të gjitha nivelet.</w:t>
      </w:r>
    </w:p>
    <w:p w14:paraId="1EC8E7B3"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C6D86DC" w14:textId="3E4FD6E1"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25 - </w:t>
      </w:r>
      <w:r w:rsidRPr="002612A0">
        <w:rPr>
          <w:rFonts w:ascii="Times New Roman" w:eastAsia="Times New Roman" w:hAnsi="Times New Roman" w:cs="Times New Roman"/>
          <w:sz w:val="28"/>
          <w:szCs w:val="28"/>
        </w:rPr>
        <w:t xml:space="preserve">Administrimi i rrezikut (ndryshon nenin 26 të ligjit) </w:t>
      </w:r>
    </w:p>
    <w:p w14:paraId="30DB6EAE"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Ky nen përshtat terminologjinë (instrumente të titullzuara), forcon kërkesat për sistemin e menaxhimit të rrezikut të shoqërisë administruese, duke zgjeruar fushën e tij për të përfshirë rreziqet kryesore financiare si rreziku i tregut, i kreditit dhe i likuiditetit, si dhe </w:t>
      </w:r>
      <w:r w:rsidRPr="002612A0">
        <w:rPr>
          <w:rFonts w:ascii="Times New Roman" w:eastAsia="Times New Roman" w:hAnsi="Times New Roman" w:cs="Times New Roman"/>
          <w:bCs/>
          <w:sz w:val="28"/>
          <w:szCs w:val="28"/>
        </w:rPr>
        <w:t xml:space="preserve">rrezikun mjedisor, social dhe të qeverisjes, që lidhen me </w:t>
      </w:r>
      <w:r w:rsidRPr="002612A0">
        <w:rPr>
          <w:rFonts w:ascii="Times New Roman" w:eastAsia="Times New Roman" w:hAnsi="Times New Roman" w:cs="Times New Roman"/>
          <w:bCs/>
          <w:sz w:val="28"/>
          <w:szCs w:val="28"/>
        </w:rPr>
        <w:lastRenderedPageBreak/>
        <w:t xml:space="preserve">portofolin e investimeve. </w:t>
      </w:r>
      <w:r w:rsidRPr="002612A0">
        <w:rPr>
          <w:rFonts w:ascii="Times New Roman" w:eastAsia="Times New Roman" w:hAnsi="Times New Roman" w:cs="Times New Roman"/>
          <w:sz w:val="28"/>
          <w:szCs w:val="28"/>
        </w:rPr>
        <w:t>Gjithashtu, parashikon vlerësimin e detyrimeve dhe krijimin e rezervave teknike</w:t>
      </w:r>
      <w:r w:rsidR="00893DAB" w:rsidRPr="002612A0">
        <w:rPr>
          <w:rFonts w:ascii="Times New Roman" w:eastAsia="Times New Roman" w:hAnsi="Times New Roman" w:cs="Times New Roman"/>
          <w:sz w:val="28"/>
          <w:szCs w:val="28"/>
        </w:rPr>
        <w:t>, në rastin e skemave me përfitime të përcaktuara.</w:t>
      </w:r>
      <w:r w:rsidRPr="002612A0">
        <w:rPr>
          <w:rFonts w:ascii="Times New Roman" w:eastAsia="Times New Roman" w:hAnsi="Times New Roman" w:cs="Times New Roman"/>
          <w:sz w:val="28"/>
          <w:szCs w:val="28"/>
        </w:rPr>
        <w:t xml:space="preserve"> </w:t>
      </w:r>
    </w:p>
    <w:p w14:paraId="6D31CAFF"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A4584E9" w14:textId="422D2A13"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26 - Funksioni aktuarial </w:t>
      </w:r>
      <w:r w:rsidRPr="002612A0">
        <w:rPr>
          <w:rFonts w:ascii="Times New Roman" w:eastAsia="Times New Roman" w:hAnsi="Times New Roman" w:cs="Times New Roman"/>
          <w:sz w:val="28"/>
          <w:szCs w:val="28"/>
        </w:rPr>
        <w:t>(shton nenin 26/1 në ligj)</w:t>
      </w:r>
    </w:p>
    <w:p w14:paraId="4808A441" w14:textId="070DE854"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Parashikon krijimin e funksionit aktuarial për fondet e pensionit që mbulojnë rreziqe biometrike ose garantojnë përfitime të caktuara. Funksioni aktuarial është përgjegjës për vlerësimin dhe mbikëqyrjen e llogaritjes së provigjoneve teknike, si dhe për të mbështetur sistemin e menaxhimit të rrezikut. </w:t>
      </w:r>
      <w:r w:rsidR="00846E90" w:rsidRPr="002612A0">
        <w:rPr>
          <w:rFonts w:ascii="Times New Roman" w:eastAsia="Times New Roman" w:hAnsi="Times New Roman" w:cs="Times New Roman"/>
          <w:sz w:val="28"/>
          <w:szCs w:val="28"/>
        </w:rPr>
        <w:t>Parashiko</w:t>
      </w:r>
      <w:r w:rsidRPr="002612A0">
        <w:rPr>
          <w:rFonts w:ascii="Times New Roman" w:eastAsia="Times New Roman" w:hAnsi="Times New Roman" w:cs="Times New Roman"/>
          <w:sz w:val="28"/>
          <w:szCs w:val="28"/>
        </w:rPr>
        <w:t xml:space="preserve">het caktimi i një personi të pavarur për këtë funksion dhe </w:t>
      </w:r>
      <w:r w:rsidR="00846E90" w:rsidRPr="002612A0">
        <w:rPr>
          <w:rFonts w:ascii="Times New Roman" w:eastAsia="Times New Roman" w:hAnsi="Times New Roman" w:cs="Times New Roman"/>
          <w:sz w:val="28"/>
          <w:szCs w:val="28"/>
        </w:rPr>
        <w:t xml:space="preserve">ngarkohet Autoriteti </w:t>
      </w:r>
      <w:r w:rsidR="00277D67" w:rsidRPr="002612A0">
        <w:rPr>
          <w:rFonts w:ascii="Times New Roman" w:eastAsia="Times New Roman" w:hAnsi="Times New Roman" w:cs="Times New Roman"/>
          <w:sz w:val="28"/>
          <w:szCs w:val="28"/>
        </w:rPr>
        <w:t xml:space="preserve">që </w:t>
      </w:r>
      <w:r w:rsidRPr="002612A0">
        <w:rPr>
          <w:rFonts w:ascii="Times New Roman" w:eastAsia="Times New Roman" w:hAnsi="Times New Roman" w:cs="Times New Roman"/>
          <w:sz w:val="28"/>
          <w:szCs w:val="28"/>
        </w:rPr>
        <w:t xml:space="preserve">me rregullore </w:t>
      </w:r>
      <w:r w:rsidR="00277D67" w:rsidRPr="002612A0">
        <w:rPr>
          <w:rFonts w:ascii="Times New Roman" w:eastAsia="Times New Roman" w:hAnsi="Times New Roman" w:cs="Times New Roman"/>
          <w:sz w:val="28"/>
          <w:szCs w:val="28"/>
        </w:rPr>
        <w:t xml:space="preserve">të </w:t>
      </w:r>
      <w:r w:rsidRPr="002612A0">
        <w:rPr>
          <w:rFonts w:ascii="Times New Roman" w:eastAsia="Times New Roman" w:hAnsi="Times New Roman" w:cs="Times New Roman"/>
          <w:sz w:val="28"/>
          <w:szCs w:val="28"/>
        </w:rPr>
        <w:t>përcakto</w:t>
      </w:r>
      <w:r w:rsidR="00277D67" w:rsidRPr="002612A0">
        <w:rPr>
          <w:rFonts w:ascii="Times New Roman" w:eastAsia="Times New Roman" w:hAnsi="Times New Roman" w:cs="Times New Roman"/>
          <w:sz w:val="28"/>
          <w:szCs w:val="28"/>
        </w:rPr>
        <w:t>jë</w:t>
      </w:r>
      <w:r w:rsidRPr="002612A0">
        <w:rPr>
          <w:rFonts w:ascii="Times New Roman" w:eastAsia="Times New Roman" w:hAnsi="Times New Roman" w:cs="Times New Roman"/>
          <w:sz w:val="28"/>
          <w:szCs w:val="28"/>
        </w:rPr>
        <w:t xml:space="preserve"> kërkesa</w:t>
      </w:r>
      <w:r w:rsidR="00277D67" w:rsidRPr="002612A0">
        <w:rPr>
          <w:rFonts w:ascii="Times New Roman" w:eastAsia="Times New Roman" w:hAnsi="Times New Roman" w:cs="Times New Roman"/>
          <w:sz w:val="28"/>
          <w:szCs w:val="28"/>
        </w:rPr>
        <w:t xml:space="preserve"> të</w:t>
      </w:r>
      <w:r w:rsidRPr="002612A0">
        <w:rPr>
          <w:rFonts w:ascii="Times New Roman" w:eastAsia="Times New Roman" w:hAnsi="Times New Roman" w:cs="Times New Roman"/>
          <w:sz w:val="28"/>
          <w:szCs w:val="28"/>
        </w:rPr>
        <w:t xml:space="preserve"> detajuara për organizimin dhe funksionimin e këtij funksioni.</w:t>
      </w:r>
    </w:p>
    <w:p w14:paraId="0E9221A4"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72143C2" w14:textId="6C8B6F13"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27 - </w:t>
      </w:r>
      <w:r w:rsidRPr="002612A0">
        <w:rPr>
          <w:rFonts w:ascii="Times New Roman" w:eastAsia="Times New Roman" w:hAnsi="Times New Roman" w:cs="Times New Roman"/>
          <w:sz w:val="28"/>
          <w:szCs w:val="28"/>
        </w:rPr>
        <w:t xml:space="preserve">Vetëvlerësimi i rrezikut (ndryshon nenin 28 të ligjit) </w:t>
      </w:r>
    </w:p>
    <w:p w14:paraId="72311F46" w14:textId="5E8912A4" w:rsidR="00D33783" w:rsidRPr="002612A0" w:rsidRDefault="00277D67"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Parashiko</w:t>
      </w:r>
      <w:r w:rsidR="00436818" w:rsidRPr="002612A0">
        <w:rPr>
          <w:rFonts w:ascii="Times New Roman" w:eastAsia="Times New Roman" w:hAnsi="Times New Roman" w:cs="Times New Roman"/>
          <w:sz w:val="28"/>
          <w:szCs w:val="28"/>
        </w:rPr>
        <w:t>het f</w:t>
      </w:r>
      <w:r w:rsidR="00D33783" w:rsidRPr="002612A0">
        <w:rPr>
          <w:rFonts w:ascii="Times New Roman" w:eastAsia="Times New Roman" w:hAnsi="Times New Roman" w:cs="Times New Roman"/>
          <w:sz w:val="28"/>
          <w:szCs w:val="28"/>
        </w:rPr>
        <w:t>orc</w:t>
      </w:r>
      <w:r w:rsidR="00436818" w:rsidRPr="002612A0">
        <w:rPr>
          <w:rFonts w:ascii="Times New Roman" w:eastAsia="Times New Roman" w:hAnsi="Times New Roman" w:cs="Times New Roman"/>
          <w:sz w:val="28"/>
          <w:szCs w:val="28"/>
        </w:rPr>
        <w:t>imi i</w:t>
      </w:r>
      <w:r w:rsidR="00D33783" w:rsidRPr="002612A0">
        <w:rPr>
          <w:rFonts w:ascii="Times New Roman" w:eastAsia="Times New Roman" w:hAnsi="Times New Roman" w:cs="Times New Roman"/>
          <w:sz w:val="28"/>
          <w:szCs w:val="28"/>
        </w:rPr>
        <w:t xml:space="preserve"> kërkesa</w:t>
      </w:r>
      <w:r w:rsidR="00436818" w:rsidRPr="002612A0">
        <w:rPr>
          <w:rFonts w:ascii="Times New Roman" w:eastAsia="Times New Roman" w:hAnsi="Times New Roman" w:cs="Times New Roman"/>
          <w:sz w:val="28"/>
          <w:szCs w:val="28"/>
        </w:rPr>
        <w:t>ve</w:t>
      </w:r>
      <w:r w:rsidR="00D33783" w:rsidRPr="002612A0">
        <w:rPr>
          <w:rFonts w:ascii="Times New Roman" w:eastAsia="Times New Roman" w:hAnsi="Times New Roman" w:cs="Times New Roman"/>
          <w:sz w:val="28"/>
          <w:szCs w:val="28"/>
        </w:rPr>
        <w:t xml:space="preserve"> për vetëvlerësimin e rrezikut nga shoqëria administruese, shton kategor</w:t>
      </w:r>
      <w:r w:rsidR="00A11AA4"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 xml:space="preserve"> </w:t>
      </w:r>
      <w:r w:rsidR="00A11AA4" w:rsidRPr="002612A0">
        <w:rPr>
          <w:rFonts w:ascii="Times New Roman" w:eastAsia="Times New Roman" w:hAnsi="Times New Roman" w:cs="Times New Roman"/>
          <w:sz w:val="28"/>
          <w:szCs w:val="28"/>
        </w:rPr>
        <w:t>të</w:t>
      </w:r>
      <w:r w:rsidR="00D33783" w:rsidRPr="002612A0">
        <w:rPr>
          <w:rFonts w:ascii="Times New Roman" w:eastAsia="Times New Roman" w:hAnsi="Times New Roman" w:cs="Times New Roman"/>
          <w:sz w:val="28"/>
          <w:szCs w:val="28"/>
        </w:rPr>
        <w:t xml:space="preserve"> detyrueshme në sistemin e menaxhimit të rrezikut, duke përfshirë vlerësimin e rreziqeve mjedisorë, socialë dhe të qeverisjes (ESG), si dhe mekanizmat e mbrojtjes së përfitimeve të pensionit. Autoriteti miraton rregulla të mëtejshme për vetëvlerësimin e rrezikut.</w:t>
      </w:r>
    </w:p>
    <w:p w14:paraId="6189AA4D"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79573F22" w14:textId="40D58ED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28 - </w:t>
      </w:r>
      <w:r w:rsidRPr="002612A0">
        <w:rPr>
          <w:rFonts w:ascii="Times New Roman" w:eastAsia="Times New Roman" w:hAnsi="Times New Roman" w:cs="Times New Roman"/>
          <w:sz w:val="28"/>
          <w:szCs w:val="28"/>
        </w:rPr>
        <w:t xml:space="preserve">Politika e shpërblimit (ndryshon nenin 29 të ligjit) </w:t>
      </w:r>
    </w:p>
    <w:p w14:paraId="231E0286"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Forcon kërkesat dhe përshtat politikën e shpërblimit të shoqërisë administruese dhe të ofruesit të shërbimeve të deleguara, me madhësinë, organizimin dhe kompleksitetin e veprimtarisë. Vendos detyrimin për publikimin e informacionit mbi politikën e shpërblimit në faqen </w:t>
      </w:r>
      <w:r w:rsidR="00893DAB" w:rsidRPr="002612A0">
        <w:rPr>
          <w:rFonts w:ascii="Times New Roman" w:eastAsia="Times New Roman" w:hAnsi="Times New Roman" w:cs="Times New Roman"/>
          <w:sz w:val="28"/>
          <w:szCs w:val="28"/>
        </w:rPr>
        <w:t xml:space="preserve">e saj </w:t>
      </w:r>
      <w:r w:rsidRPr="002612A0">
        <w:rPr>
          <w:rFonts w:ascii="Times New Roman" w:eastAsia="Times New Roman" w:hAnsi="Times New Roman" w:cs="Times New Roman"/>
          <w:sz w:val="28"/>
          <w:szCs w:val="28"/>
        </w:rPr>
        <w:t xml:space="preserve">zyrtare të internetit.  </w:t>
      </w:r>
    </w:p>
    <w:p w14:paraId="51539C3B"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F9D5D33" w14:textId="3C310D3C"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29 - </w:t>
      </w:r>
      <w:r w:rsidRPr="002612A0">
        <w:rPr>
          <w:rFonts w:ascii="Times New Roman" w:eastAsia="Times New Roman" w:hAnsi="Times New Roman" w:cs="Times New Roman"/>
          <w:sz w:val="28"/>
          <w:szCs w:val="28"/>
        </w:rPr>
        <w:t xml:space="preserve">Delegimi i funksioneve (ndryshon nenin 34 të ligjit)  </w:t>
      </w:r>
    </w:p>
    <w:p w14:paraId="230D383C"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Ky nen rregullon delegimin e funksioneve nga shoqëria administruese te palët e treta, duke përcaktuar kushtet dhe kufizimet për këtë proces. Forcon përgjegjësinë e shoqërisë administruese për funksionet e deleguara, kërkon njoftimin dhe miratimin e Autoritetit, si dhe garanton që delegimi të mos cenojë qeverisjen, mbikëqyrjen efektive dhe mbrojtjen e interesave të anëtarëve të fondit.</w:t>
      </w:r>
    </w:p>
    <w:p w14:paraId="4D330CF2"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3A846DC4" w14:textId="7E89E1EA"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30 - </w:t>
      </w:r>
      <w:r w:rsidRPr="002612A0">
        <w:rPr>
          <w:rFonts w:ascii="Times New Roman" w:eastAsia="Times New Roman" w:hAnsi="Times New Roman" w:cs="Times New Roman"/>
          <w:sz w:val="28"/>
          <w:szCs w:val="28"/>
        </w:rPr>
        <w:t xml:space="preserve">Ndryshimi i kontrollit të shoqërisë administruese (ndryshon nenin 35 të ligjit)  </w:t>
      </w:r>
    </w:p>
    <w:p w14:paraId="0573C77B" w14:textId="2BCFD31E"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Ky nen </w:t>
      </w:r>
      <w:r w:rsidR="00436818" w:rsidRPr="002612A0">
        <w:rPr>
          <w:rFonts w:ascii="Times New Roman" w:eastAsia="Times New Roman" w:hAnsi="Times New Roman" w:cs="Times New Roman"/>
          <w:sz w:val="28"/>
          <w:szCs w:val="28"/>
        </w:rPr>
        <w:t>parashi</w:t>
      </w:r>
      <w:r w:rsidRPr="002612A0">
        <w:rPr>
          <w:rFonts w:ascii="Times New Roman" w:eastAsia="Times New Roman" w:hAnsi="Times New Roman" w:cs="Times New Roman"/>
          <w:sz w:val="28"/>
          <w:szCs w:val="28"/>
        </w:rPr>
        <w:t xml:space="preserve">kon miratimin paraprak të Autoritetit për çdo rritje të pjesëmarrjes në kapitalin e një shoqërie administruese mbi pragjet e përcaktuara ligjore, për çdo individ ose person juridik, por edhe për disa prej tyre që veprojnë së bashku </w:t>
      </w:r>
      <w:r w:rsidRPr="002612A0">
        <w:rPr>
          <w:rFonts w:ascii="Times New Roman" w:eastAsia="Times New Roman" w:hAnsi="Times New Roman" w:cs="Times New Roman"/>
          <w:sz w:val="28"/>
          <w:szCs w:val="28"/>
        </w:rPr>
        <w:lastRenderedPageBreak/>
        <w:t>(blerësi i synuar), si dhe përcakton procedurën e njoftimit dhe dokumentacionin që duhet të paraqesë blerësi i synuar.</w:t>
      </w:r>
    </w:p>
    <w:p w14:paraId="45B873E7"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04343ED" w14:textId="5BD591FD"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31 - </w:t>
      </w:r>
      <w:r w:rsidRPr="002612A0">
        <w:rPr>
          <w:rFonts w:ascii="Times New Roman" w:eastAsia="Times New Roman" w:hAnsi="Times New Roman" w:cs="Times New Roman"/>
          <w:sz w:val="28"/>
          <w:szCs w:val="28"/>
        </w:rPr>
        <w:t xml:space="preserve">Llojet e fondit të pensionit (ndryshon nenin 50 të ligjit)   </w:t>
      </w:r>
    </w:p>
    <w:p w14:paraId="3F91C13A" w14:textId="7018FAC8"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Forcohet </w:t>
      </w:r>
      <w:r w:rsidR="00A20386" w:rsidRPr="002612A0">
        <w:rPr>
          <w:rFonts w:ascii="Times New Roman" w:eastAsia="Times New Roman" w:hAnsi="Times New Roman" w:cs="Times New Roman"/>
          <w:sz w:val="28"/>
          <w:szCs w:val="28"/>
        </w:rPr>
        <w:t>detyrimi që</w:t>
      </w:r>
      <w:r w:rsidRPr="002612A0">
        <w:rPr>
          <w:rFonts w:ascii="Times New Roman" w:eastAsia="Times New Roman" w:hAnsi="Times New Roman" w:cs="Times New Roman"/>
          <w:sz w:val="28"/>
          <w:szCs w:val="28"/>
        </w:rPr>
        <w:t xml:space="preserve"> fondet e pensionit privat </w:t>
      </w:r>
      <w:r w:rsidR="00A20386" w:rsidRPr="002612A0">
        <w:rPr>
          <w:rFonts w:ascii="Times New Roman" w:eastAsia="Times New Roman" w:hAnsi="Times New Roman" w:cs="Times New Roman"/>
          <w:sz w:val="28"/>
          <w:szCs w:val="28"/>
        </w:rPr>
        <w:t xml:space="preserve">të </w:t>
      </w:r>
      <w:r w:rsidRPr="002612A0">
        <w:rPr>
          <w:rFonts w:ascii="Times New Roman" w:eastAsia="Times New Roman" w:hAnsi="Times New Roman" w:cs="Times New Roman"/>
          <w:sz w:val="28"/>
          <w:szCs w:val="28"/>
        </w:rPr>
        <w:t>j</w:t>
      </w:r>
      <w:r w:rsidR="00A20386" w:rsidRPr="002612A0">
        <w:rPr>
          <w:rFonts w:ascii="Times New Roman" w:eastAsia="Times New Roman" w:hAnsi="Times New Roman" w:cs="Times New Roman"/>
          <w:sz w:val="28"/>
          <w:szCs w:val="28"/>
        </w:rPr>
        <w:t>e</w:t>
      </w:r>
      <w:r w:rsidRPr="002612A0">
        <w:rPr>
          <w:rFonts w:ascii="Times New Roman" w:eastAsia="Times New Roman" w:hAnsi="Times New Roman" w:cs="Times New Roman"/>
          <w:sz w:val="28"/>
          <w:szCs w:val="28"/>
        </w:rPr>
        <w:t>në juridikisht të ndara nga sipërmarrja sponsorizuese, me qëllim mbrojtjen e aktiveve të fondit në interes të anëtarëve dhe përfituesve në rast falimentimi të sipërmarrjes sponsorizuese.</w:t>
      </w:r>
    </w:p>
    <w:p w14:paraId="55AE97A6"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5FCA362" w14:textId="2B4E867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32 - </w:t>
      </w:r>
      <w:r w:rsidRPr="002612A0">
        <w:rPr>
          <w:rFonts w:ascii="Times New Roman" w:eastAsia="Times New Roman" w:hAnsi="Times New Roman" w:cs="Times New Roman"/>
          <w:sz w:val="28"/>
          <w:szCs w:val="28"/>
        </w:rPr>
        <w:t>Mbrojtja e aktiveve të anëtarit (ndryshon nenin 57 të ligjit)</w:t>
      </w:r>
    </w:p>
    <w:p w14:paraId="6814A58A"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Aktivet e fondit të pensionit nuk mund t’i nënshtrohen ekzekutimit të detyrueshëm për detyrimet e shoqërisë administruese. </w:t>
      </w:r>
    </w:p>
    <w:p w14:paraId="7B1F8F26"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4C393DA" w14:textId="0AACC7E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33 - </w:t>
      </w:r>
      <w:r w:rsidRPr="002612A0">
        <w:rPr>
          <w:rFonts w:ascii="Times New Roman" w:eastAsia="Times New Roman" w:hAnsi="Times New Roman" w:cs="Times New Roman"/>
          <w:sz w:val="28"/>
          <w:szCs w:val="28"/>
        </w:rPr>
        <w:t xml:space="preserve">Kontrata e anëtarësimit (ndryshon nenin 62 të ligjit)  </w:t>
      </w:r>
    </w:p>
    <w:p w14:paraId="5E0BCD03"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Përcakton detyrimin e punëdhënësit/sponsorit të informojë anëtarin se si përfundimi i marrëdhënies së punës do të ndikojë në të drejtat e tij mbi fondin e pensionit.</w:t>
      </w:r>
    </w:p>
    <w:p w14:paraId="05C4DC7C"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6C4B4634" w14:textId="217E4A3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34 - </w:t>
      </w:r>
      <w:r w:rsidRPr="002612A0">
        <w:rPr>
          <w:rFonts w:ascii="Times New Roman" w:eastAsia="Times New Roman" w:hAnsi="Times New Roman" w:cs="Times New Roman"/>
          <w:sz w:val="28"/>
          <w:szCs w:val="28"/>
        </w:rPr>
        <w:t xml:space="preserve">Përfundimi i anëtarësisë (ndryshon nenin 65 të ligjit)  </w:t>
      </w:r>
    </w:p>
    <w:p w14:paraId="1ED12BD5"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Ky nen garanton ruajtjen e të drejtave të fituara në fondin e pensionit për anëtarët që ndërpresin marrëdhënien e punës me punëdhënësin/sponsorin. Këto të drejta mbeten të mbrojtura edhe në rast transferimi ose ushtrimi të veprimtarisë në një vend tjetër anëtar.</w:t>
      </w:r>
    </w:p>
    <w:p w14:paraId="598B5648"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179E212" w14:textId="04F27455"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Neni 35 - Anëtarësimi në një fond me pjesëmarrje të mbyllur </w:t>
      </w:r>
      <w:r w:rsidRPr="002612A0">
        <w:rPr>
          <w:rFonts w:ascii="Times New Roman" w:eastAsia="Times New Roman" w:hAnsi="Times New Roman" w:cs="Times New Roman"/>
          <w:sz w:val="28"/>
          <w:szCs w:val="28"/>
        </w:rPr>
        <w:t xml:space="preserve">(ndryshon nenin 66 të ligjit)  </w:t>
      </w:r>
    </w:p>
    <w:p w14:paraId="50E7AAFB" w14:textId="21622EA4" w:rsidR="00D33783" w:rsidRPr="002612A0" w:rsidRDefault="00CE6361"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Ndryshohet periudha e fitimit të së drejtës së punëmarrësit për përfitimin e kontributeve të paguara nga punëdhënësi </w:t>
      </w:r>
      <w:r w:rsidR="00EE31B0" w:rsidRPr="002612A0">
        <w:rPr>
          <w:rFonts w:ascii="Times New Roman" w:eastAsia="Times New Roman" w:hAnsi="Times New Roman" w:cs="Times New Roman"/>
          <w:bCs/>
          <w:sz w:val="28"/>
          <w:szCs w:val="28"/>
        </w:rPr>
        <w:t>“</w:t>
      </w:r>
      <w:r w:rsidRPr="002612A0">
        <w:rPr>
          <w:rFonts w:ascii="Times New Roman" w:eastAsia="Times New Roman" w:hAnsi="Times New Roman" w:cs="Times New Roman"/>
          <w:bCs/>
          <w:sz w:val="28"/>
          <w:szCs w:val="28"/>
        </w:rPr>
        <w:t>vesting period</w:t>
      </w:r>
      <w:r w:rsidR="00EE31B0" w:rsidRPr="002612A0">
        <w:rPr>
          <w:rFonts w:ascii="Times New Roman" w:eastAsia="Times New Roman" w:hAnsi="Times New Roman" w:cs="Times New Roman"/>
          <w:bCs/>
          <w:sz w:val="28"/>
          <w:szCs w:val="28"/>
        </w:rPr>
        <w:t>”</w:t>
      </w:r>
      <w:r w:rsidRPr="002612A0">
        <w:rPr>
          <w:rFonts w:ascii="Times New Roman" w:eastAsia="Times New Roman" w:hAnsi="Times New Roman" w:cs="Times New Roman"/>
          <w:bCs/>
          <w:sz w:val="28"/>
          <w:szCs w:val="28"/>
        </w:rPr>
        <w:t>, duke u reduktuar nga pesë (5) vjet në tre (3) vjet.</w:t>
      </w:r>
    </w:p>
    <w:p w14:paraId="13DE0A49" w14:textId="77777777" w:rsidR="00CE6361" w:rsidRPr="002612A0" w:rsidRDefault="00CE6361" w:rsidP="002612A0">
      <w:pPr>
        <w:spacing w:after="0" w:line="276" w:lineRule="auto"/>
        <w:jc w:val="both"/>
        <w:rPr>
          <w:rFonts w:ascii="Times New Roman" w:eastAsia="Times New Roman" w:hAnsi="Times New Roman" w:cs="Times New Roman"/>
          <w:bCs/>
          <w:sz w:val="28"/>
          <w:szCs w:val="28"/>
        </w:rPr>
      </w:pPr>
    </w:p>
    <w:p w14:paraId="62972DC8" w14:textId="64658B83"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36 - </w:t>
      </w:r>
      <w:r w:rsidRPr="002612A0">
        <w:rPr>
          <w:rFonts w:ascii="Times New Roman" w:eastAsia="Times New Roman" w:hAnsi="Times New Roman" w:cs="Times New Roman"/>
          <w:sz w:val="28"/>
          <w:szCs w:val="28"/>
        </w:rPr>
        <w:t xml:space="preserve">E drejta e anëtarit të transferuar me punë në një vend tjetër anëtar (ndryshon nenin 71 të ligjit)  </w:t>
      </w:r>
    </w:p>
    <w:p w14:paraId="5CC44040"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Anëtarët që transferohen në një vend tjetër anëtar duhet të marrin mbi të drejtat e tyre të pensionit dhe opsionet që ofron skema. Gjithashtu, parashikon mundësinë e pagesës së pensioneve dhe përfitimeve edhe për anëtarët ose përfituesit që banojnë në një shtet tjetër anëtar.</w:t>
      </w:r>
    </w:p>
    <w:p w14:paraId="0D64F399" w14:textId="77777777" w:rsidR="00DB1F07" w:rsidRPr="002612A0" w:rsidRDefault="00DB1F07" w:rsidP="002612A0">
      <w:pPr>
        <w:spacing w:after="0" w:line="276" w:lineRule="auto"/>
        <w:jc w:val="both"/>
        <w:rPr>
          <w:rFonts w:ascii="Times New Roman" w:eastAsia="Times New Roman" w:hAnsi="Times New Roman" w:cs="Times New Roman"/>
          <w:bCs/>
          <w:sz w:val="28"/>
          <w:szCs w:val="28"/>
        </w:rPr>
      </w:pPr>
    </w:p>
    <w:p w14:paraId="74E1E2A9" w14:textId="15D6487F"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3</w:t>
      </w:r>
      <w:r w:rsidR="00615646" w:rsidRPr="002612A0">
        <w:rPr>
          <w:rFonts w:ascii="Times New Roman" w:eastAsia="Times New Roman" w:hAnsi="Times New Roman" w:cs="Times New Roman"/>
          <w:bCs/>
          <w:sz w:val="28"/>
          <w:szCs w:val="28"/>
        </w:rPr>
        <w:t>7</w:t>
      </w:r>
      <w:r w:rsidRPr="002612A0">
        <w:rPr>
          <w:rFonts w:ascii="Times New Roman" w:eastAsia="Times New Roman" w:hAnsi="Times New Roman" w:cs="Times New Roman"/>
          <w:bCs/>
          <w:sz w:val="28"/>
          <w:szCs w:val="28"/>
        </w:rPr>
        <w:t xml:space="preserve"> - </w:t>
      </w:r>
      <w:r w:rsidRPr="002612A0">
        <w:rPr>
          <w:rFonts w:ascii="Times New Roman" w:eastAsia="Times New Roman" w:hAnsi="Times New Roman" w:cs="Times New Roman"/>
          <w:sz w:val="28"/>
          <w:szCs w:val="28"/>
        </w:rPr>
        <w:t xml:space="preserve">Rregullat e investimit (ndryshon nenin 89 të ligjit)  </w:t>
      </w:r>
    </w:p>
    <w:p w14:paraId="18C1626F" w14:textId="520EDF48" w:rsidR="00D33783" w:rsidRPr="002612A0" w:rsidRDefault="0093756D"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lastRenderedPageBreak/>
        <w:t>Në këtë dispozitë parashikohet f</w:t>
      </w:r>
      <w:r w:rsidR="00D33783" w:rsidRPr="002612A0">
        <w:rPr>
          <w:rFonts w:ascii="Times New Roman" w:eastAsia="Times New Roman" w:hAnsi="Times New Roman" w:cs="Times New Roman"/>
          <w:sz w:val="28"/>
          <w:szCs w:val="28"/>
        </w:rPr>
        <w:t>orc</w:t>
      </w:r>
      <w:r w:rsidRPr="002612A0">
        <w:rPr>
          <w:rFonts w:ascii="Times New Roman" w:eastAsia="Times New Roman" w:hAnsi="Times New Roman" w:cs="Times New Roman"/>
          <w:sz w:val="28"/>
          <w:szCs w:val="28"/>
        </w:rPr>
        <w:t>imi</w:t>
      </w:r>
      <w:r w:rsidR="003F68B8" w:rsidRPr="002612A0">
        <w:rPr>
          <w:rFonts w:ascii="Times New Roman" w:eastAsia="Times New Roman" w:hAnsi="Times New Roman" w:cs="Times New Roman"/>
          <w:sz w:val="28"/>
          <w:szCs w:val="28"/>
        </w:rPr>
        <w:t xml:space="preserve"> i</w:t>
      </w:r>
      <w:r w:rsidR="00D33783" w:rsidRPr="002612A0">
        <w:rPr>
          <w:rFonts w:ascii="Times New Roman" w:eastAsia="Times New Roman" w:hAnsi="Times New Roman" w:cs="Times New Roman"/>
          <w:sz w:val="28"/>
          <w:szCs w:val="28"/>
        </w:rPr>
        <w:t xml:space="preserve"> rregulla</w:t>
      </w:r>
      <w:r w:rsidR="003F68B8" w:rsidRPr="002612A0">
        <w:rPr>
          <w:rFonts w:ascii="Times New Roman" w:eastAsia="Times New Roman" w:hAnsi="Times New Roman" w:cs="Times New Roman"/>
          <w:sz w:val="28"/>
          <w:szCs w:val="28"/>
        </w:rPr>
        <w:t>ve</w:t>
      </w:r>
      <w:r w:rsidR="00D33783" w:rsidRPr="002612A0">
        <w:rPr>
          <w:rFonts w:ascii="Times New Roman" w:eastAsia="Times New Roman" w:hAnsi="Times New Roman" w:cs="Times New Roman"/>
          <w:sz w:val="28"/>
          <w:szCs w:val="28"/>
        </w:rPr>
        <w:t xml:space="preserve"> </w:t>
      </w:r>
      <w:r w:rsidR="003F68B8" w:rsidRPr="002612A0">
        <w:rPr>
          <w:rFonts w:ascii="Times New Roman" w:eastAsia="Times New Roman" w:hAnsi="Times New Roman" w:cs="Times New Roman"/>
          <w:sz w:val="28"/>
          <w:szCs w:val="28"/>
        </w:rPr>
        <w:t>të</w:t>
      </w:r>
      <w:r w:rsidR="00D33783" w:rsidRPr="002612A0">
        <w:rPr>
          <w:rFonts w:ascii="Times New Roman" w:eastAsia="Times New Roman" w:hAnsi="Times New Roman" w:cs="Times New Roman"/>
          <w:sz w:val="28"/>
          <w:szCs w:val="28"/>
        </w:rPr>
        <w:t xml:space="preserve"> investimit të aktiveve të fondeve të pensionit në përputhje me parimin e personit të kujdesshëm, menaxhimin e konflikteve të interesit dhe marrjen në konsideratë të ndikimit afatgjatë të vendimeve të investimit mbi faktorëve mjedisorë, socialë dhe të qeverisjes (ESG). Gjithashtu zgjeron mundësitë e investimit të aktiveve, qartëson kompetencat e Autoritetit për vendosjen e kërkesave prudenciale në përputhje me standardet e</w:t>
      </w:r>
      <w:r w:rsidR="00772645" w:rsidRPr="002612A0">
        <w:rPr>
          <w:rFonts w:ascii="Times New Roman" w:eastAsia="Times New Roman" w:hAnsi="Times New Roman" w:cs="Times New Roman"/>
          <w:sz w:val="28"/>
          <w:szCs w:val="28"/>
        </w:rPr>
        <w:t>v</w:t>
      </w:r>
      <w:r w:rsidR="00D33783" w:rsidRPr="002612A0">
        <w:rPr>
          <w:rFonts w:ascii="Times New Roman" w:eastAsia="Times New Roman" w:hAnsi="Times New Roman" w:cs="Times New Roman"/>
          <w:sz w:val="28"/>
          <w:szCs w:val="28"/>
        </w:rPr>
        <w:t>ropiane dhe përcakton rregulla për monitorimin e vlerësimeve të kreditit.</w:t>
      </w:r>
    </w:p>
    <w:p w14:paraId="4DEA0B86"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6C8ED4C" w14:textId="58A7F18C"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3</w:t>
      </w:r>
      <w:r w:rsidR="00615646" w:rsidRPr="002612A0">
        <w:rPr>
          <w:rFonts w:ascii="Times New Roman" w:eastAsia="Times New Roman" w:hAnsi="Times New Roman" w:cs="Times New Roman"/>
          <w:bCs/>
          <w:sz w:val="28"/>
          <w:szCs w:val="28"/>
        </w:rPr>
        <w:t>8</w:t>
      </w:r>
      <w:r w:rsidRPr="002612A0">
        <w:rPr>
          <w:rFonts w:ascii="Times New Roman" w:eastAsia="Times New Roman" w:hAnsi="Times New Roman" w:cs="Times New Roman"/>
          <w:bCs/>
          <w:sz w:val="28"/>
          <w:szCs w:val="28"/>
        </w:rPr>
        <w:t xml:space="preserve"> - </w:t>
      </w:r>
      <w:r w:rsidRPr="002612A0">
        <w:rPr>
          <w:rFonts w:ascii="Times New Roman" w:eastAsia="Times New Roman" w:hAnsi="Times New Roman" w:cs="Times New Roman"/>
          <w:sz w:val="28"/>
          <w:szCs w:val="28"/>
        </w:rPr>
        <w:t xml:space="preserve">Investimet e lejuara (ndryshon nenin 90 të ligjit)  </w:t>
      </w:r>
    </w:p>
    <w:p w14:paraId="05443961"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Ky nen forcon parimet e kujdesshme të investimit të aktiveve të fondeve të pensionit, përcakton kufizimin e investimeve në tregje të parregulluara dhe përdorimin e kujdesshëm të instrumenteve derivative. Gjithashtu, ndalon huamarrjen, përveç rasteve kur huamarrja kryhet për qëllime likuiditeti dhe ka karakter të përkohshëm, ndalohet garantimi i detyrimeve të palëve të treta, si dhe siguron pavarësinë e vendimmarrjes së investimeve nga ndërhyrjet e Autoritetit. </w:t>
      </w:r>
    </w:p>
    <w:p w14:paraId="2559FDA1"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863D698" w14:textId="3DEA77A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EB1360" w:rsidRPr="002612A0">
        <w:rPr>
          <w:rFonts w:ascii="Times New Roman" w:eastAsia="Times New Roman" w:hAnsi="Times New Roman" w:cs="Times New Roman"/>
          <w:bCs/>
          <w:sz w:val="28"/>
          <w:szCs w:val="28"/>
        </w:rPr>
        <w:t>39</w:t>
      </w:r>
      <w:r w:rsidRPr="002612A0">
        <w:rPr>
          <w:rFonts w:ascii="Times New Roman" w:eastAsia="Times New Roman" w:hAnsi="Times New Roman" w:cs="Times New Roman"/>
          <w:bCs/>
          <w:sz w:val="28"/>
          <w:szCs w:val="28"/>
        </w:rPr>
        <w:t xml:space="preserve"> - </w:t>
      </w:r>
      <w:r w:rsidRPr="002612A0">
        <w:rPr>
          <w:rFonts w:ascii="Times New Roman" w:eastAsia="Times New Roman" w:hAnsi="Times New Roman" w:cs="Times New Roman"/>
          <w:sz w:val="28"/>
          <w:szCs w:val="28"/>
        </w:rPr>
        <w:t xml:space="preserve">Kufizimet mbi ekspozimin (ndryshon nenin 91 të ligjit)   </w:t>
      </w:r>
    </w:p>
    <w:p w14:paraId="792C352B" w14:textId="0E9EFD59" w:rsidR="00D33783" w:rsidRPr="002612A0" w:rsidRDefault="00D73902"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Parashikohet v</w:t>
      </w:r>
      <w:r w:rsidR="00D33783" w:rsidRPr="002612A0">
        <w:rPr>
          <w:rFonts w:ascii="Times New Roman" w:eastAsia="Times New Roman" w:hAnsi="Times New Roman" w:cs="Times New Roman"/>
          <w:sz w:val="28"/>
          <w:szCs w:val="28"/>
        </w:rPr>
        <w:t>endos</w:t>
      </w:r>
      <w:r w:rsidRPr="002612A0">
        <w:rPr>
          <w:rFonts w:ascii="Times New Roman" w:eastAsia="Times New Roman" w:hAnsi="Times New Roman" w:cs="Times New Roman"/>
          <w:sz w:val="28"/>
          <w:szCs w:val="28"/>
        </w:rPr>
        <w:t>ja e</w:t>
      </w:r>
      <w:r w:rsidR="00D33783" w:rsidRPr="002612A0">
        <w:rPr>
          <w:rFonts w:ascii="Times New Roman" w:eastAsia="Times New Roman" w:hAnsi="Times New Roman" w:cs="Times New Roman"/>
          <w:sz w:val="28"/>
          <w:szCs w:val="28"/>
        </w:rPr>
        <w:t xml:space="preserve"> kufizime</w:t>
      </w:r>
      <w:r w:rsidRPr="002612A0">
        <w:rPr>
          <w:rFonts w:ascii="Times New Roman" w:eastAsia="Times New Roman" w:hAnsi="Times New Roman" w:cs="Times New Roman"/>
          <w:sz w:val="28"/>
          <w:szCs w:val="28"/>
        </w:rPr>
        <w:t>ve</w:t>
      </w:r>
      <w:r w:rsidR="00D33783" w:rsidRPr="002612A0">
        <w:rPr>
          <w:rFonts w:ascii="Times New Roman" w:eastAsia="Times New Roman" w:hAnsi="Times New Roman" w:cs="Times New Roman"/>
          <w:sz w:val="28"/>
          <w:szCs w:val="28"/>
        </w:rPr>
        <w:t xml:space="preserve"> për investimet në sipërmarrjen sponsorizuese dhe në subjektet e të njëjtit grup, me qëllim diversifikimin dhe uljen e përqendrimit të rrezikut. Gjithashtu, përjashton investimet në titujt e qeverisë së Republikës së Shqipërisë nga disa kufizime të parashikuara për investimet e fondeve të pensionit.</w:t>
      </w:r>
    </w:p>
    <w:p w14:paraId="3000BC6A"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74909D9" w14:textId="66FD1BCE"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4</w:t>
      </w:r>
      <w:r w:rsidR="00EB1360" w:rsidRPr="002612A0">
        <w:rPr>
          <w:rFonts w:ascii="Times New Roman" w:eastAsia="Times New Roman" w:hAnsi="Times New Roman" w:cs="Times New Roman"/>
          <w:bCs/>
          <w:sz w:val="28"/>
          <w:szCs w:val="28"/>
        </w:rPr>
        <w:t>0</w:t>
      </w:r>
      <w:r w:rsidRPr="002612A0">
        <w:rPr>
          <w:rFonts w:ascii="Times New Roman" w:eastAsia="Times New Roman" w:hAnsi="Times New Roman" w:cs="Times New Roman"/>
          <w:bCs/>
          <w:sz w:val="28"/>
          <w:szCs w:val="28"/>
        </w:rPr>
        <w:t xml:space="preserve"> - </w:t>
      </w:r>
      <w:r w:rsidRPr="002612A0">
        <w:rPr>
          <w:rFonts w:ascii="Times New Roman" w:eastAsia="Times New Roman" w:hAnsi="Times New Roman" w:cs="Times New Roman"/>
          <w:sz w:val="28"/>
          <w:szCs w:val="28"/>
        </w:rPr>
        <w:t xml:space="preserve">Deklarata për parimet e investimit (ndryshon nenin 92 të ligjit)    </w:t>
      </w:r>
    </w:p>
    <w:p w14:paraId="380B8D6B" w14:textId="2341FD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Vendos detyrimin që </w:t>
      </w:r>
      <w:r w:rsidR="00234CD9" w:rsidRPr="002612A0">
        <w:rPr>
          <w:rFonts w:ascii="Times New Roman" w:eastAsia="Times New Roman" w:hAnsi="Times New Roman" w:cs="Times New Roman"/>
          <w:sz w:val="28"/>
          <w:szCs w:val="28"/>
        </w:rPr>
        <w:t>faktorët mjedisorë, socialë dhe të qeverisjes</w:t>
      </w:r>
      <w:r w:rsidR="00234CD9" w:rsidRPr="002612A0">
        <w:rPr>
          <w:rFonts w:ascii="Times New Roman" w:eastAsia="Times New Roman" w:hAnsi="Times New Roman" w:cs="Times New Roman"/>
          <w:bCs/>
          <w:sz w:val="28"/>
          <w:szCs w:val="28"/>
        </w:rPr>
        <w:t xml:space="preserve"> të aplikohen gjithnjë</w:t>
      </w:r>
      <w:r w:rsidRPr="002612A0">
        <w:rPr>
          <w:rFonts w:ascii="Times New Roman" w:eastAsia="Times New Roman" w:hAnsi="Times New Roman" w:cs="Times New Roman"/>
          <w:bCs/>
          <w:sz w:val="28"/>
          <w:szCs w:val="28"/>
        </w:rPr>
        <w:t xml:space="preserve">. </w:t>
      </w:r>
    </w:p>
    <w:p w14:paraId="4B95459A"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389C0BE6" w14:textId="17209B62"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234CD9" w:rsidRPr="002612A0">
        <w:rPr>
          <w:rFonts w:ascii="Times New Roman" w:eastAsia="Times New Roman" w:hAnsi="Times New Roman" w:cs="Times New Roman"/>
          <w:bCs/>
          <w:sz w:val="28"/>
          <w:szCs w:val="28"/>
        </w:rPr>
        <w:t>41</w:t>
      </w:r>
      <w:r w:rsidRPr="002612A0">
        <w:rPr>
          <w:rFonts w:ascii="Times New Roman" w:eastAsia="Times New Roman" w:hAnsi="Times New Roman" w:cs="Times New Roman"/>
          <w:bCs/>
          <w:sz w:val="28"/>
          <w:szCs w:val="28"/>
        </w:rPr>
        <w:t xml:space="preserve"> - Detyrimi për të publikuar prospektin </w:t>
      </w:r>
      <w:r w:rsidRPr="002612A0">
        <w:rPr>
          <w:rFonts w:ascii="Times New Roman" w:eastAsia="Times New Roman" w:hAnsi="Times New Roman" w:cs="Times New Roman"/>
          <w:sz w:val="28"/>
          <w:szCs w:val="28"/>
        </w:rPr>
        <w:t>(ndryshon nenin 99 të ligjit)</w:t>
      </w:r>
    </w:p>
    <w:p w14:paraId="5581400F"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Përcakton detyrimin e vënies në dispozicion të prospektit nëpërmjet mjeteve elektronike, përfshirë një mjet të qëndrueshëm të ruajtjes së informacionit, përmes faqes së internetit, ose në kopje fizike. </w:t>
      </w:r>
    </w:p>
    <w:p w14:paraId="5A83608E"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D1C1102" w14:textId="58F5C781"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234CD9" w:rsidRPr="002612A0">
        <w:rPr>
          <w:rFonts w:ascii="Times New Roman" w:eastAsia="Times New Roman" w:hAnsi="Times New Roman" w:cs="Times New Roman"/>
          <w:bCs/>
          <w:sz w:val="28"/>
          <w:szCs w:val="28"/>
        </w:rPr>
        <w:t>42</w:t>
      </w:r>
      <w:r w:rsidRPr="002612A0">
        <w:rPr>
          <w:rFonts w:ascii="Times New Roman" w:eastAsia="Times New Roman" w:hAnsi="Times New Roman" w:cs="Times New Roman"/>
          <w:bCs/>
          <w:sz w:val="28"/>
          <w:szCs w:val="28"/>
        </w:rPr>
        <w:t xml:space="preserve"> - Përmbajtja e prospektit </w:t>
      </w:r>
      <w:r w:rsidRPr="002612A0">
        <w:rPr>
          <w:rFonts w:ascii="Times New Roman" w:eastAsia="Times New Roman" w:hAnsi="Times New Roman" w:cs="Times New Roman"/>
          <w:sz w:val="28"/>
          <w:szCs w:val="28"/>
        </w:rPr>
        <w:t>(ndryshon nenin 100 të ligjit)</w:t>
      </w:r>
    </w:p>
    <w:p w14:paraId="38C5695F"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Përcakton detyrimin që prospkti të përmbajë informacion që politika e investimit duhet të marrë në konsideratë faktorët mjedisorë, klimatikë, socialë dhe të qeverisjes së korporatave, si dhe mënyrën sesi këta faktorë merren në konsideratë.</w:t>
      </w:r>
    </w:p>
    <w:p w14:paraId="08682DB8"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FAE94E8" w14:textId="67F395F3"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Neni 4</w:t>
      </w:r>
      <w:r w:rsidR="00234CD9" w:rsidRPr="002612A0">
        <w:rPr>
          <w:rFonts w:ascii="Times New Roman" w:eastAsia="Times New Roman" w:hAnsi="Times New Roman" w:cs="Times New Roman"/>
          <w:bCs/>
          <w:sz w:val="28"/>
          <w:szCs w:val="28"/>
        </w:rPr>
        <w:t>3</w:t>
      </w:r>
      <w:r w:rsidRPr="002612A0">
        <w:rPr>
          <w:rFonts w:ascii="Times New Roman" w:eastAsia="Times New Roman" w:hAnsi="Times New Roman" w:cs="Times New Roman"/>
          <w:bCs/>
          <w:sz w:val="28"/>
          <w:szCs w:val="28"/>
        </w:rPr>
        <w:t xml:space="preserve"> </w:t>
      </w:r>
      <w:r w:rsidR="00234CD9" w:rsidRPr="002612A0">
        <w:rPr>
          <w:rFonts w:ascii="Times New Roman" w:eastAsia="Times New Roman" w:hAnsi="Times New Roman" w:cs="Times New Roman"/>
          <w:bCs/>
          <w:sz w:val="28"/>
          <w:szCs w:val="28"/>
        </w:rPr>
        <w:t>–</w:t>
      </w:r>
      <w:r w:rsidRPr="002612A0">
        <w:rPr>
          <w:rFonts w:ascii="Times New Roman" w:eastAsia="Times New Roman" w:hAnsi="Times New Roman" w:cs="Times New Roman"/>
          <w:bCs/>
          <w:sz w:val="28"/>
          <w:szCs w:val="28"/>
        </w:rPr>
        <w:t xml:space="preserve"> </w:t>
      </w:r>
      <w:r w:rsidR="00234CD9" w:rsidRPr="002612A0">
        <w:rPr>
          <w:rFonts w:ascii="Times New Roman" w:eastAsia="Times New Roman" w:hAnsi="Times New Roman" w:cs="Times New Roman"/>
          <w:bCs/>
          <w:sz w:val="28"/>
          <w:szCs w:val="28"/>
        </w:rPr>
        <w:t xml:space="preserve">Vërtetimi për </w:t>
      </w:r>
      <w:r w:rsidRPr="002612A0">
        <w:rPr>
          <w:rFonts w:ascii="Times New Roman" w:eastAsia="Times New Roman" w:hAnsi="Times New Roman" w:cs="Times New Roman"/>
          <w:bCs/>
          <w:sz w:val="28"/>
          <w:szCs w:val="28"/>
        </w:rPr>
        <w:t>Gjendj</w:t>
      </w:r>
      <w:r w:rsidR="00234CD9" w:rsidRPr="002612A0">
        <w:rPr>
          <w:rFonts w:ascii="Times New Roman" w:eastAsia="Times New Roman" w:hAnsi="Times New Roman" w:cs="Times New Roman"/>
          <w:bCs/>
          <w:sz w:val="28"/>
          <w:szCs w:val="28"/>
        </w:rPr>
        <w:t>en</w:t>
      </w:r>
      <w:r w:rsidRPr="002612A0">
        <w:rPr>
          <w:rFonts w:ascii="Times New Roman" w:eastAsia="Times New Roman" w:hAnsi="Times New Roman" w:cs="Times New Roman"/>
          <w:bCs/>
          <w:sz w:val="28"/>
          <w:szCs w:val="28"/>
        </w:rPr>
        <w:t xml:space="preserve"> e llogarisë të përfitimeve të pensionit </w:t>
      </w:r>
      <w:r w:rsidRPr="002612A0">
        <w:rPr>
          <w:rFonts w:ascii="Times New Roman" w:eastAsia="Times New Roman" w:hAnsi="Times New Roman" w:cs="Times New Roman"/>
          <w:sz w:val="28"/>
          <w:szCs w:val="28"/>
        </w:rPr>
        <w:t>(ndryshon nenin 103 të ligjit)</w:t>
      </w:r>
    </w:p>
    <w:p w14:paraId="07935071" w14:textId="28C03044"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Shoqëria administruese harton dokumentin “</w:t>
      </w:r>
      <w:r w:rsidR="00234CD9" w:rsidRPr="002612A0">
        <w:rPr>
          <w:rFonts w:ascii="Times New Roman" w:eastAsia="Times New Roman" w:hAnsi="Times New Roman" w:cs="Times New Roman"/>
          <w:sz w:val="28"/>
          <w:szCs w:val="28"/>
        </w:rPr>
        <w:t xml:space="preserve">Vërtetimi për </w:t>
      </w:r>
      <w:r w:rsidRPr="002612A0">
        <w:rPr>
          <w:rFonts w:ascii="Times New Roman" w:eastAsia="Times New Roman" w:hAnsi="Times New Roman" w:cs="Times New Roman"/>
          <w:sz w:val="28"/>
          <w:szCs w:val="28"/>
        </w:rPr>
        <w:t xml:space="preserve">Gjendja e Llogarisë së Përfitimeve të Pensionit”, i cili i vihet në dispozicion çdo anëtari pa pagesë, nëpërmjet mjeteve të komunikimit të përcaktuara në këtë nen. </w:t>
      </w:r>
    </w:p>
    <w:p w14:paraId="3981AF75"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3F34DC04" w14:textId="06CC6F4F"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234CD9" w:rsidRPr="002612A0">
        <w:rPr>
          <w:rFonts w:ascii="Times New Roman" w:eastAsia="Times New Roman" w:hAnsi="Times New Roman" w:cs="Times New Roman"/>
          <w:bCs/>
          <w:sz w:val="28"/>
          <w:szCs w:val="28"/>
        </w:rPr>
        <w:t>44</w:t>
      </w:r>
      <w:r w:rsidRPr="002612A0">
        <w:rPr>
          <w:rFonts w:ascii="Times New Roman" w:eastAsia="Times New Roman" w:hAnsi="Times New Roman" w:cs="Times New Roman"/>
          <w:bCs/>
          <w:sz w:val="28"/>
          <w:szCs w:val="28"/>
        </w:rPr>
        <w:t xml:space="preserve"> - Përmbajtja e dokumentit të gjendjes së llogarisë të përfitimeve të pensionit </w:t>
      </w:r>
      <w:r w:rsidRPr="002612A0">
        <w:rPr>
          <w:rFonts w:ascii="Times New Roman" w:eastAsia="Times New Roman" w:hAnsi="Times New Roman" w:cs="Times New Roman"/>
          <w:sz w:val="28"/>
          <w:szCs w:val="28"/>
        </w:rPr>
        <w:t>(ndryshon nenin 104 të ligjit)</w:t>
      </w:r>
    </w:p>
    <w:p w14:paraId="69E96E5A" w14:textId="3C60FC9C"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Ky nen përcakton përmbajtjen minimale të dokumentit “Gjendja e Llogarisë së Përfitimeve të Pensionit”, informim të plotë dhe të standardizuar për anëtarët, përfshirë kontributet, performancën e investimeve, kostot dhe parashikimet e përfitimeve të pensionit.</w:t>
      </w:r>
      <w:r w:rsidR="00C61377" w:rsidRPr="002612A0">
        <w:rPr>
          <w:rFonts w:ascii="Times New Roman" w:eastAsia="Times New Roman" w:hAnsi="Times New Roman" w:cs="Times New Roman"/>
          <w:sz w:val="28"/>
          <w:szCs w:val="28"/>
        </w:rPr>
        <w:t xml:space="preserve"> Në të dhënat personale të anëtarit, përfshihen, sipas rastit, mosha e daljes në pension, sipas legjislacionit në fuqi, mosha e pensionit të përcaktuar në skemën së pensionit profesional ose mosha e pensionit të zgjedhur nga anëtari në deklaratën e pranimit të pjesëmarrjes në skemën e pensionit profesional</w:t>
      </w:r>
      <w:r w:rsidR="00C04A33"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Gjithashtu, Autoriteti miraton rregulla të detajuara për formatin, përmbajtjen dhe metodologjinë e përllogaritjes së parashikimeve </w:t>
      </w:r>
      <w:r w:rsidRPr="002612A0">
        <w:rPr>
          <w:rFonts w:ascii="Times New Roman" w:eastAsia="Times New Roman" w:hAnsi="Times New Roman" w:cs="Times New Roman"/>
          <w:bCs/>
          <w:sz w:val="28"/>
          <w:szCs w:val="28"/>
        </w:rPr>
        <w:t>të përfitimeve të pensionit</w:t>
      </w:r>
      <w:r w:rsidRPr="002612A0">
        <w:rPr>
          <w:rFonts w:ascii="Times New Roman" w:eastAsia="Times New Roman" w:hAnsi="Times New Roman" w:cs="Times New Roman"/>
          <w:sz w:val="28"/>
          <w:szCs w:val="28"/>
        </w:rPr>
        <w:t>.</w:t>
      </w:r>
    </w:p>
    <w:p w14:paraId="3B3B57ED"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6EA8E1C8" w14:textId="6BD6EFFB"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Neni </w:t>
      </w:r>
      <w:r w:rsidR="002A7620" w:rsidRPr="002612A0">
        <w:rPr>
          <w:rFonts w:ascii="Times New Roman" w:eastAsia="Times New Roman" w:hAnsi="Times New Roman" w:cs="Times New Roman"/>
          <w:bCs/>
          <w:sz w:val="28"/>
          <w:szCs w:val="28"/>
        </w:rPr>
        <w:t>45</w:t>
      </w:r>
      <w:r w:rsidRPr="002612A0">
        <w:rPr>
          <w:rFonts w:ascii="Times New Roman" w:eastAsia="Times New Roman" w:hAnsi="Times New Roman" w:cs="Times New Roman"/>
          <w:bCs/>
          <w:sz w:val="28"/>
          <w:szCs w:val="28"/>
        </w:rPr>
        <w:t xml:space="preserve"> - Informacioni që duhet t’u jepet anëtarëve përpara daljes në pension </w:t>
      </w:r>
      <w:r w:rsidRPr="002612A0">
        <w:rPr>
          <w:rFonts w:ascii="Times New Roman" w:eastAsia="Times New Roman" w:hAnsi="Times New Roman" w:cs="Times New Roman"/>
          <w:sz w:val="28"/>
          <w:szCs w:val="28"/>
        </w:rPr>
        <w:t>(ndryshon nenin 105 të ligjit)</w:t>
      </w:r>
    </w:p>
    <w:p w14:paraId="5FEAA8D2"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Ky nen forcon kërkesat për informimin e anëtarëve dhe përfituesve, duke parashikuar njoftimin paraprak mbi opsionet e përfitimit të pensionit përpara daljes në pension dhe informimin në kohë për çdo reduktim të përfitimeve në skemat me përfitime të përcaktuara në kuadër të veprimtarisë ndërkufitare. </w:t>
      </w:r>
    </w:p>
    <w:p w14:paraId="485B612C"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4ABA980" w14:textId="2FC1588F"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Neni </w:t>
      </w:r>
      <w:r w:rsidR="009E530B" w:rsidRPr="002612A0">
        <w:rPr>
          <w:rFonts w:ascii="Times New Roman" w:eastAsia="Times New Roman" w:hAnsi="Times New Roman" w:cs="Times New Roman"/>
          <w:bCs/>
          <w:sz w:val="28"/>
          <w:szCs w:val="28"/>
        </w:rPr>
        <w:t>46</w:t>
      </w:r>
      <w:r w:rsidRPr="002612A0">
        <w:rPr>
          <w:rFonts w:ascii="Times New Roman" w:eastAsia="Times New Roman" w:hAnsi="Times New Roman" w:cs="Times New Roman"/>
          <w:bCs/>
          <w:sz w:val="28"/>
          <w:szCs w:val="28"/>
        </w:rPr>
        <w:t xml:space="preserve"> - Informacioni shtesë </w:t>
      </w:r>
      <w:r w:rsidRPr="002612A0">
        <w:rPr>
          <w:rFonts w:ascii="Times New Roman" w:eastAsia="Times New Roman" w:hAnsi="Times New Roman" w:cs="Times New Roman"/>
          <w:sz w:val="28"/>
          <w:szCs w:val="28"/>
        </w:rPr>
        <w:t>(ndryshon nenin 106 të ligjit)</w:t>
      </w:r>
    </w:p>
    <w:p w14:paraId="78928F81" w14:textId="5DAF132E"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Forcon transparencën ndaj anëtarëve dhe përfituesve, duke garantuar të drejtën e tyre për të marrë informacion shtesë. Gjithashtu</w:t>
      </w:r>
      <w:r w:rsidR="00021331" w:rsidRPr="002612A0">
        <w:rPr>
          <w:rFonts w:ascii="Times New Roman" w:eastAsia="Times New Roman" w:hAnsi="Times New Roman" w:cs="Times New Roman"/>
          <w:sz w:val="28"/>
          <w:szCs w:val="28"/>
        </w:rPr>
        <w:t xml:space="preserve"> i</w:t>
      </w:r>
      <w:r w:rsidRPr="002612A0">
        <w:rPr>
          <w:rFonts w:ascii="Times New Roman" w:eastAsia="Times New Roman" w:hAnsi="Times New Roman" w:cs="Times New Roman"/>
          <w:sz w:val="28"/>
          <w:szCs w:val="28"/>
        </w:rPr>
        <w:t xml:space="preserve"> </w:t>
      </w:r>
      <w:r w:rsidR="00021331" w:rsidRPr="002612A0">
        <w:rPr>
          <w:rFonts w:ascii="Times New Roman" w:eastAsia="Times New Roman" w:hAnsi="Times New Roman" w:cs="Times New Roman"/>
          <w:sz w:val="28"/>
          <w:szCs w:val="28"/>
        </w:rPr>
        <w:t xml:space="preserve">njihet e drejta </w:t>
      </w:r>
      <w:r w:rsidRPr="002612A0">
        <w:rPr>
          <w:rFonts w:ascii="Times New Roman" w:eastAsia="Times New Roman" w:hAnsi="Times New Roman" w:cs="Times New Roman"/>
          <w:sz w:val="28"/>
          <w:szCs w:val="28"/>
        </w:rPr>
        <w:t>Autoriteti</w:t>
      </w:r>
      <w:r w:rsidR="00021331" w:rsidRPr="002612A0">
        <w:rPr>
          <w:rFonts w:ascii="Times New Roman" w:eastAsia="Times New Roman" w:hAnsi="Times New Roman" w:cs="Times New Roman"/>
          <w:sz w:val="28"/>
          <w:szCs w:val="28"/>
        </w:rPr>
        <w:t>t</w:t>
      </w:r>
      <w:r w:rsidRPr="002612A0">
        <w:rPr>
          <w:rFonts w:ascii="Times New Roman" w:eastAsia="Times New Roman" w:hAnsi="Times New Roman" w:cs="Times New Roman"/>
          <w:sz w:val="28"/>
          <w:szCs w:val="28"/>
        </w:rPr>
        <w:t xml:space="preserve"> të kërkojë vënien në dispozicion të informacioneve të tjera të nevojshme për mbrojtjen e interesave të tyre.</w:t>
      </w:r>
    </w:p>
    <w:p w14:paraId="29983962"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4FDE1F45" w14:textId="1BC6B70E"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Neni 4</w:t>
      </w:r>
      <w:r w:rsidR="007119A8" w:rsidRPr="002612A0">
        <w:rPr>
          <w:rFonts w:ascii="Times New Roman" w:eastAsia="Times New Roman" w:hAnsi="Times New Roman" w:cs="Times New Roman"/>
          <w:bCs/>
          <w:sz w:val="28"/>
          <w:szCs w:val="28"/>
        </w:rPr>
        <w:t>7</w:t>
      </w:r>
      <w:r w:rsidRPr="002612A0">
        <w:rPr>
          <w:rFonts w:ascii="Times New Roman" w:eastAsia="Times New Roman" w:hAnsi="Times New Roman" w:cs="Times New Roman"/>
          <w:bCs/>
          <w:sz w:val="28"/>
          <w:szCs w:val="28"/>
        </w:rPr>
        <w:t xml:space="preserve"> - shton nenet 106/1 dhe 106/2 </w:t>
      </w:r>
      <w:r w:rsidRPr="002612A0">
        <w:rPr>
          <w:rFonts w:ascii="Times New Roman" w:eastAsia="Times New Roman" w:hAnsi="Times New Roman" w:cs="Times New Roman"/>
          <w:sz w:val="28"/>
          <w:szCs w:val="28"/>
        </w:rPr>
        <w:t>në ligj</w:t>
      </w:r>
      <w:r w:rsidR="007119A8" w:rsidRPr="002612A0">
        <w:rPr>
          <w:rFonts w:ascii="Times New Roman" w:eastAsia="Times New Roman" w:hAnsi="Times New Roman" w:cs="Times New Roman"/>
          <w:sz w:val="28"/>
          <w:szCs w:val="28"/>
        </w:rPr>
        <w:t>:</w:t>
      </w:r>
    </w:p>
    <w:p w14:paraId="6023942C" w14:textId="77777777" w:rsidR="008E2FB6" w:rsidRPr="002612A0" w:rsidRDefault="008E2FB6" w:rsidP="002612A0">
      <w:pPr>
        <w:spacing w:after="0" w:line="276" w:lineRule="auto"/>
        <w:jc w:val="both"/>
        <w:rPr>
          <w:rFonts w:ascii="Times New Roman" w:eastAsia="Times New Roman" w:hAnsi="Times New Roman" w:cs="Times New Roman"/>
          <w:bCs/>
          <w:sz w:val="28"/>
          <w:szCs w:val="28"/>
        </w:rPr>
      </w:pPr>
    </w:p>
    <w:p w14:paraId="17627C86" w14:textId="207FC133"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Neni 106/1 - Informacioni për anëtarët e mundshëm</w:t>
      </w:r>
    </w:p>
    <w:p w14:paraId="384FEE15" w14:textId="556EA4C8"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lastRenderedPageBreak/>
        <w:t>Forcon kërkesat për transparencë dhe informim të anëtarëve të mundshëm të fondeve të pensionit, duke përcaktuar informacionin që duhet t’u vihet në dispozicion para ose menjëherë pas anëtarësimit në skemë, n</w:t>
      </w:r>
      <w:r w:rsidR="007119A8" w:rsidRPr="002612A0">
        <w:rPr>
          <w:rFonts w:ascii="Times New Roman" w:eastAsia="Times New Roman" w:hAnsi="Times New Roman" w:cs="Times New Roman"/>
          <w:sz w:val="28"/>
          <w:szCs w:val="28"/>
        </w:rPr>
        <w:t>d</w:t>
      </w:r>
      <w:r w:rsidRPr="002612A0">
        <w:rPr>
          <w:rFonts w:ascii="Times New Roman" w:eastAsia="Times New Roman" w:hAnsi="Times New Roman" w:cs="Times New Roman"/>
          <w:sz w:val="28"/>
          <w:szCs w:val="28"/>
        </w:rPr>
        <w:t>ër të tjera informim mbi karakteristikat e skemës, kostot dhe tarifat, performancën e investimeve dhe mënyrën e integrimit të faktorëve mjedisorë, socialë dhe të qeverisjes (ESG) në politikën e investimeve.</w:t>
      </w:r>
    </w:p>
    <w:p w14:paraId="3ED9AD76" w14:textId="77777777" w:rsidR="00FA63B7" w:rsidRPr="002612A0" w:rsidRDefault="00FA63B7" w:rsidP="002612A0">
      <w:pPr>
        <w:spacing w:after="0" w:line="276" w:lineRule="auto"/>
        <w:jc w:val="both"/>
        <w:rPr>
          <w:rFonts w:ascii="Times New Roman" w:eastAsia="Times New Roman" w:hAnsi="Times New Roman" w:cs="Times New Roman"/>
          <w:bCs/>
          <w:sz w:val="28"/>
          <w:szCs w:val="28"/>
        </w:rPr>
      </w:pPr>
    </w:p>
    <w:p w14:paraId="6D6D6774" w14:textId="02383A2E"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Neni 106/2 </w:t>
      </w:r>
      <w:r w:rsidR="008E2FB6" w:rsidRPr="002612A0">
        <w:rPr>
          <w:rFonts w:ascii="Times New Roman" w:eastAsia="Times New Roman" w:hAnsi="Times New Roman" w:cs="Times New Roman"/>
          <w:bCs/>
          <w:sz w:val="28"/>
          <w:szCs w:val="28"/>
        </w:rPr>
        <w:t xml:space="preserve">- </w:t>
      </w:r>
      <w:r w:rsidRPr="002612A0">
        <w:rPr>
          <w:rFonts w:ascii="Times New Roman" w:eastAsia="Times New Roman" w:hAnsi="Times New Roman" w:cs="Times New Roman"/>
          <w:bCs/>
          <w:sz w:val="28"/>
          <w:szCs w:val="28"/>
        </w:rPr>
        <w:t>Informacioni për përfituesit gjatë fazës së pagesës</w:t>
      </w:r>
    </w:p>
    <w:p w14:paraId="1926C674"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Përcakton detyrimin e shoqërisë administruese për të informuar periodikisht përfituesit mbi përfitimet e pensionit dhe opsionet e pagesës së tyre. Gjithashtu, në rastin e skemave të pensionit me përfitime të përcaktuara garanton transparencë mbi rreziqet e investimit gjatë fazës së pagesës dhe kërkon njoftim paraprak në rast të reduktimit të përfitimeve të pensionit.</w:t>
      </w:r>
    </w:p>
    <w:p w14:paraId="7F98069C"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64290E7" w14:textId="7217383E"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5D4877" w:rsidRPr="002612A0">
        <w:rPr>
          <w:rFonts w:ascii="Times New Roman" w:eastAsia="Times New Roman" w:hAnsi="Times New Roman" w:cs="Times New Roman"/>
          <w:bCs/>
          <w:sz w:val="28"/>
          <w:szCs w:val="28"/>
        </w:rPr>
        <w:t>48</w:t>
      </w:r>
      <w:r w:rsidRPr="002612A0">
        <w:rPr>
          <w:rFonts w:ascii="Times New Roman" w:eastAsia="Times New Roman" w:hAnsi="Times New Roman" w:cs="Times New Roman"/>
          <w:bCs/>
          <w:sz w:val="28"/>
          <w:szCs w:val="28"/>
        </w:rPr>
        <w:t xml:space="preserve"> - Informacioni shtesë </w:t>
      </w:r>
      <w:r w:rsidRPr="002612A0">
        <w:rPr>
          <w:rFonts w:ascii="Times New Roman" w:eastAsia="Times New Roman" w:hAnsi="Times New Roman" w:cs="Times New Roman"/>
          <w:sz w:val="28"/>
          <w:szCs w:val="28"/>
        </w:rPr>
        <w:t>(ndryshon nenin 110 të ligjit)</w:t>
      </w:r>
    </w:p>
    <w:p w14:paraId="42BD958E" w14:textId="47DA4C41"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Përcakton mënyrat e ko</w:t>
      </w:r>
      <w:r w:rsidR="00EF5D87" w:rsidRPr="002612A0">
        <w:rPr>
          <w:rFonts w:ascii="Times New Roman" w:eastAsia="Times New Roman" w:hAnsi="Times New Roman" w:cs="Times New Roman"/>
          <w:bCs/>
          <w:sz w:val="28"/>
          <w:szCs w:val="28"/>
        </w:rPr>
        <w:t>m</w:t>
      </w:r>
      <w:r w:rsidRPr="002612A0">
        <w:rPr>
          <w:rFonts w:ascii="Times New Roman" w:eastAsia="Times New Roman" w:hAnsi="Times New Roman" w:cs="Times New Roman"/>
          <w:bCs/>
          <w:sz w:val="28"/>
          <w:szCs w:val="28"/>
        </w:rPr>
        <w:t xml:space="preserve">unikimit të prospektit dhe rregullave të fondit që i vihen në dispozicion anëtarit, përpara nënshkrimit të kontratës së anëtarësimit ose deklaratës së pranimit të pjesëmarrjes. </w:t>
      </w:r>
    </w:p>
    <w:p w14:paraId="7E1F45CB"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0C57B74" w14:textId="3FE04FB9"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Neni </w:t>
      </w:r>
      <w:r w:rsidR="005D4877" w:rsidRPr="002612A0">
        <w:rPr>
          <w:rFonts w:ascii="Times New Roman" w:eastAsia="Times New Roman" w:hAnsi="Times New Roman" w:cs="Times New Roman"/>
          <w:bCs/>
          <w:sz w:val="28"/>
          <w:szCs w:val="28"/>
        </w:rPr>
        <w:t>49</w:t>
      </w:r>
      <w:r w:rsidRPr="002612A0">
        <w:rPr>
          <w:rFonts w:ascii="Times New Roman" w:eastAsia="Times New Roman" w:hAnsi="Times New Roman" w:cs="Times New Roman"/>
          <w:bCs/>
          <w:sz w:val="28"/>
          <w:szCs w:val="28"/>
        </w:rPr>
        <w:t xml:space="preserve"> - Licenca e depozitarit </w:t>
      </w:r>
      <w:r w:rsidRPr="002612A0">
        <w:rPr>
          <w:rFonts w:ascii="Times New Roman" w:eastAsia="Times New Roman" w:hAnsi="Times New Roman" w:cs="Times New Roman"/>
          <w:sz w:val="28"/>
          <w:szCs w:val="28"/>
        </w:rPr>
        <w:t>(ndryshon nenin 115 të ligjit)</w:t>
      </w:r>
    </w:p>
    <w:p w14:paraId="031DCA9D" w14:textId="3C727830"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Ky nen </w:t>
      </w:r>
      <w:r w:rsidR="008E2FB6" w:rsidRPr="002612A0">
        <w:rPr>
          <w:rFonts w:ascii="Times New Roman" w:eastAsia="Times New Roman" w:hAnsi="Times New Roman" w:cs="Times New Roman"/>
          <w:sz w:val="28"/>
          <w:szCs w:val="28"/>
        </w:rPr>
        <w:t>parashikon</w:t>
      </w:r>
      <w:r w:rsidRPr="002612A0">
        <w:rPr>
          <w:rFonts w:ascii="Times New Roman" w:eastAsia="Times New Roman" w:hAnsi="Times New Roman" w:cs="Times New Roman"/>
          <w:sz w:val="28"/>
          <w:szCs w:val="28"/>
        </w:rPr>
        <w:t xml:space="preserve"> ushtrimin e funksionit të depozitarit në Republikën e Shqipërisë nga depozitarë të autorizuar në vende anëtare, pa autorizim shtesë, duke lehtësuar veprimtarinë ndërkufitare. </w:t>
      </w:r>
      <w:r w:rsidR="001E07C8" w:rsidRPr="002612A0">
        <w:rPr>
          <w:rFonts w:ascii="Times New Roman" w:eastAsia="Times New Roman" w:hAnsi="Times New Roman" w:cs="Times New Roman"/>
          <w:sz w:val="28"/>
          <w:szCs w:val="28"/>
        </w:rPr>
        <w:t>Gjithashtu parashiko</w:t>
      </w:r>
      <w:r w:rsidR="00A104B1" w:rsidRPr="002612A0">
        <w:rPr>
          <w:rFonts w:ascii="Times New Roman" w:eastAsia="Times New Roman" w:hAnsi="Times New Roman" w:cs="Times New Roman"/>
          <w:sz w:val="28"/>
          <w:szCs w:val="28"/>
        </w:rPr>
        <w:t xml:space="preserve">het që </w:t>
      </w:r>
      <w:r w:rsidRPr="002612A0">
        <w:rPr>
          <w:rFonts w:ascii="Times New Roman" w:eastAsia="Times New Roman" w:hAnsi="Times New Roman" w:cs="Times New Roman"/>
          <w:sz w:val="28"/>
          <w:szCs w:val="28"/>
        </w:rPr>
        <w:t xml:space="preserve">Autoriteti </w:t>
      </w:r>
      <w:r w:rsidR="00A104B1" w:rsidRPr="002612A0">
        <w:rPr>
          <w:rFonts w:ascii="Times New Roman" w:eastAsia="Times New Roman" w:hAnsi="Times New Roman" w:cs="Times New Roman"/>
          <w:sz w:val="28"/>
          <w:szCs w:val="28"/>
        </w:rPr>
        <w:t>miraton</w:t>
      </w:r>
      <w:r w:rsidRPr="002612A0">
        <w:rPr>
          <w:rFonts w:ascii="Times New Roman" w:eastAsia="Times New Roman" w:hAnsi="Times New Roman" w:cs="Times New Roman"/>
          <w:sz w:val="28"/>
          <w:szCs w:val="28"/>
        </w:rPr>
        <w:t xml:space="preserve"> rregulla për licencimin, njohjen dhe regjistrimin e depozitarëve nga vendet anëtare.</w:t>
      </w:r>
    </w:p>
    <w:p w14:paraId="28F2A8BA"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03FAA30" w14:textId="1B5F4D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A87CAF" w:rsidRPr="002612A0">
        <w:rPr>
          <w:rFonts w:ascii="Times New Roman" w:eastAsia="Times New Roman" w:hAnsi="Times New Roman" w:cs="Times New Roman"/>
          <w:bCs/>
          <w:sz w:val="28"/>
          <w:szCs w:val="28"/>
        </w:rPr>
        <w:t>50</w:t>
      </w:r>
      <w:r w:rsidRPr="002612A0">
        <w:rPr>
          <w:rFonts w:ascii="Times New Roman" w:eastAsia="Times New Roman" w:hAnsi="Times New Roman" w:cs="Times New Roman"/>
          <w:bCs/>
          <w:sz w:val="28"/>
          <w:szCs w:val="28"/>
        </w:rPr>
        <w:t xml:space="preserve"> - Detyrat e depozitarit </w:t>
      </w:r>
      <w:r w:rsidRPr="002612A0">
        <w:rPr>
          <w:rFonts w:ascii="Times New Roman" w:eastAsia="Times New Roman" w:hAnsi="Times New Roman" w:cs="Times New Roman"/>
          <w:sz w:val="28"/>
          <w:szCs w:val="28"/>
        </w:rPr>
        <w:t>(ndryshon nenin 118 të ligjit)</w:t>
      </w:r>
    </w:p>
    <w:p w14:paraId="2570A9EA" w14:textId="7A4B07FC"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Përcakton detyrimin për depozitarin për të vepruar me ndershmëri, profesionalizëm, pavarësi dhe në interesin më të mirë të anëtarëve dhe përfituesve të fondit të pensionit</w:t>
      </w:r>
      <w:r w:rsidR="007E0308" w:rsidRPr="002612A0">
        <w:rPr>
          <w:rFonts w:ascii="Times New Roman" w:eastAsia="Times New Roman" w:hAnsi="Times New Roman" w:cs="Times New Roman"/>
          <w:sz w:val="28"/>
          <w:szCs w:val="28"/>
        </w:rPr>
        <w:t>.</w:t>
      </w:r>
    </w:p>
    <w:p w14:paraId="6E332B81"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3C18F69D" w14:textId="322B9F3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5</w:t>
      </w:r>
      <w:r w:rsidR="00A87CAF" w:rsidRPr="002612A0">
        <w:rPr>
          <w:rFonts w:ascii="Times New Roman" w:eastAsia="Times New Roman" w:hAnsi="Times New Roman" w:cs="Times New Roman"/>
          <w:bCs/>
          <w:sz w:val="28"/>
          <w:szCs w:val="28"/>
        </w:rPr>
        <w:t>1</w:t>
      </w:r>
      <w:r w:rsidRPr="002612A0">
        <w:rPr>
          <w:rFonts w:ascii="Times New Roman" w:eastAsia="Times New Roman" w:hAnsi="Times New Roman" w:cs="Times New Roman"/>
          <w:bCs/>
          <w:sz w:val="28"/>
          <w:szCs w:val="28"/>
        </w:rPr>
        <w:t xml:space="preserve"> - Ruajtja e aktiveve të fondit </w:t>
      </w:r>
      <w:r w:rsidRPr="002612A0">
        <w:rPr>
          <w:rFonts w:ascii="Times New Roman" w:eastAsia="Times New Roman" w:hAnsi="Times New Roman" w:cs="Times New Roman"/>
          <w:sz w:val="28"/>
          <w:szCs w:val="28"/>
        </w:rPr>
        <w:t>(ndryshon nenin 119 të ligjit)</w:t>
      </w:r>
    </w:p>
    <w:p w14:paraId="24B9BD87" w14:textId="7574921A" w:rsidR="00D33783" w:rsidRPr="002612A0" w:rsidRDefault="00FA63B7"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N</w:t>
      </w:r>
      <w:r w:rsidR="0062370C"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k</w:t>
      </w:r>
      <w:r w:rsidR="0062370C"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t</w:t>
      </w:r>
      <w:r w:rsidR="0062370C"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dispozit</w:t>
      </w:r>
      <w:r w:rsidR="0062370C" w:rsidRPr="002612A0">
        <w:rPr>
          <w:rFonts w:ascii="Times New Roman" w:eastAsia="Times New Roman" w:hAnsi="Times New Roman" w:cs="Times New Roman"/>
          <w:sz w:val="28"/>
          <w:szCs w:val="28"/>
        </w:rPr>
        <w:t>ë</w:t>
      </w:r>
      <w:r w:rsidRPr="002612A0">
        <w:rPr>
          <w:rFonts w:ascii="Times New Roman" w:eastAsia="Times New Roman" w:hAnsi="Times New Roman" w:cs="Times New Roman"/>
          <w:sz w:val="28"/>
          <w:szCs w:val="28"/>
        </w:rPr>
        <w:t xml:space="preserve"> parashikohet forcimi i </w:t>
      </w:r>
      <w:r w:rsidR="00D33783" w:rsidRPr="002612A0">
        <w:rPr>
          <w:rFonts w:ascii="Times New Roman" w:eastAsia="Times New Roman" w:hAnsi="Times New Roman" w:cs="Times New Roman"/>
          <w:sz w:val="28"/>
          <w:szCs w:val="28"/>
        </w:rPr>
        <w:t>roli</w:t>
      </w:r>
      <w:r w:rsidRPr="002612A0">
        <w:rPr>
          <w:rFonts w:ascii="Times New Roman" w:eastAsia="Times New Roman" w:hAnsi="Times New Roman" w:cs="Times New Roman"/>
          <w:sz w:val="28"/>
          <w:szCs w:val="28"/>
        </w:rPr>
        <w:t>t</w:t>
      </w:r>
      <w:r w:rsidR="00D33783" w:rsidRPr="002612A0">
        <w:rPr>
          <w:rFonts w:ascii="Times New Roman" w:eastAsia="Times New Roman" w:hAnsi="Times New Roman" w:cs="Times New Roman"/>
          <w:sz w:val="28"/>
          <w:szCs w:val="28"/>
        </w:rPr>
        <w:t xml:space="preserve"> </w:t>
      </w:r>
      <w:r w:rsidRPr="002612A0">
        <w:rPr>
          <w:rFonts w:ascii="Times New Roman" w:eastAsia="Times New Roman" w:hAnsi="Times New Roman" w:cs="Times New Roman"/>
          <w:sz w:val="28"/>
          <w:szCs w:val="28"/>
        </w:rPr>
        <w:t>të</w:t>
      </w:r>
      <w:r w:rsidR="00D33783" w:rsidRPr="002612A0">
        <w:rPr>
          <w:rFonts w:ascii="Times New Roman" w:eastAsia="Times New Roman" w:hAnsi="Times New Roman" w:cs="Times New Roman"/>
          <w:sz w:val="28"/>
          <w:szCs w:val="28"/>
        </w:rPr>
        <w:t xml:space="preserve"> depozitarit në verifikimin e pronësisë mbi aktivet e fondit sipas përcaktimeve në këtë nen dhe përditëson në nënyrë të vazhdueshme regjistrin e aktiveve.</w:t>
      </w:r>
    </w:p>
    <w:p w14:paraId="04A8AB61"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5C358B7" w14:textId="4E885B79"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5</w:t>
      </w:r>
      <w:r w:rsidR="00356121" w:rsidRPr="002612A0">
        <w:rPr>
          <w:rFonts w:ascii="Times New Roman" w:eastAsia="Times New Roman" w:hAnsi="Times New Roman" w:cs="Times New Roman"/>
          <w:bCs/>
          <w:sz w:val="28"/>
          <w:szCs w:val="28"/>
        </w:rPr>
        <w:t>2</w:t>
      </w:r>
      <w:r w:rsidRPr="002612A0">
        <w:rPr>
          <w:rFonts w:ascii="Times New Roman" w:eastAsia="Times New Roman" w:hAnsi="Times New Roman" w:cs="Times New Roman"/>
          <w:bCs/>
          <w:sz w:val="28"/>
          <w:szCs w:val="28"/>
        </w:rPr>
        <w:t xml:space="preserve"> - Përgjegjësia e depozitarit </w:t>
      </w:r>
      <w:r w:rsidRPr="002612A0">
        <w:rPr>
          <w:rFonts w:ascii="Times New Roman" w:eastAsia="Times New Roman" w:hAnsi="Times New Roman" w:cs="Times New Roman"/>
          <w:sz w:val="28"/>
          <w:szCs w:val="28"/>
        </w:rPr>
        <w:t>(ndryshon nenin 123 të ligjit)</w:t>
      </w:r>
    </w:p>
    <w:p w14:paraId="422F5253"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lastRenderedPageBreak/>
        <w:t>Ky nen zgjeron përgjegjësitë e depozitarit, duke i shtrirë ato edhe në raport me mbrojtjen e të drejtave të përfituesve.</w:t>
      </w:r>
    </w:p>
    <w:p w14:paraId="2C761EEF"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4A8D7610" w14:textId="6029FDE8"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5</w:t>
      </w:r>
      <w:r w:rsidR="00356121" w:rsidRPr="002612A0">
        <w:rPr>
          <w:rFonts w:ascii="Times New Roman" w:eastAsia="Times New Roman" w:hAnsi="Times New Roman" w:cs="Times New Roman"/>
          <w:bCs/>
          <w:sz w:val="28"/>
          <w:szCs w:val="28"/>
        </w:rPr>
        <w:t>3</w:t>
      </w:r>
      <w:r w:rsidRPr="002612A0">
        <w:rPr>
          <w:rFonts w:ascii="Times New Roman" w:eastAsia="Times New Roman" w:hAnsi="Times New Roman" w:cs="Times New Roman"/>
          <w:bCs/>
          <w:sz w:val="28"/>
          <w:szCs w:val="28"/>
        </w:rPr>
        <w:t xml:space="preserve"> - Parimet e mbikëqyrjes </w:t>
      </w:r>
      <w:r w:rsidRPr="002612A0">
        <w:rPr>
          <w:rFonts w:ascii="Times New Roman" w:eastAsia="Times New Roman" w:hAnsi="Times New Roman" w:cs="Times New Roman"/>
          <w:sz w:val="28"/>
          <w:szCs w:val="28"/>
        </w:rPr>
        <w:t>(ndryshon nenin 143 të ligjit)</w:t>
      </w:r>
    </w:p>
    <w:p w14:paraId="2FF72957"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Ky nen thekson rolin e Autoritetit si organ mbikëqyrës, në mbrojtje të interesave të anëtarëve dhe stabilitetit financiar të sistemit. Forcon qasjen mbikëqyrëse, të bazuar në rrezik dhe me qasje në perspektivë, duke kombinuar monitorimin në distancë, inspektimet në vend dhe testet e stresit, duke i dhënë përparësi mbrojtjes së përfituesve edhe në situata të stresit financiar. Mbikëqyrja duhet të jetë e vazhdueshme dhe e diferencuar sipas llojit të skemës dhe karakterit ndërkufitar të veprimtarisë. </w:t>
      </w:r>
    </w:p>
    <w:p w14:paraId="37F9CD2A"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0540A6F1" w14:textId="45FE9C06"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5</w:t>
      </w:r>
      <w:r w:rsidR="00356121" w:rsidRPr="002612A0">
        <w:rPr>
          <w:rFonts w:ascii="Times New Roman" w:eastAsia="Times New Roman" w:hAnsi="Times New Roman" w:cs="Times New Roman"/>
          <w:bCs/>
          <w:sz w:val="28"/>
          <w:szCs w:val="28"/>
        </w:rPr>
        <w:t>4</w:t>
      </w:r>
      <w:r w:rsidRPr="002612A0">
        <w:rPr>
          <w:rFonts w:ascii="Times New Roman" w:eastAsia="Times New Roman" w:hAnsi="Times New Roman" w:cs="Times New Roman"/>
          <w:bCs/>
          <w:sz w:val="28"/>
          <w:szCs w:val="28"/>
        </w:rPr>
        <w:t xml:space="preserve"> - Subjektet e mbikëqyrjes </w:t>
      </w:r>
      <w:r w:rsidRPr="002612A0">
        <w:rPr>
          <w:rFonts w:ascii="Times New Roman" w:eastAsia="Times New Roman" w:hAnsi="Times New Roman" w:cs="Times New Roman"/>
          <w:sz w:val="28"/>
          <w:szCs w:val="28"/>
        </w:rPr>
        <w:t xml:space="preserve">(ndryshon nenin 145 të ligjit) </w:t>
      </w:r>
    </w:p>
    <w:p w14:paraId="1C51277F"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Ky nen i jep Autoritetit të drejtën të ketë akses dhe të inspektojë të gjithë dokumentacionin dhe të dhënat e subjekteve të mbikëqyrura, për të garantuar zbatimin e ligjit. Ai përfshin në mënyrë të plotë informacion financiar, aktuarial, investimesh, auditimi dhe të veprimtarive të deleguara.</w:t>
      </w:r>
    </w:p>
    <w:p w14:paraId="7064F299"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6BBBD203" w14:textId="5B7E9AEB"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Neni 5</w:t>
      </w:r>
      <w:r w:rsidR="00A942EC" w:rsidRPr="002612A0">
        <w:rPr>
          <w:rFonts w:ascii="Times New Roman" w:eastAsia="Times New Roman" w:hAnsi="Times New Roman" w:cs="Times New Roman"/>
          <w:bCs/>
          <w:sz w:val="28"/>
          <w:szCs w:val="28"/>
        </w:rPr>
        <w:t>5</w:t>
      </w:r>
      <w:r w:rsidRPr="002612A0">
        <w:rPr>
          <w:rFonts w:ascii="Times New Roman" w:eastAsia="Times New Roman" w:hAnsi="Times New Roman" w:cs="Times New Roman"/>
          <w:bCs/>
          <w:sz w:val="28"/>
          <w:szCs w:val="28"/>
        </w:rPr>
        <w:t xml:space="preserve"> - Mbikëqyrja e shoqërisë administruese të një vendi anëtar</w:t>
      </w:r>
      <w:r w:rsidRPr="002612A0">
        <w:rPr>
          <w:rFonts w:ascii="Times New Roman" w:eastAsia="Times New Roman" w:hAnsi="Times New Roman" w:cs="Times New Roman"/>
          <w:sz w:val="28"/>
          <w:szCs w:val="28"/>
        </w:rPr>
        <w:t xml:space="preserve"> (ndryshon nenin 146 të ligjit)</w:t>
      </w:r>
    </w:p>
    <w:p w14:paraId="1F74B5A7" w14:textId="054FAC52"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Përcakton se shoqëria administruese ose subjekti i themeluar në një vend anëtar, që është njohur</w:t>
      </w:r>
      <w:r w:rsidR="00656A93" w:rsidRPr="002612A0">
        <w:rPr>
          <w:rFonts w:ascii="Times New Roman" w:eastAsia="Times New Roman" w:hAnsi="Times New Roman" w:cs="Times New Roman"/>
          <w:sz w:val="28"/>
          <w:szCs w:val="28"/>
        </w:rPr>
        <w:t>/regjistruar</w:t>
      </w:r>
      <w:r w:rsidR="00CF6368" w:rsidRPr="002612A0">
        <w:rPr>
          <w:rFonts w:ascii="Times New Roman" w:eastAsia="Times New Roman" w:hAnsi="Times New Roman" w:cs="Times New Roman"/>
          <w:sz w:val="28"/>
          <w:szCs w:val="28"/>
        </w:rPr>
        <w:t>/miratuar</w:t>
      </w:r>
      <w:r w:rsidRPr="002612A0">
        <w:rPr>
          <w:rFonts w:ascii="Times New Roman" w:eastAsia="Times New Roman" w:hAnsi="Times New Roman" w:cs="Times New Roman"/>
          <w:sz w:val="28"/>
          <w:szCs w:val="28"/>
        </w:rPr>
        <w:t xml:space="preserve"> të administrojë një fond me pjesëmarrje të mbyllur të një sponsori në Republikën e Shqipërisë, është objekt mbikëqyrjeje nga Autoriteti, sipas përcaktimeve të këtij ligji.</w:t>
      </w:r>
    </w:p>
    <w:p w14:paraId="5B69852F"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A273AC8" w14:textId="230A0024"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5</w:t>
      </w:r>
      <w:r w:rsidR="0004699A" w:rsidRPr="002612A0">
        <w:rPr>
          <w:rFonts w:ascii="Times New Roman" w:eastAsia="Times New Roman" w:hAnsi="Times New Roman" w:cs="Times New Roman"/>
          <w:bCs/>
          <w:sz w:val="28"/>
          <w:szCs w:val="28"/>
        </w:rPr>
        <w:t>6</w:t>
      </w:r>
      <w:r w:rsidRPr="002612A0">
        <w:rPr>
          <w:rFonts w:ascii="Times New Roman" w:eastAsia="Times New Roman" w:hAnsi="Times New Roman" w:cs="Times New Roman"/>
          <w:bCs/>
          <w:sz w:val="28"/>
          <w:szCs w:val="28"/>
        </w:rPr>
        <w:t xml:space="preserve"> - Kryerja e veprimtarisë mbikëqyrëse </w:t>
      </w:r>
      <w:r w:rsidRPr="002612A0">
        <w:rPr>
          <w:rFonts w:ascii="Times New Roman" w:eastAsia="Times New Roman" w:hAnsi="Times New Roman" w:cs="Times New Roman"/>
          <w:sz w:val="28"/>
          <w:szCs w:val="28"/>
        </w:rPr>
        <w:t>(ndryshon nenin 147 të ligjit)</w:t>
      </w:r>
    </w:p>
    <w:p w14:paraId="4E06FB46" w14:textId="3FC41EEA"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Ky nen parashikon procesin e rishikimit mbikëqyrës nga Autoriteti për të vlerësuar qeverisjen, rreziqet dhe aftësinë e shoqërive të mbikëqyrura për menaxhimin e tyre. Autoriteti mund të kërkojë masa korrigjuese në rast mangësish ose rreziqesh të identifikuara dhe miraton metodologjinë e procesit mbikëqyrës.</w:t>
      </w:r>
    </w:p>
    <w:p w14:paraId="7CE28691"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9515639" w14:textId="68CA3CEB"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5</w:t>
      </w:r>
      <w:r w:rsidR="00DB2947" w:rsidRPr="002612A0">
        <w:rPr>
          <w:rFonts w:ascii="Times New Roman" w:eastAsia="Times New Roman" w:hAnsi="Times New Roman" w:cs="Times New Roman"/>
          <w:bCs/>
          <w:sz w:val="28"/>
          <w:szCs w:val="28"/>
        </w:rPr>
        <w:t>7</w:t>
      </w:r>
      <w:r w:rsidRPr="002612A0">
        <w:rPr>
          <w:rFonts w:ascii="Times New Roman" w:eastAsia="Times New Roman" w:hAnsi="Times New Roman" w:cs="Times New Roman"/>
          <w:bCs/>
          <w:sz w:val="28"/>
          <w:szCs w:val="28"/>
        </w:rPr>
        <w:t xml:space="preserve"> - Transparenca dhe llogaridhënia e Autoritetit </w:t>
      </w:r>
      <w:r w:rsidRPr="002612A0">
        <w:rPr>
          <w:rFonts w:ascii="Times New Roman" w:eastAsia="Times New Roman" w:hAnsi="Times New Roman" w:cs="Times New Roman"/>
          <w:sz w:val="28"/>
          <w:szCs w:val="28"/>
        </w:rPr>
        <w:t>(shton nenin 147/1 në ligj)</w:t>
      </w:r>
    </w:p>
    <w:p w14:paraId="6065919C" w14:textId="7F68A90D" w:rsidR="00D33783" w:rsidRPr="002612A0" w:rsidRDefault="007D6182"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Në këtë dispozitë</w:t>
      </w:r>
      <w:r w:rsidR="00D33783" w:rsidRPr="002612A0">
        <w:rPr>
          <w:rFonts w:ascii="Times New Roman" w:eastAsia="Times New Roman" w:hAnsi="Times New Roman" w:cs="Times New Roman"/>
          <w:sz w:val="28"/>
          <w:szCs w:val="28"/>
        </w:rPr>
        <w:t xml:space="preserve"> parashiko</w:t>
      </w:r>
      <w:r w:rsidR="00AD0627" w:rsidRPr="002612A0">
        <w:rPr>
          <w:rFonts w:ascii="Times New Roman" w:eastAsia="Times New Roman" w:hAnsi="Times New Roman" w:cs="Times New Roman"/>
          <w:sz w:val="28"/>
          <w:szCs w:val="28"/>
        </w:rPr>
        <w:t>he</w:t>
      </w:r>
      <w:r w:rsidR="00D33783" w:rsidRPr="002612A0">
        <w:rPr>
          <w:rFonts w:ascii="Times New Roman" w:eastAsia="Times New Roman" w:hAnsi="Times New Roman" w:cs="Times New Roman"/>
          <w:sz w:val="28"/>
          <w:szCs w:val="28"/>
        </w:rPr>
        <w:t xml:space="preserve">n parimet e transparencës dhe llogaridhënies së Autoritetit në ushtrimin e funksioneve të tij mbikëqyrëse, si publikimin e akteve ligjore, informacionit mbikëqyrës, të dhënave statistikore, rregullat për sanksionet, dhe rrit aksesin publik në informacion. </w:t>
      </w:r>
    </w:p>
    <w:p w14:paraId="339003C3"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36ED0D82" w14:textId="04478648"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 xml:space="preserve">Neni </w:t>
      </w:r>
      <w:r w:rsidR="00E33666" w:rsidRPr="002612A0">
        <w:rPr>
          <w:rFonts w:ascii="Times New Roman" w:eastAsia="Times New Roman" w:hAnsi="Times New Roman" w:cs="Times New Roman"/>
          <w:bCs/>
          <w:sz w:val="28"/>
          <w:szCs w:val="28"/>
        </w:rPr>
        <w:t>58</w:t>
      </w:r>
      <w:r w:rsidRPr="002612A0">
        <w:rPr>
          <w:rFonts w:ascii="Times New Roman" w:eastAsia="Times New Roman" w:hAnsi="Times New Roman" w:cs="Times New Roman"/>
          <w:bCs/>
          <w:sz w:val="28"/>
          <w:szCs w:val="28"/>
        </w:rPr>
        <w:t xml:space="preserve"> - Seksioni I/I </w:t>
      </w:r>
      <w:r w:rsidR="00AD0627" w:rsidRPr="002612A0">
        <w:rPr>
          <w:rFonts w:ascii="Times New Roman" w:eastAsia="Times New Roman" w:hAnsi="Times New Roman" w:cs="Times New Roman"/>
          <w:bCs/>
          <w:sz w:val="28"/>
          <w:szCs w:val="28"/>
        </w:rPr>
        <w:t>“</w:t>
      </w:r>
      <w:r w:rsidRPr="002612A0">
        <w:rPr>
          <w:rFonts w:ascii="Times New Roman" w:eastAsia="Times New Roman" w:hAnsi="Times New Roman" w:cs="Times New Roman"/>
          <w:bCs/>
          <w:sz w:val="28"/>
          <w:szCs w:val="28"/>
        </w:rPr>
        <w:t>Sekreti profesional dhe shkëmbimi i informacionit</w:t>
      </w:r>
      <w:r w:rsidR="00AD0627" w:rsidRPr="002612A0">
        <w:rPr>
          <w:rFonts w:ascii="Times New Roman" w:eastAsia="Times New Roman" w:hAnsi="Times New Roman" w:cs="Times New Roman"/>
          <w:bCs/>
          <w:sz w:val="28"/>
          <w:szCs w:val="28"/>
        </w:rPr>
        <w:t>”</w:t>
      </w:r>
      <w:r w:rsidRPr="002612A0">
        <w:rPr>
          <w:rFonts w:ascii="Times New Roman" w:eastAsia="Times New Roman" w:hAnsi="Times New Roman" w:cs="Times New Roman"/>
          <w:bCs/>
          <w:sz w:val="28"/>
          <w:szCs w:val="28"/>
        </w:rPr>
        <w:t xml:space="preserve"> (shtohen nenet 148/1 deri në 150/8 në ligj).</w:t>
      </w:r>
    </w:p>
    <w:p w14:paraId="3F2BFA82" w14:textId="7B260848"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Ky seksion </w:t>
      </w:r>
      <w:r w:rsidRPr="002612A0">
        <w:rPr>
          <w:rFonts w:ascii="Times New Roman" w:eastAsia="Times New Roman" w:hAnsi="Times New Roman" w:cs="Times New Roman"/>
          <w:sz w:val="28"/>
          <w:szCs w:val="28"/>
        </w:rPr>
        <w:t>transpozon nenet 52 deri 63</w:t>
      </w:r>
      <w:r w:rsidR="0062370C"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a të IORP II, ku përfshihen sekreti profesional, shkëmbimi i informacionit, transmetimi informacionit ndaj autoriteteve europiane, e drejta e hetimit të Parlamentit E</w:t>
      </w:r>
      <w:r w:rsidR="0083536B" w:rsidRPr="002612A0">
        <w:rPr>
          <w:rFonts w:ascii="Times New Roman" w:eastAsia="Times New Roman" w:hAnsi="Times New Roman" w:cs="Times New Roman"/>
          <w:sz w:val="28"/>
          <w:szCs w:val="28"/>
        </w:rPr>
        <w:t>v</w:t>
      </w:r>
      <w:r w:rsidRPr="002612A0">
        <w:rPr>
          <w:rFonts w:ascii="Times New Roman" w:eastAsia="Times New Roman" w:hAnsi="Times New Roman" w:cs="Times New Roman"/>
          <w:sz w:val="28"/>
          <w:szCs w:val="28"/>
        </w:rPr>
        <w:t>ropian, dispozitat kombëtare prudenciale, bashkëpunimi me EIOPA-n, përpunimi dhe mbrojtja të dhënave personale në përputhje me Rregulloren (BE) 2016/679 (GDPR), raportimi dhe depozitimi i informacionit pranë autoritetit kombëtar përgjegjës dhe në Platformën e Vetme E</w:t>
      </w:r>
      <w:r w:rsidR="0083536B" w:rsidRPr="002612A0">
        <w:rPr>
          <w:rFonts w:ascii="Times New Roman" w:eastAsia="Times New Roman" w:hAnsi="Times New Roman" w:cs="Times New Roman"/>
          <w:sz w:val="28"/>
          <w:szCs w:val="28"/>
        </w:rPr>
        <w:t>v</w:t>
      </w:r>
      <w:r w:rsidRPr="002612A0">
        <w:rPr>
          <w:rFonts w:ascii="Times New Roman" w:eastAsia="Times New Roman" w:hAnsi="Times New Roman" w:cs="Times New Roman"/>
          <w:sz w:val="28"/>
          <w:szCs w:val="28"/>
        </w:rPr>
        <w:t>ropiane të Aksesit (ESAP).</w:t>
      </w:r>
    </w:p>
    <w:p w14:paraId="1536359B"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5BB32FC2" w14:textId="2E5A6FC9"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8B7686" w:rsidRPr="002612A0">
        <w:rPr>
          <w:rFonts w:ascii="Times New Roman" w:eastAsia="Times New Roman" w:hAnsi="Times New Roman" w:cs="Times New Roman"/>
          <w:bCs/>
          <w:sz w:val="28"/>
          <w:szCs w:val="28"/>
        </w:rPr>
        <w:t>59</w:t>
      </w:r>
      <w:r w:rsidRPr="002612A0">
        <w:rPr>
          <w:rFonts w:ascii="Times New Roman" w:eastAsia="Times New Roman" w:hAnsi="Times New Roman" w:cs="Times New Roman"/>
          <w:bCs/>
          <w:sz w:val="28"/>
          <w:szCs w:val="28"/>
        </w:rPr>
        <w:t xml:space="preserve"> - Sekreti profesional </w:t>
      </w:r>
      <w:r w:rsidRPr="002612A0">
        <w:rPr>
          <w:rFonts w:ascii="Times New Roman" w:eastAsia="Times New Roman" w:hAnsi="Times New Roman" w:cs="Times New Roman"/>
          <w:sz w:val="28"/>
          <w:szCs w:val="28"/>
        </w:rPr>
        <w:t>(shton nenin 148/1 në ligj)</w:t>
      </w:r>
    </w:p>
    <w:p w14:paraId="043C0504"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Përcakton detyrimin e ruajtjes së sekretit profesional nga të gjithë personat që punojnë pranë Autoritetit ose në emër të tij, duke përfshirë edhe periudhën pas përfundimit të detyrës. Kufizon përdorimin dhe zbulimin e informacionit konfidencial, duke lejuar përjashtime vetëm në raste të parashikuara shprehimisht me ligj ose në kuadër të procedurave ligjore të likuidimit.</w:t>
      </w:r>
    </w:p>
    <w:p w14:paraId="0D990E46"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43C54029" w14:textId="43ABF569"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 xml:space="preserve">Neni </w:t>
      </w:r>
      <w:r w:rsidR="00F408CE" w:rsidRPr="002612A0">
        <w:rPr>
          <w:rFonts w:ascii="Times New Roman" w:eastAsia="Times New Roman" w:hAnsi="Times New Roman" w:cs="Times New Roman"/>
          <w:bCs/>
          <w:sz w:val="28"/>
          <w:szCs w:val="28"/>
        </w:rPr>
        <w:t>60</w:t>
      </w:r>
      <w:r w:rsidRPr="002612A0">
        <w:rPr>
          <w:rFonts w:ascii="Times New Roman" w:eastAsia="Times New Roman" w:hAnsi="Times New Roman" w:cs="Times New Roman"/>
          <w:bCs/>
          <w:sz w:val="28"/>
          <w:szCs w:val="28"/>
        </w:rPr>
        <w:t xml:space="preserve"> - Bashkëpunimi dhe shkëmbimi i informacionit </w:t>
      </w:r>
      <w:r w:rsidRPr="002612A0">
        <w:rPr>
          <w:rFonts w:ascii="Times New Roman" w:eastAsia="Times New Roman" w:hAnsi="Times New Roman" w:cs="Times New Roman"/>
          <w:sz w:val="28"/>
          <w:szCs w:val="28"/>
        </w:rPr>
        <w:t>(ndryshon nenin 149 të ligjit)</w:t>
      </w:r>
    </w:p>
    <w:p w14:paraId="013B4F99" w14:textId="2D607BF6" w:rsidR="00D33783" w:rsidRPr="002612A0" w:rsidRDefault="0083536B"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Në këtë dispozitë</w:t>
      </w:r>
      <w:r w:rsidR="00D33783" w:rsidRPr="002612A0">
        <w:rPr>
          <w:rFonts w:ascii="Times New Roman" w:eastAsia="Times New Roman" w:hAnsi="Times New Roman" w:cs="Times New Roman"/>
          <w:sz w:val="28"/>
          <w:szCs w:val="28"/>
        </w:rPr>
        <w:t xml:space="preserve"> zgjero</w:t>
      </w:r>
      <w:r w:rsidR="00326FC8" w:rsidRPr="002612A0">
        <w:rPr>
          <w:rFonts w:ascii="Times New Roman" w:eastAsia="Times New Roman" w:hAnsi="Times New Roman" w:cs="Times New Roman"/>
          <w:sz w:val="28"/>
          <w:szCs w:val="28"/>
        </w:rPr>
        <w:t>het</w:t>
      </w:r>
      <w:r w:rsidR="00D33783" w:rsidRPr="002612A0">
        <w:rPr>
          <w:rFonts w:ascii="Times New Roman" w:eastAsia="Times New Roman" w:hAnsi="Times New Roman" w:cs="Times New Roman"/>
          <w:sz w:val="28"/>
          <w:szCs w:val="28"/>
        </w:rPr>
        <w:t xml:space="preserve"> kuadri </w:t>
      </w:r>
      <w:r w:rsidR="00326FC8" w:rsidRPr="002612A0">
        <w:rPr>
          <w:rFonts w:ascii="Times New Roman" w:eastAsia="Times New Roman" w:hAnsi="Times New Roman" w:cs="Times New Roman"/>
          <w:sz w:val="28"/>
          <w:szCs w:val="28"/>
        </w:rPr>
        <w:t>i</w:t>
      </w:r>
      <w:r w:rsidR="00D33783" w:rsidRPr="002612A0">
        <w:rPr>
          <w:rFonts w:ascii="Times New Roman" w:eastAsia="Times New Roman" w:hAnsi="Times New Roman" w:cs="Times New Roman"/>
          <w:sz w:val="28"/>
          <w:szCs w:val="28"/>
        </w:rPr>
        <w:t xml:space="preserve"> bashkëpunimit të Autoritetit me autoritete rregullatore dhe mbikëqyrëse vendase dhe ndërkombëtare, dhe me institucione ligjzbatuese, si dhe lejon shkëmbimin e informacionit me autoritetet dhe institucionet e përcaktuara në këtë nen.</w:t>
      </w:r>
    </w:p>
    <w:p w14:paraId="5B6946DE"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0D0ABE2" w14:textId="44CA079F"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6</w:t>
      </w:r>
      <w:r w:rsidR="00883053" w:rsidRPr="002612A0">
        <w:rPr>
          <w:rFonts w:ascii="Times New Roman" w:eastAsia="Times New Roman" w:hAnsi="Times New Roman" w:cs="Times New Roman"/>
          <w:bCs/>
          <w:sz w:val="28"/>
          <w:szCs w:val="28"/>
        </w:rPr>
        <w:t>1</w:t>
      </w:r>
      <w:r w:rsidRPr="002612A0">
        <w:rPr>
          <w:rFonts w:ascii="Times New Roman" w:eastAsia="Times New Roman" w:hAnsi="Times New Roman" w:cs="Times New Roman"/>
          <w:bCs/>
          <w:sz w:val="28"/>
          <w:szCs w:val="28"/>
        </w:rPr>
        <w:t xml:space="preserve"> - Mbrojtja e të dhënave personale dhe konfidencialiteti </w:t>
      </w:r>
      <w:r w:rsidRPr="002612A0">
        <w:rPr>
          <w:rFonts w:ascii="Times New Roman" w:eastAsia="Times New Roman" w:hAnsi="Times New Roman" w:cs="Times New Roman"/>
          <w:sz w:val="28"/>
          <w:szCs w:val="28"/>
        </w:rPr>
        <w:t>(ndryshon nenin 150 të ligjit)</w:t>
      </w:r>
    </w:p>
    <w:p w14:paraId="105EDE5D"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Parashikon që treguesit kryesorë të performancës për shoqëritë administruese dhe të fondeve të pensionit mund të publikohen, kur një publikim i tillë ndihmon anëtarët dhe përfituesit në marrjen e vendimeve financiare lidhur me pensionet e tyre.</w:t>
      </w:r>
    </w:p>
    <w:p w14:paraId="2285406C"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6D053045" w14:textId="6C56E296"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6</w:t>
      </w:r>
      <w:r w:rsidR="00883053" w:rsidRPr="002612A0">
        <w:rPr>
          <w:rFonts w:ascii="Times New Roman" w:eastAsia="Times New Roman" w:hAnsi="Times New Roman" w:cs="Times New Roman"/>
          <w:bCs/>
          <w:sz w:val="28"/>
          <w:szCs w:val="28"/>
        </w:rPr>
        <w:t>2</w:t>
      </w:r>
      <w:r w:rsidRPr="002612A0">
        <w:rPr>
          <w:rFonts w:ascii="Times New Roman" w:eastAsia="Times New Roman" w:hAnsi="Times New Roman" w:cs="Times New Roman"/>
          <w:bCs/>
          <w:sz w:val="28"/>
          <w:szCs w:val="28"/>
        </w:rPr>
        <w:t xml:space="preserve"> - </w:t>
      </w:r>
      <w:r w:rsidRPr="002612A0">
        <w:rPr>
          <w:rFonts w:ascii="Times New Roman" w:eastAsia="Times New Roman" w:hAnsi="Times New Roman" w:cs="Times New Roman"/>
          <w:sz w:val="28"/>
          <w:szCs w:val="28"/>
        </w:rPr>
        <w:t>shtohen nenet 150/1, 150/2, 150/3, 150/4, 150/5, 150/6, 150/7, 150/8 në ligj</w:t>
      </w:r>
      <w:r w:rsidR="004C0920"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p>
    <w:p w14:paraId="7B19BA61" w14:textId="715B3DD6"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Këto dispozita rregullojnë shkëmbimin, transmetimin dhe përdorimin e informacionit nga Autoriteti, përfshirë kushtet e shkëmbimit të informacio</w:t>
      </w:r>
      <w:r w:rsidR="0062370C" w:rsidRPr="002612A0">
        <w:rPr>
          <w:rFonts w:ascii="Times New Roman" w:eastAsia="Times New Roman" w:hAnsi="Times New Roman" w:cs="Times New Roman"/>
          <w:sz w:val="28"/>
          <w:szCs w:val="28"/>
        </w:rPr>
        <w:t>n</w:t>
      </w:r>
      <w:r w:rsidRPr="002612A0">
        <w:rPr>
          <w:rFonts w:ascii="Times New Roman" w:eastAsia="Times New Roman" w:hAnsi="Times New Roman" w:cs="Times New Roman"/>
          <w:sz w:val="28"/>
          <w:szCs w:val="28"/>
        </w:rPr>
        <w:t xml:space="preserve">it. Ato zgjerojnë bashkëpunimin me institucione evropiane (si p.sh. EIOPA, Komisioni </w:t>
      </w:r>
      <w:r w:rsidRPr="002612A0">
        <w:rPr>
          <w:rFonts w:ascii="Times New Roman" w:eastAsia="Times New Roman" w:hAnsi="Times New Roman" w:cs="Times New Roman"/>
          <w:sz w:val="28"/>
          <w:szCs w:val="28"/>
        </w:rPr>
        <w:lastRenderedPageBreak/>
        <w:t xml:space="preserve">Europian, ESRB) dhe autoritet vendase </w:t>
      </w:r>
      <w:r w:rsidR="00326FC8" w:rsidRPr="002612A0">
        <w:rPr>
          <w:rFonts w:ascii="Times New Roman" w:eastAsia="Times New Roman" w:hAnsi="Times New Roman" w:cs="Times New Roman"/>
          <w:sz w:val="28"/>
          <w:szCs w:val="28"/>
        </w:rPr>
        <w:t>dh</w:t>
      </w:r>
      <w:r w:rsidRPr="002612A0">
        <w:rPr>
          <w:rFonts w:ascii="Times New Roman" w:eastAsia="Times New Roman" w:hAnsi="Times New Roman" w:cs="Times New Roman"/>
          <w:sz w:val="28"/>
          <w:szCs w:val="28"/>
        </w:rPr>
        <w:t>e të huaja, duke vendosur kushte të rrepta për konfidencialitetin, qëllimin e përdorimit dhe vënien në dispozicion të informacioni</w:t>
      </w:r>
      <w:r w:rsidR="0062370C" w:rsidRPr="002612A0">
        <w:rPr>
          <w:rFonts w:ascii="Times New Roman" w:eastAsia="Times New Roman" w:hAnsi="Times New Roman" w:cs="Times New Roman"/>
          <w:sz w:val="28"/>
          <w:szCs w:val="28"/>
        </w:rPr>
        <w:t>t</w:t>
      </w:r>
      <w:r w:rsidRPr="002612A0">
        <w:rPr>
          <w:rFonts w:ascii="Times New Roman" w:eastAsia="Times New Roman" w:hAnsi="Times New Roman" w:cs="Times New Roman"/>
          <w:sz w:val="28"/>
          <w:szCs w:val="28"/>
        </w:rPr>
        <w:t xml:space="preserve"> me origjinë nga një vend tjetër anëtar, vetëm me pëlqimin e shprehur të autoritetit nga i cili buron informacioni. Gjithashtu, dispozitat parashikojnë raportimin pranë EIOPA-s, të kuadrit ligjor kombëtar në lidhje me mbikëqyrjen dhe rregullimin e subjekteve që operojnë në fushën e pensionit privat, mbrojtjen e të dhënave personale sipas rregullores GDPR të BE-së, si dhe parashikon aksesin në informacion përmes Platformës së Vetme Europiane të Aksesit (ESAP)</w:t>
      </w:r>
      <w:r w:rsidR="004C0920" w:rsidRPr="002612A0">
        <w:rPr>
          <w:rFonts w:ascii="Times New Roman" w:eastAsia="Times New Roman" w:hAnsi="Times New Roman" w:cs="Times New Roman"/>
          <w:sz w:val="28"/>
          <w:szCs w:val="28"/>
        </w:rPr>
        <w:t>.</w:t>
      </w:r>
    </w:p>
    <w:p w14:paraId="25100A0F"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35EADCC" w14:textId="1904E58C"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6</w:t>
      </w:r>
      <w:r w:rsidR="00BD497B" w:rsidRPr="002612A0">
        <w:rPr>
          <w:rFonts w:ascii="Times New Roman" w:eastAsia="Times New Roman" w:hAnsi="Times New Roman" w:cs="Times New Roman"/>
          <w:bCs/>
          <w:sz w:val="28"/>
          <w:szCs w:val="28"/>
        </w:rPr>
        <w:t>3</w:t>
      </w:r>
      <w:r w:rsidRPr="002612A0">
        <w:rPr>
          <w:rFonts w:ascii="Times New Roman" w:eastAsia="Times New Roman" w:hAnsi="Times New Roman" w:cs="Times New Roman"/>
          <w:bCs/>
          <w:sz w:val="28"/>
          <w:szCs w:val="28"/>
        </w:rPr>
        <w:t xml:space="preserve"> - Dhënia e masave mbikëqyrëse </w:t>
      </w:r>
      <w:r w:rsidRPr="002612A0">
        <w:rPr>
          <w:rFonts w:ascii="Times New Roman" w:eastAsia="Times New Roman" w:hAnsi="Times New Roman" w:cs="Times New Roman"/>
          <w:sz w:val="28"/>
          <w:szCs w:val="28"/>
        </w:rPr>
        <w:t>(ndryshon nenin 177 të ligjit)</w:t>
      </w:r>
    </w:p>
    <w:p w14:paraId="123E6ED6"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Zgjerohen kompetencat ndërhyrëse të Autoritetit për të kufizuar ose ndaluar veprimtarinë e subjekteve të pensioneve private në rast shkeljesh të dispozitave që lidhen me kërkesat për kapital rregullator, provigjonet teknike, dhe aktivet në mbulim të provigjoneve teknike, si dhe parashikohet mundësia e emërimit të një administratori të posaçëm për mbrojtjen e interesave të anëtarëve dhe përfituesve.</w:t>
      </w:r>
    </w:p>
    <w:p w14:paraId="002EC7A9"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1DAE4F8D" w14:textId="69DEF68D"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6</w:t>
      </w:r>
      <w:r w:rsidR="00117F82" w:rsidRPr="002612A0">
        <w:rPr>
          <w:rFonts w:ascii="Times New Roman" w:eastAsia="Times New Roman" w:hAnsi="Times New Roman" w:cs="Times New Roman"/>
          <w:bCs/>
          <w:sz w:val="28"/>
          <w:szCs w:val="28"/>
        </w:rPr>
        <w:t>4</w:t>
      </w:r>
      <w:r w:rsidRPr="002612A0">
        <w:rPr>
          <w:rFonts w:ascii="Times New Roman" w:eastAsia="Times New Roman" w:hAnsi="Times New Roman" w:cs="Times New Roman"/>
          <w:bCs/>
          <w:sz w:val="28"/>
          <w:szCs w:val="28"/>
        </w:rPr>
        <w:t xml:space="preserve"> - Detyrat e administratorit të përkohshëm </w:t>
      </w:r>
      <w:r w:rsidRPr="002612A0">
        <w:rPr>
          <w:rFonts w:ascii="Times New Roman" w:eastAsia="Times New Roman" w:hAnsi="Times New Roman" w:cs="Times New Roman"/>
          <w:sz w:val="28"/>
          <w:szCs w:val="28"/>
        </w:rPr>
        <w:t>(ndryshon nenin 181 të ligjit)</w:t>
      </w:r>
    </w:p>
    <w:p w14:paraId="432E8DB2" w14:textId="1C2CAA1D" w:rsidR="00D33783" w:rsidRPr="002612A0" w:rsidRDefault="00AF7C7E"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N</w:t>
      </w:r>
      <w:r w:rsidR="00AC1294" w:rsidRPr="002612A0">
        <w:rPr>
          <w:rFonts w:ascii="Times New Roman" w:eastAsia="Times New Roman" w:hAnsi="Times New Roman" w:cs="Times New Roman"/>
          <w:sz w:val="28"/>
          <w:szCs w:val="28"/>
        </w:rPr>
        <w:t>ë këtë dispozitë parashikohet detyrimi i</w:t>
      </w:r>
      <w:r w:rsidR="00D33783" w:rsidRPr="002612A0">
        <w:rPr>
          <w:rFonts w:ascii="Times New Roman" w:eastAsia="Times New Roman" w:hAnsi="Times New Roman" w:cs="Times New Roman"/>
          <w:sz w:val="28"/>
          <w:szCs w:val="28"/>
        </w:rPr>
        <w:t xml:space="preserve"> Autoriteti</w:t>
      </w:r>
      <w:r w:rsidR="00AC1294" w:rsidRPr="002612A0">
        <w:rPr>
          <w:rFonts w:ascii="Times New Roman" w:eastAsia="Times New Roman" w:hAnsi="Times New Roman" w:cs="Times New Roman"/>
          <w:sz w:val="28"/>
          <w:szCs w:val="28"/>
        </w:rPr>
        <w:t>t</w:t>
      </w:r>
      <w:r w:rsidR="00D33783" w:rsidRPr="002612A0">
        <w:rPr>
          <w:rFonts w:ascii="Times New Roman" w:eastAsia="Times New Roman" w:hAnsi="Times New Roman" w:cs="Times New Roman"/>
          <w:sz w:val="28"/>
          <w:szCs w:val="28"/>
        </w:rPr>
        <w:t xml:space="preserve"> për të hartuar rregulla lidhur me procedurat e emërimit të administratorit/ përfaqësuesit të posaçëm.</w:t>
      </w:r>
    </w:p>
    <w:p w14:paraId="6BFEB3BD"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25423DD7" w14:textId="455ECCA1"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6</w:t>
      </w:r>
      <w:r w:rsidR="00117F82" w:rsidRPr="002612A0">
        <w:rPr>
          <w:rFonts w:ascii="Times New Roman" w:eastAsia="Times New Roman" w:hAnsi="Times New Roman" w:cs="Times New Roman"/>
          <w:bCs/>
          <w:sz w:val="28"/>
          <w:szCs w:val="28"/>
        </w:rPr>
        <w:t>5</w:t>
      </w:r>
      <w:r w:rsidRPr="002612A0">
        <w:rPr>
          <w:rFonts w:ascii="Times New Roman" w:eastAsia="Times New Roman" w:hAnsi="Times New Roman" w:cs="Times New Roman"/>
          <w:bCs/>
          <w:sz w:val="28"/>
          <w:szCs w:val="28"/>
        </w:rPr>
        <w:t xml:space="preserve"> - Dispozita të përgjithshme </w:t>
      </w:r>
      <w:r w:rsidRPr="002612A0">
        <w:rPr>
          <w:rFonts w:ascii="Times New Roman" w:eastAsia="Times New Roman" w:hAnsi="Times New Roman" w:cs="Times New Roman"/>
          <w:sz w:val="28"/>
          <w:szCs w:val="28"/>
        </w:rPr>
        <w:t xml:space="preserve">(ndryshon nenin 193 të ligjit) </w:t>
      </w:r>
    </w:p>
    <w:p w14:paraId="794B3566" w14:textId="090A7CE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Parashikohet publikimi pa vonesë nga Autoriteti i sanksioneve administrative dhe masave mbikëqyrëse të formës së prerë, duke përfshirë informacion mbi natyrën e shkeljes dhe identitetin e personave përgjegjës, ndërsa në rastet e parashikuara nga ligji mundësohet mbrojtja ose anonimi</w:t>
      </w:r>
      <w:r w:rsidR="00DC4D8A" w:rsidRPr="002612A0">
        <w:rPr>
          <w:rFonts w:ascii="Times New Roman" w:eastAsia="Times New Roman" w:hAnsi="Times New Roman" w:cs="Times New Roman"/>
          <w:sz w:val="28"/>
          <w:szCs w:val="28"/>
        </w:rPr>
        <w:t>teti</w:t>
      </w:r>
      <w:r w:rsidRPr="002612A0">
        <w:rPr>
          <w:rFonts w:ascii="Times New Roman" w:eastAsia="Times New Roman" w:hAnsi="Times New Roman" w:cs="Times New Roman"/>
          <w:sz w:val="28"/>
          <w:szCs w:val="28"/>
        </w:rPr>
        <w:t xml:space="preserve"> i identitetit të personave të përfshirë.</w:t>
      </w:r>
    </w:p>
    <w:p w14:paraId="554C7128" w14:textId="77777777" w:rsidR="00D33783" w:rsidRPr="002612A0" w:rsidRDefault="00D33783" w:rsidP="002612A0">
      <w:pPr>
        <w:spacing w:after="0" w:line="276" w:lineRule="auto"/>
        <w:jc w:val="both"/>
        <w:rPr>
          <w:rFonts w:ascii="Times New Roman" w:eastAsia="Times New Roman" w:hAnsi="Times New Roman" w:cs="Times New Roman"/>
          <w:bCs/>
          <w:sz w:val="28"/>
          <w:szCs w:val="28"/>
        </w:rPr>
      </w:pPr>
    </w:p>
    <w:p w14:paraId="74194352" w14:textId="1E6FAF77" w:rsidR="00D33783"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Neni 6</w:t>
      </w:r>
      <w:r w:rsidR="006B3CFD" w:rsidRPr="002612A0">
        <w:rPr>
          <w:rFonts w:ascii="Times New Roman" w:eastAsia="Times New Roman" w:hAnsi="Times New Roman" w:cs="Times New Roman"/>
          <w:bCs/>
          <w:sz w:val="28"/>
          <w:szCs w:val="28"/>
        </w:rPr>
        <w:t>6</w:t>
      </w:r>
      <w:r w:rsidRPr="002612A0">
        <w:rPr>
          <w:rFonts w:ascii="Times New Roman" w:eastAsia="Times New Roman" w:hAnsi="Times New Roman" w:cs="Times New Roman"/>
          <w:bCs/>
          <w:sz w:val="28"/>
          <w:szCs w:val="28"/>
        </w:rPr>
        <w:t xml:space="preserve"> - Dispozita kalimtare </w:t>
      </w:r>
      <w:r w:rsidRPr="002612A0">
        <w:rPr>
          <w:rFonts w:ascii="Times New Roman" w:eastAsia="Times New Roman" w:hAnsi="Times New Roman" w:cs="Times New Roman"/>
          <w:sz w:val="28"/>
          <w:szCs w:val="28"/>
        </w:rPr>
        <w:t>(</w:t>
      </w:r>
      <w:r w:rsidR="00971665" w:rsidRPr="002612A0">
        <w:rPr>
          <w:rFonts w:ascii="Times New Roman" w:eastAsia="Times New Roman" w:hAnsi="Times New Roman" w:cs="Times New Roman"/>
          <w:sz w:val="28"/>
          <w:szCs w:val="28"/>
        </w:rPr>
        <w:t xml:space="preserve">ndryshon </w:t>
      </w:r>
      <w:r w:rsidRPr="002612A0">
        <w:rPr>
          <w:rFonts w:ascii="Times New Roman" w:eastAsia="Times New Roman" w:hAnsi="Times New Roman" w:cs="Times New Roman"/>
          <w:sz w:val="28"/>
          <w:szCs w:val="28"/>
        </w:rPr>
        <w:t xml:space="preserve">nenin 203 </w:t>
      </w:r>
      <w:r w:rsidR="00971665" w:rsidRPr="002612A0">
        <w:rPr>
          <w:rFonts w:ascii="Times New Roman" w:eastAsia="Times New Roman" w:hAnsi="Times New Roman" w:cs="Times New Roman"/>
          <w:sz w:val="28"/>
          <w:szCs w:val="28"/>
        </w:rPr>
        <w:t>t</w:t>
      </w:r>
      <w:r w:rsidRPr="002612A0">
        <w:rPr>
          <w:rFonts w:ascii="Times New Roman" w:eastAsia="Times New Roman" w:hAnsi="Times New Roman" w:cs="Times New Roman"/>
          <w:sz w:val="28"/>
          <w:szCs w:val="28"/>
        </w:rPr>
        <w:t>ë ligj</w:t>
      </w:r>
      <w:r w:rsidR="00971665" w:rsidRPr="002612A0">
        <w:rPr>
          <w:rFonts w:ascii="Times New Roman" w:eastAsia="Times New Roman" w:hAnsi="Times New Roman" w:cs="Times New Roman"/>
          <w:sz w:val="28"/>
          <w:szCs w:val="28"/>
        </w:rPr>
        <w:t>it</w:t>
      </w:r>
      <w:r w:rsidR="004C0920" w:rsidRPr="002612A0">
        <w:rPr>
          <w:rFonts w:ascii="Times New Roman" w:eastAsia="Times New Roman" w:hAnsi="Times New Roman" w:cs="Times New Roman"/>
          <w:sz w:val="28"/>
          <w:szCs w:val="28"/>
        </w:rPr>
        <w:t>)</w:t>
      </w:r>
      <w:r w:rsidRPr="002612A0">
        <w:rPr>
          <w:rFonts w:ascii="Times New Roman" w:eastAsia="Times New Roman" w:hAnsi="Times New Roman" w:cs="Times New Roman"/>
          <w:sz w:val="28"/>
          <w:szCs w:val="28"/>
        </w:rPr>
        <w:t xml:space="preserve"> </w:t>
      </w:r>
    </w:p>
    <w:p w14:paraId="0E12189C" w14:textId="06AFBD73" w:rsidR="00D64D5E"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sz w:val="28"/>
          <w:szCs w:val="28"/>
        </w:rPr>
        <w:t xml:space="preserve">Parashikohet afati 18-mujor për përshtatje </w:t>
      </w:r>
      <w:r w:rsidRPr="002612A0">
        <w:rPr>
          <w:rFonts w:ascii="Times New Roman" w:eastAsia="Times New Roman" w:hAnsi="Times New Roman" w:cs="Times New Roman"/>
          <w:bCs/>
          <w:sz w:val="28"/>
          <w:szCs w:val="28"/>
        </w:rPr>
        <w:t>të subjekteve të mbikëqyrura</w:t>
      </w:r>
      <w:r w:rsidRPr="002612A0">
        <w:rPr>
          <w:rFonts w:ascii="Times New Roman" w:eastAsia="Times New Roman" w:hAnsi="Times New Roman" w:cs="Times New Roman"/>
          <w:sz w:val="28"/>
          <w:szCs w:val="28"/>
        </w:rPr>
        <w:t xml:space="preserve"> me kërkesa specifike investimi, </w:t>
      </w:r>
      <w:r w:rsidRPr="002612A0">
        <w:rPr>
          <w:rFonts w:ascii="Times New Roman" w:eastAsia="Times New Roman" w:hAnsi="Times New Roman" w:cs="Times New Roman"/>
          <w:bCs/>
          <w:sz w:val="28"/>
          <w:szCs w:val="28"/>
        </w:rPr>
        <w:t>të përcaktuara në paragrafët 1 deri në 3 të nenit 90. Gjithashtu parashikohet</w:t>
      </w:r>
      <w:r w:rsidRPr="002612A0">
        <w:rPr>
          <w:rFonts w:ascii="Times New Roman" w:eastAsia="Times New Roman" w:hAnsi="Times New Roman" w:cs="Times New Roman"/>
          <w:sz w:val="28"/>
          <w:szCs w:val="28"/>
        </w:rPr>
        <w:t xml:space="preserve"> afati 12-mujor për Auroritetin për të nxjerrë aktet nënligjore </w:t>
      </w:r>
      <w:r w:rsidRPr="002612A0">
        <w:rPr>
          <w:rFonts w:ascii="Times New Roman" w:eastAsia="Times New Roman" w:hAnsi="Times New Roman" w:cs="Times New Roman"/>
          <w:bCs/>
          <w:sz w:val="28"/>
          <w:szCs w:val="28"/>
        </w:rPr>
        <w:t>të nevojshme për zbatimin e ndryshimeve dhe shtesave në projektigj.</w:t>
      </w:r>
      <w:r w:rsidR="006D5886" w:rsidRPr="002612A0">
        <w:rPr>
          <w:rFonts w:ascii="Times New Roman" w:eastAsia="Times New Roman" w:hAnsi="Times New Roman" w:cs="Times New Roman"/>
          <w:bCs/>
          <w:sz w:val="28"/>
          <w:szCs w:val="28"/>
        </w:rPr>
        <w:t xml:space="preserve"> Gjithashtu në këtë nen është parashikuar</w:t>
      </w:r>
      <w:r w:rsidR="00A708FB" w:rsidRPr="002612A0">
        <w:rPr>
          <w:rFonts w:ascii="Times New Roman" w:eastAsia="Times New Roman" w:hAnsi="Times New Roman" w:cs="Times New Roman"/>
          <w:bCs/>
          <w:sz w:val="28"/>
          <w:szCs w:val="28"/>
        </w:rPr>
        <w:t xml:space="preserve"> </w:t>
      </w:r>
      <w:r w:rsidR="00751933" w:rsidRPr="002612A0">
        <w:rPr>
          <w:rFonts w:ascii="Times New Roman" w:eastAsia="Times New Roman" w:hAnsi="Times New Roman" w:cs="Times New Roman"/>
          <w:bCs/>
          <w:sz w:val="28"/>
          <w:szCs w:val="28"/>
        </w:rPr>
        <w:t>që</w:t>
      </w:r>
      <w:r w:rsidR="00D64D5E" w:rsidRPr="002612A0">
        <w:rPr>
          <w:rFonts w:ascii="Times New Roman" w:eastAsia="Times New Roman" w:hAnsi="Times New Roman" w:cs="Times New Roman"/>
          <w:bCs/>
          <w:sz w:val="28"/>
          <w:szCs w:val="28"/>
        </w:rPr>
        <w:t xml:space="preserve"> disa dispozita të lidhura kryesisht me veprimtarinë ndërkufitare dhe detyrimet për raportim në institucionet përkatëse të BE-së, do të hyjnë në fuqi në datën e anëtarësimit të Republikës së Shqipërisë në Bashkimin Evropian.</w:t>
      </w:r>
    </w:p>
    <w:p w14:paraId="08388AF7" w14:textId="1F136988" w:rsidR="00D33783" w:rsidRPr="002612A0" w:rsidRDefault="00D33783" w:rsidP="002612A0">
      <w:pPr>
        <w:spacing w:after="0" w:line="276" w:lineRule="auto"/>
        <w:jc w:val="both"/>
        <w:rPr>
          <w:rFonts w:ascii="Times New Roman" w:eastAsia="Times New Roman" w:hAnsi="Times New Roman" w:cs="Times New Roman"/>
          <w:sz w:val="28"/>
          <w:szCs w:val="28"/>
        </w:rPr>
      </w:pPr>
    </w:p>
    <w:p w14:paraId="02C07F44" w14:textId="02CCCBA7" w:rsidR="00954AF5" w:rsidRPr="002612A0" w:rsidRDefault="0005467A"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bCs/>
          <w:sz w:val="28"/>
          <w:szCs w:val="28"/>
        </w:rPr>
        <w:t>Neni 67 –</w:t>
      </w:r>
      <w:r w:rsidR="00954AF5" w:rsidRPr="002612A0">
        <w:rPr>
          <w:rFonts w:ascii="Times New Roman" w:eastAsia="Times New Roman" w:hAnsi="Times New Roman" w:cs="Times New Roman"/>
          <w:sz w:val="28"/>
          <w:szCs w:val="28"/>
        </w:rPr>
        <w:t xml:space="preserve"> </w:t>
      </w:r>
      <w:r w:rsidR="004C0920" w:rsidRPr="002612A0">
        <w:rPr>
          <w:rFonts w:ascii="Times New Roman" w:eastAsia="Times New Roman" w:hAnsi="Times New Roman" w:cs="Times New Roman"/>
          <w:sz w:val="28"/>
          <w:szCs w:val="28"/>
        </w:rPr>
        <w:t>Kudo n</w:t>
      </w:r>
      <w:r w:rsidR="0062370C" w:rsidRPr="002612A0">
        <w:rPr>
          <w:rFonts w:ascii="Times New Roman" w:eastAsia="Times New Roman" w:hAnsi="Times New Roman" w:cs="Times New Roman"/>
          <w:sz w:val="28"/>
          <w:szCs w:val="28"/>
        </w:rPr>
        <w:t>ë</w:t>
      </w:r>
      <w:r w:rsidR="004C0920" w:rsidRPr="002612A0">
        <w:rPr>
          <w:rFonts w:ascii="Times New Roman" w:eastAsia="Times New Roman" w:hAnsi="Times New Roman" w:cs="Times New Roman"/>
          <w:sz w:val="28"/>
          <w:szCs w:val="28"/>
        </w:rPr>
        <w:t xml:space="preserve"> ligj </w:t>
      </w:r>
      <w:r w:rsidR="00954AF5" w:rsidRPr="002612A0">
        <w:rPr>
          <w:rFonts w:ascii="Times New Roman" w:eastAsia="Times New Roman" w:hAnsi="Times New Roman" w:cs="Times New Roman"/>
          <w:sz w:val="28"/>
          <w:szCs w:val="28"/>
        </w:rPr>
        <w:t>fjalët “personel kyç” zëvendësohen me fjalët “personat që mbajnë funksione kryesore”</w:t>
      </w:r>
      <w:r w:rsidR="00154AA8" w:rsidRPr="002612A0">
        <w:rPr>
          <w:rFonts w:ascii="Times New Roman" w:eastAsia="Times New Roman" w:hAnsi="Times New Roman" w:cs="Times New Roman"/>
          <w:sz w:val="28"/>
          <w:szCs w:val="28"/>
        </w:rPr>
        <w:t xml:space="preserve"> sipas kuptimit t</w:t>
      </w:r>
      <w:r w:rsidR="0062370C" w:rsidRPr="002612A0">
        <w:rPr>
          <w:rFonts w:ascii="Times New Roman" w:eastAsia="Times New Roman" w:hAnsi="Times New Roman" w:cs="Times New Roman"/>
          <w:sz w:val="28"/>
          <w:szCs w:val="28"/>
        </w:rPr>
        <w:t>ë</w:t>
      </w:r>
      <w:r w:rsidR="00154AA8" w:rsidRPr="002612A0">
        <w:rPr>
          <w:rFonts w:ascii="Times New Roman" w:eastAsia="Times New Roman" w:hAnsi="Times New Roman" w:cs="Times New Roman"/>
          <w:sz w:val="28"/>
          <w:szCs w:val="28"/>
        </w:rPr>
        <w:t xml:space="preserve"> fjalis</w:t>
      </w:r>
      <w:r w:rsidR="0062370C" w:rsidRPr="002612A0">
        <w:rPr>
          <w:rFonts w:ascii="Times New Roman" w:eastAsia="Times New Roman" w:hAnsi="Times New Roman" w:cs="Times New Roman"/>
          <w:sz w:val="28"/>
          <w:szCs w:val="28"/>
        </w:rPr>
        <w:t>ë</w:t>
      </w:r>
      <w:r w:rsidR="00154AA8" w:rsidRPr="002612A0">
        <w:rPr>
          <w:rFonts w:ascii="Times New Roman" w:eastAsia="Times New Roman" w:hAnsi="Times New Roman" w:cs="Times New Roman"/>
          <w:sz w:val="28"/>
          <w:szCs w:val="28"/>
        </w:rPr>
        <w:t>.</w:t>
      </w:r>
    </w:p>
    <w:p w14:paraId="7C37E80A" w14:textId="2DDF1365" w:rsidR="00D33783" w:rsidRPr="002612A0" w:rsidRDefault="00D33783" w:rsidP="002612A0">
      <w:pPr>
        <w:spacing w:after="0" w:line="276" w:lineRule="auto"/>
        <w:jc w:val="both"/>
        <w:rPr>
          <w:rFonts w:ascii="Times New Roman" w:eastAsia="Times New Roman" w:hAnsi="Times New Roman" w:cs="Times New Roman"/>
          <w:sz w:val="28"/>
          <w:szCs w:val="28"/>
        </w:rPr>
      </w:pPr>
    </w:p>
    <w:p w14:paraId="724A467C" w14:textId="77777777" w:rsidR="00D0150B" w:rsidRPr="002612A0" w:rsidRDefault="00D33783" w:rsidP="002612A0">
      <w:pPr>
        <w:spacing w:after="0" w:line="276" w:lineRule="auto"/>
        <w:jc w:val="both"/>
        <w:rPr>
          <w:rFonts w:ascii="Times New Roman" w:eastAsia="Times New Roman" w:hAnsi="Times New Roman" w:cs="Times New Roman"/>
          <w:bCs/>
          <w:sz w:val="28"/>
          <w:szCs w:val="28"/>
        </w:rPr>
      </w:pPr>
      <w:r w:rsidRPr="002612A0">
        <w:rPr>
          <w:rFonts w:ascii="Times New Roman" w:eastAsia="Times New Roman" w:hAnsi="Times New Roman" w:cs="Times New Roman"/>
          <w:bCs/>
          <w:sz w:val="28"/>
          <w:szCs w:val="28"/>
        </w:rPr>
        <w:t>Neni 6</w:t>
      </w:r>
      <w:r w:rsidR="00D64D5E" w:rsidRPr="002612A0">
        <w:rPr>
          <w:rFonts w:ascii="Times New Roman" w:eastAsia="Times New Roman" w:hAnsi="Times New Roman" w:cs="Times New Roman"/>
          <w:bCs/>
          <w:sz w:val="28"/>
          <w:szCs w:val="28"/>
        </w:rPr>
        <w:t>8</w:t>
      </w:r>
      <w:r w:rsidRPr="002612A0">
        <w:rPr>
          <w:rFonts w:ascii="Times New Roman" w:eastAsia="Times New Roman" w:hAnsi="Times New Roman" w:cs="Times New Roman"/>
          <w:bCs/>
          <w:sz w:val="28"/>
          <w:szCs w:val="28"/>
        </w:rPr>
        <w:t xml:space="preserve"> – Hyrja në fuqi</w:t>
      </w:r>
      <w:r w:rsidR="00D0150B" w:rsidRPr="002612A0">
        <w:rPr>
          <w:rFonts w:ascii="Times New Roman" w:eastAsia="Times New Roman" w:hAnsi="Times New Roman" w:cs="Times New Roman"/>
          <w:bCs/>
          <w:sz w:val="28"/>
          <w:szCs w:val="28"/>
        </w:rPr>
        <w:t xml:space="preserve">. </w:t>
      </w:r>
    </w:p>
    <w:p w14:paraId="701A121A" w14:textId="77777777" w:rsidR="00D0150B" w:rsidRPr="002612A0" w:rsidRDefault="00D0150B" w:rsidP="002612A0">
      <w:pPr>
        <w:spacing w:after="0" w:line="276" w:lineRule="auto"/>
        <w:jc w:val="both"/>
        <w:rPr>
          <w:rFonts w:ascii="Times New Roman" w:eastAsia="Times New Roman" w:hAnsi="Times New Roman" w:cs="Times New Roman"/>
          <w:bCs/>
          <w:sz w:val="28"/>
          <w:szCs w:val="28"/>
        </w:rPr>
      </w:pPr>
    </w:p>
    <w:p w14:paraId="5BD78907" w14:textId="2305C239" w:rsidR="00D33783" w:rsidRPr="002612A0" w:rsidRDefault="00D33783" w:rsidP="002612A0">
      <w:pPr>
        <w:tabs>
          <w:tab w:val="left" w:pos="360"/>
          <w:tab w:val="left" w:pos="450"/>
          <w:tab w:val="left" w:pos="630"/>
        </w:tabs>
        <w:spacing w:after="0" w:line="276" w:lineRule="auto"/>
        <w:ind w:left="540" w:hanging="540"/>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VII. INSTITUCIONET DHE ORGANET QË NGARKOHEN PËR ZBATIMIN E PROJEKTAKTIT</w:t>
      </w:r>
    </w:p>
    <w:p w14:paraId="76B0B69E"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745ACCDF"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Institucioni kryesor i ngarkuar nga ky projektligj për mbikëqyrjen e zbatimit të tij është Autoriteti i Mbikëqyrjes Financiare. Projektligji ngarkon Autoritetin me nxjerrjen e akteve nënligjore të nevojshme për zbatimin e ndryshimeve dhe shtesave të parashikuara, brenda 12 muajve nga hyrja në fuqi e tij. </w:t>
      </w:r>
    </w:p>
    <w:p w14:paraId="5A72826B"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76022300" w14:textId="4AABAFF8"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Në zbatimin e dispozitave të projektligjit do të jenë të përfshira gjithashtu shoqëritë administruese të fondeve të pensionit privat </w:t>
      </w:r>
      <w:r w:rsidRPr="002612A0">
        <w:rPr>
          <w:rFonts w:ascii="Times New Roman" w:eastAsia="Times New Roman" w:hAnsi="Times New Roman" w:cs="Times New Roman"/>
          <w:bCs/>
          <w:sz w:val="28"/>
          <w:szCs w:val="28"/>
        </w:rPr>
        <w:t>dhe sipërmarrjeve të investimeve kolektive</w:t>
      </w:r>
      <w:r w:rsidRPr="002612A0">
        <w:rPr>
          <w:rFonts w:ascii="Times New Roman" w:eastAsia="Times New Roman" w:hAnsi="Times New Roman" w:cs="Times New Roman"/>
          <w:sz w:val="28"/>
          <w:szCs w:val="28"/>
        </w:rPr>
        <w:t xml:space="preserve">, si subjekte të licencuara kryesore, bankat tregtare që kryejnë funksionin e depozitarit, institucionet e pensionit profesional (IORP) të vendeve anëtare të BE-së që do të ushtrojnë veprimtari ndërkufitare në Republikën e Shqipërisë (pas anëtarësimit në BE), Autoriteti Europian i Sigurimeve dhe Pensioneve Profesionale (EIOPA), si partner mbikëqyrës dhe, sipas rastit, institucionet përkatëse në BE (pas anëtarësimit në BE), etj. </w:t>
      </w:r>
    </w:p>
    <w:p w14:paraId="4B05B8ED"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35943497" w14:textId="7F72C478" w:rsidR="00D33783" w:rsidRPr="002612A0" w:rsidRDefault="00D33783" w:rsidP="002612A0">
      <w:pPr>
        <w:spacing w:after="0" w:line="276" w:lineRule="auto"/>
        <w:ind w:left="630" w:hanging="630"/>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 xml:space="preserve">VIII. </w:t>
      </w:r>
      <w:r w:rsidR="005C7D6A" w:rsidRPr="002612A0">
        <w:rPr>
          <w:rFonts w:ascii="Times New Roman" w:eastAsia="Times New Roman" w:hAnsi="Times New Roman" w:cs="Times New Roman"/>
          <w:b/>
          <w:bCs/>
          <w:sz w:val="28"/>
          <w:szCs w:val="28"/>
        </w:rPr>
        <w:tab/>
      </w:r>
      <w:r w:rsidRPr="002612A0">
        <w:rPr>
          <w:rFonts w:ascii="Times New Roman" w:eastAsia="Times New Roman" w:hAnsi="Times New Roman" w:cs="Times New Roman"/>
          <w:b/>
          <w:bCs/>
          <w:sz w:val="28"/>
          <w:szCs w:val="28"/>
        </w:rPr>
        <w:t>PERSONAT DHE INSTITUCIONET QË KANË KONTRIBUAR NË HARTIMIN E PROJEKTAKTIT</w:t>
      </w:r>
    </w:p>
    <w:p w14:paraId="11B24C31"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0021A449" w14:textId="1ADBF8F2"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Ky projektligj është hartuar nga Autoriteti i Mbikëqyrjes Financiare, me mbështetjen teknike dhe ekspertizë teknike të Bankës Botërore në kuadër të Projektit të Zhvillimit Rregullator Financiar të Shqipërisë (Albania Financial Regulatory Development Project – AFRDP). Hartimi i tij u mbështet nga analiza krahasuese e detajuar (concordance table) e ligjit </w:t>
      </w:r>
      <w:r w:rsidR="005C7D6A" w:rsidRPr="002612A0">
        <w:rPr>
          <w:rFonts w:ascii="Times New Roman" w:eastAsia="Times New Roman" w:hAnsi="Times New Roman" w:cs="Times New Roman"/>
          <w:sz w:val="28"/>
          <w:szCs w:val="28"/>
        </w:rPr>
        <w:t>nr.</w:t>
      </w:r>
      <w:r w:rsidRPr="002612A0">
        <w:rPr>
          <w:rFonts w:ascii="Times New Roman" w:eastAsia="Times New Roman" w:hAnsi="Times New Roman" w:cs="Times New Roman"/>
          <w:sz w:val="28"/>
          <w:szCs w:val="28"/>
        </w:rPr>
        <w:t>76/2023 me Direktivën IORP II, si dhe nga analiza krahasuese me kuadrin ligjor të disa vendeve anëtare të BE-së me traditë në fushën e pensioneve profesionale.</w:t>
      </w:r>
    </w:p>
    <w:p w14:paraId="13747DAB" w14:textId="77777777" w:rsidR="005C7D6A" w:rsidRPr="002612A0" w:rsidRDefault="005C7D6A" w:rsidP="002612A0">
      <w:pPr>
        <w:spacing w:after="0" w:line="276" w:lineRule="auto"/>
        <w:jc w:val="both"/>
        <w:rPr>
          <w:rFonts w:ascii="Times New Roman" w:eastAsia="Times New Roman" w:hAnsi="Times New Roman" w:cs="Times New Roman"/>
          <w:sz w:val="28"/>
          <w:szCs w:val="28"/>
        </w:rPr>
      </w:pPr>
    </w:p>
    <w:p w14:paraId="25A825A4" w14:textId="1B97390E" w:rsidR="00D33783"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Gjatë procesit të hartimit janë zhvilluar konsultime me Shoqatën e Siguruesve të Jetës, Pensioneve dhe Fondeve të Investimeve të Shqipërisë, shoqëritë administruese të fondeve të pensionit privat të licencuara në Shqipëri.</w:t>
      </w:r>
    </w:p>
    <w:p w14:paraId="3EB8C2FF"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511D7E43" w14:textId="0703B928" w:rsidR="00D33783" w:rsidRPr="002612A0" w:rsidRDefault="00D33783" w:rsidP="002612A0">
      <w:pPr>
        <w:spacing w:after="0" w:line="276" w:lineRule="auto"/>
        <w:ind w:left="450" w:hanging="450"/>
        <w:jc w:val="both"/>
        <w:rPr>
          <w:rFonts w:ascii="Times New Roman" w:eastAsia="Times New Roman" w:hAnsi="Times New Roman" w:cs="Times New Roman"/>
          <w:sz w:val="28"/>
          <w:szCs w:val="28"/>
        </w:rPr>
      </w:pPr>
      <w:r w:rsidRPr="002612A0">
        <w:rPr>
          <w:rFonts w:ascii="Times New Roman" w:eastAsia="Times New Roman" w:hAnsi="Times New Roman" w:cs="Times New Roman"/>
          <w:b/>
          <w:bCs/>
          <w:sz w:val="28"/>
          <w:szCs w:val="28"/>
        </w:rPr>
        <w:t>IX.</w:t>
      </w:r>
      <w:r w:rsidR="00652857" w:rsidRPr="002612A0">
        <w:rPr>
          <w:rFonts w:ascii="Times New Roman" w:eastAsia="Times New Roman" w:hAnsi="Times New Roman" w:cs="Times New Roman"/>
          <w:b/>
          <w:bCs/>
          <w:sz w:val="28"/>
          <w:szCs w:val="28"/>
        </w:rPr>
        <w:t xml:space="preserve"> </w:t>
      </w:r>
      <w:r w:rsidRPr="002612A0">
        <w:rPr>
          <w:rFonts w:ascii="Times New Roman" w:eastAsia="Times New Roman" w:hAnsi="Times New Roman" w:cs="Times New Roman"/>
          <w:b/>
          <w:bCs/>
          <w:sz w:val="28"/>
          <w:szCs w:val="28"/>
        </w:rPr>
        <w:t>RAPORTI I VLERËSIMIT TË TË ARDHURAVE DHE SHPENZIMEVE BUXHETORE</w:t>
      </w:r>
    </w:p>
    <w:p w14:paraId="7381B112" w14:textId="77777777" w:rsidR="00D33783" w:rsidRPr="002612A0" w:rsidRDefault="00D33783" w:rsidP="002612A0">
      <w:pPr>
        <w:spacing w:after="0" w:line="276" w:lineRule="auto"/>
        <w:jc w:val="both"/>
        <w:rPr>
          <w:rFonts w:ascii="Times New Roman" w:eastAsia="Times New Roman" w:hAnsi="Times New Roman" w:cs="Times New Roman"/>
          <w:sz w:val="28"/>
          <w:szCs w:val="28"/>
        </w:rPr>
      </w:pPr>
    </w:p>
    <w:p w14:paraId="30336BC0" w14:textId="240F8052" w:rsidR="002612A0" w:rsidRPr="002612A0" w:rsidRDefault="00D33783" w:rsidP="002612A0">
      <w:pPr>
        <w:spacing w:after="0" w:line="276" w:lineRule="auto"/>
        <w:jc w:val="both"/>
        <w:rPr>
          <w:rFonts w:ascii="Times New Roman" w:eastAsia="Times New Roman" w:hAnsi="Times New Roman" w:cs="Times New Roman"/>
          <w:sz w:val="28"/>
          <w:szCs w:val="28"/>
        </w:rPr>
      </w:pPr>
      <w:r w:rsidRPr="002612A0">
        <w:rPr>
          <w:rFonts w:ascii="Times New Roman" w:eastAsia="Times New Roman" w:hAnsi="Times New Roman" w:cs="Times New Roman"/>
          <w:sz w:val="28"/>
          <w:szCs w:val="28"/>
        </w:rPr>
        <w:t xml:space="preserve">Projektligji </w:t>
      </w:r>
      <w:r w:rsidR="008B42D2" w:rsidRPr="002612A0">
        <w:rPr>
          <w:rFonts w:ascii="Times New Roman" w:eastAsia="Times New Roman" w:hAnsi="Times New Roman" w:cs="Times New Roman"/>
          <w:sz w:val="28"/>
          <w:szCs w:val="28"/>
        </w:rPr>
        <w:t>“Për disa shtesa dhe ndryshime në ligjin nr. 76/2023, datë 21.09.2023 “</w:t>
      </w:r>
      <w:r w:rsidR="00652857" w:rsidRPr="002612A0">
        <w:rPr>
          <w:rFonts w:ascii="Times New Roman" w:eastAsia="Times New Roman" w:hAnsi="Times New Roman" w:cs="Times New Roman"/>
          <w:sz w:val="28"/>
          <w:szCs w:val="28"/>
        </w:rPr>
        <w:t>P</w:t>
      </w:r>
      <w:r w:rsidR="008B42D2" w:rsidRPr="002612A0">
        <w:rPr>
          <w:rFonts w:ascii="Times New Roman" w:eastAsia="Times New Roman" w:hAnsi="Times New Roman" w:cs="Times New Roman"/>
          <w:sz w:val="28"/>
          <w:szCs w:val="28"/>
        </w:rPr>
        <w:t xml:space="preserve">ër fondet e pensionit privat”, </w:t>
      </w:r>
      <w:r w:rsidRPr="002612A0">
        <w:rPr>
          <w:rFonts w:ascii="Times New Roman" w:eastAsia="Times New Roman" w:hAnsi="Times New Roman" w:cs="Times New Roman"/>
          <w:sz w:val="28"/>
          <w:szCs w:val="28"/>
        </w:rPr>
        <w:t>nuk</w:t>
      </w:r>
      <w:r w:rsidR="00125558" w:rsidRPr="002612A0">
        <w:rPr>
          <w:rFonts w:ascii="Times New Roman" w:eastAsia="Times New Roman" w:hAnsi="Times New Roman" w:cs="Times New Roman"/>
          <w:sz w:val="28"/>
          <w:szCs w:val="28"/>
        </w:rPr>
        <w:t xml:space="preserve"> pritet të ketë efekte në Buxhetin e Shtetit.</w:t>
      </w:r>
      <w:r w:rsidR="00DB5F21" w:rsidRPr="002612A0">
        <w:rPr>
          <w:rFonts w:ascii="Times New Roman" w:eastAsia="Times New Roman" w:hAnsi="Times New Roman" w:cs="Times New Roman"/>
          <w:sz w:val="28"/>
          <w:szCs w:val="28"/>
        </w:rPr>
        <w:t xml:space="preserve"> </w:t>
      </w:r>
      <w:r w:rsidRPr="002612A0">
        <w:rPr>
          <w:rFonts w:ascii="Times New Roman" w:eastAsia="Times New Roman" w:hAnsi="Times New Roman" w:cs="Times New Roman"/>
          <w:sz w:val="28"/>
          <w:szCs w:val="28"/>
        </w:rPr>
        <w:t>Ndryshimet e propozuara janë kryesisht me natyrë rregullatore dhe institucionale dhe nuk parashikojnë krijimin e strukturave të reja shtetërore apo burimeve shtesë financiare publike.</w:t>
      </w:r>
    </w:p>
    <w:p w14:paraId="48267074" w14:textId="77777777" w:rsidR="002612A0" w:rsidRPr="002612A0" w:rsidRDefault="002612A0" w:rsidP="002612A0">
      <w:pPr>
        <w:spacing w:after="0" w:line="276" w:lineRule="auto"/>
        <w:jc w:val="both"/>
        <w:rPr>
          <w:rFonts w:ascii="Times New Roman" w:eastAsia="Times New Roman" w:hAnsi="Times New Roman" w:cs="Times New Roman"/>
          <w:sz w:val="28"/>
          <w:szCs w:val="28"/>
        </w:rPr>
      </w:pPr>
    </w:p>
    <w:p w14:paraId="0801B70B" w14:textId="77777777" w:rsidR="002612A0" w:rsidRPr="002612A0" w:rsidRDefault="002612A0" w:rsidP="002612A0">
      <w:pPr>
        <w:spacing w:after="0" w:line="276" w:lineRule="auto"/>
        <w:jc w:val="both"/>
        <w:rPr>
          <w:rFonts w:ascii="Times New Roman" w:eastAsia="Times New Roman" w:hAnsi="Times New Roman" w:cs="Times New Roman"/>
          <w:sz w:val="28"/>
          <w:szCs w:val="28"/>
        </w:rPr>
      </w:pPr>
    </w:p>
    <w:p w14:paraId="7ECD135D" w14:textId="77777777" w:rsidR="002612A0" w:rsidRPr="002612A0" w:rsidRDefault="002612A0" w:rsidP="002612A0">
      <w:pPr>
        <w:spacing w:after="100" w:afterAutospacing="1" w:line="240" w:lineRule="auto"/>
        <w:ind w:left="6480"/>
        <w:contextualSpacing/>
        <w:jc w:val="both"/>
        <w:rPr>
          <w:rFonts w:ascii="Times New Roman" w:hAnsi="Times New Roman"/>
          <w:b/>
          <w:sz w:val="28"/>
          <w:szCs w:val="28"/>
        </w:rPr>
      </w:pPr>
      <w:r w:rsidRPr="002612A0">
        <w:rPr>
          <w:rFonts w:ascii="Times New Roman" w:hAnsi="Times New Roman"/>
          <w:b/>
          <w:sz w:val="28"/>
          <w:szCs w:val="28"/>
        </w:rPr>
        <w:t xml:space="preserve">         MINISTRI</w:t>
      </w:r>
    </w:p>
    <w:p w14:paraId="1C6CC442" w14:textId="77777777" w:rsidR="002612A0" w:rsidRPr="002612A0" w:rsidRDefault="002612A0" w:rsidP="002612A0">
      <w:pPr>
        <w:spacing w:after="100" w:afterAutospacing="1" w:line="240" w:lineRule="auto"/>
        <w:contextualSpacing/>
        <w:jc w:val="both"/>
        <w:rPr>
          <w:rFonts w:ascii="Times New Roman" w:hAnsi="Times New Roman"/>
          <w:b/>
          <w:sz w:val="28"/>
          <w:szCs w:val="28"/>
        </w:rPr>
      </w:pPr>
    </w:p>
    <w:p w14:paraId="13B1D9FE" w14:textId="77777777" w:rsidR="002612A0" w:rsidRPr="002612A0" w:rsidRDefault="002612A0" w:rsidP="002612A0">
      <w:pPr>
        <w:spacing w:after="100" w:afterAutospacing="1" w:line="240" w:lineRule="auto"/>
        <w:ind w:left="6480"/>
        <w:contextualSpacing/>
        <w:jc w:val="both"/>
        <w:rPr>
          <w:rFonts w:ascii="Times New Roman" w:hAnsi="Times New Roman"/>
          <w:b/>
          <w:sz w:val="28"/>
          <w:szCs w:val="28"/>
        </w:rPr>
      </w:pPr>
    </w:p>
    <w:p w14:paraId="290499BA" w14:textId="5ABB2EAF" w:rsidR="002612A0" w:rsidRPr="002612A0" w:rsidRDefault="002612A0" w:rsidP="002612A0">
      <w:pPr>
        <w:tabs>
          <w:tab w:val="left" w:pos="6368"/>
        </w:tabs>
        <w:spacing w:after="0" w:line="240" w:lineRule="auto"/>
        <w:jc w:val="both"/>
        <w:rPr>
          <w:rFonts w:ascii="Times New Roman" w:hAnsi="Times New Roman"/>
          <w:b/>
          <w:color w:val="000000" w:themeColor="text1"/>
          <w:sz w:val="28"/>
          <w:szCs w:val="28"/>
        </w:rPr>
      </w:pPr>
      <w:r w:rsidRPr="002612A0">
        <w:rPr>
          <w:rFonts w:ascii="Times New Roman" w:hAnsi="Times New Roman"/>
          <w:b/>
          <w:color w:val="000000" w:themeColor="text1"/>
          <w:sz w:val="28"/>
          <w:szCs w:val="28"/>
        </w:rPr>
        <w:tab/>
        <w:t xml:space="preserve">         </w:t>
      </w:r>
      <w:r w:rsidR="00697C08">
        <w:rPr>
          <w:rFonts w:ascii="Times New Roman" w:hAnsi="Times New Roman"/>
          <w:b/>
          <w:color w:val="000000" w:themeColor="text1"/>
          <w:sz w:val="28"/>
          <w:szCs w:val="28"/>
        </w:rPr>
        <w:t xml:space="preserve"> </w:t>
      </w:r>
      <w:r w:rsidRPr="002612A0">
        <w:rPr>
          <w:rFonts w:ascii="Times New Roman" w:hAnsi="Times New Roman"/>
          <w:b/>
          <w:color w:val="000000" w:themeColor="text1"/>
          <w:sz w:val="28"/>
          <w:szCs w:val="28"/>
        </w:rPr>
        <w:t>Petrit Malaj</w:t>
      </w:r>
    </w:p>
    <w:sectPr w:rsidR="002612A0" w:rsidRPr="002612A0">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D1A7B" w14:textId="77777777" w:rsidR="005008B9" w:rsidRDefault="005008B9" w:rsidP="00995018">
      <w:pPr>
        <w:spacing w:after="0" w:line="240" w:lineRule="auto"/>
      </w:pPr>
      <w:r>
        <w:separator/>
      </w:r>
    </w:p>
  </w:endnote>
  <w:endnote w:type="continuationSeparator" w:id="0">
    <w:p w14:paraId="5574DEC7" w14:textId="77777777" w:rsidR="005008B9" w:rsidRDefault="005008B9" w:rsidP="00995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571330"/>
      <w:docPartObj>
        <w:docPartGallery w:val="Page Numbers (Bottom of Page)"/>
        <w:docPartUnique/>
      </w:docPartObj>
    </w:sdtPr>
    <w:sdtEndPr>
      <w:rPr>
        <w:noProof/>
      </w:rPr>
    </w:sdtEndPr>
    <w:sdtContent>
      <w:p w14:paraId="06CFDEBC" w14:textId="4FB439ED" w:rsidR="008C4168" w:rsidRDefault="008C41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32D4B8" w14:textId="7BB36C7D" w:rsidR="00F967C4" w:rsidRPr="009C5E64" w:rsidRDefault="00F967C4" w:rsidP="00F967C4">
    <w:pPr>
      <w:pStyle w:val="Footer"/>
      <w:pBdr>
        <w:top w:val="thinThickSmallGap" w:sz="24" w:space="0" w:color="622423"/>
      </w:pBdr>
      <w:tabs>
        <w:tab w:val="clear" w:pos="9026"/>
        <w:tab w:val="right" w:pos="9027"/>
      </w:tabs>
      <w:rPr>
        <w:sz w:val="18"/>
        <w:szCs w:val="18"/>
      </w:rPr>
    </w:pPr>
    <w:r w:rsidRPr="00060039">
      <w:rPr>
        <w:sz w:val="18"/>
        <w:szCs w:val="18"/>
      </w:rPr>
      <w:t>Projekt</w:t>
    </w:r>
    <w:r>
      <w:rPr>
        <w:sz w:val="18"/>
        <w:szCs w:val="18"/>
      </w:rPr>
      <w:t xml:space="preserve">ligji </w:t>
    </w:r>
    <w:r w:rsidRPr="009C5E64">
      <w:rPr>
        <w:sz w:val="18"/>
        <w:szCs w:val="18"/>
      </w:rPr>
      <w:t>“</w:t>
    </w:r>
    <w:r w:rsidRPr="00F967C4">
      <w:rPr>
        <w:rFonts w:ascii="Times New Roman" w:eastAsia="Times New Roman" w:hAnsi="Times New Roman" w:cs="Times New Roman"/>
        <w:sz w:val="18"/>
        <w:szCs w:val="18"/>
      </w:rPr>
      <w:t>Për disa shtesa dhe ndryshime në ligjin nr. 76/2023</w:t>
    </w:r>
    <w:r w:rsidR="00DF1698">
      <w:rPr>
        <w:rFonts w:ascii="Times New Roman" w:eastAsia="Times New Roman" w:hAnsi="Times New Roman" w:cs="Times New Roman"/>
        <w:sz w:val="18"/>
        <w:szCs w:val="18"/>
      </w:rPr>
      <w:t>, datë 21.09.2023,</w:t>
    </w:r>
    <w:r w:rsidRPr="00F967C4">
      <w:rPr>
        <w:rFonts w:ascii="Times New Roman" w:eastAsia="Times New Roman" w:hAnsi="Times New Roman" w:cs="Times New Roman"/>
        <w:sz w:val="18"/>
        <w:szCs w:val="18"/>
      </w:rPr>
      <w:t xml:space="preserve"> “Për fondet e pensionit privat</w:t>
    </w:r>
    <w:r w:rsidRPr="009C5E64">
      <w:rPr>
        <w:sz w:val="18"/>
        <w:szCs w:val="18"/>
      </w:rPr>
      <w:t>”</w:t>
    </w:r>
    <w:r>
      <w:rPr>
        <w:sz w:val="18"/>
        <w:szCs w:val="18"/>
      </w:rPr>
      <w:t>”</w:t>
    </w:r>
  </w:p>
  <w:p w14:paraId="18EF45AD" w14:textId="77777777" w:rsidR="008C4168" w:rsidRDefault="008C41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DDA86" w14:textId="77777777" w:rsidR="005008B9" w:rsidRDefault="005008B9" w:rsidP="00995018">
      <w:pPr>
        <w:spacing w:after="0" w:line="240" w:lineRule="auto"/>
      </w:pPr>
      <w:r>
        <w:separator/>
      </w:r>
    </w:p>
  </w:footnote>
  <w:footnote w:type="continuationSeparator" w:id="0">
    <w:p w14:paraId="0EFCD30F" w14:textId="77777777" w:rsidR="005008B9" w:rsidRDefault="005008B9" w:rsidP="009950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6E9E"/>
    <w:multiLevelType w:val="multilevel"/>
    <w:tmpl w:val="FA5A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86639"/>
    <w:multiLevelType w:val="hybridMultilevel"/>
    <w:tmpl w:val="146AAAF2"/>
    <w:lvl w:ilvl="0" w:tplc="118EF770">
      <w:start w:val="1"/>
      <w:numFmt w:val="bullet"/>
      <w:lvlText w:val="-"/>
      <w:lvlJc w:val="left"/>
      <w:pPr>
        <w:ind w:left="360" w:hanging="360"/>
      </w:pPr>
      <w:rPr>
        <w:rFonts w:ascii="Times New Roman" w:eastAsia="Times New Roman"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 w15:restartNumberingAfterBreak="0">
    <w:nsid w:val="11AE6AC3"/>
    <w:multiLevelType w:val="hybridMultilevel"/>
    <w:tmpl w:val="EF5E735E"/>
    <w:lvl w:ilvl="0" w:tplc="E05AA2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44D9F"/>
    <w:multiLevelType w:val="hybridMultilevel"/>
    <w:tmpl w:val="396C5E5E"/>
    <w:lvl w:ilvl="0" w:tplc="C12C5434">
      <w:start w:val="1"/>
      <w:numFmt w:val="bullet"/>
      <w:lvlText w:val="-"/>
      <w:lvlJc w:val="left"/>
      <w:pPr>
        <w:ind w:left="720" w:hanging="360"/>
      </w:pPr>
    </w:lvl>
    <w:lvl w:ilvl="1" w:tplc="A142E0B8">
      <w:numFmt w:val="decimal"/>
      <w:lvlText w:val=""/>
      <w:lvlJc w:val="left"/>
    </w:lvl>
    <w:lvl w:ilvl="2" w:tplc="837A7C8E">
      <w:numFmt w:val="decimal"/>
      <w:lvlText w:val=""/>
      <w:lvlJc w:val="left"/>
    </w:lvl>
    <w:lvl w:ilvl="3" w:tplc="DCE4B68E">
      <w:numFmt w:val="decimal"/>
      <w:lvlText w:val=""/>
      <w:lvlJc w:val="left"/>
    </w:lvl>
    <w:lvl w:ilvl="4" w:tplc="0FA6C69C">
      <w:numFmt w:val="decimal"/>
      <w:lvlText w:val=""/>
      <w:lvlJc w:val="left"/>
    </w:lvl>
    <w:lvl w:ilvl="5" w:tplc="D45C89C8">
      <w:numFmt w:val="decimal"/>
      <w:lvlText w:val=""/>
      <w:lvlJc w:val="left"/>
    </w:lvl>
    <w:lvl w:ilvl="6" w:tplc="5D7E378C">
      <w:numFmt w:val="decimal"/>
      <w:lvlText w:val=""/>
      <w:lvlJc w:val="left"/>
    </w:lvl>
    <w:lvl w:ilvl="7" w:tplc="4266B5D6">
      <w:numFmt w:val="decimal"/>
      <w:lvlText w:val=""/>
      <w:lvlJc w:val="left"/>
    </w:lvl>
    <w:lvl w:ilvl="8" w:tplc="6412A680">
      <w:numFmt w:val="decimal"/>
      <w:lvlText w:val=""/>
      <w:lvlJc w:val="left"/>
    </w:lvl>
  </w:abstractNum>
  <w:abstractNum w:abstractNumId="4" w15:restartNumberingAfterBreak="0">
    <w:nsid w:val="21AC6E5F"/>
    <w:multiLevelType w:val="hybridMultilevel"/>
    <w:tmpl w:val="E8EC5C8A"/>
    <w:lvl w:ilvl="0" w:tplc="C12C543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374D2A"/>
    <w:multiLevelType w:val="hybridMultilevel"/>
    <w:tmpl w:val="12EA0898"/>
    <w:lvl w:ilvl="0" w:tplc="C12C543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3C0A28"/>
    <w:multiLevelType w:val="hybridMultilevel"/>
    <w:tmpl w:val="5C7C8B32"/>
    <w:lvl w:ilvl="0" w:tplc="9214B5E4">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1416E"/>
    <w:multiLevelType w:val="multilevel"/>
    <w:tmpl w:val="C746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A65AD5"/>
    <w:multiLevelType w:val="hybridMultilevel"/>
    <w:tmpl w:val="06566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9343BD"/>
    <w:multiLevelType w:val="multilevel"/>
    <w:tmpl w:val="C136B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1954F7"/>
    <w:multiLevelType w:val="multilevel"/>
    <w:tmpl w:val="A5DC9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BD2BB4"/>
    <w:multiLevelType w:val="hybridMultilevel"/>
    <w:tmpl w:val="ABC8BF0C"/>
    <w:lvl w:ilvl="0" w:tplc="CFD4A5F0">
      <w:start w:val="1"/>
      <w:numFmt w:val="bullet"/>
      <w:lvlText w:val="●"/>
      <w:lvlJc w:val="left"/>
      <w:pPr>
        <w:ind w:left="720" w:hanging="360"/>
      </w:pPr>
    </w:lvl>
    <w:lvl w:ilvl="1" w:tplc="73EA4F0C">
      <w:start w:val="1"/>
      <w:numFmt w:val="bullet"/>
      <w:lvlText w:val="○"/>
      <w:lvlJc w:val="left"/>
      <w:pPr>
        <w:ind w:left="1440" w:hanging="360"/>
      </w:pPr>
    </w:lvl>
    <w:lvl w:ilvl="2" w:tplc="E4E4AD94">
      <w:start w:val="1"/>
      <w:numFmt w:val="bullet"/>
      <w:lvlText w:val="■"/>
      <w:lvlJc w:val="left"/>
      <w:pPr>
        <w:ind w:left="2160" w:hanging="360"/>
      </w:pPr>
    </w:lvl>
    <w:lvl w:ilvl="3" w:tplc="B06A3FB4">
      <w:start w:val="1"/>
      <w:numFmt w:val="bullet"/>
      <w:lvlText w:val="●"/>
      <w:lvlJc w:val="left"/>
      <w:pPr>
        <w:ind w:left="2880" w:hanging="360"/>
      </w:pPr>
    </w:lvl>
    <w:lvl w:ilvl="4" w:tplc="4490D60E">
      <w:start w:val="1"/>
      <w:numFmt w:val="bullet"/>
      <w:lvlText w:val="○"/>
      <w:lvlJc w:val="left"/>
      <w:pPr>
        <w:ind w:left="3600" w:hanging="360"/>
      </w:pPr>
    </w:lvl>
    <w:lvl w:ilvl="5" w:tplc="6C1AC1F6">
      <w:start w:val="1"/>
      <w:numFmt w:val="bullet"/>
      <w:lvlText w:val="■"/>
      <w:lvlJc w:val="left"/>
      <w:pPr>
        <w:ind w:left="4320" w:hanging="360"/>
      </w:pPr>
    </w:lvl>
    <w:lvl w:ilvl="6" w:tplc="98324BF2">
      <w:start w:val="1"/>
      <w:numFmt w:val="bullet"/>
      <w:lvlText w:val="●"/>
      <w:lvlJc w:val="left"/>
      <w:pPr>
        <w:ind w:left="5040" w:hanging="360"/>
      </w:pPr>
    </w:lvl>
    <w:lvl w:ilvl="7" w:tplc="F60CD1A0">
      <w:start w:val="1"/>
      <w:numFmt w:val="bullet"/>
      <w:lvlText w:val="●"/>
      <w:lvlJc w:val="left"/>
      <w:pPr>
        <w:ind w:left="5760" w:hanging="360"/>
      </w:pPr>
    </w:lvl>
    <w:lvl w:ilvl="8" w:tplc="A0ECF5AE">
      <w:start w:val="1"/>
      <w:numFmt w:val="bullet"/>
      <w:lvlText w:val="●"/>
      <w:lvlJc w:val="left"/>
      <w:pPr>
        <w:ind w:left="6480" w:hanging="360"/>
      </w:pPr>
    </w:lvl>
  </w:abstractNum>
  <w:abstractNum w:abstractNumId="12" w15:restartNumberingAfterBreak="0">
    <w:nsid w:val="6BF27F64"/>
    <w:multiLevelType w:val="multilevel"/>
    <w:tmpl w:val="DD5C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D2305D"/>
    <w:multiLevelType w:val="hybridMultilevel"/>
    <w:tmpl w:val="4E1CD5AE"/>
    <w:lvl w:ilvl="0" w:tplc="C12C543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EB4A4A"/>
    <w:multiLevelType w:val="hybridMultilevel"/>
    <w:tmpl w:val="8D28CCDC"/>
    <w:lvl w:ilvl="0" w:tplc="C12C543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D53E43"/>
    <w:multiLevelType w:val="hybridMultilevel"/>
    <w:tmpl w:val="84623240"/>
    <w:lvl w:ilvl="0" w:tplc="71DA1E8E">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7C814704"/>
    <w:multiLevelType w:val="multilevel"/>
    <w:tmpl w:val="5100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8194568">
    <w:abstractNumId w:val="0"/>
  </w:num>
  <w:num w:numId="2" w16cid:durableId="2102216180">
    <w:abstractNumId w:val="7"/>
  </w:num>
  <w:num w:numId="3" w16cid:durableId="235675385">
    <w:abstractNumId w:val="12"/>
  </w:num>
  <w:num w:numId="4" w16cid:durableId="1986663233">
    <w:abstractNumId w:val="9"/>
  </w:num>
  <w:num w:numId="5" w16cid:durableId="17319985">
    <w:abstractNumId w:val="16"/>
  </w:num>
  <w:num w:numId="6" w16cid:durableId="1798451170">
    <w:abstractNumId w:val="10"/>
  </w:num>
  <w:num w:numId="7" w16cid:durableId="1188760241">
    <w:abstractNumId w:val="15"/>
  </w:num>
  <w:num w:numId="8" w16cid:durableId="1637251549">
    <w:abstractNumId w:val="11"/>
    <w:lvlOverride w:ilvl="0">
      <w:startOverride w:val="1"/>
    </w:lvlOverride>
  </w:num>
  <w:num w:numId="9" w16cid:durableId="715200847">
    <w:abstractNumId w:val="3"/>
    <w:lvlOverride w:ilvl="0">
      <w:startOverride w:val="1"/>
    </w:lvlOverride>
  </w:num>
  <w:num w:numId="10" w16cid:durableId="1086725177">
    <w:abstractNumId w:val="1"/>
  </w:num>
  <w:num w:numId="11" w16cid:durableId="1197963811">
    <w:abstractNumId w:val="2"/>
  </w:num>
  <w:num w:numId="12" w16cid:durableId="123083799">
    <w:abstractNumId w:val="6"/>
  </w:num>
  <w:num w:numId="13" w16cid:durableId="216206723">
    <w:abstractNumId w:val="8"/>
  </w:num>
  <w:num w:numId="14" w16cid:durableId="1933272087">
    <w:abstractNumId w:val="3"/>
  </w:num>
  <w:num w:numId="15" w16cid:durableId="1297489654">
    <w:abstractNumId w:val="13"/>
  </w:num>
  <w:num w:numId="16" w16cid:durableId="1965306969">
    <w:abstractNumId w:val="14"/>
  </w:num>
  <w:num w:numId="17" w16cid:durableId="1367607270">
    <w:abstractNumId w:val="4"/>
  </w:num>
  <w:num w:numId="18" w16cid:durableId="18610424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E1F"/>
    <w:rsid w:val="00015E49"/>
    <w:rsid w:val="0001619F"/>
    <w:rsid w:val="00021331"/>
    <w:rsid w:val="0002590E"/>
    <w:rsid w:val="00027790"/>
    <w:rsid w:val="000331F3"/>
    <w:rsid w:val="0003482D"/>
    <w:rsid w:val="0004699A"/>
    <w:rsid w:val="00054420"/>
    <w:rsid w:val="0005467A"/>
    <w:rsid w:val="00054DDB"/>
    <w:rsid w:val="00082263"/>
    <w:rsid w:val="0008611F"/>
    <w:rsid w:val="000945F0"/>
    <w:rsid w:val="00096DF9"/>
    <w:rsid w:val="000976D9"/>
    <w:rsid w:val="000B1B3A"/>
    <w:rsid w:val="000E0582"/>
    <w:rsid w:val="000E2A03"/>
    <w:rsid w:val="000E3E8B"/>
    <w:rsid w:val="000E3F3A"/>
    <w:rsid w:val="000F79E9"/>
    <w:rsid w:val="0011024A"/>
    <w:rsid w:val="00117F82"/>
    <w:rsid w:val="00125558"/>
    <w:rsid w:val="00154AA8"/>
    <w:rsid w:val="00162F86"/>
    <w:rsid w:val="00170029"/>
    <w:rsid w:val="00174D85"/>
    <w:rsid w:val="001815D1"/>
    <w:rsid w:val="001A1E5C"/>
    <w:rsid w:val="001E07C8"/>
    <w:rsid w:val="001E0DE1"/>
    <w:rsid w:val="001F3A2B"/>
    <w:rsid w:val="001F5171"/>
    <w:rsid w:val="00205C2B"/>
    <w:rsid w:val="002103EE"/>
    <w:rsid w:val="0023016D"/>
    <w:rsid w:val="00234CD9"/>
    <w:rsid w:val="0023550A"/>
    <w:rsid w:val="002425DF"/>
    <w:rsid w:val="00246620"/>
    <w:rsid w:val="002579B9"/>
    <w:rsid w:val="00260E4E"/>
    <w:rsid w:val="002612A0"/>
    <w:rsid w:val="00272168"/>
    <w:rsid w:val="00276AD5"/>
    <w:rsid w:val="00277D67"/>
    <w:rsid w:val="002A5481"/>
    <w:rsid w:val="002A7620"/>
    <w:rsid w:val="002B2E3A"/>
    <w:rsid w:val="002D2081"/>
    <w:rsid w:val="002E220B"/>
    <w:rsid w:val="002E76BC"/>
    <w:rsid w:val="00303DF5"/>
    <w:rsid w:val="00313042"/>
    <w:rsid w:val="003228BE"/>
    <w:rsid w:val="00326FC8"/>
    <w:rsid w:val="00332D37"/>
    <w:rsid w:val="00332E20"/>
    <w:rsid w:val="00342A0A"/>
    <w:rsid w:val="00356121"/>
    <w:rsid w:val="0035627B"/>
    <w:rsid w:val="00360697"/>
    <w:rsid w:val="00372D25"/>
    <w:rsid w:val="00376DE5"/>
    <w:rsid w:val="00384A06"/>
    <w:rsid w:val="003863B7"/>
    <w:rsid w:val="003A5E4A"/>
    <w:rsid w:val="003B27C2"/>
    <w:rsid w:val="003B57A5"/>
    <w:rsid w:val="003E0827"/>
    <w:rsid w:val="003F0950"/>
    <w:rsid w:val="003F48D4"/>
    <w:rsid w:val="003F57F7"/>
    <w:rsid w:val="003F68B8"/>
    <w:rsid w:val="004127C8"/>
    <w:rsid w:val="00436818"/>
    <w:rsid w:val="00464F63"/>
    <w:rsid w:val="0047077D"/>
    <w:rsid w:val="00476CC6"/>
    <w:rsid w:val="00477915"/>
    <w:rsid w:val="00491012"/>
    <w:rsid w:val="004C0920"/>
    <w:rsid w:val="004C3D7B"/>
    <w:rsid w:val="004D1F7F"/>
    <w:rsid w:val="004D3BED"/>
    <w:rsid w:val="004E48AA"/>
    <w:rsid w:val="004F0699"/>
    <w:rsid w:val="004F3C57"/>
    <w:rsid w:val="004F4631"/>
    <w:rsid w:val="005008B9"/>
    <w:rsid w:val="0050465E"/>
    <w:rsid w:val="005052DB"/>
    <w:rsid w:val="005309E4"/>
    <w:rsid w:val="005533F7"/>
    <w:rsid w:val="0057476D"/>
    <w:rsid w:val="005877CA"/>
    <w:rsid w:val="005A4F42"/>
    <w:rsid w:val="005B2578"/>
    <w:rsid w:val="005C1566"/>
    <w:rsid w:val="005C7D6A"/>
    <w:rsid w:val="005D0673"/>
    <w:rsid w:val="005D4877"/>
    <w:rsid w:val="005F7473"/>
    <w:rsid w:val="006013A6"/>
    <w:rsid w:val="00601BF8"/>
    <w:rsid w:val="00604F75"/>
    <w:rsid w:val="00610ECC"/>
    <w:rsid w:val="00615646"/>
    <w:rsid w:val="00617583"/>
    <w:rsid w:val="0062370C"/>
    <w:rsid w:val="00623EBF"/>
    <w:rsid w:val="00650D4F"/>
    <w:rsid w:val="00652857"/>
    <w:rsid w:val="00654CC9"/>
    <w:rsid w:val="00656A93"/>
    <w:rsid w:val="00666F54"/>
    <w:rsid w:val="00697C08"/>
    <w:rsid w:val="006B0AF7"/>
    <w:rsid w:val="006B3CFD"/>
    <w:rsid w:val="006B6EDE"/>
    <w:rsid w:val="006C63B0"/>
    <w:rsid w:val="006D043C"/>
    <w:rsid w:val="006D2A17"/>
    <w:rsid w:val="006D5886"/>
    <w:rsid w:val="006D736F"/>
    <w:rsid w:val="006E3E9A"/>
    <w:rsid w:val="006F1F0F"/>
    <w:rsid w:val="007119A8"/>
    <w:rsid w:val="00712EC2"/>
    <w:rsid w:val="0072309F"/>
    <w:rsid w:val="00737387"/>
    <w:rsid w:val="00751933"/>
    <w:rsid w:val="00760F80"/>
    <w:rsid w:val="00762E86"/>
    <w:rsid w:val="00770D12"/>
    <w:rsid w:val="00772645"/>
    <w:rsid w:val="00774B2B"/>
    <w:rsid w:val="00785923"/>
    <w:rsid w:val="00791A48"/>
    <w:rsid w:val="00795A73"/>
    <w:rsid w:val="007C6387"/>
    <w:rsid w:val="007D3AD7"/>
    <w:rsid w:val="007D6182"/>
    <w:rsid w:val="007D7B3D"/>
    <w:rsid w:val="007E0308"/>
    <w:rsid w:val="007E7855"/>
    <w:rsid w:val="007F4B2F"/>
    <w:rsid w:val="00806BFE"/>
    <w:rsid w:val="008103F0"/>
    <w:rsid w:val="00820C8F"/>
    <w:rsid w:val="008249FC"/>
    <w:rsid w:val="0083219B"/>
    <w:rsid w:val="0083536B"/>
    <w:rsid w:val="008414E4"/>
    <w:rsid w:val="0084431C"/>
    <w:rsid w:val="00846113"/>
    <w:rsid w:val="00846E90"/>
    <w:rsid w:val="00865FFC"/>
    <w:rsid w:val="008711D8"/>
    <w:rsid w:val="0087538D"/>
    <w:rsid w:val="00877AE1"/>
    <w:rsid w:val="008817F7"/>
    <w:rsid w:val="00883053"/>
    <w:rsid w:val="008853A7"/>
    <w:rsid w:val="00893957"/>
    <w:rsid w:val="00893DAB"/>
    <w:rsid w:val="00894CFD"/>
    <w:rsid w:val="008B42D2"/>
    <w:rsid w:val="008B4BEC"/>
    <w:rsid w:val="008B58E8"/>
    <w:rsid w:val="008B7686"/>
    <w:rsid w:val="008C0E54"/>
    <w:rsid w:val="008C165C"/>
    <w:rsid w:val="008C4168"/>
    <w:rsid w:val="008D1472"/>
    <w:rsid w:val="008D7688"/>
    <w:rsid w:val="008E0B74"/>
    <w:rsid w:val="008E2FB6"/>
    <w:rsid w:val="008E41F9"/>
    <w:rsid w:val="008F50AA"/>
    <w:rsid w:val="00900002"/>
    <w:rsid w:val="00917D5E"/>
    <w:rsid w:val="00922AA4"/>
    <w:rsid w:val="00922AFF"/>
    <w:rsid w:val="0093756D"/>
    <w:rsid w:val="00946E73"/>
    <w:rsid w:val="00954AF5"/>
    <w:rsid w:val="00954C34"/>
    <w:rsid w:val="00955657"/>
    <w:rsid w:val="00963B8F"/>
    <w:rsid w:val="00971277"/>
    <w:rsid w:val="00971665"/>
    <w:rsid w:val="00981713"/>
    <w:rsid w:val="009824ED"/>
    <w:rsid w:val="00994240"/>
    <w:rsid w:val="00995018"/>
    <w:rsid w:val="009A1A37"/>
    <w:rsid w:val="009C06D7"/>
    <w:rsid w:val="009E530B"/>
    <w:rsid w:val="009E55E5"/>
    <w:rsid w:val="009F3C25"/>
    <w:rsid w:val="00A071E0"/>
    <w:rsid w:val="00A104B1"/>
    <w:rsid w:val="00A11AA4"/>
    <w:rsid w:val="00A20386"/>
    <w:rsid w:val="00A21863"/>
    <w:rsid w:val="00A272B1"/>
    <w:rsid w:val="00A31CA1"/>
    <w:rsid w:val="00A35EF8"/>
    <w:rsid w:val="00A36969"/>
    <w:rsid w:val="00A37FFB"/>
    <w:rsid w:val="00A41CF7"/>
    <w:rsid w:val="00A5646D"/>
    <w:rsid w:val="00A600C1"/>
    <w:rsid w:val="00A708FB"/>
    <w:rsid w:val="00A730B4"/>
    <w:rsid w:val="00A746FD"/>
    <w:rsid w:val="00A87CAF"/>
    <w:rsid w:val="00A9156F"/>
    <w:rsid w:val="00A942EC"/>
    <w:rsid w:val="00AA090A"/>
    <w:rsid w:val="00AA0FEA"/>
    <w:rsid w:val="00AA2698"/>
    <w:rsid w:val="00AB619D"/>
    <w:rsid w:val="00AB625D"/>
    <w:rsid w:val="00AC1294"/>
    <w:rsid w:val="00AD0627"/>
    <w:rsid w:val="00AD7B54"/>
    <w:rsid w:val="00AE6571"/>
    <w:rsid w:val="00AE72BE"/>
    <w:rsid w:val="00AF7C7E"/>
    <w:rsid w:val="00B04419"/>
    <w:rsid w:val="00B11B80"/>
    <w:rsid w:val="00B1343E"/>
    <w:rsid w:val="00B14843"/>
    <w:rsid w:val="00B31D8C"/>
    <w:rsid w:val="00B33E1F"/>
    <w:rsid w:val="00B46880"/>
    <w:rsid w:val="00B50D46"/>
    <w:rsid w:val="00B822CA"/>
    <w:rsid w:val="00BA5092"/>
    <w:rsid w:val="00BB52F6"/>
    <w:rsid w:val="00BD1FE9"/>
    <w:rsid w:val="00BD2BC7"/>
    <w:rsid w:val="00BD374B"/>
    <w:rsid w:val="00BD497B"/>
    <w:rsid w:val="00BE6A67"/>
    <w:rsid w:val="00C04A33"/>
    <w:rsid w:val="00C079F4"/>
    <w:rsid w:val="00C14852"/>
    <w:rsid w:val="00C15755"/>
    <w:rsid w:val="00C23961"/>
    <w:rsid w:val="00C272A1"/>
    <w:rsid w:val="00C413D5"/>
    <w:rsid w:val="00C46083"/>
    <w:rsid w:val="00C61377"/>
    <w:rsid w:val="00C617AA"/>
    <w:rsid w:val="00C8616D"/>
    <w:rsid w:val="00CB0EF3"/>
    <w:rsid w:val="00CB723C"/>
    <w:rsid w:val="00CC3B53"/>
    <w:rsid w:val="00CD50A0"/>
    <w:rsid w:val="00CE0C76"/>
    <w:rsid w:val="00CE1539"/>
    <w:rsid w:val="00CE6361"/>
    <w:rsid w:val="00CE711A"/>
    <w:rsid w:val="00CF6368"/>
    <w:rsid w:val="00D0150B"/>
    <w:rsid w:val="00D107D3"/>
    <w:rsid w:val="00D133E7"/>
    <w:rsid w:val="00D31187"/>
    <w:rsid w:val="00D33783"/>
    <w:rsid w:val="00D4401C"/>
    <w:rsid w:val="00D64D5E"/>
    <w:rsid w:val="00D67346"/>
    <w:rsid w:val="00D73902"/>
    <w:rsid w:val="00D95B56"/>
    <w:rsid w:val="00D97D2A"/>
    <w:rsid w:val="00DA6BFF"/>
    <w:rsid w:val="00DB17BA"/>
    <w:rsid w:val="00DB1F07"/>
    <w:rsid w:val="00DB2947"/>
    <w:rsid w:val="00DB5F21"/>
    <w:rsid w:val="00DB6F82"/>
    <w:rsid w:val="00DC4D8A"/>
    <w:rsid w:val="00DC4E59"/>
    <w:rsid w:val="00DC691B"/>
    <w:rsid w:val="00DC75F1"/>
    <w:rsid w:val="00DC7C62"/>
    <w:rsid w:val="00DD2A27"/>
    <w:rsid w:val="00DD6D0B"/>
    <w:rsid w:val="00DE2931"/>
    <w:rsid w:val="00DF1698"/>
    <w:rsid w:val="00DF4287"/>
    <w:rsid w:val="00E05A3C"/>
    <w:rsid w:val="00E162AA"/>
    <w:rsid w:val="00E21AE0"/>
    <w:rsid w:val="00E2355D"/>
    <w:rsid w:val="00E254E9"/>
    <w:rsid w:val="00E2782C"/>
    <w:rsid w:val="00E32919"/>
    <w:rsid w:val="00E33666"/>
    <w:rsid w:val="00E35CC0"/>
    <w:rsid w:val="00E40EAB"/>
    <w:rsid w:val="00E5251A"/>
    <w:rsid w:val="00E7552C"/>
    <w:rsid w:val="00E97D47"/>
    <w:rsid w:val="00EB1360"/>
    <w:rsid w:val="00EC20E8"/>
    <w:rsid w:val="00EE31B0"/>
    <w:rsid w:val="00EE5889"/>
    <w:rsid w:val="00EF5D87"/>
    <w:rsid w:val="00F31966"/>
    <w:rsid w:val="00F33E03"/>
    <w:rsid w:val="00F34A7E"/>
    <w:rsid w:val="00F408CE"/>
    <w:rsid w:val="00F535D1"/>
    <w:rsid w:val="00F55D06"/>
    <w:rsid w:val="00F82E76"/>
    <w:rsid w:val="00F967C4"/>
    <w:rsid w:val="00FA63B7"/>
    <w:rsid w:val="00FA6E4C"/>
    <w:rsid w:val="00FC12BE"/>
    <w:rsid w:val="00FD1DC7"/>
    <w:rsid w:val="00FD5447"/>
    <w:rsid w:val="00FE74A2"/>
    <w:rsid w:val="00FF28EC"/>
    <w:rsid w:val="00FF3B2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293B"/>
  <w15:chartTrackingRefBased/>
  <w15:docId w15:val="{611F62E1-E580-4409-A2D6-7D895CFD5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rsid w:val="00D33783"/>
    <w:pPr>
      <w:spacing w:after="0" w:line="240" w:lineRule="auto"/>
      <w:outlineLvl w:val="0"/>
    </w:pPr>
    <w:rPr>
      <w:rFonts w:ascii="Times New Roman" w:eastAsia="Times New Roman" w:hAnsi="Times New Roman" w:cs="Times New Roman"/>
      <w:color w:val="2E74B5"/>
      <w:sz w:val="32"/>
      <w:szCs w:val="32"/>
      <w:lang w:val="en-US"/>
    </w:rPr>
  </w:style>
  <w:style w:type="paragraph" w:styleId="Heading2">
    <w:name w:val="heading 2"/>
    <w:basedOn w:val="Normal"/>
    <w:link w:val="Heading2Char"/>
    <w:uiPriority w:val="9"/>
    <w:qFormat/>
    <w:rsid w:val="0050465E"/>
    <w:pPr>
      <w:spacing w:before="100" w:beforeAutospacing="1" w:after="100" w:afterAutospacing="1" w:line="240" w:lineRule="auto"/>
      <w:outlineLvl w:val="1"/>
    </w:pPr>
    <w:rPr>
      <w:rFonts w:ascii="Times New Roman" w:eastAsia="Times New Roman" w:hAnsi="Times New Roman" w:cs="Times New Roman"/>
      <w:b/>
      <w:bCs/>
      <w:sz w:val="36"/>
      <w:szCs w:val="36"/>
      <w:lang w:eastAsia="sq-AL"/>
    </w:rPr>
  </w:style>
  <w:style w:type="paragraph" w:styleId="Heading3">
    <w:name w:val="heading 3"/>
    <w:basedOn w:val="Normal"/>
    <w:link w:val="Heading3Char"/>
    <w:uiPriority w:val="9"/>
    <w:qFormat/>
    <w:rsid w:val="0050465E"/>
    <w:pPr>
      <w:spacing w:before="100" w:beforeAutospacing="1" w:after="100" w:afterAutospacing="1" w:line="240" w:lineRule="auto"/>
      <w:outlineLvl w:val="2"/>
    </w:pPr>
    <w:rPr>
      <w:rFonts w:ascii="Times New Roman" w:eastAsia="Times New Roman" w:hAnsi="Times New Roman" w:cs="Times New Roman"/>
      <w:b/>
      <w:bCs/>
      <w:sz w:val="27"/>
      <w:szCs w:val="27"/>
      <w:lang w:eastAsia="sq-AL"/>
    </w:rPr>
  </w:style>
  <w:style w:type="paragraph" w:styleId="Heading4">
    <w:name w:val="heading 4"/>
    <w:link w:val="Heading4Char"/>
    <w:uiPriority w:val="9"/>
    <w:semiHidden/>
    <w:unhideWhenUsed/>
    <w:qFormat/>
    <w:rsid w:val="00D33783"/>
    <w:pPr>
      <w:spacing w:after="0" w:line="240" w:lineRule="auto"/>
      <w:outlineLvl w:val="3"/>
    </w:pPr>
    <w:rPr>
      <w:rFonts w:ascii="Times New Roman" w:eastAsia="Times New Roman" w:hAnsi="Times New Roman" w:cs="Times New Roman"/>
      <w:i/>
      <w:iCs/>
      <w:color w:val="2E74B5"/>
      <w:sz w:val="24"/>
      <w:szCs w:val="24"/>
      <w:lang w:val="en-US"/>
    </w:rPr>
  </w:style>
  <w:style w:type="paragraph" w:styleId="Heading5">
    <w:name w:val="heading 5"/>
    <w:link w:val="Heading5Char"/>
    <w:uiPriority w:val="9"/>
    <w:semiHidden/>
    <w:unhideWhenUsed/>
    <w:qFormat/>
    <w:rsid w:val="00D33783"/>
    <w:pPr>
      <w:spacing w:after="0" w:line="240" w:lineRule="auto"/>
      <w:outlineLvl w:val="4"/>
    </w:pPr>
    <w:rPr>
      <w:rFonts w:ascii="Times New Roman" w:eastAsia="Times New Roman" w:hAnsi="Times New Roman" w:cs="Times New Roman"/>
      <w:color w:val="2E74B5"/>
      <w:sz w:val="24"/>
      <w:szCs w:val="24"/>
      <w:lang w:val="en-US"/>
    </w:rPr>
  </w:style>
  <w:style w:type="paragraph" w:styleId="Heading6">
    <w:name w:val="heading 6"/>
    <w:link w:val="Heading6Char"/>
    <w:uiPriority w:val="9"/>
    <w:semiHidden/>
    <w:unhideWhenUsed/>
    <w:qFormat/>
    <w:rsid w:val="00D33783"/>
    <w:pPr>
      <w:spacing w:after="0" w:line="240" w:lineRule="auto"/>
      <w:outlineLvl w:val="5"/>
    </w:pPr>
    <w:rPr>
      <w:rFonts w:ascii="Times New Roman" w:eastAsia="Times New Roman" w:hAnsi="Times New Roman" w:cs="Times New Roman"/>
      <w:color w:val="1F4D7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0465E"/>
    <w:rPr>
      <w:rFonts w:ascii="Times New Roman" w:eastAsia="Times New Roman" w:hAnsi="Times New Roman" w:cs="Times New Roman"/>
      <w:b/>
      <w:bCs/>
      <w:sz w:val="36"/>
      <w:szCs w:val="36"/>
      <w:lang w:eastAsia="sq-AL"/>
    </w:rPr>
  </w:style>
  <w:style w:type="character" w:customStyle="1" w:styleId="Heading3Char">
    <w:name w:val="Heading 3 Char"/>
    <w:basedOn w:val="DefaultParagraphFont"/>
    <w:link w:val="Heading3"/>
    <w:uiPriority w:val="9"/>
    <w:rsid w:val="0050465E"/>
    <w:rPr>
      <w:rFonts w:ascii="Times New Roman" w:eastAsia="Times New Roman" w:hAnsi="Times New Roman" w:cs="Times New Roman"/>
      <w:b/>
      <w:bCs/>
      <w:sz w:val="27"/>
      <w:szCs w:val="27"/>
      <w:lang w:eastAsia="sq-AL"/>
    </w:rPr>
  </w:style>
  <w:style w:type="paragraph" w:styleId="NormalWeb">
    <w:name w:val="Normal (Web)"/>
    <w:basedOn w:val="Normal"/>
    <w:uiPriority w:val="99"/>
    <w:unhideWhenUsed/>
    <w:rsid w:val="0050465E"/>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50465E"/>
    <w:rPr>
      <w:b/>
      <w:bCs/>
    </w:rPr>
  </w:style>
  <w:style w:type="character" w:styleId="Emphasis">
    <w:name w:val="Emphasis"/>
    <w:basedOn w:val="DefaultParagraphFont"/>
    <w:uiPriority w:val="20"/>
    <w:qFormat/>
    <w:rsid w:val="0050465E"/>
    <w:rPr>
      <w:i/>
      <w:iCs/>
    </w:rPr>
  </w:style>
  <w:style w:type="character" w:customStyle="1" w:styleId="whitespace-normal">
    <w:name w:val="whitespace-normal"/>
    <w:basedOn w:val="DefaultParagraphFont"/>
    <w:rsid w:val="0050465E"/>
  </w:style>
  <w:style w:type="paragraph" w:styleId="ListParagraph">
    <w:name w:val="List Paragraph"/>
    <w:basedOn w:val="Normal"/>
    <w:qFormat/>
    <w:rsid w:val="00995018"/>
    <w:pPr>
      <w:ind w:left="720"/>
      <w:contextualSpacing/>
    </w:pPr>
  </w:style>
  <w:style w:type="paragraph" w:styleId="FootnoteText">
    <w:name w:val="footnote text"/>
    <w:basedOn w:val="Normal"/>
    <w:link w:val="FootnoteTextChar"/>
    <w:uiPriority w:val="99"/>
    <w:semiHidden/>
    <w:unhideWhenUsed/>
    <w:rsid w:val="009950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018"/>
    <w:rPr>
      <w:sz w:val="20"/>
      <w:szCs w:val="20"/>
    </w:rPr>
  </w:style>
  <w:style w:type="character" w:styleId="FootnoteReference">
    <w:name w:val="footnote reference"/>
    <w:basedOn w:val="DefaultParagraphFont"/>
    <w:uiPriority w:val="99"/>
    <w:semiHidden/>
    <w:unhideWhenUsed/>
    <w:rsid w:val="00995018"/>
    <w:rPr>
      <w:vertAlign w:val="superscript"/>
    </w:rPr>
  </w:style>
  <w:style w:type="paragraph" w:styleId="Header">
    <w:name w:val="header"/>
    <w:basedOn w:val="Normal"/>
    <w:link w:val="HeaderChar"/>
    <w:uiPriority w:val="99"/>
    <w:unhideWhenUsed/>
    <w:rsid w:val="009950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018"/>
  </w:style>
  <w:style w:type="paragraph" w:styleId="Footer">
    <w:name w:val="footer"/>
    <w:basedOn w:val="Normal"/>
    <w:link w:val="FooterChar"/>
    <w:uiPriority w:val="99"/>
    <w:unhideWhenUsed/>
    <w:rsid w:val="009950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018"/>
  </w:style>
  <w:style w:type="character" w:customStyle="1" w:styleId="Heading1Char">
    <w:name w:val="Heading 1 Char"/>
    <w:basedOn w:val="DefaultParagraphFont"/>
    <w:link w:val="Heading1"/>
    <w:uiPriority w:val="9"/>
    <w:rsid w:val="00D33783"/>
    <w:rPr>
      <w:rFonts w:ascii="Times New Roman" w:eastAsia="Times New Roman" w:hAnsi="Times New Roman" w:cs="Times New Roman"/>
      <w:color w:val="2E74B5"/>
      <w:sz w:val="32"/>
      <w:szCs w:val="32"/>
      <w:lang w:val="en-US"/>
    </w:rPr>
  </w:style>
  <w:style w:type="character" w:customStyle="1" w:styleId="Heading4Char">
    <w:name w:val="Heading 4 Char"/>
    <w:basedOn w:val="DefaultParagraphFont"/>
    <w:link w:val="Heading4"/>
    <w:uiPriority w:val="9"/>
    <w:semiHidden/>
    <w:rsid w:val="00D33783"/>
    <w:rPr>
      <w:rFonts w:ascii="Times New Roman" w:eastAsia="Times New Roman" w:hAnsi="Times New Roman" w:cs="Times New Roman"/>
      <w:i/>
      <w:iCs/>
      <w:color w:val="2E74B5"/>
      <w:sz w:val="24"/>
      <w:szCs w:val="24"/>
      <w:lang w:val="en-US"/>
    </w:rPr>
  </w:style>
  <w:style w:type="character" w:customStyle="1" w:styleId="Heading5Char">
    <w:name w:val="Heading 5 Char"/>
    <w:basedOn w:val="DefaultParagraphFont"/>
    <w:link w:val="Heading5"/>
    <w:uiPriority w:val="9"/>
    <w:semiHidden/>
    <w:rsid w:val="00D33783"/>
    <w:rPr>
      <w:rFonts w:ascii="Times New Roman" w:eastAsia="Times New Roman" w:hAnsi="Times New Roman" w:cs="Times New Roman"/>
      <w:color w:val="2E74B5"/>
      <w:sz w:val="24"/>
      <w:szCs w:val="24"/>
      <w:lang w:val="en-US"/>
    </w:rPr>
  </w:style>
  <w:style w:type="character" w:customStyle="1" w:styleId="Heading6Char">
    <w:name w:val="Heading 6 Char"/>
    <w:basedOn w:val="DefaultParagraphFont"/>
    <w:link w:val="Heading6"/>
    <w:uiPriority w:val="9"/>
    <w:semiHidden/>
    <w:rsid w:val="00D33783"/>
    <w:rPr>
      <w:rFonts w:ascii="Times New Roman" w:eastAsia="Times New Roman" w:hAnsi="Times New Roman" w:cs="Times New Roman"/>
      <w:color w:val="1F4D78"/>
      <w:sz w:val="24"/>
      <w:szCs w:val="24"/>
      <w:lang w:val="en-US"/>
    </w:rPr>
  </w:style>
  <w:style w:type="numbering" w:customStyle="1" w:styleId="NoList1">
    <w:name w:val="No List1"/>
    <w:next w:val="NoList"/>
    <w:uiPriority w:val="99"/>
    <w:semiHidden/>
    <w:unhideWhenUsed/>
    <w:rsid w:val="00D33783"/>
  </w:style>
  <w:style w:type="paragraph" w:styleId="Title">
    <w:name w:val="Title"/>
    <w:link w:val="TitleChar"/>
    <w:uiPriority w:val="10"/>
    <w:qFormat/>
    <w:rsid w:val="00D33783"/>
    <w:pPr>
      <w:spacing w:after="0" w:line="240" w:lineRule="auto"/>
    </w:pPr>
    <w:rPr>
      <w:rFonts w:ascii="Times New Roman" w:eastAsia="Times New Roman" w:hAnsi="Times New Roman" w:cs="Times New Roman"/>
      <w:sz w:val="56"/>
      <w:szCs w:val="56"/>
      <w:lang w:val="en-US"/>
    </w:rPr>
  </w:style>
  <w:style w:type="character" w:customStyle="1" w:styleId="TitleChar">
    <w:name w:val="Title Char"/>
    <w:basedOn w:val="DefaultParagraphFont"/>
    <w:link w:val="Title"/>
    <w:uiPriority w:val="10"/>
    <w:rsid w:val="00D33783"/>
    <w:rPr>
      <w:rFonts w:ascii="Times New Roman" w:eastAsia="Times New Roman" w:hAnsi="Times New Roman" w:cs="Times New Roman"/>
      <w:sz w:val="56"/>
      <w:szCs w:val="56"/>
      <w:lang w:val="en-US"/>
    </w:rPr>
  </w:style>
  <w:style w:type="paragraph" w:customStyle="1" w:styleId="Strong1">
    <w:name w:val="Strong1"/>
    <w:qFormat/>
    <w:rsid w:val="00D33783"/>
    <w:pPr>
      <w:spacing w:after="0" w:line="240" w:lineRule="auto"/>
    </w:pPr>
    <w:rPr>
      <w:rFonts w:ascii="Times New Roman" w:eastAsia="Times New Roman" w:hAnsi="Times New Roman" w:cs="Times New Roman"/>
      <w:b/>
      <w:bCs/>
      <w:sz w:val="24"/>
      <w:szCs w:val="24"/>
      <w:lang w:val="en-US"/>
    </w:rPr>
  </w:style>
  <w:style w:type="character" w:styleId="Hyperlink">
    <w:name w:val="Hyperlink"/>
    <w:uiPriority w:val="99"/>
    <w:unhideWhenUsed/>
    <w:rsid w:val="00D33783"/>
    <w:rPr>
      <w:color w:val="0563C1"/>
      <w:u w:val="single"/>
    </w:rPr>
  </w:style>
  <w:style w:type="character" w:styleId="EndnoteReference">
    <w:name w:val="endnote reference"/>
    <w:uiPriority w:val="99"/>
    <w:semiHidden/>
    <w:unhideWhenUsed/>
    <w:rsid w:val="00D33783"/>
    <w:rPr>
      <w:vertAlign w:val="superscript"/>
    </w:rPr>
  </w:style>
  <w:style w:type="paragraph" w:styleId="EndnoteText">
    <w:name w:val="endnote text"/>
    <w:link w:val="EndnoteTextChar"/>
    <w:uiPriority w:val="99"/>
    <w:semiHidden/>
    <w:unhideWhenUsed/>
    <w:rsid w:val="00D3378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uiPriority w:val="99"/>
    <w:semiHidden/>
    <w:rsid w:val="00D33783"/>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D33783"/>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D33783"/>
    <w:rPr>
      <w:rFonts w:ascii="Segoe UI" w:eastAsia="Times New Roman" w:hAnsi="Segoe UI" w:cs="Segoe UI"/>
      <w:sz w:val="18"/>
      <w:szCs w:val="18"/>
      <w:lang w:val="en-US"/>
    </w:rPr>
  </w:style>
  <w:style w:type="paragraph" w:customStyle="1" w:styleId="isselectedend">
    <w:name w:val="isselectedend"/>
    <w:basedOn w:val="Normal"/>
    <w:rsid w:val="00D33783"/>
    <w:pPr>
      <w:spacing w:before="100" w:beforeAutospacing="1" w:after="100" w:afterAutospacing="1" w:line="240" w:lineRule="auto"/>
    </w:pPr>
    <w:rPr>
      <w:rFonts w:ascii="Times New Roman" w:eastAsia="Times New Roman" w:hAnsi="Times New Roman" w:cs="Times New Roman"/>
      <w:sz w:val="24"/>
      <w:szCs w:val="24"/>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71879">
      <w:bodyDiv w:val="1"/>
      <w:marLeft w:val="0"/>
      <w:marRight w:val="0"/>
      <w:marTop w:val="0"/>
      <w:marBottom w:val="0"/>
      <w:divBdr>
        <w:top w:val="none" w:sz="0" w:space="0" w:color="auto"/>
        <w:left w:val="none" w:sz="0" w:space="0" w:color="auto"/>
        <w:bottom w:val="none" w:sz="0" w:space="0" w:color="auto"/>
        <w:right w:val="none" w:sz="0" w:space="0" w:color="auto"/>
      </w:divBdr>
    </w:div>
    <w:div w:id="1039932356">
      <w:bodyDiv w:val="1"/>
      <w:marLeft w:val="0"/>
      <w:marRight w:val="0"/>
      <w:marTop w:val="0"/>
      <w:marBottom w:val="0"/>
      <w:divBdr>
        <w:top w:val="none" w:sz="0" w:space="0" w:color="auto"/>
        <w:left w:val="none" w:sz="0" w:space="0" w:color="auto"/>
        <w:bottom w:val="none" w:sz="0" w:space="0" w:color="auto"/>
        <w:right w:val="none" w:sz="0" w:space="0" w:color="auto"/>
      </w:divBdr>
      <w:divsChild>
        <w:div w:id="623318105">
          <w:marLeft w:val="0"/>
          <w:marRight w:val="0"/>
          <w:marTop w:val="0"/>
          <w:marBottom w:val="0"/>
          <w:divBdr>
            <w:top w:val="none" w:sz="0" w:space="0" w:color="auto"/>
            <w:left w:val="none" w:sz="0" w:space="0" w:color="auto"/>
            <w:bottom w:val="none" w:sz="0" w:space="0" w:color="auto"/>
            <w:right w:val="none" w:sz="0" w:space="0" w:color="auto"/>
          </w:divBdr>
        </w:div>
        <w:div w:id="1218736538">
          <w:marLeft w:val="0"/>
          <w:marRight w:val="0"/>
          <w:marTop w:val="0"/>
          <w:marBottom w:val="0"/>
          <w:divBdr>
            <w:top w:val="none" w:sz="0" w:space="0" w:color="auto"/>
            <w:left w:val="none" w:sz="0" w:space="0" w:color="auto"/>
            <w:bottom w:val="none" w:sz="0" w:space="0" w:color="auto"/>
            <w:right w:val="none" w:sz="0" w:space="0" w:color="auto"/>
          </w:divBdr>
          <w:divsChild>
            <w:div w:id="456991575">
              <w:marLeft w:val="0"/>
              <w:marRight w:val="0"/>
              <w:marTop w:val="0"/>
              <w:marBottom w:val="0"/>
              <w:divBdr>
                <w:top w:val="none" w:sz="0" w:space="0" w:color="auto"/>
                <w:left w:val="none" w:sz="0" w:space="0" w:color="auto"/>
                <w:bottom w:val="none" w:sz="0" w:space="0" w:color="auto"/>
                <w:right w:val="none" w:sz="0" w:space="0" w:color="auto"/>
              </w:divBdr>
            </w:div>
            <w:div w:id="1617442515">
              <w:marLeft w:val="0"/>
              <w:marRight w:val="0"/>
              <w:marTop w:val="0"/>
              <w:marBottom w:val="0"/>
              <w:divBdr>
                <w:top w:val="none" w:sz="0" w:space="0" w:color="auto"/>
                <w:left w:val="none" w:sz="0" w:space="0" w:color="auto"/>
                <w:bottom w:val="none" w:sz="0" w:space="0" w:color="auto"/>
                <w:right w:val="none" w:sz="0" w:space="0" w:color="auto"/>
              </w:divBdr>
            </w:div>
            <w:div w:id="1743524829">
              <w:marLeft w:val="0"/>
              <w:marRight w:val="0"/>
              <w:marTop w:val="0"/>
              <w:marBottom w:val="0"/>
              <w:divBdr>
                <w:top w:val="none" w:sz="0" w:space="0" w:color="auto"/>
                <w:left w:val="none" w:sz="0" w:space="0" w:color="auto"/>
                <w:bottom w:val="none" w:sz="0" w:space="0" w:color="auto"/>
                <w:right w:val="none" w:sz="0" w:space="0" w:color="auto"/>
              </w:divBdr>
            </w:div>
            <w:div w:id="16752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921628">
      <w:bodyDiv w:val="1"/>
      <w:marLeft w:val="0"/>
      <w:marRight w:val="0"/>
      <w:marTop w:val="0"/>
      <w:marBottom w:val="0"/>
      <w:divBdr>
        <w:top w:val="none" w:sz="0" w:space="0" w:color="auto"/>
        <w:left w:val="none" w:sz="0" w:space="0" w:color="auto"/>
        <w:bottom w:val="none" w:sz="0" w:space="0" w:color="auto"/>
        <w:right w:val="none" w:sz="0" w:space="0" w:color="auto"/>
      </w:divBdr>
      <w:divsChild>
        <w:div w:id="2013487382">
          <w:marLeft w:val="0"/>
          <w:marRight w:val="0"/>
          <w:marTop w:val="0"/>
          <w:marBottom w:val="0"/>
          <w:divBdr>
            <w:top w:val="none" w:sz="0" w:space="0" w:color="auto"/>
            <w:left w:val="none" w:sz="0" w:space="0" w:color="auto"/>
            <w:bottom w:val="none" w:sz="0" w:space="0" w:color="auto"/>
            <w:right w:val="none" w:sz="0" w:space="0" w:color="auto"/>
          </w:divBdr>
        </w:div>
        <w:div w:id="1822186591">
          <w:marLeft w:val="0"/>
          <w:marRight w:val="0"/>
          <w:marTop w:val="0"/>
          <w:marBottom w:val="0"/>
          <w:divBdr>
            <w:top w:val="none" w:sz="0" w:space="0" w:color="auto"/>
            <w:left w:val="none" w:sz="0" w:space="0" w:color="auto"/>
            <w:bottom w:val="none" w:sz="0" w:space="0" w:color="auto"/>
            <w:right w:val="none" w:sz="0" w:space="0" w:color="auto"/>
          </w:divBdr>
          <w:divsChild>
            <w:div w:id="761873716">
              <w:marLeft w:val="0"/>
              <w:marRight w:val="0"/>
              <w:marTop w:val="0"/>
              <w:marBottom w:val="0"/>
              <w:divBdr>
                <w:top w:val="none" w:sz="0" w:space="0" w:color="auto"/>
                <w:left w:val="none" w:sz="0" w:space="0" w:color="auto"/>
                <w:bottom w:val="none" w:sz="0" w:space="0" w:color="auto"/>
                <w:right w:val="none" w:sz="0" w:space="0" w:color="auto"/>
              </w:divBdr>
            </w:div>
            <w:div w:id="2144039958">
              <w:marLeft w:val="0"/>
              <w:marRight w:val="0"/>
              <w:marTop w:val="0"/>
              <w:marBottom w:val="0"/>
              <w:divBdr>
                <w:top w:val="none" w:sz="0" w:space="0" w:color="auto"/>
                <w:left w:val="none" w:sz="0" w:space="0" w:color="auto"/>
                <w:bottom w:val="none" w:sz="0" w:space="0" w:color="auto"/>
                <w:right w:val="none" w:sz="0" w:space="0" w:color="auto"/>
              </w:divBdr>
            </w:div>
            <w:div w:id="719406131">
              <w:marLeft w:val="0"/>
              <w:marRight w:val="0"/>
              <w:marTop w:val="0"/>
              <w:marBottom w:val="0"/>
              <w:divBdr>
                <w:top w:val="none" w:sz="0" w:space="0" w:color="auto"/>
                <w:left w:val="none" w:sz="0" w:space="0" w:color="auto"/>
                <w:bottom w:val="none" w:sz="0" w:space="0" w:color="auto"/>
                <w:right w:val="none" w:sz="0" w:space="0" w:color="auto"/>
              </w:divBdr>
            </w:div>
            <w:div w:id="711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28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48E9D-1C1D-4801-AC39-E52E5543AC2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28</Pages>
  <Words>8800</Words>
  <Characters>50166</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Anila Panajoti</cp:lastModifiedBy>
  <cp:revision>6</cp:revision>
  <cp:lastPrinted>2026-09-02T07:17:00Z</cp:lastPrinted>
  <dcterms:created xsi:type="dcterms:W3CDTF">2026-09-01T12:03:00Z</dcterms:created>
  <dcterms:modified xsi:type="dcterms:W3CDTF">2026-09-02T07:18:00Z</dcterms:modified>
</cp:coreProperties>
</file>