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4876"/>
        <w:gridCol w:w="5329"/>
      </w:tblGrid>
      <w:tr w:rsidR="005A32F9" w:rsidRPr="00B53887" w14:paraId="43293E43" w14:textId="77777777">
        <w:trPr>
          <w:jc w:val="center"/>
        </w:trPr>
        <w:tc>
          <w:tcPr>
            <w:tcW w:w="10205" w:type="dxa"/>
            <w:gridSpan w:val="2"/>
            <w:tcBorders>
              <w:top w:val="single" w:sz="8" w:space="0" w:color="000000"/>
              <w:left w:val="single" w:sz="8" w:space="0" w:color="000000"/>
              <w:bottom w:val="single" w:sz="8" w:space="0" w:color="000000"/>
              <w:right w:val="single" w:sz="8" w:space="0" w:color="000000"/>
            </w:tcBorders>
            <w:shd w:val="clear" w:color="auto" w:fill="D9D9D9"/>
            <w:tcMar>
              <w:top w:w="70" w:type="dxa"/>
              <w:left w:w="80" w:type="dxa"/>
              <w:bottom w:w="70" w:type="dxa"/>
              <w:right w:w="80" w:type="dxa"/>
            </w:tcMar>
            <w:vAlign w:val="center"/>
          </w:tcPr>
          <w:p w14:paraId="5F68664B" w14:textId="77777777" w:rsidR="005A32F9" w:rsidRPr="006916B7" w:rsidRDefault="00000000">
            <w:pPr>
              <w:spacing w:after="0"/>
              <w:jc w:val="center"/>
              <w:rPr>
                <w:lang w:val="it-IT"/>
              </w:rPr>
            </w:pPr>
            <w:r w:rsidRPr="006916B7">
              <w:rPr>
                <w:b/>
                <w:sz w:val="24"/>
                <w:lang w:val="it-IT"/>
              </w:rPr>
              <w:t>RAPORTI I VLERËSIMIT TË NDIKIMIT</w:t>
            </w:r>
          </w:p>
        </w:tc>
      </w:tr>
      <w:tr w:rsidR="005A32F9" w:rsidRPr="00B53887" w14:paraId="383F6929" w14:textId="77777777">
        <w:trPr>
          <w:jc w:val="center"/>
        </w:trPr>
        <w:tc>
          <w:tcPr>
            <w:tcW w:w="4876"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20466336" w14:textId="77777777" w:rsidR="005A32F9" w:rsidRPr="006916B7" w:rsidRDefault="00000000">
            <w:pPr>
              <w:spacing w:after="0"/>
              <w:rPr>
                <w:lang w:val="it-IT"/>
              </w:rPr>
            </w:pPr>
            <w:r w:rsidRPr="006916B7">
              <w:rPr>
                <w:b/>
                <w:sz w:val="19"/>
                <w:lang w:val="it-IT"/>
              </w:rPr>
              <w:t>EMËRTIMI I PROPOZIMIT TË POLITIKËS</w:t>
            </w:r>
          </w:p>
        </w:tc>
        <w:tc>
          <w:tcPr>
            <w:tcW w:w="5329"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4758E469" w14:textId="77777777" w:rsidR="005A32F9" w:rsidRPr="006916B7" w:rsidRDefault="00000000">
            <w:pPr>
              <w:spacing w:after="0"/>
              <w:rPr>
                <w:lang w:val="it-IT"/>
              </w:rPr>
            </w:pPr>
            <w:r w:rsidRPr="006916B7">
              <w:rPr>
                <w:sz w:val="18"/>
                <w:lang w:val="it-IT"/>
              </w:rPr>
              <w:t>Projektligj “Për emetimin e obligacioneve të mbuluara dhe mbikëqyrjen e tyre”</w:t>
            </w:r>
          </w:p>
        </w:tc>
      </w:tr>
      <w:tr w:rsidR="005A32F9" w14:paraId="00A3BB72" w14:textId="77777777">
        <w:trPr>
          <w:jc w:val="center"/>
        </w:trPr>
        <w:tc>
          <w:tcPr>
            <w:tcW w:w="4876"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73B21BA3" w14:textId="77777777" w:rsidR="005A32F9" w:rsidRDefault="00000000">
            <w:pPr>
              <w:spacing w:after="0"/>
            </w:pPr>
            <w:r>
              <w:rPr>
                <w:b/>
                <w:sz w:val="19"/>
              </w:rPr>
              <w:t>MINISTRIA UDHËHEQËSE</w:t>
            </w:r>
          </w:p>
        </w:tc>
        <w:tc>
          <w:tcPr>
            <w:tcW w:w="5329"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12DB42F0" w14:textId="77777777" w:rsidR="005A32F9" w:rsidRDefault="00000000">
            <w:pPr>
              <w:spacing w:after="0"/>
            </w:pPr>
            <w:r>
              <w:rPr>
                <w:sz w:val="18"/>
              </w:rPr>
              <w:t>Ministria e Financave</w:t>
            </w:r>
          </w:p>
        </w:tc>
      </w:tr>
      <w:tr w:rsidR="005A32F9" w14:paraId="4CC18C10" w14:textId="77777777">
        <w:trPr>
          <w:jc w:val="center"/>
        </w:trPr>
        <w:tc>
          <w:tcPr>
            <w:tcW w:w="4876"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245AB81E" w14:textId="77777777" w:rsidR="005A32F9" w:rsidRDefault="00000000">
            <w:pPr>
              <w:spacing w:after="0"/>
            </w:pPr>
            <w:r>
              <w:rPr>
                <w:b/>
                <w:sz w:val="19"/>
              </w:rPr>
              <w:t>FAZA E POLITIKËS/VLERËSIMIT TË NDIKIMIT</w:t>
            </w:r>
          </w:p>
        </w:tc>
        <w:tc>
          <w:tcPr>
            <w:tcW w:w="5329"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4756171D" w14:textId="77777777" w:rsidR="005A32F9" w:rsidRDefault="00000000">
            <w:pPr>
              <w:spacing w:after="0"/>
            </w:pPr>
            <w:r>
              <w:rPr>
                <w:sz w:val="18"/>
              </w:rPr>
              <w:t>Zhvillim. Dokument shoqërues i projektligjit për koordinim ndërinstitucional, konsultim publik dhe miratim.</w:t>
            </w:r>
          </w:p>
        </w:tc>
      </w:tr>
      <w:tr w:rsidR="005A32F9" w:rsidRPr="00B53887" w14:paraId="61AD4DFB" w14:textId="77777777">
        <w:trPr>
          <w:jc w:val="center"/>
        </w:trPr>
        <w:tc>
          <w:tcPr>
            <w:tcW w:w="4876"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38271FC6" w14:textId="77777777" w:rsidR="005A32F9" w:rsidRPr="006916B7" w:rsidRDefault="00000000">
            <w:pPr>
              <w:spacing w:after="0"/>
              <w:rPr>
                <w:lang w:val="it-IT"/>
              </w:rPr>
            </w:pPr>
            <w:r w:rsidRPr="006916B7">
              <w:rPr>
                <w:b/>
                <w:sz w:val="19"/>
                <w:lang w:val="it-IT"/>
              </w:rPr>
              <w:t>BURIMI I PROPOZIMIT TË POLITIKËS</w:t>
            </w:r>
          </w:p>
        </w:tc>
        <w:tc>
          <w:tcPr>
            <w:tcW w:w="5329"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4FFAC03A" w14:textId="77777777" w:rsidR="005A32F9" w:rsidRPr="006916B7" w:rsidRDefault="00000000">
            <w:pPr>
              <w:spacing w:after="0"/>
              <w:rPr>
                <w:lang w:val="it-IT"/>
              </w:rPr>
            </w:pPr>
            <w:r w:rsidRPr="006916B7">
              <w:rPr>
                <w:sz w:val="18"/>
                <w:lang w:val="it-IT"/>
              </w:rPr>
              <w:t>I brendshëm/Transpozim. Përafrimi i legjislacionit shqiptar me acquis të Bashkimit Evropian në kuadër të Kapitullit 9 “Shërbimet financiare”, si dhe nevoja për krijimin e një regjimi të posaçëm kombëtar për emetimin dhe mbikëqyrjen publike të obligacioneve të mbuluara.</w:t>
            </w:r>
          </w:p>
        </w:tc>
      </w:tr>
      <w:tr w:rsidR="005A32F9" w:rsidRPr="00B53887" w14:paraId="52599277" w14:textId="77777777">
        <w:trPr>
          <w:jc w:val="center"/>
        </w:trPr>
        <w:tc>
          <w:tcPr>
            <w:tcW w:w="4876"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50957903" w14:textId="77777777" w:rsidR="005A32F9" w:rsidRPr="006916B7" w:rsidRDefault="00000000">
            <w:pPr>
              <w:spacing w:after="0"/>
              <w:rPr>
                <w:lang w:val="it-IT"/>
              </w:rPr>
            </w:pPr>
            <w:r w:rsidRPr="006916B7">
              <w:rPr>
                <w:b/>
                <w:sz w:val="19"/>
                <w:lang w:val="it-IT"/>
              </w:rPr>
              <w:t>DIREKTIVË/RREGULLORE E BE-së</w:t>
            </w:r>
          </w:p>
        </w:tc>
        <w:tc>
          <w:tcPr>
            <w:tcW w:w="5329"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11505856" w14:textId="77777777" w:rsidR="005A32F9" w:rsidRPr="006916B7" w:rsidRDefault="00000000">
            <w:pPr>
              <w:spacing w:after="0"/>
              <w:rPr>
                <w:lang w:val="it-IT"/>
              </w:rPr>
            </w:pPr>
            <w:r w:rsidRPr="006916B7">
              <w:rPr>
                <w:sz w:val="18"/>
                <w:lang w:val="it-IT"/>
              </w:rPr>
              <w:t>1. Direktiva (BE) 2019/2162 e Parlamentit Evropian dhe e Këshillit, datë 27 nëntor 2019, mbi emetimin e obligacioneve të mbuluara dhe mbikëqyrjen publike të obligacioneve të mbuluara dhe për ndryshimin e Direktivave 2009/65/KE dhe 2014/59/BE (OJ L 328, 18.12.2019, fq. 29–57).</w:t>
            </w:r>
            <w:r w:rsidRPr="006916B7">
              <w:rPr>
                <w:sz w:val="18"/>
                <w:lang w:val="it-IT"/>
              </w:rPr>
              <w:br/>
            </w:r>
            <w:r w:rsidRPr="006916B7">
              <w:rPr>
                <w:sz w:val="18"/>
                <w:lang w:val="it-IT"/>
              </w:rPr>
              <w:br/>
              <w:t>2. Direktiva (BE) 2023/2864 e Parlamentit Evropian dhe e Këshillit, datë 13 dhjetor 2023, për ndryshimin e disa direktivave në lidhje me krijimin dhe funksionimin e Pikës së Vetme Evropiane të Aksesit (ESAP).</w:t>
            </w:r>
            <w:r w:rsidRPr="006916B7">
              <w:rPr>
                <w:sz w:val="18"/>
                <w:lang w:val="it-IT"/>
              </w:rPr>
              <w:br/>
            </w:r>
            <w:r w:rsidRPr="006916B7">
              <w:rPr>
                <w:sz w:val="18"/>
                <w:lang w:val="it-IT"/>
              </w:rPr>
              <w:br/>
              <w:t>3. Rregullorja (BE) 2023/2859 e Parlamentit Evropian dhe e Këshillit, datë 13 dhjetor 2023, për krijimin e Pikës së Vetme Evropiane të Aksesit (ESAP).</w:t>
            </w:r>
            <w:r w:rsidRPr="006916B7">
              <w:rPr>
                <w:sz w:val="18"/>
                <w:lang w:val="it-IT"/>
              </w:rPr>
              <w:br/>
            </w:r>
            <w:r w:rsidRPr="006916B7">
              <w:rPr>
                <w:sz w:val="18"/>
                <w:lang w:val="it-IT"/>
              </w:rPr>
              <w:br/>
              <w:t>4. Rregullorja (BE) 2019/2160 e Parlamentit Evropian dhe e Këshillit, datë 27 nëntor 2019, për ndryshimin e Rregullores (BE) nr. 575/2013 në lidhje me ekspozimet në formën e obligacioneve të mbuluara.</w:t>
            </w:r>
            <w:r w:rsidRPr="006916B7">
              <w:rPr>
                <w:sz w:val="18"/>
                <w:lang w:val="it-IT"/>
              </w:rPr>
              <w:br/>
            </w:r>
            <w:r w:rsidRPr="006916B7">
              <w:rPr>
                <w:sz w:val="18"/>
                <w:lang w:val="it-IT"/>
              </w:rPr>
              <w:br/>
              <w:t>5. Rregullorja (BE) nr. 575/2013, veçanërisht neni 129, për trajtimin prudencial të ekspozimeve në formën e obligacioneve të mbuluara.</w:t>
            </w:r>
          </w:p>
        </w:tc>
      </w:tr>
      <w:tr w:rsidR="005A32F9" w14:paraId="4FFC6F55" w14:textId="77777777">
        <w:trPr>
          <w:jc w:val="center"/>
        </w:trPr>
        <w:tc>
          <w:tcPr>
            <w:tcW w:w="4876"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5154B40C" w14:textId="77777777" w:rsidR="005A32F9" w:rsidRDefault="00000000">
            <w:pPr>
              <w:spacing w:after="0"/>
            </w:pPr>
            <w:r>
              <w:rPr>
                <w:b/>
                <w:sz w:val="19"/>
              </w:rPr>
              <w:t>PUBLIKIMET DHE STRATEGJITË E LIDHURA</w:t>
            </w:r>
          </w:p>
        </w:tc>
        <w:tc>
          <w:tcPr>
            <w:tcW w:w="5329"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398C21E0" w14:textId="77777777" w:rsidR="005A32F9" w:rsidRDefault="00000000">
            <w:pPr>
              <w:spacing w:after="0"/>
            </w:pPr>
            <w:r>
              <w:rPr>
                <w:sz w:val="18"/>
              </w:rPr>
              <w:t>• Ligji nr. 9662, datë 18.12.2006, “Për bankat në Republikën e Shqipërisë”, i ndryshuar;</w:t>
            </w:r>
            <w:r>
              <w:rPr>
                <w:sz w:val="18"/>
              </w:rPr>
              <w:br/>
              <w:t>• Ligji nr. 133/2016, datë 22.12.2016, “Për rimëkëmbjen dhe ndërhyrjen e jashtëzakonshme në banka, në Republikën e Shqipërisë”;</w:t>
            </w:r>
            <w:r>
              <w:rPr>
                <w:sz w:val="18"/>
              </w:rPr>
              <w:br/>
              <w:t>• Ligji nr. 62/2020, datë 14.05.2020, “Për tregjet e kapitalit”;</w:t>
            </w:r>
            <w:r>
              <w:rPr>
                <w:sz w:val="18"/>
              </w:rPr>
              <w:br/>
              <w:t>• Ligji nr. 9572, datë 03.07.2006, “Për Autoritetin e Mbikëqyrjes Financiare”, i ndryshuar;</w:t>
            </w:r>
            <w:r>
              <w:rPr>
                <w:sz w:val="18"/>
              </w:rPr>
              <w:br/>
              <w:t>• Ligji nr. 8269, datë 23.12.1997, “Për Bankën e Shqipërisë”, i ndryshuar;</w:t>
            </w:r>
            <w:r>
              <w:rPr>
                <w:sz w:val="18"/>
              </w:rPr>
              <w:br/>
              <w:t>• Ligji nr. 53/2014, datë 22.05.2014, “Për sigurimin e depozitave”, i ndryshuar;</w:t>
            </w:r>
            <w:r>
              <w:rPr>
                <w:sz w:val="18"/>
              </w:rPr>
              <w:br/>
              <w:t>• Ligji nr. 8537, datë 18.10.1999, “Për barrët siguruese”, i ndryshuar;</w:t>
            </w:r>
            <w:r>
              <w:rPr>
                <w:sz w:val="18"/>
              </w:rPr>
              <w:br/>
              <w:t>• Ligji nr. 111/2018, “Për kadastrën”;</w:t>
            </w:r>
            <w:r>
              <w:rPr>
                <w:sz w:val="18"/>
              </w:rPr>
              <w:br/>
              <w:t>• Ligji nr. 25/2018, datë 10.05.2018, “Për kontabilitetin dhe pasqyrat financiare”;</w:t>
            </w:r>
            <w:r>
              <w:rPr>
                <w:sz w:val="18"/>
              </w:rPr>
              <w:br/>
              <w:t>• Ligji nr. 10091, datë 05.03.2009, “Për auditimin ligjor, organizimin e profesionit të audituesit ligjor dhe të kontabilistit të miratuar”, i ndryshuar;</w:t>
            </w:r>
            <w:r>
              <w:rPr>
                <w:sz w:val="18"/>
              </w:rPr>
              <w:br/>
              <w:t>• Programi Kombëtar për Integrimin Evropian;</w:t>
            </w:r>
            <w:r>
              <w:rPr>
                <w:sz w:val="18"/>
              </w:rPr>
              <w:br/>
              <w:t>• Dokumenti Politik “Për krijimin e një mjedisi mundësues për zhvillimin e tregjeve të kapitalit në Shqipëri, 2023–2027”;</w:t>
            </w:r>
            <w:r>
              <w:rPr>
                <w:sz w:val="18"/>
              </w:rPr>
              <w:br/>
              <w:t>• Strategjia e Autoritetit të Mbikëqyrjes Financiare 2023–2027.</w:t>
            </w:r>
          </w:p>
        </w:tc>
      </w:tr>
      <w:tr w:rsidR="005A32F9" w14:paraId="4A2CFFF0" w14:textId="77777777">
        <w:trPr>
          <w:jc w:val="center"/>
        </w:trPr>
        <w:tc>
          <w:tcPr>
            <w:tcW w:w="4876"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2247EB5E" w14:textId="77777777" w:rsidR="005A32F9" w:rsidRDefault="00000000">
            <w:pPr>
              <w:spacing w:after="0"/>
            </w:pPr>
            <w:r>
              <w:rPr>
                <w:b/>
                <w:sz w:val="19"/>
              </w:rPr>
              <w:t>DATA E KONSULTIMIT PUBLIK</w:t>
            </w:r>
          </w:p>
        </w:tc>
        <w:tc>
          <w:tcPr>
            <w:tcW w:w="5329"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3C1D46AC" w14:textId="77777777" w:rsidR="005A32F9" w:rsidRDefault="00000000">
            <w:pPr>
              <w:spacing w:after="0"/>
              <w:jc w:val="both"/>
            </w:pPr>
            <w:r>
              <w:rPr>
                <w:sz w:val="17"/>
              </w:rPr>
              <w:t>Projektligji është dërguar për koordinim ndërinstitucional. Në vijim, projektligji dhe dokumentet shoqëruese do të publikohen në Regjistrin Elektronik për Njoftimet dhe Konsultimet Publike (RENJKP), në përputhje me legjislacionin për konsultimin publik. Në datën e këtij vlerësimi nuk ka përfunduar ende konsultimi publik dhe, për rrjedhojë, nuk raportohen komente publike të administruara.</w:t>
            </w:r>
          </w:p>
        </w:tc>
      </w:tr>
      <w:tr w:rsidR="005A32F9" w14:paraId="356C344B" w14:textId="77777777">
        <w:trPr>
          <w:jc w:val="center"/>
        </w:trPr>
        <w:tc>
          <w:tcPr>
            <w:tcW w:w="4876"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3B6370A8" w14:textId="77777777" w:rsidR="005A32F9" w:rsidRPr="006916B7" w:rsidRDefault="00000000">
            <w:pPr>
              <w:spacing w:after="0"/>
              <w:rPr>
                <w:lang w:val="it-IT"/>
              </w:rPr>
            </w:pPr>
            <w:r w:rsidRPr="006916B7">
              <w:rPr>
                <w:b/>
                <w:sz w:val="19"/>
                <w:lang w:val="it-IT"/>
              </w:rPr>
              <w:t>DATA E VLERËSIMIT TË NDIKIMIT</w:t>
            </w:r>
          </w:p>
        </w:tc>
        <w:tc>
          <w:tcPr>
            <w:tcW w:w="5329"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70E5A808" w14:textId="77777777" w:rsidR="005A32F9" w:rsidRDefault="00000000">
            <w:pPr>
              <w:spacing w:after="0"/>
            </w:pPr>
            <w:r>
              <w:rPr>
                <w:sz w:val="18"/>
              </w:rPr>
              <w:t>29/07/2026</w:t>
            </w:r>
          </w:p>
        </w:tc>
      </w:tr>
      <w:tr w:rsidR="005A32F9" w14:paraId="4B6BC0B2" w14:textId="77777777">
        <w:trPr>
          <w:jc w:val="center"/>
        </w:trPr>
        <w:tc>
          <w:tcPr>
            <w:tcW w:w="4876"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131EDE9E" w14:textId="77777777" w:rsidR="005A32F9" w:rsidRDefault="00000000">
            <w:pPr>
              <w:spacing w:after="0"/>
            </w:pPr>
            <w:r>
              <w:rPr>
                <w:b/>
                <w:sz w:val="19"/>
              </w:rPr>
              <w:t>A E KA SHQYRTUAR KRYEMINISTRIA VLERËSIMIN E NDIKIMIT?</w:t>
            </w:r>
            <w:r>
              <w:rPr>
                <w:b/>
                <w:sz w:val="19"/>
              </w:rPr>
              <w:br/>
              <w:t>NËSE PO, JEPNI DATËN E SHQYRTIMIT</w:t>
            </w:r>
          </w:p>
        </w:tc>
        <w:tc>
          <w:tcPr>
            <w:tcW w:w="5329"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224EFDCF" w14:textId="77777777" w:rsidR="005A32F9" w:rsidRDefault="00000000">
            <w:pPr>
              <w:spacing w:after="0"/>
            </w:pPr>
            <w:r>
              <w:rPr>
                <w:sz w:val="18"/>
              </w:rPr>
              <w:t>Jo, në momentin e përgatitjes së këtij vlerësimi të ndikimit.</w:t>
            </w:r>
          </w:p>
        </w:tc>
      </w:tr>
      <w:tr w:rsidR="005A32F9" w:rsidRPr="00B53887" w14:paraId="18974001" w14:textId="77777777">
        <w:trPr>
          <w:jc w:val="center"/>
        </w:trPr>
        <w:tc>
          <w:tcPr>
            <w:tcW w:w="4876"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7FCC45FA" w14:textId="77777777" w:rsidR="005A32F9" w:rsidRPr="006916B7" w:rsidRDefault="00000000">
            <w:pPr>
              <w:spacing w:after="0"/>
              <w:rPr>
                <w:lang w:val="it-IT"/>
              </w:rPr>
            </w:pPr>
            <w:r w:rsidRPr="006916B7">
              <w:rPr>
                <w:b/>
                <w:sz w:val="19"/>
                <w:lang w:val="it-IT"/>
              </w:rPr>
              <w:t>NUMRI I VLERËSIMIT TË NDIKIMIT</w:t>
            </w:r>
          </w:p>
        </w:tc>
        <w:tc>
          <w:tcPr>
            <w:tcW w:w="5329"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5AA57570" w14:textId="77777777" w:rsidR="00AE1469" w:rsidRPr="00424790" w:rsidRDefault="00AE1469">
            <w:pPr>
              <w:rPr>
                <w:lang w:val="it-IT"/>
              </w:rPr>
            </w:pPr>
          </w:p>
        </w:tc>
      </w:tr>
      <w:tr w:rsidR="005A32F9" w:rsidRPr="00424790" w14:paraId="666E725C" w14:textId="77777777">
        <w:trPr>
          <w:jc w:val="center"/>
        </w:trPr>
        <w:tc>
          <w:tcPr>
            <w:tcW w:w="4876"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7D7F1291" w14:textId="77777777" w:rsidR="005A32F9" w:rsidRDefault="00000000">
            <w:pPr>
              <w:spacing w:after="0"/>
            </w:pPr>
            <w:r>
              <w:rPr>
                <w:b/>
                <w:sz w:val="19"/>
              </w:rPr>
              <w:lastRenderedPageBreak/>
              <w:t>TË DHËNA KONTAKTI</w:t>
            </w:r>
            <w:r>
              <w:rPr>
                <w:b/>
                <w:sz w:val="19"/>
              </w:rPr>
              <w:br/>
              <w:t>(EMRI, E-MAIL, NUMRI I TELEFONIT TË PERSONIT TË KONTAKTIT)</w:t>
            </w:r>
          </w:p>
        </w:tc>
        <w:tc>
          <w:tcPr>
            <w:tcW w:w="5329"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0EF84B53" w14:textId="43DB84EF" w:rsidR="000C305C" w:rsidRDefault="00000000">
            <w:r>
              <w:t>Patris Poshnjari</w:t>
            </w:r>
            <w:r>
              <w:br/>
              <w:t>Drejtor, Drejtoria e Mbikëqyrjes së Tregjeve të Kapitalit</w:t>
            </w:r>
            <w:r>
              <w:br/>
              <w:t>Autoriteti i Mbikëqyrjes Financiare</w:t>
            </w:r>
            <w:r>
              <w:br/>
              <w:t>patris.poshnjari@amf.gov.al</w:t>
            </w:r>
            <w:r>
              <w:br/>
            </w:r>
          </w:p>
        </w:tc>
      </w:tr>
    </w:tbl>
    <w:p w14:paraId="36263101" w14:textId="77777777" w:rsidR="005A32F9" w:rsidRPr="00B53887" w:rsidRDefault="005A32F9"/>
    <w:tbl>
      <w:tblPr>
        <w:tblW w:w="0" w:type="auto"/>
        <w:jc w:val="center"/>
        <w:tblLayout w:type="fixed"/>
        <w:tblLook w:val="04A0" w:firstRow="1" w:lastRow="0" w:firstColumn="1" w:lastColumn="0" w:noHBand="0" w:noVBand="1"/>
      </w:tblPr>
      <w:tblGrid>
        <w:gridCol w:w="5102"/>
        <w:gridCol w:w="1701"/>
        <w:gridCol w:w="1701"/>
        <w:gridCol w:w="1702"/>
      </w:tblGrid>
      <w:tr w:rsidR="005A32F9" w:rsidRPr="00424790" w14:paraId="1EAFBB54" w14:textId="77777777">
        <w:trPr>
          <w:jc w:val="center"/>
        </w:trPr>
        <w:tc>
          <w:tcPr>
            <w:tcW w:w="10206" w:type="dxa"/>
            <w:gridSpan w:val="4"/>
            <w:tcBorders>
              <w:top w:val="single" w:sz="8" w:space="0" w:color="000000"/>
              <w:left w:val="single" w:sz="8" w:space="0" w:color="000000"/>
              <w:bottom w:val="single" w:sz="8" w:space="0" w:color="000000"/>
              <w:right w:val="single" w:sz="8" w:space="0" w:color="000000"/>
            </w:tcBorders>
            <w:shd w:val="clear" w:color="auto" w:fill="D9D9D9"/>
            <w:tcMar>
              <w:top w:w="70" w:type="dxa"/>
              <w:left w:w="80" w:type="dxa"/>
              <w:bottom w:w="70" w:type="dxa"/>
              <w:right w:w="80" w:type="dxa"/>
            </w:tcMar>
            <w:vAlign w:val="center"/>
          </w:tcPr>
          <w:p w14:paraId="7232B752" w14:textId="77777777" w:rsidR="005A32F9" w:rsidRPr="00B53887" w:rsidRDefault="00000000">
            <w:pPr>
              <w:spacing w:after="0"/>
            </w:pPr>
            <w:r w:rsidRPr="00B53887">
              <w:rPr>
                <w:b/>
                <w:sz w:val="22"/>
              </w:rPr>
              <w:t>PJESA 1: PËRMBLEDHJE EKZEKUTIVE (</w:t>
            </w:r>
            <w:proofErr w:type="spellStart"/>
            <w:r w:rsidRPr="00B53887">
              <w:rPr>
                <w:b/>
                <w:sz w:val="22"/>
              </w:rPr>
              <w:t>maksimumi</w:t>
            </w:r>
            <w:proofErr w:type="spellEnd"/>
            <w:r w:rsidRPr="00B53887">
              <w:rPr>
                <w:b/>
                <w:sz w:val="22"/>
              </w:rPr>
              <w:t xml:space="preserve"> 2 </w:t>
            </w:r>
            <w:proofErr w:type="spellStart"/>
            <w:r w:rsidRPr="00B53887">
              <w:rPr>
                <w:b/>
                <w:sz w:val="22"/>
              </w:rPr>
              <w:t>faqe</w:t>
            </w:r>
            <w:proofErr w:type="spellEnd"/>
            <w:r w:rsidRPr="00B53887">
              <w:rPr>
                <w:b/>
                <w:sz w:val="22"/>
              </w:rPr>
              <w:t>)</w:t>
            </w:r>
          </w:p>
        </w:tc>
      </w:tr>
      <w:tr w:rsidR="005A32F9" w14:paraId="10522227" w14:textId="77777777">
        <w:trPr>
          <w:jc w:val="center"/>
        </w:trPr>
        <w:tc>
          <w:tcPr>
            <w:tcW w:w="10206" w:type="dxa"/>
            <w:gridSpan w:val="4"/>
            <w:tcBorders>
              <w:top w:val="single" w:sz="8" w:space="0" w:color="000000"/>
              <w:left w:val="single" w:sz="8" w:space="0" w:color="000000"/>
              <w:bottom w:val="single" w:sz="8" w:space="0" w:color="000000"/>
              <w:right w:val="single" w:sz="8" w:space="0" w:color="000000"/>
            </w:tcBorders>
            <w:shd w:val="clear" w:color="auto" w:fill="F2F2F2"/>
            <w:tcMar>
              <w:top w:w="70" w:type="dxa"/>
              <w:left w:w="80" w:type="dxa"/>
              <w:bottom w:w="70" w:type="dxa"/>
              <w:right w:w="80" w:type="dxa"/>
            </w:tcMar>
            <w:vAlign w:val="center"/>
          </w:tcPr>
          <w:p w14:paraId="56B246C7" w14:textId="77777777" w:rsidR="005A32F9" w:rsidRDefault="00000000">
            <w:pPr>
              <w:spacing w:after="0"/>
            </w:pPr>
            <w:r w:rsidRPr="00B53887">
              <w:rPr>
                <w:i/>
                <w:sz w:val="19"/>
              </w:rPr>
              <w:t xml:space="preserve">Cili </w:t>
            </w:r>
            <w:proofErr w:type="spellStart"/>
            <w:r w:rsidRPr="00B53887">
              <w:rPr>
                <w:i/>
                <w:sz w:val="19"/>
              </w:rPr>
              <w:t>është</w:t>
            </w:r>
            <w:proofErr w:type="spellEnd"/>
            <w:r w:rsidRPr="00B53887">
              <w:rPr>
                <w:i/>
                <w:sz w:val="19"/>
              </w:rPr>
              <w:t xml:space="preserve"> </w:t>
            </w:r>
            <w:proofErr w:type="spellStart"/>
            <w:r w:rsidRPr="00B53887">
              <w:rPr>
                <w:i/>
                <w:sz w:val="19"/>
              </w:rPr>
              <w:t>problemi</w:t>
            </w:r>
            <w:proofErr w:type="spellEnd"/>
            <w:r w:rsidRPr="00B53887">
              <w:rPr>
                <w:i/>
                <w:sz w:val="19"/>
              </w:rPr>
              <w:t xml:space="preserve"> </w:t>
            </w:r>
            <w:proofErr w:type="spellStart"/>
            <w:r w:rsidRPr="00B53887">
              <w:rPr>
                <w:i/>
                <w:sz w:val="19"/>
              </w:rPr>
              <w:t>në</w:t>
            </w:r>
            <w:proofErr w:type="spellEnd"/>
            <w:r w:rsidRPr="00B53887">
              <w:rPr>
                <w:i/>
                <w:sz w:val="19"/>
              </w:rPr>
              <w:t xml:space="preserve"> </w:t>
            </w:r>
            <w:proofErr w:type="spellStart"/>
            <w:r w:rsidRPr="00B53887">
              <w:rPr>
                <w:i/>
                <w:sz w:val="19"/>
              </w:rPr>
              <w:t>shqyrtim</w:t>
            </w:r>
            <w:proofErr w:type="spellEnd"/>
            <w:r w:rsidRPr="00B53887">
              <w:rPr>
                <w:i/>
                <w:sz w:val="19"/>
              </w:rPr>
              <w:t xml:space="preserve"> </w:t>
            </w:r>
            <w:proofErr w:type="spellStart"/>
            <w:r w:rsidRPr="00B53887">
              <w:rPr>
                <w:i/>
                <w:sz w:val="19"/>
              </w:rPr>
              <w:t>dhe</w:t>
            </w:r>
            <w:proofErr w:type="spellEnd"/>
            <w:r w:rsidRPr="00B53887">
              <w:rPr>
                <w:i/>
                <w:sz w:val="19"/>
              </w:rPr>
              <w:t xml:space="preserve"> </w:t>
            </w:r>
            <w:proofErr w:type="spellStart"/>
            <w:r w:rsidRPr="00B53887">
              <w:rPr>
                <w:i/>
                <w:sz w:val="19"/>
              </w:rPr>
              <w:t>cilat</w:t>
            </w:r>
            <w:proofErr w:type="spellEnd"/>
            <w:r w:rsidRPr="00B53887">
              <w:rPr>
                <w:i/>
                <w:sz w:val="19"/>
              </w:rPr>
              <w:t xml:space="preserve"> </w:t>
            </w:r>
            <w:proofErr w:type="spellStart"/>
            <w:r w:rsidRPr="00B53887">
              <w:rPr>
                <w:i/>
                <w:sz w:val="19"/>
              </w:rPr>
              <w:t>janë</w:t>
            </w:r>
            <w:proofErr w:type="spellEnd"/>
            <w:r w:rsidRPr="00B53887">
              <w:rPr>
                <w:i/>
                <w:sz w:val="19"/>
              </w:rPr>
              <w:t xml:space="preserve"> </w:t>
            </w:r>
            <w:proofErr w:type="spellStart"/>
            <w:r w:rsidRPr="00B53887">
              <w:rPr>
                <w:i/>
                <w:sz w:val="19"/>
              </w:rPr>
              <w:t>shkaqet</w:t>
            </w:r>
            <w:proofErr w:type="spellEnd"/>
            <w:r w:rsidRPr="00B53887">
              <w:rPr>
                <w:i/>
                <w:sz w:val="19"/>
              </w:rPr>
              <w:t xml:space="preserve"> e </w:t>
            </w:r>
            <w:proofErr w:type="spellStart"/>
            <w:r w:rsidRPr="00B53887">
              <w:rPr>
                <w:i/>
                <w:sz w:val="19"/>
              </w:rPr>
              <w:t>tij</w:t>
            </w:r>
            <w:proofErr w:type="spellEnd"/>
            <w:r w:rsidRPr="00B53887">
              <w:rPr>
                <w:i/>
                <w:sz w:val="19"/>
              </w:rPr>
              <w:t xml:space="preserve">? </w:t>
            </w:r>
            <w:proofErr w:type="spellStart"/>
            <w:r w:rsidRPr="00B53887">
              <w:rPr>
                <w:i/>
                <w:sz w:val="19"/>
              </w:rPr>
              <w:t>Jepni</w:t>
            </w:r>
            <w:proofErr w:type="spellEnd"/>
            <w:r w:rsidRPr="00B53887">
              <w:rPr>
                <w:i/>
                <w:sz w:val="19"/>
              </w:rPr>
              <w:t xml:space="preserve"> </w:t>
            </w:r>
            <w:proofErr w:type="spellStart"/>
            <w:r w:rsidRPr="00B53887">
              <w:rPr>
                <w:i/>
                <w:sz w:val="19"/>
              </w:rPr>
              <w:t>arsyet</w:t>
            </w:r>
            <w:proofErr w:type="spellEnd"/>
            <w:r w:rsidRPr="00B53887">
              <w:rPr>
                <w:i/>
                <w:sz w:val="19"/>
              </w:rPr>
              <w:t xml:space="preserve"> e </w:t>
            </w:r>
            <w:proofErr w:type="spellStart"/>
            <w:r w:rsidRPr="00B53887">
              <w:rPr>
                <w:i/>
                <w:sz w:val="19"/>
              </w:rPr>
              <w:t>nevojës</w:t>
            </w:r>
            <w:proofErr w:type="spellEnd"/>
            <w:r w:rsidRPr="00B53887">
              <w:rPr>
                <w:i/>
                <w:sz w:val="19"/>
              </w:rPr>
              <w:t xml:space="preserve"> </w:t>
            </w:r>
            <w:proofErr w:type="spellStart"/>
            <w:r w:rsidRPr="00B53887">
              <w:rPr>
                <w:i/>
                <w:sz w:val="19"/>
              </w:rPr>
              <w:t>së</w:t>
            </w:r>
            <w:proofErr w:type="spellEnd"/>
            <w:r w:rsidRPr="00B53887">
              <w:rPr>
                <w:i/>
                <w:sz w:val="19"/>
              </w:rPr>
              <w:t xml:space="preserve"> </w:t>
            </w:r>
            <w:proofErr w:type="spellStart"/>
            <w:r w:rsidRPr="00B53887">
              <w:rPr>
                <w:i/>
                <w:sz w:val="19"/>
              </w:rPr>
              <w:t>ndërhyrjes</w:t>
            </w:r>
            <w:proofErr w:type="spellEnd"/>
            <w:r w:rsidRPr="00B53887">
              <w:rPr>
                <w:i/>
                <w:sz w:val="19"/>
              </w:rPr>
              <w:t xml:space="preserve"> </w:t>
            </w:r>
            <w:proofErr w:type="spellStart"/>
            <w:r w:rsidRPr="00B53887">
              <w:rPr>
                <w:i/>
                <w:sz w:val="19"/>
              </w:rPr>
              <w:t>së</w:t>
            </w:r>
            <w:proofErr w:type="spellEnd"/>
            <w:r w:rsidRPr="00B53887">
              <w:rPr>
                <w:i/>
                <w:sz w:val="19"/>
              </w:rPr>
              <w:t xml:space="preserve"> </w:t>
            </w:r>
            <w:proofErr w:type="spellStart"/>
            <w:r w:rsidRPr="00B53887">
              <w:rPr>
                <w:i/>
                <w:sz w:val="19"/>
              </w:rPr>
              <w:t>qeverisë</w:t>
            </w:r>
            <w:proofErr w:type="spellEnd"/>
            <w:r w:rsidRPr="00B53887">
              <w:rPr>
                <w:i/>
                <w:sz w:val="19"/>
              </w:rPr>
              <w:t xml:space="preserve">. </w:t>
            </w:r>
            <w:r>
              <w:rPr>
                <w:i/>
                <w:sz w:val="19"/>
              </w:rPr>
              <w:t xml:space="preserve">(jo </w:t>
            </w:r>
            <w:proofErr w:type="spellStart"/>
            <w:r>
              <w:rPr>
                <w:i/>
                <w:sz w:val="19"/>
              </w:rPr>
              <w:t>më</w:t>
            </w:r>
            <w:proofErr w:type="spellEnd"/>
            <w:r>
              <w:rPr>
                <w:i/>
                <w:sz w:val="19"/>
              </w:rPr>
              <w:t xml:space="preserve"> </w:t>
            </w:r>
            <w:proofErr w:type="spellStart"/>
            <w:r>
              <w:rPr>
                <w:i/>
                <w:sz w:val="19"/>
              </w:rPr>
              <w:t>shumë</w:t>
            </w:r>
            <w:proofErr w:type="spellEnd"/>
            <w:r>
              <w:rPr>
                <w:i/>
                <w:sz w:val="19"/>
              </w:rPr>
              <w:t xml:space="preserve"> se 10 rreshta)</w:t>
            </w:r>
          </w:p>
        </w:tc>
      </w:tr>
      <w:tr w:rsidR="005A32F9" w14:paraId="04626DE0" w14:textId="77777777">
        <w:trPr>
          <w:jc w:val="center"/>
        </w:trPr>
        <w:tc>
          <w:tcPr>
            <w:tcW w:w="10206" w:type="dxa"/>
            <w:gridSpan w:val="4"/>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39F4EE30" w14:textId="77777777" w:rsidR="005A32F9" w:rsidRDefault="00000000" w:rsidP="00993A65">
            <w:pPr>
              <w:spacing w:after="0"/>
              <w:jc w:val="both"/>
            </w:pPr>
            <w:r>
              <w:rPr>
                <w:sz w:val="17"/>
              </w:rPr>
              <w:t xml:space="preserve">Kuadri shqiptar nuk përmban një regjim të posaçëm ligjor që të krijojë të gjitha efektet juridike dhe prudenciale të obligacioneve të mbuluara. Rregullat e përgjithshme për bankat, titujt, prospektin dhe falimentimin nuk garantojnë në mënyrë të integruar mbrojtjen e dyfishtë të investitorëve, veçimin e grupit të mbulimit, vazhdimësinë e </w:t>
            </w:r>
            <w:proofErr w:type="spellStart"/>
            <w:r>
              <w:rPr>
                <w:sz w:val="17"/>
              </w:rPr>
              <w:t>pagesave</w:t>
            </w:r>
            <w:proofErr w:type="spellEnd"/>
            <w:r>
              <w:rPr>
                <w:sz w:val="17"/>
              </w:rPr>
              <w:t xml:space="preserve">, </w:t>
            </w:r>
            <w:proofErr w:type="spellStart"/>
            <w:r>
              <w:rPr>
                <w:sz w:val="17"/>
              </w:rPr>
              <w:t>rezervën</w:t>
            </w:r>
            <w:proofErr w:type="spellEnd"/>
            <w:r>
              <w:rPr>
                <w:sz w:val="17"/>
              </w:rPr>
              <w:t xml:space="preserve"> e </w:t>
            </w:r>
            <w:proofErr w:type="spellStart"/>
            <w:r>
              <w:rPr>
                <w:sz w:val="17"/>
              </w:rPr>
              <w:t>likuiditetit</w:t>
            </w:r>
            <w:proofErr w:type="spellEnd"/>
            <w:r>
              <w:rPr>
                <w:sz w:val="17"/>
              </w:rPr>
              <w:t xml:space="preserve"> 180-ditore, </w:t>
            </w:r>
            <w:proofErr w:type="spellStart"/>
            <w:r>
              <w:rPr>
                <w:sz w:val="17"/>
              </w:rPr>
              <w:t>monitoruesin</w:t>
            </w:r>
            <w:proofErr w:type="spellEnd"/>
            <w:r>
              <w:rPr>
                <w:sz w:val="17"/>
              </w:rPr>
              <w:t xml:space="preserve"> e </w:t>
            </w:r>
            <w:proofErr w:type="spellStart"/>
            <w:r>
              <w:rPr>
                <w:sz w:val="17"/>
              </w:rPr>
              <w:t>pavarur</w:t>
            </w:r>
            <w:proofErr w:type="spellEnd"/>
            <w:r>
              <w:rPr>
                <w:sz w:val="17"/>
              </w:rPr>
              <w:t xml:space="preserve"> </w:t>
            </w:r>
            <w:proofErr w:type="spellStart"/>
            <w:r>
              <w:rPr>
                <w:sz w:val="17"/>
              </w:rPr>
              <w:t>dhe</w:t>
            </w:r>
            <w:proofErr w:type="spellEnd"/>
            <w:r>
              <w:rPr>
                <w:sz w:val="17"/>
              </w:rPr>
              <w:t xml:space="preserve"> </w:t>
            </w:r>
            <w:proofErr w:type="spellStart"/>
            <w:r>
              <w:rPr>
                <w:sz w:val="17"/>
              </w:rPr>
              <w:t>mbikëqyrjen</w:t>
            </w:r>
            <w:proofErr w:type="spellEnd"/>
            <w:r>
              <w:rPr>
                <w:sz w:val="17"/>
              </w:rPr>
              <w:t xml:space="preserve"> </w:t>
            </w:r>
            <w:proofErr w:type="spellStart"/>
            <w:r>
              <w:rPr>
                <w:sz w:val="17"/>
              </w:rPr>
              <w:t>publike</w:t>
            </w:r>
            <w:proofErr w:type="spellEnd"/>
            <w:r>
              <w:rPr>
                <w:sz w:val="17"/>
              </w:rPr>
              <w:t xml:space="preserve"> </w:t>
            </w:r>
            <w:proofErr w:type="spellStart"/>
            <w:r>
              <w:rPr>
                <w:sz w:val="17"/>
              </w:rPr>
              <w:t>të</w:t>
            </w:r>
            <w:proofErr w:type="spellEnd"/>
            <w:r>
              <w:rPr>
                <w:sz w:val="17"/>
              </w:rPr>
              <w:t xml:space="preserve"> </w:t>
            </w:r>
            <w:proofErr w:type="spellStart"/>
            <w:r>
              <w:rPr>
                <w:sz w:val="17"/>
              </w:rPr>
              <w:t>programit</w:t>
            </w:r>
            <w:proofErr w:type="spellEnd"/>
            <w:r w:rsidR="006916B7">
              <w:rPr>
                <w:sz w:val="17"/>
              </w:rPr>
              <w:t xml:space="preserve"> </w:t>
            </w:r>
            <w:proofErr w:type="spellStart"/>
            <w:r w:rsidR="006916B7">
              <w:rPr>
                <w:sz w:val="17"/>
              </w:rPr>
              <w:t>që</w:t>
            </w:r>
            <w:proofErr w:type="spellEnd"/>
            <w:r w:rsidR="006916B7">
              <w:rPr>
                <w:sz w:val="17"/>
              </w:rPr>
              <w:t xml:space="preserve"> </w:t>
            </w:r>
            <w:proofErr w:type="spellStart"/>
            <w:r w:rsidR="006916B7">
              <w:rPr>
                <w:sz w:val="17"/>
              </w:rPr>
              <w:t>lidhet</w:t>
            </w:r>
            <w:proofErr w:type="spellEnd"/>
            <w:r w:rsidR="006916B7">
              <w:rPr>
                <w:sz w:val="17"/>
              </w:rPr>
              <w:t xml:space="preserve"> me </w:t>
            </w:r>
            <w:proofErr w:type="spellStart"/>
            <w:r w:rsidR="006916B7">
              <w:rPr>
                <w:sz w:val="17"/>
              </w:rPr>
              <w:t>emetimin</w:t>
            </w:r>
            <w:proofErr w:type="spellEnd"/>
            <w:r w:rsidR="006916B7">
              <w:rPr>
                <w:sz w:val="17"/>
              </w:rPr>
              <w:t xml:space="preserve"> e </w:t>
            </w:r>
            <w:proofErr w:type="spellStart"/>
            <w:r w:rsidR="006916B7">
              <w:rPr>
                <w:sz w:val="17"/>
              </w:rPr>
              <w:t>obligacioneve</w:t>
            </w:r>
            <w:proofErr w:type="spellEnd"/>
            <w:r w:rsidR="006916B7">
              <w:rPr>
                <w:sz w:val="17"/>
              </w:rPr>
              <w:t xml:space="preserve"> </w:t>
            </w:r>
            <w:proofErr w:type="spellStart"/>
            <w:r w:rsidR="006916B7">
              <w:rPr>
                <w:sz w:val="17"/>
              </w:rPr>
              <w:t>të</w:t>
            </w:r>
            <w:proofErr w:type="spellEnd"/>
            <w:r w:rsidR="006916B7">
              <w:rPr>
                <w:sz w:val="17"/>
              </w:rPr>
              <w:t xml:space="preserve"> </w:t>
            </w:r>
            <w:proofErr w:type="spellStart"/>
            <w:r w:rsidR="006916B7">
              <w:rPr>
                <w:sz w:val="17"/>
              </w:rPr>
              <w:t>mbuluara</w:t>
            </w:r>
            <w:proofErr w:type="spellEnd"/>
            <w:r w:rsidR="006916B7">
              <w:rPr>
                <w:sz w:val="17"/>
              </w:rPr>
              <w:t xml:space="preserve">. </w:t>
            </w:r>
            <w:r>
              <w:rPr>
                <w:sz w:val="17"/>
              </w:rPr>
              <w:t xml:space="preserve">Ky </w:t>
            </w:r>
            <w:proofErr w:type="spellStart"/>
            <w:r>
              <w:rPr>
                <w:sz w:val="17"/>
              </w:rPr>
              <w:t>boshllëk</w:t>
            </w:r>
            <w:proofErr w:type="spellEnd"/>
            <w:r>
              <w:rPr>
                <w:sz w:val="17"/>
              </w:rPr>
              <w:t xml:space="preserve"> </w:t>
            </w:r>
            <w:proofErr w:type="spellStart"/>
            <w:r>
              <w:rPr>
                <w:sz w:val="17"/>
              </w:rPr>
              <w:t>kufizon</w:t>
            </w:r>
            <w:proofErr w:type="spellEnd"/>
            <w:r>
              <w:rPr>
                <w:sz w:val="17"/>
              </w:rPr>
              <w:t xml:space="preserve"> </w:t>
            </w:r>
            <w:proofErr w:type="spellStart"/>
            <w:r>
              <w:rPr>
                <w:sz w:val="17"/>
              </w:rPr>
              <w:t>diversifikimin</w:t>
            </w:r>
            <w:proofErr w:type="spellEnd"/>
            <w:r>
              <w:rPr>
                <w:sz w:val="17"/>
              </w:rPr>
              <w:t xml:space="preserve"> e </w:t>
            </w:r>
            <w:proofErr w:type="spellStart"/>
            <w:r>
              <w:rPr>
                <w:sz w:val="17"/>
              </w:rPr>
              <w:t>financimit</w:t>
            </w:r>
            <w:proofErr w:type="spellEnd"/>
            <w:r>
              <w:rPr>
                <w:sz w:val="17"/>
              </w:rPr>
              <w:t xml:space="preserve"> </w:t>
            </w:r>
            <w:proofErr w:type="spellStart"/>
            <w:r>
              <w:rPr>
                <w:sz w:val="17"/>
              </w:rPr>
              <w:t>afatgjatë</w:t>
            </w:r>
            <w:proofErr w:type="spellEnd"/>
            <w:r>
              <w:rPr>
                <w:sz w:val="17"/>
              </w:rPr>
              <w:t xml:space="preserve"> </w:t>
            </w:r>
            <w:proofErr w:type="spellStart"/>
            <w:r>
              <w:rPr>
                <w:sz w:val="17"/>
              </w:rPr>
              <w:t>të</w:t>
            </w:r>
            <w:proofErr w:type="spellEnd"/>
            <w:r>
              <w:rPr>
                <w:sz w:val="17"/>
              </w:rPr>
              <w:t xml:space="preserve"> </w:t>
            </w:r>
            <w:proofErr w:type="spellStart"/>
            <w:r>
              <w:rPr>
                <w:sz w:val="17"/>
              </w:rPr>
              <w:t>institucioneve</w:t>
            </w:r>
            <w:proofErr w:type="spellEnd"/>
            <w:r>
              <w:rPr>
                <w:sz w:val="17"/>
              </w:rPr>
              <w:t xml:space="preserve"> të kreditit, krijon pasiguri juridike për investitorët dhe pengon përafrimin me Direktivën (BE) 2019/2162. Ndërhyrja me ligj është e nevojshme sepse të drejtat me përparësi mbi aktivet, mbrojtja nga falimentimi, kompetencat mbikëqyrëse dhe sanksionet nuk mund të krijohen me marrëveshje private ose udhëzime jodetyruese.</w:t>
            </w:r>
          </w:p>
        </w:tc>
      </w:tr>
      <w:tr w:rsidR="005A32F9" w14:paraId="465956F0" w14:textId="77777777">
        <w:trPr>
          <w:jc w:val="center"/>
        </w:trPr>
        <w:tc>
          <w:tcPr>
            <w:tcW w:w="10206" w:type="dxa"/>
            <w:gridSpan w:val="4"/>
            <w:tcBorders>
              <w:top w:val="single" w:sz="8" w:space="0" w:color="000000"/>
              <w:left w:val="single" w:sz="8" w:space="0" w:color="000000"/>
              <w:bottom w:val="single" w:sz="8" w:space="0" w:color="000000"/>
              <w:right w:val="single" w:sz="8" w:space="0" w:color="000000"/>
            </w:tcBorders>
            <w:shd w:val="clear" w:color="auto" w:fill="F2F2F2"/>
            <w:tcMar>
              <w:top w:w="70" w:type="dxa"/>
              <w:left w:w="80" w:type="dxa"/>
              <w:bottom w:w="70" w:type="dxa"/>
              <w:right w:w="80" w:type="dxa"/>
            </w:tcMar>
            <w:vAlign w:val="center"/>
          </w:tcPr>
          <w:p w14:paraId="4F1DD3F6" w14:textId="77777777" w:rsidR="005A32F9" w:rsidRDefault="00000000">
            <w:pPr>
              <w:spacing w:after="0"/>
            </w:pPr>
            <w:r>
              <w:rPr>
                <w:b/>
                <w:sz w:val="19"/>
              </w:rPr>
              <w:t>OBJEKTIVAT</w:t>
            </w:r>
            <w:r>
              <w:rPr>
                <w:b/>
                <w:sz w:val="19"/>
              </w:rPr>
              <w:br/>
              <w:t>Cilat janë objektivat dhe rezultatet e synuara të propozimit? (jo më shumë se 7 rreshta)</w:t>
            </w:r>
          </w:p>
        </w:tc>
      </w:tr>
      <w:tr w:rsidR="005A32F9" w14:paraId="16698618" w14:textId="77777777">
        <w:trPr>
          <w:jc w:val="center"/>
        </w:trPr>
        <w:tc>
          <w:tcPr>
            <w:tcW w:w="10206" w:type="dxa"/>
            <w:gridSpan w:val="4"/>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6C691578" w14:textId="77777777" w:rsidR="000C305C" w:rsidRDefault="00000000" w:rsidP="00993A65">
            <w:pPr>
              <w:jc w:val="both"/>
            </w:pPr>
            <w:r>
              <w:t>Objektivi i përgjithshëm i politikës është krijimi i një kuadri ligjor të qartë, të plotë, të harmonizuar me standardet evropiane dhe të zbatueshëm për emetimin dhe mbikëqyrjen publike të obligacioneve të mbuluara nga institucionet e kreditit të themeluara në Republikën e Shqipërisë. Objektivat specifikë janë: (i) transpozimi i plotë dhe miratimi i 100% të akteve nënligjore brenda 12 muajve; (ii) miratimi i marrëveshjes së bashkëpunimit, procedurave dhe pilotimi gjatë vitit 2028; (iii) shqyrtimi i 100% të programeve vetëm pas opinionit paraprak të Bankës së Shqipërisë dhe vendimit të AMF-së; (iv) garantimi për çdo program i veçimit, mbulimit dhe rezervës së likuiditetit 180-ditore; (v) publikimi tremujor, raportimi gjashtëmujor dhe testimi i qëndrueshmërisë të paktën tremujor; (vi) funksionimi i monitoruesit dhe procedurave të administratorit të posaçëm; dhe (vii) zbatimi i plotë nga 1 janari 2029, gatishmëria për ESAP dhe vlerësimi ex post brenda 24 muajve.</w:t>
            </w:r>
          </w:p>
        </w:tc>
      </w:tr>
      <w:tr w:rsidR="005A32F9" w14:paraId="5A5FF02C" w14:textId="77777777">
        <w:trPr>
          <w:jc w:val="center"/>
        </w:trPr>
        <w:tc>
          <w:tcPr>
            <w:tcW w:w="10206" w:type="dxa"/>
            <w:gridSpan w:val="4"/>
            <w:tcBorders>
              <w:top w:val="single" w:sz="8" w:space="0" w:color="000000"/>
              <w:left w:val="single" w:sz="8" w:space="0" w:color="000000"/>
              <w:bottom w:val="single" w:sz="8" w:space="0" w:color="000000"/>
              <w:right w:val="single" w:sz="8" w:space="0" w:color="000000"/>
            </w:tcBorders>
            <w:shd w:val="clear" w:color="auto" w:fill="F2F2F2"/>
            <w:tcMar>
              <w:top w:w="70" w:type="dxa"/>
              <w:left w:w="80" w:type="dxa"/>
              <w:bottom w:w="70" w:type="dxa"/>
              <w:right w:w="80" w:type="dxa"/>
            </w:tcMar>
            <w:vAlign w:val="center"/>
          </w:tcPr>
          <w:p w14:paraId="694A16F7" w14:textId="77777777" w:rsidR="005A32F9" w:rsidRDefault="00000000">
            <w:pPr>
              <w:spacing w:after="0"/>
            </w:pPr>
            <w:r>
              <w:rPr>
                <w:b/>
                <w:sz w:val="19"/>
              </w:rPr>
              <w:t>OPSIONET E POLITIKAVE</w:t>
            </w:r>
            <w:r>
              <w:rPr>
                <w:b/>
                <w:sz w:val="19"/>
              </w:rPr>
              <w:br/>
              <w:t>Cilat janë opsionet kryesore të politikave? Duhet të bëni krahasimin e avantazheve/përfitimeve kryesore dhe të dizavantazheve/kostove të opsioneve të mundshme. (jo më shumë se 7 rreshta)</w:t>
            </w:r>
          </w:p>
        </w:tc>
      </w:tr>
      <w:tr w:rsidR="005A32F9" w14:paraId="31C47C71" w14:textId="77777777">
        <w:trPr>
          <w:jc w:val="center"/>
        </w:trPr>
        <w:tc>
          <w:tcPr>
            <w:tcW w:w="10206" w:type="dxa"/>
            <w:gridSpan w:val="4"/>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2D8DBE26" w14:textId="77777777" w:rsidR="005A32F9" w:rsidRDefault="00000000">
            <w:pPr>
              <w:spacing w:after="0"/>
            </w:pPr>
            <w:r>
              <w:rPr>
                <w:sz w:val="17"/>
              </w:rPr>
              <w:t>Janë shqyrtuar katër opsione: Opsioni 0 – status quo, me kosto të menjëhershme minimale por pa zgjidhje të boshllëkut ligjor; Opsioni 1 – masa jorregullatore, të dobishme vetëm për ndërgjegjësim, por pa efekte juridike detyruese; Opsioni 2 – ndryshime të shpërndara në ligjet ekzistuese, që mund të realizojnë pjesërisht objektivat, por krijojnë fragmentim, kosto koordinimi dhe rrezik mospërputhjeje; Opsioni 3 – ligj i ri i posaçëm, i cili krijon një regjim të unifikuar për programin, grupin e mbulimit, mbikëqyrjen, transparencën, likuidimin dhe sanksionet. Opsioni 3 është opsioni i preferuar.</w:t>
            </w:r>
          </w:p>
        </w:tc>
      </w:tr>
      <w:tr w:rsidR="005A32F9" w14:paraId="03F5A95F" w14:textId="77777777">
        <w:trPr>
          <w:jc w:val="center"/>
        </w:trPr>
        <w:tc>
          <w:tcPr>
            <w:tcW w:w="10206" w:type="dxa"/>
            <w:gridSpan w:val="4"/>
            <w:tcBorders>
              <w:top w:val="single" w:sz="8" w:space="0" w:color="000000"/>
              <w:left w:val="single" w:sz="8" w:space="0" w:color="000000"/>
              <w:bottom w:val="single" w:sz="8" w:space="0" w:color="000000"/>
              <w:right w:val="single" w:sz="8" w:space="0" w:color="000000"/>
            </w:tcBorders>
            <w:shd w:val="clear" w:color="auto" w:fill="F2F2F2"/>
            <w:tcMar>
              <w:top w:w="70" w:type="dxa"/>
              <w:left w:w="80" w:type="dxa"/>
              <w:bottom w:w="70" w:type="dxa"/>
              <w:right w:w="80" w:type="dxa"/>
            </w:tcMar>
            <w:vAlign w:val="center"/>
          </w:tcPr>
          <w:p w14:paraId="59E6BD36" w14:textId="77777777" w:rsidR="005A32F9" w:rsidRDefault="00000000">
            <w:pPr>
              <w:spacing w:after="0"/>
            </w:pPr>
            <w:r>
              <w:rPr>
                <w:b/>
                <w:sz w:val="19"/>
              </w:rPr>
              <w:t>ANALIZA E NDIKIMEVE</w:t>
            </w:r>
            <w:r>
              <w:rPr>
                <w:b/>
                <w:sz w:val="19"/>
              </w:rPr>
              <w:br/>
              <w:t>Cilat janë ndikimet e opsionit të preferuar? Kjo duhet të përshkruajë ndikimet në mënyrë sasiore (monetare) dhe cilësore (narrative) mbi buxhetin dhe grupet e tjera të prekura. (jo më shumë se 10 rreshta)</w:t>
            </w:r>
          </w:p>
        </w:tc>
      </w:tr>
      <w:tr w:rsidR="005A32F9" w14:paraId="03BA83FC" w14:textId="77777777">
        <w:trPr>
          <w:jc w:val="center"/>
        </w:trPr>
        <w:tc>
          <w:tcPr>
            <w:tcW w:w="10206" w:type="dxa"/>
            <w:gridSpan w:val="4"/>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026F5272" w14:textId="77777777" w:rsidR="005A32F9" w:rsidRDefault="00000000" w:rsidP="00993A65">
            <w:pPr>
              <w:spacing w:after="0"/>
              <w:jc w:val="both"/>
            </w:pPr>
            <w:r>
              <w:rPr>
                <w:sz w:val="17"/>
              </w:rPr>
              <w:t>Ndikimi i drejtpërdrejtë për institucionet e kreditit është vullnetar në hyrje dhe aktivizohet vetëm kur ato zgjedhin të emetojnë: kosto për programin, sistemet IT, regjistrin, vlerësimin e kolateralit, monitoruesin, raportimin, stress-testet dhe likuiditetin; përfitimi është diversifikimi i financimit dhe ulja e mundshme e kostos së financimit. Investitorët përfitojnë nga mbrojtja e dyfishtë, pretendimi me përparësi dhe informacioni tremujor. AMF dhe Banka e Shqipërisë përballen me ngarkesë për akte nënligjore, autorizim, mbikëqyrje dhe koordinim, e cila mbulohet nga burimet institucionale dhe tarifat. Efektet sociale, gjinore dhe mjedisore janë neutrale drejtpërdrejt dhe pozitive tërthorazi përmes stabilitetit financiar dhe financimit afatgjatë. Sipas skenarit konservator 10-vjeçar me normë skontimi 5%, PV e kostove është 134.32 milionë lekë, PV e përfitimeve 205.14 milionë lekë dhe VAN është pozitive 70.82 milionë lekë.</w:t>
            </w:r>
          </w:p>
        </w:tc>
      </w:tr>
      <w:tr w:rsidR="005A32F9" w14:paraId="5523FCA4" w14:textId="77777777">
        <w:trPr>
          <w:jc w:val="center"/>
        </w:trPr>
        <w:tc>
          <w:tcPr>
            <w:tcW w:w="10206" w:type="dxa"/>
            <w:gridSpan w:val="4"/>
            <w:tcBorders>
              <w:top w:val="single" w:sz="8" w:space="0" w:color="000000"/>
              <w:left w:val="single" w:sz="8" w:space="0" w:color="000000"/>
              <w:bottom w:val="single" w:sz="8" w:space="0" w:color="000000"/>
              <w:right w:val="single" w:sz="8" w:space="0" w:color="000000"/>
            </w:tcBorders>
            <w:shd w:val="clear" w:color="auto" w:fill="F2F2F2"/>
            <w:tcMar>
              <w:top w:w="70" w:type="dxa"/>
              <w:left w:w="80" w:type="dxa"/>
              <w:bottom w:w="70" w:type="dxa"/>
              <w:right w:w="80" w:type="dxa"/>
            </w:tcMar>
            <w:vAlign w:val="center"/>
          </w:tcPr>
          <w:p w14:paraId="2566003D" w14:textId="77777777" w:rsidR="005A32F9" w:rsidRDefault="00000000">
            <w:pPr>
              <w:spacing w:after="0"/>
            </w:pPr>
            <w:r>
              <w:rPr>
                <w:b/>
                <w:sz w:val="19"/>
              </w:rPr>
              <w:t>ARSYETIMI I OPSIONIT TË PREFERUAR</w:t>
            </w:r>
            <w:r>
              <w:rPr>
                <w:b/>
                <w:sz w:val="19"/>
              </w:rPr>
              <w:br/>
              <w:t>Shpjegoni arsyet për zgjedhjen e opsionit të preferuar. Ju lutemi jepni nëse është e mundur koston dhe përfitimin me vlerë të përcaktuar monetare. (jo më shumë se 7 rreshta)</w:t>
            </w:r>
          </w:p>
        </w:tc>
      </w:tr>
      <w:tr w:rsidR="005A32F9" w14:paraId="74E117A0" w14:textId="77777777">
        <w:trPr>
          <w:jc w:val="center"/>
        </w:trPr>
        <w:tc>
          <w:tcPr>
            <w:tcW w:w="10206" w:type="dxa"/>
            <w:gridSpan w:val="4"/>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609FFE06" w14:textId="77777777" w:rsidR="005A32F9" w:rsidRDefault="00000000">
            <w:pPr>
              <w:spacing w:after="0"/>
            </w:pPr>
            <w:r>
              <w:rPr>
                <w:sz w:val="17"/>
              </w:rPr>
              <w:t>Opsioni 3 zgjidhet sepse është i vetmi që krijon në një akt të vetëm të gjitha elementet e domosdoshme: mbrojtjen e dyfishtë, veçimin nga falimentimi, aktivet e pranueshme, kërkesat e mbulimit, rezervën e likuiditetit, monitoruesin, transparencën, miratimin e programit, bashkëpunimin AMF–Banka e Shqipërisë, administratorin e posaçëm dhe sanksionet. Analiza me shtatë kritere të ponderuara e vlerëson Opsionin 3 me 4.60/5, krahasuar me 3.20/5 për Opsionin 2, 2.00/5 për Opsionin 1 dhe 1.85/5 për Opsionin 0. Opsioni i preferuar ka gjithashtu VAN pozitive 70.82 milionë lekë dhe raport më të mirë kosto-efektiviteti.</w:t>
            </w:r>
          </w:p>
        </w:tc>
      </w:tr>
      <w:tr w:rsidR="005A32F9" w14:paraId="15F258BE" w14:textId="77777777">
        <w:trPr>
          <w:jc w:val="center"/>
        </w:trPr>
        <w:tc>
          <w:tcPr>
            <w:tcW w:w="5102" w:type="dxa"/>
            <w:tcBorders>
              <w:top w:val="single" w:sz="8" w:space="0" w:color="000000"/>
              <w:left w:val="single" w:sz="8" w:space="0" w:color="000000"/>
              <w:bottom w:val="single" w:sz="8" w:space="0" w:color="000000"/>
              <w:right w:val="single" w:sz="8" w:space="0" w:color="000000"/>
            </w:tcBorders>
            <w:shd w:val="clear" w:color="auto" w:fill="F2F2F2"/>
            <w:tcMar>
              <w:top w:w="70" w:type="dxa"/>
              <w:left w:w="80" w:type="dxa"/>
              <w:bottom w:w="70" w:type="dxa"/>
              <w:right w:w="80" w:type="dxa"/>
            </w:tcMar>
            <w:vAlign w:val="center"/>
          </w:tcPr>
          <w:p w14:paraId="7A544118" w14:textId="77777777" w:rsidR="005A32F9" w:rsidRDefault="00000000">
            <w:pPr>
              <w:spacing w:after="0"/>
            </w:pPr>
            <w:r>
              <w:rPr>
                <w:b/>
                <w:sz w:val="18"/>
              </w:rPr>
              <w:t>Kostoja e përllogaritur në total e opsionit të preferuar mbi buxhetin e shtetit gjatë periudhës 3-vjeçare menjëherë pas miratimit të ligjit (në lekë, çmimet aktuale, në terma nominalë):</w:t>
            </w:r>
          </w:p>
        </w:tc>
        <w:tc>
          <w:tcPr>
            <w:tcW w:w="1701"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0D522C2F" w14:textId="77777777" w:rsidR="005A32F9" w:rsidRDefault="00000000">
            <w:pPr>
              <w:spacing w:after="0"/>
              <w:jc w:val="center"/>
            </w:pPr>
            <w:r>
              <w:rPr>
                <w:b/>
                <w:sz w:val="18"/>
              </w:rPr>
              <w:t>Viti 1</w:t>
            </w:r>
          </w:p>
        </w:tc>
        <w:tc>
          <w:tcPr>
            <w:tcW w:w="1701"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2475C14C" w14:textId="77777777" w:rsidR="005A32F9" w:rsidRDefault="00000000">
            <w:pPr>
              <w:spacing w:after="0"/>
              <w:jc w:val="center"/>
            </w:pPr>
            <w:r>
              <w:rPr>
                <w:b/>
                <w:sz w:val="18"/>
              </w:rPr>
              <w:t>Viti 2</w:t>
            </w:r>
          </w:p>
        </w:tc>
        <w:tc>
          <w:tcPr>
            <w:tcW w:w="1701"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54853941" w14:textId="77777777" w:rsidR="005A32F9" w:rsidRDefault="00000000">
            <w:pPr>
              <w:spacing w:after="0"/>
              <w:jc w:val="center"/>
            </w:pPr>
            <w:r>
              <w:rPr>
                <w:b/>
                <w:sz w:val="18"/>
              </w:rPr>
              <w:t>Viti 3</w:t>
            </w:r>
          </w:p>
        </w:tc>
      </w:tr>
      <w:tr w:rsidR="005A32F9" w14:paraId="6B2CC90D" w14:textId="77777777">
        <w:trPr>
          <w:jc w:val="center"/>
        </w:trPr>
        <w:tc>
          <w:tcPr>
            <w:tcW w:w="5102"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0D433A9B" w14:textId="77777777" w:rsidR="005A32F9" w:rsidRDefault="00000000">
            <w:pPr>
              <w:spacing w:after="0"/>
            </w:pPr>
            <w:r>
              <w:rPr>
                <w:sz w:val="18"/>
              </w:rPr>
              <w:t>Ndikim i drejtpërdrejtë në buxhetin e shtetit</w:t>
            </w:r>
          </w:p>
        </w:tc>
        <w:tc>
          <w:tcPr>
            <w:tcW w:w="1701"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672C0E05" w14:textId="77777777" w:rsidR="005A32F9" w:rsidRDefault="00000000">
            <w:pPr>
              <w:spacing w:after="0"/>
              <w:jc w:val="center"/>
            </w:pPr>
            <w:r>
              <w:rPr>
                <w:sz w:val="18"/>
              </w:rPr>
              <w:t>0</w:t>
            </w:r>
          </w:p>
        </w:tc>
        <w:tc>
          <w:tcPr>
            <w:tcW w:w="1701"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2022BB1F" w14:textId="77777777" w:rsidR="005A32F9" w:rsidRDefault="00000000">
            <w:pPr>
              <w:spacing w:after="0"/>
              <w:jc w:val="center"/>
            </w:pPr>
            <w:r>
              <w:rPr>
                <w:sz w:val="18"/>
              </w:rPr>
              <w:t>0</w:t>
            </w:r>
          </w:p>
        </w:tc>
        <w:tc>
          <w:tcPr>
            <w:tcW w:w="1701"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6F715DEA" w14:textId="77777777" w:rsidR="005A32F9" w:rsidRDefault="00000000">
            <w:pPr>
              <w:spacing w:after="0"/>
              <w:jc w:val="center"/>
            </w:pPr>
            <w:r>
              <w:rPr>
                <w:sz w:val="18"/>
              </w:rPr>
              <w:t>0</w:t>
            </w:r>
          </w:p>
        </w:tc>
      </w:tr>
      <w:tr w:rsidR="005A32F9" w14:paraId="5078C620" w14:textId="77777777">
        <w:trPr>
          <w:jc w:val="center"/>
        </w:trPr>
        <w:tc>
          <w:tcPr>
            <w:tcW w:w="10206" w:type="dxa"/>
            <w:gridSpan w:val="4"/>
            <w:tcBorders>
              <w:top w:val="single" w:sz="8" w:space="0" w:color="000000"/>
              <w:left w:val="single" w:sz="8" w:space="0" w:color="000000"/>
              <w:bottom w:val="single" w:sz="8" w:space="0" w:color="000000"/>
              <w:right w:val="single" w:sz="8" w:space="0" w:color="000000"/>
            </w:tcBorders>
            <w:shd w:val="clear" w:color="auto" w:fill="F2F2F2"/>
            <w:tcMar>
              <w:top w:w="70" w:type="dxa"/>
              <w:left w:w="80" w:type="dxa"/>
              <w:bottom w:w="70" w:type="dxa"/>
              <w:right w:w="80" w:type="dxa"/>
            </w:tcMar>
            <w:vAlign w:val="center"/>
          </w:tcPr>
          <w:p w14:paraId="3029D90E" w14:textId="77777777" w:rsidR="005A32F9" w:rsidRDefault="00000000">
            <w:pPr>
              <w:spacing w:after="0"/>
            </w:pPr>
            <w:r>
              <w:rPr>
                <w:b/>
                <w:sz w:val="19"/>
              </w:rPr>
              <w:t>KONSULTIMI</w:t>
            </w:r>
            <w:r>
              <w:rPr>
                <w:b/>
                <w:sz w:val="19"/>
              </w:rPr>
              <w:br/>
              <w:t>Jepni një përmbledhje të çdo konsultimi të kryer (me kë dhe si jeni konsultuar?).</w:t>
            </w:r>
          </w:p>
        </w:tc>
      </w:tr>
      <w:tr w:rsidR="005A32F9" w14:paraId="247C9195" w14:textId="77777777">
        <w:trPr>
          <w:jc w:val="center"/>
        </w:trPr>
        <w:tc>
          <w:tcPr>
            <w:tcW w:w="10206" w:type="dxa"/>
            <w:gridSpan w:val="4"/>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4455A3E0" w14:textId="471A072D" w:rsidR="005A32F9" w:rsidRDefault="00000000">
            <w:pPr>
              <w:spacing w:after="0"/>
              <w:jc w:val="both"/>
            </w:pPr>
            <w:r>
              <w:rPr>
                <w:sz w:val="16"/>
              </w:rPr>
              <w:lastRenderedPageBreak/>
              <w:t xml:space="preserve">Projektligji është dërguar për koordinim ndërinstitucional me institucionet përgjegjëse dhe është parashikuar publikimi në RENJKP. Konsultimi përfshin Ministrinë e Financave, </w:t>
            </w:r>
            <w:proofErr w:type="spellStart"/>
            <w:r>
              <w:rPr>
                <w:sz w:val="16"/>
              </w:rPr>
              <w:t>Bankën</w:t>
            </w:r>
            <w:proofErr w:type="spellEnd"/>
            <w:r>
              <w:rPr>
                <w:sz w:val="16"/>
              </w:rPr>
              <w:t xml:space="preserve"> e </w:t>
            </w:r>
            <w:proofErr w:type="spellStart"/>
            <w:r>
              <w:rPr>
                <w:sz w:val="16"/>
              </w:rPr>
              <w:t>Shqipërisë</w:t>
            </w:r>
            <w:proofErr w:type="spellEnd"/>
            <w:r>
              <w:rPr>
                <w:sz w:val="16"/>
              </w:rPr>
              <w:t>, AMF-</w:t>
            </w:r>
            <w:proofErr w:type="spellStart"/>
            <w:r>
              <w:rPr>
                <w:sz w:val="16"/>
              </w:rPr>
              <w:t>në</w:t>
            </w:r>
            <w:proofErr w:type="spellEnd"/>
            <w:r>
              <w:rPr>
                <w:sz w:val="16"/>
              </w:rPr>
              <w:t xml:space="preserve">, </w:t>
            </w:r>
            <w:proofErr w:type="spellStart"/>
            <w:r>
              <w:rPr>
                <w:sz w:val="16"/>
              </w:rPr>
              <w:t>Agjencinë</w:t>
            </w:r>
            <w:proofErr w:type="spellEnd"/>
            <w:r>
              <w:rPr>
                <w:sz w:val="16"/>
              </w:rPr>
              <w:t xml:space="preserve"> e </w:t>
            </w:r>
            <w:proofErr w:type="spellStart"/>
            <w:r>
              <w:rPr>
                <w:sz w:val="16"/>
              </w:rPr>
              <w:t>Sigurimit</w:t>
            </w:r>
            <w:proofErr w:type="spellEnd"/>
            <w:r>
              <w:rPr>
                <w:sz w:val="16"/>
              </w:rPr>
              <w:t xml:space="preserve"> </w:t>
            </w:r>
            <w:proofErr w:type="spellStart"/>
            <w:r>
              <w:rPr>
                <w:sz w:val="16"/>
              </w:rPr>
              <w:t>të</w:t>
            </w:r>
            <w:proofErr w:type="spellEnd"/>
            <w:r>
              <w:rPr>
                <w:sz w:val="16"/>
              </w:rPr>
              <w:t xml:space="preserve"> </w:t>
            </w:r>
            <w:proofErr w:type="spellStart"/>
            <w:r>
              <w:rPr>
                <w:sz w:val="16"/>
              </w:rPr>
              <w:t>Depozitave</w:t>
            </w:r>
            <w:proofErr w:type="spellEnd"/>
            <w:r>
              <w:rPr>
                <w:sz w:val="16"/>
              </w:rPr>
              <w:t xml:space="preserve">, </w:t>
            </w:r>
            <w:proofErr w:type="spellStart"/>
            <w:r>
              <w:rPr>
                <w:sz w:val="16"/>
              </w:rPr>
              <w:t>Shoqatën</w:t>
            </w:r>
            <w:proofErr w:type="spellEnd"/>
            <w:r>
              <w:rPr>
                <w:sz w:val="16"/>
              </w:rPr>
              <w:t xml:space="preserve"> </w:t>
            </w:r>
            <w:proofErr w:type="spellStart"/>
            <w:r>
              <w:rPr>
                <w:sz w:val="16"/>
              </w:rPr>
              <w:t>Shqiptare</w:t>
            </w:r>
            <w:proofErr w:type="spellEnd"/>
            <w:r>
              <w:rPr>
                <w:sz w:val="16"/>
              </w:rPr>
              <w:t xml:space="preserve"> </w:t>
            </w:r>
            <w:proofErr w:type="spellStart"/>
            <w:r>
              <w:rPr>
                <w:sz w:val="16"/>
              </w:rPr>
              <w:t>të</w:t>
            </w:r>
            <w:proofErr w:type="spellEnd"/>
            <w:r>
              <w:rPr>
                <w:sz w:val="16"/>
              </w:rPr>
              <w:t xml:space="preserve"> </w:t>
            </w:r>
            <w:proofErr w:type="spellStart"/>
            <w:r>
              <w:rPr>
                <w:sz w:val="16"/>
              </w:rPr>
              <w:t>Bankave</w:t>
            </w:r>
            <w:proofErr w:type="spellEnd"/>
            <w:r w:rsidR="00993A65">
              <w:rPr>
                <w:sz w:val="16"/>
              </w:rPr>
              <w:t xml:space="preserve"> </w:t>
            </w:r>
            <w:proofErr w:type="spellStart"/>
            <w:r w:rsidR="00993A65">
              <w:rPr>
                <w:sz w:val="16"/>
              </w:rPr>
              <w:t>dhe</w:t>
            </w:r>
            <w:proofErr w:type="spellEnd"/>
            <w:r w:rsidR="00993A65">
              <w:rPr>
                <w:sz w:val="16"/>
              </w:rPr>
              <w:t xml:space="preserve"> </w:t>
            </w:r>
            <w:proofErr w:type="spellStart"/>
            <w:r w:rsidR="00EE597F">
              <w:rPr>
                <w:sz w:val="16"/>
              </w:rPr>
              <w:t>operatorët</w:t>
            </w:r>
            <w:proofErr w:type="spellEnd"/>
            <w:r w:rsidR="00EE597F">
              <w:rPr>
                <w:sz w:val="16"/>
              </w:rPr>
              <w:t xml:space="preserve"> e </w:t>
            </w:r>
            <w:proofErr w:type="spellStart"/>
            <w:r w:rsidR="00EE597F">
              <w:rPr>
                <w:sz w:val="16"/>
              </w:rPr>
              <w:t>tregut</w:t>
            </w:r>
            <w:proofErr w:type="spellEnd"/>
            <w:r w:rsidR="00EE597F">
              <w:rPr>
                <w:sz w:val="16"/>
              </w:rPr>
              <w:t>.</w:t>
            </w:r>
          </w:p>
        </w:tc>
      </w:tr>
      <w:tr w:rsidR="005A32F9" w14:paraId="786BB154" w14:textId="77777777">
        <w:trPr>
          <w:jc w:val="center"/>
        </w:trPr>
        <w:tc>
          <w:tcPr>
            <w:tcW w:w="10206" w:type="dxa"/>
            <w:gridSpan w:val="4"/>
            <w:tcBorders>
              <w:top w:val="single" w:sz="8" w:space="0" w:color="000000"/>
              <w:left w:val="single" w:sz="8" w:space="0" w:color="000000"/>
              <w:bottom w:val="single" w:sz="8" w:space="0" w:color="000000"/>
              <w:right w:val="single" w:sz="8" w:space="0" w:color="000000"/>
            </w:tcBorders>
            <w:shd w:val="clear" w:color="auto" w:fill="F2F2F2"/>
            <w:tcMar>
              <w:top w:w="70" w:type="dxa"/>
              <w:left w:w="80" w:type="dxa"/>
              <w:bottom w:w="70" w:type="dxa"/>
              <w:right w:w="80" w:type="dxa"/>
            </w:tcMar>
            <w:vAlign w:val="center"/>
          </w:tcPr>
          <w:p w14:paraId="59E9C65D" w14:textId="77777777" w:rsidR="005A32F9" w:rsidRDefault="00000000">
            <w:pPr>
              <w:spacing w:after="0"/>
            </w:pPr>
            <w:r w:rsidRPr="006916B7">
              <w:rPr>
                <w:b/>
                <w:sz w:val="19"/>
                <w:lang w:val="it-IT"/>
              </w:rPr>
              <w:t>ZBATIMI DHE MONITORIMI</w:t>
            </w:r>
            <w:r w:rsidRPr="006916B7">
              <w:rPr>
                <w:b/>
                <w:sz w:val="19"/>
                <w:lang w:val="it-IT"/>
              </w:rPr>
              <w:br/>
              <w:t xml:space="preserve">Si do të organizohen zbatimi dhe monitorimi? </w:t>
            </w:r>
            <w:r>
              <w:rPr>
                <w:b/>
                <w:sz w:val="19"/>
              </w:rPr>
              <w:t>(jo më shumë se 5 rreshta)</w:t>
            </w:r>
          </w:p>
        </w:tc>
      </w:tr>
      <w:tr w:rsidR="005A32F9" w14:paraId="5A3E1AD5" w14:textId="77777777">
        <w:trPr>
          <w:jc w:val="center"/>
        </w:trPr>
        <w:tc>
          <w:tcPr>
            <w:tcW w:w="10206" w:type="dxa"/>
            <w:gridSpan w:val="4"/>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567ED1A9" w14:textId="77777777" w:rsidR="005A32F9" w:rsidRDefault="00000000">
            <w:pPr>
              <w:spacing w:after="0"/>
            </w:pPr>
            <w:r>
              <w:rPr>
                <w:sz w:val="17"/>
              </w:rPr>
              <w:t>Zbatimi do të organizohet nga AMF si autoritet për mbikëqyrjen publike dhe miratimin e programeve, në bashkëpunim me Bankën e Shqipërisë për opinionin paraprak, vlerësimin prudencial, likuiditetin, rreziqet dhe ndërhyrjen e jashtëzakonshme. Aktet nënligjore miratohen brenda 12 muajve; ligji zbatohet nga 1 janari 2029. Monitorimi bazohet në raportimet gjashtëmujore, informacionin tremujor për investitorët, regjistrin e grupit të mbulimit, raportet e monitoruesit, stress-testet tremujore, inspektimet dhe masat mbikëqyrëse. Vlerësimi ex post kryhet brenda 24 muajve nga fillimi i zbatimit praktik ose nga miratimi i programit të parë.</w:t>
            </w:r>
          </w:p>
        </w:tc>
      </w:tr>
    </w:tbl>
    <w:p w14:paraId="1B984070" w14:textId="77777777" w:rsidR="005A32F9" w:rsidRDefault="00000000">
      <w:pPr>
        <w:pStyle w:val="Heading1"/>
      </w:pPr>
      <w:r>
        <w:rPr>
          <w:rFonts w:ascii="Times New Roman" w:eastAsia="Times New Roman" w:hAnsi="Times New Roman"/>
        </w:rPr>
        <w:t>PJESA 2: BAZA KRYESORE E ANALIZËS DHE E PROVAVE</w:t>
      </w:r>
    </w:p>
    <w:p w14:paraId="3AECC11C" w14:textId="77777777" w:rsidR="005A32F9" w:rsidRDefault="00000000">
      <w:pPr>
        <w:pStyle w:val="Heading1"/>
      </w:pPr>
      <w:r>
        <w:rPr>
          <w:rFonts w:ascii="Times New Roman" w:eastAsia="Times New Roman" w:hAnsi="Times New Roman"/>
        </w:rPr>
        <w:t>Historik</w:t>
      </w:r>
    </w:p>
    <w:p w14:paraId="27B92065" w14:textId="77777777" w:rsidR="005A32F9" w:rsidRDefault="00000000">
      <w:pPr>
        <w:keepNext/>
        <w:spacing w:before="40"/>
        <w:jc w:val="both"/>
      </w:pPr>
      <w:r>
        <w:rPr>
          <w:i/>
          <w:sz w:val="20"/>
        </w:rPr>
        <w:t>Jepni kontekstin e politikës.</w:t>
      </w:r>
    </w:p>
    <w:p w14:paraId="041C98A3" w14:textId="6B790B65" w:rsidR="005A32F9" w:rsidRDefault="00000000">
      <w:pPr>
        <w:jc w:val="both"/>
      </w:pPr>
      <w:r>
        <w:t xml:space="preserve">Obligacionet e mbuluara janë tituj borxhi të emetuar nga institucione krediti dhe të siguruar me një grup të identifikueshëm aktivesh për mbulim. Tipari i tyre dallues është mbrojtja e dyfishtë: investitori ka një pretendim ndaj institucionit të kreditit emetues dhe, në rast paaftësie paguese ose ndërhyrjeje të jashtëzakonshme, një pretendim me përparësi mbi aktivet e grupit të mbulimit. Detyrimet e lidhura me obligacionet vijojnë të maturohen sipas afateve kontraktore dhe </w:t>
      </w:r>
      <w:proofErr w:type="spellStart"/>
      <w:r>
        <w:t>nuk</w:t>
      </w:r>
      <w:proofErr w:type="spellEnd"/>
      <w:r>
        <w:t xml:space="preserve"> </w:t>
      </w:r>
      <w:proofErr w:type="spellStart"/>
      <w:r>
        <w:t>përshpejtohen</w:t>
      </w:r>
      <w:proofErr w:type="spellEnd"/>
      <w:r>
        <w:t xml:space="preserve"> </w:t>
      </w:r>
      <w:proofErr w:type="spellStart"/>
      <w:r>
        <w:t>automatikisht</w:t>
      </w:r>
      <w:proofErr w:type="spellEnd"/>
      <w:r>
        <w:t xml:space="preserve"> </w:t>
      </w:r>
      <w:proofErr w:type="spellStart"/>
      <w:r>
        <w:t>vetëm</w:t>
      </w:r>
      <w:proofErr w:type="spellEnd"/>
      <w:r>
        <w:t xml:space="preserve"> </w:t>
      </w:r>
      <w:proofErr w:type="spellStart"/>
      <w:r>
        <w:t>për</w:t>
      </w:r>
      <w:proofErr w:type="spellEnd"/>
      <w:r>
        <w:t xml:space="preserve"> </w:t>
      </w:r>
      <w:proofErr w:type="spellStart"/>
      <w:r>
        <w:t>shkak</w:t>
      </w:r>
      <w:proofErr w:type="spellEnd"/>
      <w:r>
        <w:t xml:space="preserve"> </w:t>
      </w:r>
      <w:proofErr w:type="spellStart"/>
      <w:r>
        <w:t>të</w:t>
      </w:r>
      <w:proofErr w:type="spellEnd"/>
      <w:r w:rsidR="00993A65">
        <w:t xml:space="preserve"> </w:t>
      </w:r>
      <w:proofErr w:type="spellStart"/>
      <w:r w:rsidR="00993A65">
        <w:t>paaftësisë</w:t>
      </w:r>
      <w:proofErr w:type="spellEnd"/>
      <w:r w:rsidR="00993A65">
        <w:t xml:space="preserve"> </w:t>
      </w:r>
      <w:proofErr w:type="spellStart"/>
      <w:r w:rsidR="00993A65">
        <w:t>paguese</w:t>
      </w:r>
      <w:proofErr w:type="spellEnd"/>
      <w:r w:rsidR="00993A65">
        <w:t xml:space="preserve"> </w:t>
      </w:r>
      <w:proofErr w:type="spellStart"/>
      <w:r>
        <w:t>ose</w:t>
      </w:r>
      <w:proofErr w:type="spellEnd"/>
      <w:r>
        <w:t xml:space="preserve"> </w:t>
      </w:r>
      <w:proofErr w:type="spellStart"/>
      <w:r>
        <w:t>ndërhyrjes</w:t>
      </w:r>
      <w:proofErr w:type="spellEnd"/>
      <w:r>
        <w:t xml:space="preserve"> </w:t>
      </w:r>
      <w:proofErr w:type="spellStart"/>
      <w:r w:rsidR="00993A65">
        <w:t>së</w:t>
      </w:r>
      <w:proofErr w:type="spellEnd"/>
      <w:r w:rsidR="00993A65">
        <w:t xml:space="preserve"> </w:t>
      </w:r>
      <w:proofErr w:type="spellStart"/>
      <w:r w:rsidR="00993A65">
        <w:t>jashtëzakonshme</w:t>
      </w:r>
      <w:proofErr w:type="spellEnd"/>
      <w:r w:rsidR="00993A65">
        <w:t xml:space="preserve"> </w:t>
      </w:r>
      <w:proofErr w:type="spellStart"/>
      <w:r>
        <w:t>ndaj</w:t>
      </w:r>
      <w:proofErr w:type="spellEnd"/>
      <w:r>
        <w:t xml:space="preserve"> </w:t>
      </w:r>
      <w:proofErr w:type="spellStart"/>
      <w:r>
        <w:t>emetuesit</w:t>
      </w:r>
      <w:proofErr w:type="spellEnd"/>
      <w:r>
        <w:t>.</w:t>
      </w:r>
    </w:p>
    <w:p w14:paraId="581865CD" w14:textId="77777777" w:rsidR="000C305C" w:rsidRPr="00B53887" w:rsidRDefault="00000000">
      <w:pPr>
        <w:pStyle w:val="Heading2"/>
        <w:rPr>
          <w:lang w:val="de-DE"/>
        </w:rPr>
      </w:pPr>
      <w:r w:rsidRPr="00B53887">
        <w:rPr>
          <w:lang w:val="de-DE"/>
        </w:rPr>
        <w:t>Funksioni ekonomik dhe karakteristikat e instrumentit</w:t>
      </w:r>
    </w:p>
    <w:p w14:paraId="3B065957" w14:textId="77777777" w:rsidR="000C305C" w:rsidRPr="00B53887" w:rsidRDefault="00000000" w:rsidP="00993A65">
      <w:pPr>
        <w:jc w:val="both"/>
        <w:rPr>
          <w:lang w:val="de-DE"/>
        </w:rPr>
      </w:pPr>
      <w:r w:rsidRPr="00B53887">
        <w:rPr>
          <w:lang w:val="de-DE"/>
        </w:rPr>
        <w:t>Obligacionet e mbuluara krijojnë një kanal financimi afatgjatë, nëpërmjet të cilit institucioni i kreditit siguron fonde kundrejt një grupi aktivesh me cilësi të përcaktuar dhe të administruar veçmas. Ndryshe nga një obligacion i zakonshëm i pasiguruar, investitori mbështetet njëkohësisht te aftësia paguese e emetuesit dhe te aktivet e grupit të mbulimit. Kjo strukturë synon të ulë rrezikun juridik dhe financiar të instrumentit, të rrisë parashikueshmërinë e pagesave dhe të krijojë një bazë më të qëndrueshme për financimin e aktiveve afatgjata.</w:t>
      </w:r>
    </w:p>
    <w:p w14:paraId="7D9E3FB6" w14:textId="77777777" w:rsidR="000C305C" w:rsidRPr="00B53887" w:rsidRDefault="00000000" w:rsidP="00993A65">
      <w:pPr>
        <w:jc w:val="both"/>
        <w:rPr>
          <w:lang w:val="de-DE"/>
        </w:rPr>
      </w:pPr>
      <w:r w:rsidRPr="00B53887">
        <w:rPr>
          <w:lang w:val="de-DE"/>
        </w:rPr>
        <w:t>Aktivet e grupit të mbulimit mbeten në bilancin e institucionit të kreditit dhe vazhdojnë të administrohen prej tij, ndërsa investitorët gëzojnë të drejta të posaçme mbi to. Për këtë arsye, obligacionet e mbuluara dallojnë nga titullizimi, ku aktivet zakonisht transferohen në një subjekt të veçantë. Mbajtja e aktiveve në bilanc ruan përgjegjësinë e emetuesit për cilësinë e portofolit, për administrimin e kredive dhe për përmbushjen e detyrimeve që rrjedhin nga programi.</w:t>
      </w:r>
    </w:p>
    <w:p w14:paraId="3AFF128B" w14:textId="77777777" w:rsidR="000C305C" w:rsidRPr="00B53887" w:rsidRDefault="00000000" w:rsidP="00993A65">
      <w:pPr>
        <w:jc w:val="both"/>
        <w:rPr>
          <w:lang w:val="de-DE"/>
        </w:rPr>
      </w:pPr>
      <w:r w:rsidRPr="00B53887">
        <w:rPr>
          <w:lang w:val="de-DE"/>
        </w:rPr>
        <w:t>Siguria e instrumentit nuk mbështetet vetëm te ekzistenca e kolateralit. Ajo varet nga identifikimi dhe veçimi juridik i aktiveve, vlerësimi i kujdesshëm i kolateralit, përputhja e flukseve të parasë, mbikolateralizimi sipas kërkesave të zbatueshme, rezerva e likuiditetit, përdorimi i kufizuar i kontratave derivative dhe monitorimi i pavarur. Projektligji i trajton këto elemente si pjesë të një mekanizmi të vetëm dhe jo si detyrime të shkëputura.</w:t>
      </w:r>
    </w:p>
    <w:p w14:paraId="667727D9" w14:textId="77777777" w:rsidR="000C305C" w:rsidRPr="00B53887" w:rsidRDefault="00000000" w:rsidP="00993A65">
      <w:pPr>
        <w:jc w:val="both"/>
        <w:rPr>
          <w:lang w:val="de-DE"/>
        </w:rPr>
      </w:pPr>
      <w:r w:rsidRPr="00B53887">
        <w:rPr>
          <w:lang w:val="de-DE"/>
        </w:rPr>
        <w:t>Projektligji nuk krijon garanci shtetërore dhe nuk eliminon rrezikun e investimit. Ai vendos një regjim të posaçëm të mbrojtjes së investitorëve dhe të mbikëqyrjes publike, në mënyrë që rreziqet e kredisë, likuiditetit, normës së interesit, kursit të këmbimit, përqendrimit dhe zgjatjes së maturimit të identifikohen, maten, administrohen dhe bëhen transparente. Kjo qasje ruan disiplinën e tregut dhe shmang krijimin e pritshmërive se detyrimet e emetuesit mbulohen nga buxheti i shtetit.</w:t>
      </w:r>
    </w:p>
    <w:p w14:paraId="0440A95F" w14:textId="77777777" w:rsidR="005A32F9" w:rsidRPr="00B53887" w:rsidRDefault="00000000" w:rsidP="00993A65">
      <w:pPr>
        <w:jc w:val="both"/>
        <w:rPr>
          <w:lang w:val="de-DE"/>
        </w:rPr>
      </w:pPr>
      <w:r w:rsidRPr="00B53887">
        <w:rPr>
          <w:lang w:val="de-DE"/>
        </w:rPr>
        <w:t>Në Bashkimin Evropian, Direktiva (BE) 2019/2162 ka harmonizuar elementet bazë të këtyre instrumenteve: emetimin vetëm nga institucione krediti, mbrojtjen e dyfishtë, veçimin e aktiveve, aktivet e pranueshme, përbërjen e grupit të mbulimit, kontratat derivative, monitoruesin, kërkesat e mbulimit, rezervën e likuiditetit, transparencën për investitorët dhe mbikëqyrjen publike. Rregullorja (BE) 2019/2160 plotëson këtë regjim në aspektin e trajtimit prudencial, ndërsa kuadri ESAP përcakton aksesin e ardhshëm të centralizuar në informacion.</w:t>
      </w:r>
    </w:p>
    <w:p w14:paraId="3FAE4674" w14:textId="77777777" w:rsidR="000C305C" w:rsidRPr="00B53887" w:rsidRDefault="00000000" w:rsidP="00993A65">
      <w:pPr>
        <w:jc w:val="both"/>
        <w:rPr>
          <w:lang w:val="de-DE"/>
        </w:rPr>
      </w:pPr>
      <w:r w:rsidRPr="00B53887">
        <w:rPr>
          <w:lang w:val="de-DE"/>
        </w:rPr>
        <w:t>Kuadri evropian mbështetet në harmonizimin minimal të tipareve strukturore dhe të mbikëqyrjes publike, duke u lënë shteteve hapësirë për të përshtatur disa elemente me karakteristikat kombëtare, pa cenuar standardet e detyrueshme të mbrojtjes. Përafrimi kërkon që ligji kombëtar të jetë i plotë në lidhje me mbrojtjen e dyfishtë, veçimin, aktivet e pranueshme, mbulimin, likuiditetin, monitorimin, transparencën dhe kompetencat e autoritetit publik.</w:t>
      </w:r>
    </w:p>
    <w:p w14:paraId="1BD198AC" w14:textId="77777777" w:rsidR="000C305C" w:rsidRPr="00B53887" w:rsidRDefault="00000000" w:rsidP="00993A65">
      <w:pPr>
        <w:jc w:val="both"/>
        <w:rPr>
          <w:lang w:val="de-DE"/>
        </w:rPr>
      </w:pPr>
      <w:r w:rsidRPr="00B53887">
        <w:rPr>
          <w:lang w:val="de-DE"/>
        </w:rPr>
        <w:t>Përdorimi i emërtimeve “Obligacion Evropian i Mbuluar” dhe “Obligacion Evropian i Mbuluar (Premium)” lidhet me përmbushjen e kushteve ligjore dhe prudenciale përkatëse. Kjo krijon krahasueshmëri për investitorët dhe lidh cilësinë e emërtimit me kërkesa të verifikueshme. Projektligji parashikon bazën që këto emërtime të përdoren vetëm kur plotësohen kushtet e përcaktuara, duke mbrojtur tregun nga përdorimi i paqartë ose çorientues i terminologjisë.</w:t>
      </w:r>
    </w:p>
    <w:p w14:paraId="52DAD1BB" w14:textId="77777777" w:rsidR="000C305C" w:rsidRPr="00B53887" w:rsidRDefault="00000000" w:rsidP="00993A65">
      <w:pPr>
        <w:jc w:val="both"/>
        <w:rPr>
          <w:lang w:val="de-DE"/>
        </w:rPr>
      </w:pPr>
      <w:r w:rsidRPr="00B53887">
        <w:rPr>
          <w:lang w:val="de-DE"/>
        </w:rPr>
        <w:t>Kërkesat që lidhen me Pikën e Vetme Evropiane të Aksesit (European Single Access Point – ESAP) plotësojnë dimensionin e transparencës dhe digjitalizimit. Sistemet kombëtare duhet të projektohen në mënyrë që informacioni i kërkuar të jetë i strukturuar, i verifikueshëm dhe teknikisht i përshtatshëm për aksesin e centralizuar nga data kur detyrimet përkatëse bëhen të zbatueshme për Republikën e Shqipërisë.</w:t>
      </w:r>
    </w:p>
    <w:p w14:paraId="2FACC535" w14:textId="77777777" w:rsidR="00AE1469" w:rsidRPr="00B53887" w:rsidRDefault="00000000" w:rsidP="00993A65">
      <w:pPr>
        <w:jc w:val="both"/>
        <w:rPr>
          <w:lang w:val="de-DE"/>
        </w:rPr>
      </w:pPr>
      <w:r w:rsidRPr="00B53887">
        <w:rPr>
          <w:lang w:val="de-DE"/>
        </w:rPr>
        <w:t>Përafrimi i këtij kuadri mbështet angazhimet e Republikës së Shqipërisë në kuadër të Marrëveshjes së Stabilizim-Asociimit, veçanërisht kërkesat që lidhen me përafrimin e legjislacionit, shërbimet financiare, lëvizjen e kapitalit, konkurrencën dhe bashkëpunimin ekonomik, si dhe objektivat e negociatave për Kapitullin 9 “Shërbimet financiare”.</w:t>
      </w:r>
    </w:p>
    <w:p w14:paraId="121646AB" w14:textId="77777777" w:rsidR="000C305C" w:rsidRPr="00B53887" w:rsidRDefault="00000000">
      <w:pPr>
        <w:pStyle w:val="Heading2"/>
        <w:rPr>
          <w:lang w:val="de-DE"/>
        </w:rPr>
      </w:pPr>
      <w:r w:rsidRPr="00B53887">
        <w:rPr>
          <w:lang w:val="de-DE"/>
        </w:rPr>
        <w:lastRenderedPageBreak/>
        <w:t>Konteksti kombëtar dhe lidhja me politikat e zhvillimit të tregut</w:t>
      </w:r>
    </w:p>
    <w:p w14:paraId="7BA1BB60" w14:textId="77777777" w:rsidR="000C305C" w:rsidRPr="00B53887" w:rsidRDefault="00000000" w:rsidP="00F4028F">
      <w:pPr>
        <w:jc w:val="both"/>
        <w:rPr>
          <w:lang w:val="de-DE"/>
        </w:rPr>
      </w:pPr>
      <w:r w:rsidRPr="00B53887">
        <w:rPr>
          <w:lang w:val="de-DE"/>
        </w:rPr>
        <w:t>Sistemi financiar shqiptar mbështetet kryesisht në ndërmjetësimin bankar, ndërsa tregu i kapitalit dhe burimet alternative të financimit janë ende në proces zhvillimi. Në këtë kontekst, krijimi i instrumenteve të reja duhet të shoqërohet me rregulla të qarta, infrastrukturë funksionale, transparencë dhe mbrojtje të investitorëve. Obligacionet e mbuluara nuk zëvendësojnë burimet ekzistuese të financimit, por shtojnë një alternativë të standardizuar për financimin afatgjatë të institucioneve të kreditit.</w:t>
      </w:r>
    </w:p>
    <w:p w14:paraId="069E46FE" w14:textId="77777777" w:rsidR="000C305C" w:rsidRPr="00B53887" w:rsidRDefault="00000000" w:rsidP="00F4028F">
      <w:pPr>
        <w:jc w:val="both"/>
        <w:rPr>
          <w:lang w:val="de-DE"/>
        </w:rPr>
      </w:pPr>
      <w:r w:rsidRPr="00B53887">
        <w:rPr>
          <w:lang w:val="de-DE"/>
        </w:rPr>
        <w:t>Dokumenti Politik “Për krijimin e një mjedisi mundësues për zhvillimin e tregjeve të kapitalit në Shqipëri, 2023–2027” synon zgjerimin e gamës së instrumenteve, forcimin e infrastrukturës së tregut, zhvillimin e tregut sekondar, diversifikimin e bazës së investitorëve dhe rritjen e përdorimit të teknologjisë. Projektligji lidhet drejtpërdrejt me këto objektiva, sepse krijon një instrument të ri borxhi, vendos standarde të publikimit dhe krijon ndërveprim ndërmjet emetuesit, autoriteteve mbikëqyrëse dhe infrastrukturës së tregut.</w:t>
      </w:r>
    </w:p>
    <w:p w14:paraId="01162E28" w14:textId="77777777" w:rsidR="000C305C" w:rsidRPr="00B53887" w:rsidRDefault="00000000" w:rsidP="00F4028F">
      <w:pPr>
        <w:jc w:val="both"/>
        <w:rPr>
          <w:lang w:val="de-DE"/>
        </w:rPr>
      </w:pPr>
      <w:r w:rsidRPr="00B53887">
        <w:rPr>
          <w:lang w:val="de-DE"/>
        </w:rPr>
        <w:t>Përfshirja e obligacioneve të mbuluara në kuadrin kombëtar mbështet edhe objektivat e Strategjisë së Autoritetit të Mbikëqyrjes Financiare 2023–2027 për përafrimin me standardet evropiane, forcimin e mbikëqyrjes me bazë rreziku, mbrojtjen e investitorëve dhe zhvillimin e qëndrueshëm të tregjeve nën mbikëqyrje. Zbatimi i projektligjit kërkon që mbikëqyrja e programit të lidhet me profilin e rrezikut të emetuesit, cilësinë e grupit të mbulimit dhe rëndësinë e programit për tregun.</w:t>
      </w:r>
    </w:p>
    <w:p w14:paraId="4AF56AA1" w14:textId="77777777" w:rsidR="000C305C" w:rsidRPr="00B53887" w:rsidRDefault="00000000" w:rsidP="00F4028F">
      <w:pPr>
        <w:jc w:val="both"/>
        <w:rPr>
          <w:lang w:val="de-DE"/>
        </w:rPr>
      </w:pPr>
      <w:r w:rsidRPr="00B53887">
        <w:rPr>
          <w:lang w:val="de-DE"/>
        </w:rPr>
        <w:t>Në kuadër të Kapitullit 9 “Shërbimet financiare”, përafrimi nuk kufizohet te përkthimi i dispozitave të Bashkimit Evropian. Ai kërkon krijimin e kompetencave, procedurave, kapaciteteve, sistemeve të raportimit dhe mekanizmave të bashkëpunimit që e bëjnë kuadrin të zbatueshëm në praktikë. Për këtë arsye, projektligji shoqërohet me objektiva të matshëm për aktet nënligjore, gatishmërinë institucionale, autorizimin, raportimin, monitorimin dhe vlerësimin ex post.</w:t>
      </w:r>
    </w:p>
    <w:p w14:paraId="440881E0" w14:textId="77777777" w:rsidR="000C305C" w:rsidRPr="00B53887" w:rsidRDefault="00000000" w:rsidP="00F4028F">
      <w:pPr>
        <w:jc w:val="both"/>
        <w:rPr>
          <w:lang w:val="de-DE"/>
        </w:rPr>
      </w:pPr>
      <w:r w:rsidRPr="00B53887">
        <w:rPr>
          <w:lang w:val="de-DE"/>
        </w:rPr>
        <w:t>Projektligji plotëson, por nuk zëvendëson, kuadrin ekzistues për institucionet e kreditit dhe tregjet e kapitalit. Licencimi dhe mbikëqyrja prudenciale e institucionit të kreditit, miratimi i prospektit, oferta publike ose pranimi në tregtim, regjistrimi dhe shlyerja e titujve, ndërhyrja e jashtëzakonshme dhe likuidimi vijojnë të rregullohen nga legjislacioni sektorial. Ligji i posaçëm ndërhyn vetëm aty ku nevojiten efekte juridike dhe kërkesa specifike për programin e obligacioneve të mbuluara.</w:t>
      </w:r>
    </w:p>
    <w:p w14:paraId="156B3616" w14:textId="77777777" w:rsidR="005A32F9" w:rsidRPr="00B53887" w:rsidRDefault="00000000" w:rsidP="00F4028F">
      <w:pPr>
        <w:jc w:val="both"/>
        <w:rPr>
          <w:lang w:val="de-DE"/>
        </w:rPr>
      </w:pPr>
      <w:r w:rsidRPr="00B53887">
        <w:rPr>
          <w:lang w:val="de-DE"/>
        </w:rPr>
        <w:t>Në Shqipëri ekzistojnë rregulla të përgjithshme për institucionet e kreditit, tregjet e kapitalit, prospektin, ndërhyrjen e jashtëzakonshme, likuidimin, kolateralin, kontabilitetin dhe auditimin. Megjithatë, këto rregulla nuk krijojnë një program të obligacioneve të mbuluara dhe nuk prodhojnë të gjitha efektet ligjore që kërkon ky instrument. Projektligji krijon për herë të parë një regjim të posaçëm, duke përcaktuar AMF-në si autoritetin që miraton programin dhe ushtron mbikëqyrjen publike, ndërsa Banka e Shqipërisë jep opinion paraprak dhe ushtron kompetencat e saj prudenciale dhe të ndërhyrjes së jashtëzakonshme.</w:t>
      </w:r>
    </w:p>
    <w:p w14:paraId="4D0696F3" w14:textId="77777777" w:rsidR="005A32F9" w:rsidRPr="00B53887" w:rsidRDefault="00000000" w:rsidP="00F4028F">
      <w:pPr>
        <w:jc w:val="both"/>
        <w:rPr>
          <w:lang w:val="de-DE"/>
        </w:rPr>
      </w:pPr>
      <w:r w:rsidRPr="00B53887">
        <w:rPr>
          <w:lang w:val="de-DE"/>
        </w:rPr>
        <w:t>Projektligji ruan ndarjen ndërmjet programit të obligacioneve të mbuluara dhe prospektit. Miratimi i programit vlerëson strukturën, aktivet, mbulimin, organizimin, monitorimin dhe qëndrueshmërinë e programit; ai nuk zëvendëson miratimin e prospektit për ofertën ose pranimin në tregtim sipas legjislacionit të tregjeve të kapitalit.</w:t>
      </w:r>
    </w:p>
    <w:p w14:paraId="10D9C185" w14:textId="77777777" w:rsidR="000C305C" w:rsidRPr="00B53887" w:rsidRDefault="00000000">
      <w:pPr>
        <w:pStyle w:val="Heading2"/>
        <w:rPr>
          <w:lang w:val="it-IT"/>
        </w:rPr>
      </w:pPr>
      <w:r w:rsidRPr="00B53887">
        <w:rPr>
          <w:lang w:val="it-IT"/>
        </w:rPr>
        <w:t>Procesi i hartimit dhe baza e analizës</w:t>
      </w:r>
    </w:p>
    <w:p w14:paraId="0CE1CB9C" w14:textId="77777777" w:rsidR="000C305C" w:rsidRPr="00B53887" w:rsidRDefault="00000000" w:rsidP="00F4028F">
      <w:pPr>
        <w:jc w:val="both"/>
        <w:rPr>
          <w:lang w:val="it-IT"/>
        </w:rPr>
      </w:pPr>
      <w:r w:rsidRPr="00B53887">
        <w:rPr>
          <w:lang w:val="it-IT"/>
        </w:rPr>
        <w:t>Projektligji është hartuar nga Autoriteti i Mbikëqyrjes Financiare në bashkëpunim me Bankën e Shqipërisë, në përputhje me kompetencat e tyre, ndërsa Ministria e Financave koordinon procesin dhe propozon projektligjin për shqyrtim dhe miratim. Gjatë hartimit janë analizuar kërkesat e Direktivës (BE) 2019/2162, kuadri prudencial i lidhur me obligacionet e mbuluara dhe kërkesat për krijimin dhe funksionimin e Pikës së Vetme Evropiane të Aksesit.</w:t>
      </w:r>
    </w:p>
    <w:p w14:paraId="4D4CCD4D" w14:textId="77777777" w:rsidR="000C305C" w:rsidRPr="00B53887" w:rsidRDefault="00000000" w:rsidP="00F4028F">
      <w:pPr>
        <w:jc w:val="both"/>
        <w:rPr>
          <w:lang w:val="it-IT"/>
        </w:rPr>
      </w:pPr>
      <w:r w:rsidRPr="00B53887">
        <w:rPr>
          <w:lang w:val="it-IT"/>
        </w:rPr>
        <w:t>Puna teknike ka përfshirë analizën e boshllëqeve në legjislacionin kombëtar, përgatitjen e tabelës së përputhshmërisë, përcaktimin e ndarjes së kompetencave ndërmjet AMF-së dhe Bankës së Shqipërisë, si dhe shqyrtimin e ndërveprimit me prospektin, ndërhyrjen e jashtëzakonshme, likuidimin, kolateralin, regjistrat publikë, kontabilitetin dhe auditimin. Kjo analizë ka shërbyer për të identifikuar dispozitat që duhet të jenë në ligj dhe çështjet teknike që do të detajohen me akte nënligjore.</w:t>
      </w:r>
    </w:p>
    <w:p w14:paraId="166CF491" w14:textId="77777777" w:rsidR="000C305C" w:rsidRPr="00B53887" w:rsidRDefault="00000000" w:rsidP="00F4028F">
      <w:pPr>
        <w:jc w:val="both"/>
        <w:rPr>
          <w:lang w:val="it-IT"/>
        </w:rPr>
      </w:pPr>
      <w:r w:rsidRPr="00B53887">
        <w:rPr>
          <w:lang w:val="it-IT"/>
        </w:rPr>
        <w:t>Vlerësimi i ndikimit është ndërtuar mbi detyrimet konkrete të projektligjit, grupet që preken nga zbatimi, kostot e njëhershme dhe të vazhdueshme, përfitimet e monetizueshme dhe përfitimet strukturore. Në mungesë të përvojës kombëtare me programe të obligacioneve të mbuluara, vlerësimet monetare përdorin supozime konservatore, të cilat do të verifikohen dhe përditësohen gjatë koordinimit ndërinstitucional, konsultimit publik dhe vlerësimit ex post.</w:t>
      </w:r>
    </w:p>
    <w:p w14:paraId="6CEF203C" w14:textId="77777777" w:rsidR="005A32F9" w:rsidRPr="00B53887" w:rsidRDefault="00000000">
      <w:pPr>
        <w:pStyle w:val="Heading1"/>
        <w:rPr>
          <w:lang w:val="it-IT"/>
        </w:rPr>
      </w:pPr>
      <w:r w:rsidRPr="00B53887">
        <w:rPr>
          <w:rFonts w:ascii="Times New Roman" w:eastAsia="Times New Roman" w:hAnsi="Times New Roman"/>
          <w:lang w:val="it-IT"/>
        </w:rPr>
        <w:t>Problemi në shqyrtim</w:t>
      </w:r>
    </w:p>
    <w:p w14:paraId="2CB49B87" w14:textId="77777777" w:rsidR="005A32F9" w:rsidRPr="00B53887" w:rsidRDefault="00000000">
      <w:pPr>
        <w:keepNext/>
        <w:spacing w:before="40"/>
        <w:jc w:val="both"/>
        <w:rPr>
          <w:lang w:val="it-IT"/>
        </w:rPr>
      </w:pPr>
      <w:r w:rsidRPr="00B53887">
        <w:rPr>
          <w:i/>
          <w:sz w:val="20"/>
          <w:lang w:val="it-IT"/>
        </w:rPr>
        <w:t>Përshkruani natyrën e problemit, shkaqet, shtrirjen dhe pasojat e tij. A mund të trajtohet problemi përmes ndryshimit të politikave?</w:t>
      </w:r>
    </w:p>
    <w:p w14:paraId="27BF5C17" w14:textId="77777777" w:rsidR="005A32F9" w:rsidRPr="00B53887" w:rsidRDefault="00000000">
      <w:pPr>
        <w:pStyle w:val="Heading2"/>
        <w:rPr>
          <w:lang w:val="it-IT"/>
        </w:rPr>
      </w:pPr>
      <w:r w:rsidRPr="00B53887">
        <w:rPr>
          <w:rFonts w:ascii="Times New Roman" w:eastAsia="Times New Roman" w:hAnsi="Times New Roman"/>
          <w:lang w:val="it-IT"/>
        </w:rPr>
        <w:t>Natyra e problemit</w:t>
      </w:r>
    </w:p>
    <w:p w14:paraId="733CB438" w14:textId="77777777" w:rsidR="005A32F9" w:rsidRPr="00B53887" w:rsidRDefault="00000000">
      <w:pPr>
        <w:jc w:val="both"/>
        <w:rPr>
          <w:lang w:val="it-IT"/>
        </w:rPr>
      </w:pPr>
      <w:r w:rsidRPr="00B53887">
        <w:rPr>
          <w:lang w:val="it-IT"/>
        </w:rPr>
        <w:t>Problemi kryesor është mungesa e një kuadri ligjor të posaçëm dhe të unifikuar për emetimin, funksionimin dhe mbikëqyrjen publike të obligacioneve të mbuluara. Kuadri ekzistues lejon emetimin e titujve të borxhit dhe rregullon veprimtarinë bankare, por nuk krijon një instrument me grup të veçuar aktivesh, me të drejta të privilegjuara për investitorët dhe me vazhdimësi të pagesave në rast likuidimi ose ndërhyrjeje të jashtëzakonshme.</w:t>
      </w:r>
    </w:p>
    <w:p w14:paraId="7ADACEB0" w14:textId="77777777" w:rsidR="000C305C" w:rsidRPr="00B53887" w:rsidRDefault="00000000">
      <w:pPr>
        <w:pStyle w:val="Heading2"/>
        <w:rPr>
          <w:lang w:val="it-IT"/>
        </w:rPr>
      </w:pPr>
      <w:r w:rsidRPr="00B53887">
        <w:rPr>
          <w:lang w:val="it-IT"/>
        </w:rPr>
        <w:lastRenderedPageBreak/>
        <w:t>Dimensionet e problemit</w:t>
      </w:r>
    </w:p>
    <w:p w14:paraId="37382A01" w14:textId="77777777" w:rsidR="000C305C" w:rsidRPr="00B53887" w:rsidRDefault="00000000" w:rsidP="00F4028F">
      <w:pPr>
        <w:jc w:val="both"/>
        <w:rPr>
          <w:lang w:val="it-IT"/>
        </w:rPr>
      </w:pPr>
      <w:r w:rsidRPr="00B53887">
        <w:rPr>
          <w:lang w:val="it-IT"/>
        </w:rPr>
        <w:t>Dimensioni juridik lidhet me mungesën e një regjimi që të jetë i zbatueshëm ndaj emetuesit, investitorëve dhe kreditorëve të tretë. Pa dispozita të posaçme nuk mund të garantohet që aktivet e grupit të mbulimit mbrohen nga pretendimet e kreditorëve të tjerë, që pretendimet e investitorëve renditen sipas përparësisë së përcaktuar dhe që pagesat vijojnë sipas afateve kontraktore në rast paaftësie paguese ose ndërhyrjeje të jashtëzakonshme.</w:t>
      </w:r>
    </w:p>
    <w:p w14:paraId="00B029C8" w14:textId="77777777" w:rsidR="000C305C" w:rsidRPr="00B53887" w:rsidRDefault="00000000" w:rsidP="00F4028F">
      <w:pPr>
        <w:jc w:val="both"/>
        <w:rPr>
          <w:lang w:val="it-IT"/>
        </w:rPr>
      </w:pPr>
      <w:r w:rsidRPr="00B53887">
        <w:rPr>
          <w:lang w:val="it-IT"/>
        </w:rPr>
        <w:t>Dimensioni prudencial lidhet me nevojën që programi të mos dobësojë qëndrueshmërinë e institucionit të kreditit. Emetimi i detyrimeve afatgjata të lidhura me një grup të caktuar aktivesh ndikon në strukturën e financimit, likuiditetin, përqendrimin e aktiveve dhe kapacitetin e bankës për të përmbushur kërkesat prudenciale. Kuadri aktual nuk parashikon opinion paraprak të posaçëm për programin dhe mekanizëm të koordinuar ndërmjet mbikëqyrjes bankare dhe mbikëqyrjes publike të obligacioneve të mbuluara.</w:t>
      </w:r>
    </w:p>
    <w:p w14:paraId="013F80BA" w14:textId="77777777" w:rsidR="000C305C" w:rsidRPr="00B53887" w:rsidRDefault="00000000" w:rsidP="00F4028F">
      <w:pPr>
        <w:jc w:val="both"/>
        <w:rPr>
          <w:lang w:val="it-IT"/>
        </w:rPr>
      </w:pPr>
      <w:r w:rsidRPr="00B53887">
        <w:rPr>
          <w:lang w:val="it-IT"/>
        </w:rPr>
        <w:t>Dimensioni operacional lidhet me mungesën e standardeve të përbashkëta për regjistrin e grupit të mbulimit, gjurmueshmërinë e aktiveve, vlerësimin e kolateralit, përllogaritjen e mbulimit, rezervën e likuiditetit, testimin e qëndrueshmërisë dhe raportimin. Pa këto standarde, edhe një strukturë kontraktore e kujdesshme do të ishte e vështirë për t’u verifikuar dhe për t’u mbikëqyrur në mënyrë të njëtrajtshme.</w:t>
      </w:r>
    </w:p>
    <w:p w14:paraId="7C3A1358" w14:textId="77777777" w:rsidR="000C305C" w:rsidRPr="00B53887" w:rsidRDefault="00000000" w:rsidP="00F4028F">
      <w:pPr>
        <w:jc w:val="both"/>
        <w:rPr>
          <w:lang w:val="it-IT"/>
        </w:rPr>
      </w:pPr>
      <w:r w:rsidRPr="00B53887">
        <w:rPr>
          <w:lang w:val="it-IT"/>
        </w:rPr>
        <w:t>Dimensioni i transparencës lidhet me asimetrinë e informacionit ndërmjet emetuesit dhe investitorëve. Emetuesi zotëron informacion të hollësishëm mbi cilësinë e aktiveve, përqendrimet, pagesat e vonuara, vlerën e kolateralit, ekspozimin ndaj normës së interesit dhe likuiditetin. Pa kërkesa periodike dhe të standardizuara, investitorët nuk mund të krahasojnë programet dhe të vlerësojnë në mënyrë të plotë rrezikun.</w:t>
      </w:r>
    </w:p>
    <w:p w14:paraId="5B051003" w14:textId="77777777" w:rsidR="000C305C" w:rsidRPr="00B53887" w:rsidRDefault="00000000" w:rsidP="00F4028F">
      <w:pPr>
        <w:jc w:val="both"/>
        <w:rPr>
          <w:lang w:val="it-IT"/>
        </w:rPr>
      </w:pPr>
      <w:r w:rsidRPr="00B53887">
        <w:rPr>
          <w:lang w:val="it-IT"/>
        </w:rPr>
        <w:t>Dimensioni i zhvillimit të tregut lidhet me mungesën e një instrumenti të njohur dhe të krahasueshëm me standardet evropiane. Pasiguria për strukturën juridike, të drejtat e investitorit dhe trajtimin në likuidim rrit koston e analizës, kufizon interesin e investitorëve institucionalë dhe pengon krijimin e praktikave të qëndrueshme të emetimit, listimit dhe tregtimit.</w:t>
      </w:r>
    </w:p>
    <w:p w14:paraId="6C442A1D" w14:textId="77777777" w:rsidR="005A32F9" w:rsidRPr="00B53887" w:rsidRDefault="00000000">
      <w:pPr>
        <w:jc w:val="both"/>
        <w:rPr>
          <w:lang w:val="it-IT"/>
        </w:rPr>
      </w:pPr>
      <w:r w:rsidRPr="00B53887">
        <w:rPr>
          <w:lang w:val="it-IT"/>
        </w:rPr>
        <w:t>Boshllëku shfaqet në mungesën e rregullave të detyrueshme për:</w:t>
      </w:r>
    </w:p>
    <w:p w14:paraId="0E109160" w14:textId="77777777" w:rsidR="005A32F9" w:rsidRDefault="00000000">
      <w:pPr>
        <w:pStyle w:val="ListBullet"/>
        <w:spacing w:after="40"/>
        <w:ind w:left="312" w:hanging="142"/>
      </w:pPr>
      <w:proofErr w:type="spellStart"/>
      <w:r>
        <w:t>mbrojtjen</w:t>
      </w:r>
      <w:proofErr w:type="spellEnd"/>
      <w:r>
        <w:t xml:space="preserve"> e </w:t>
      </w:r>
      <w:proofErr w:type="spellStart"/>
      <w:r>
        <w:t>dyfishtë</w:t>
      </w:r>
      <w:proofErr w:type="spellEnd"/>
      <w:r>
        <w:t xml:space="preserve"> </w:t>
      </w:r>
      <w:proofErr w:type="spellStart"/>
      <w:r>
        <w:t>dhe</w:t>
      </w:r>
      <w:proofErr w:type="spellEnd"/>
      <w:r>
        <w:t xml:space="preserve"> rendin e pretendimeve të </w:t>
      </w:r>
      <w:proofErr w:type="gramStart"/>
      <w:r>
        <w:t>investitorëve;</w:t>
      </w:r>
      <w:proofErr w:type="gramEnd"/>
    </w:p>
    <w:p w14:paraId="2CA5C6A6" w14:textId="77777777" w:rsidR="005A32F9" w:rsidRDefault="00000000">
      <w:pPr>
        <w:pStyle w:val="ListBullet"/>
        <w:spacing w:after="40"/>
        <w:ind w:left="312" w:hanging="142"/>
      </w:pPr>
      <w:r>
        <w:t xml:space="preserve">veçimin juridik të aktiveve të mbulimit dhe mbrojtjen e tyre nga kreditorët e </w:t>
      </w:r>
      <w:proofErr w:type="gramStart"/>
      <w:r>
        <w:t>tjerë;</w:t>
      </w:r>
      <w:proofErr w:type="gramEnd"/>
    </w:p>
    <w:p w14:paraId="6EC29FAD" w14:textId="77777777" w:rsidR="005A32F9" w:rsidRDefault="00000000">
      <w:pPr>
        <w:pStyle w:val="ListBullet"/>
        <w:spacing w:after="40"/>
        <w:ind w:left="312" w:hanging="142"/>
      </w:pPr>
      <w:r>
        <w:t xml:space="preserve">krijimin dhe mirëmbajtjen e regjistrit të grupit të </w:t>
      </w:r>
      <w:proofErr w:type="gramStart"/>
      <w:r>
        <w:t>mbulimit;</w:t>
      </w:r>
      <w:proofErr w:type="gramEnd"/>
    </w:p>
    <w:p w14:paraId="3B7493BA" w14:textId="77777777" w:rsidR="005A32F9" w:rsidRDefault="00000000">
      <w:pPr>
        <w:pStyle w:val="ListBullet"/>
        <w:spacing w:after="40"/>
        <w:ind w:left="312" w:hanging="142"/>
      </w:pPr>
      <w:r>
        <w:t xml:space="preserve">aktivet e pranueshme, vlerësimin e kolateralit dhe përbërjen e grupit të </w:t>
      </w:r>
      <w:proofErr w:type="gramStart"/>
      <w:r>
        <w:t>mbulimit;</w:t>
      </w:r>
      <w:proofErr w:type="gramEnd"/>
    </w:p>
    <w:p w14:paraId="0254255C" w14:textId="77777777" w:rsidR="005A32F9" w:rsidRDefault="00000000">
      <w:pPr>
        <w:pStyle w:val="ListBullet"/>
        <w:spacing w:after="40"/>
        <w:ind w:left="312" w:hanging="142"/>
      </w:pPr>
      <w:r>
        <w:t>mbulimin e detyrimeve, mbikolateralizimin dhe rezervën e likuiditetit 180-</w:t>
      </w:r>
      <w:proofErr w:type="gramStart"/>
      <w:r>
        <w:t>ditore;</w:t>
      </w:r>
      <w:proofErr w:type="gramEnd"/>
    </w:p>
    <w:p w14:paraId="7129E547" w14:textId="77777777" w:rsidR="005A32F9" w:rsidRDefault="00000000">
      <w:pPr>
        <w:pStyle w:val="ListBullet"/>
        <w:spacing w:after="40"/>
        <w:ind w:left="312" w:hanging="142"/>
      </w:pPr>
      <w:r>
        <w:t xml:space="preserve">përfshirjen dhe administrimin e kontratave </w:t>
      </w:r>
      <w:proofErr w:type="gramStart"/>
      <w:r>
        <w:t>derivative;</w:t>
      </w:r>
      <w:proofErr w:type="gramEnd"/>
    </w:p>
    <w:p w14:paraId="6F4DD119" w14:textId="77777777" w:rsidR="005A32F9" w:rsidRDefault="00000000">
      <w:pPr>
        <w:pStyle w:val="ListBullet"/>
        <w:spacing w:after="40"/>
        <w:ind w:left="312" w:hanging="142"/>
      </w:pPr>
      <w:r>
        <w:t xml:space="preserve">monitoruesin e pavarur të grupit të mbulimit dhe administratorin e </w:t>
      </w:r>
      <w:proofErr w:type="gramStart"/>
      <w:r>
        <w:t>posaçëm;</w:t>
      </w:r>
      <w:proofErr w:type="gramEnd"/>
    </w:p>
    <w:p w14:paraId="175BAA0A" w14:textId="77777777" w:rsidR="005A32F9" w:rsidRPr="006916B7" w:rsidRDefault="00000000">
      <w:pPr>
        <w:pStyle w:val="ListBullet"/>
        <w:spacing w:after="40"/>
        <w:ind w:left="312" w:hanging="142"/>
        <w:rPr>
          <w:lang w:val="it-IT"/>
        </w:rPr>
      </w:pPr>
      <w:r w:rsidRPr="006916B7">
        <w:rPr>
          <w:lang w:val="it-IT"/>
        </w:rPr>
        <w:t>miratimin, rishikimin dhe revokimin e programit;</w:t>
      </w:r>
    </w:p>
    <w:p w14:paraId="32970226" w14:textId="77777777" w:rsidR="005A32F9" w:rsidRDefault="00000000">
      <w:pPr>
        <w:pStyle w:val="ListBullet"/>
        <w:spacing w:after="40"/>
        <w:ind w:left="312" w:hanging="142"/>
      </w:pPr>
      <w:r>
        <w:t xml:space="preserve">raportimin, publikimin e informacionit dhe transparencën periodike për </w:t>
      </w:r>
      <w:proofErr w:type="gramStart"/>
      <w:r>
        <w:t>investitorët;</w:t>
      </w:r>
      <w:proofErr w:type="gramEnd"/>
    </w:p>
    <w:p w14:paraId="663A2E57" w14:textId="77777777" w:rsidR="005A32F9" w:rsidRDefault="00000000">
      <w:pPr>
        <w:pStyle w:val="ListBullet"/>
        <w:spacing w:after="40"/>
        <w:ind w:left="312" w:hanging="142"/>
      </w:pPr>
      <w:r>
        <w:t>mbikëqyrjen publike, bashkëpunimin ndërinstitucional, masat dhe sanksionet.</w:t>
      </w:r>
    </w:p>
    <w:p w14:paraId="6110A4D5" w14:textId="77777777" w:rsidR="000C305C" w:rsidRDefault="00000000">
      <w:pPr>
        <w:pStyle w:val="Heading2"/>
      </w:pPr>
      <w:r>
        <w:t>Manifestimi i problemit në praktikë</w:t>
      </w:r>
    </w:p>
    <w:p w14:paraId="5690686D" w14:textId="77777777" w:rsidR="000C305C" w:rsidRDefault="00000000" w:rsidP="00F4028F">
      <w:pPr>
        <w:jc w:val="both"/>
      </w:pPr>
      <w:r>
        <w:t>Në gjendjen aktuale, një institucion krediti mund të emetojë tituj borxhi sipas rregullave të përgjithshme, por nuk mund t’u atribuojë atyre efektet e një obligacioni të mbuluar të harmonizuar. Dokumentacioni kontraktor nuk mund të zëvendësojë veçimin ligjor të aktiveve, rendin e pretendimeve dhe kompetencat e autoriteteve. Për rrjedhojë, një emetim i tillë do të mbetej obligacion bankar i zakonshëm ose instrument tjetër borxhi, pa standardin e posaçëm të mbrojtjes.</w:t>
      </w:r>
    </w:p>
    <w:p w14:paraId="7D0310C2" w14:textId="77777777" w:rsidR="000C305C" w:rsidRDefault="00000000" w:rsidP="00F4028F">
      <w:pPr>
        <w:jc w:val="both"/>
      </w:pPr>
      <w:r>
        <w:t>Mungesa e regjistrit të grupit të mbulimit e bën të paqartë se cilat aktive shërbejnë për programin në çdo moment, si zëvendësohen, si regjistrohen pagesat dhe si verifikohet që të njëjtat aktive nuk përdoren në mënyrë të papajtueshme për detyrime të tjera. Ky boshllëk cenon gjurmueshmërinë, auditueshmërinë dhe aftësinë e administratorit të posaçëm për të vazhduar administrimin e programit.</w:t>
      </w:r>
    </w:p>
    <w:p w14:paraId="79A6E9A5" w14:textId="77777777" w:rsidR="000C305C" w:rsidRDefault="00000000" w:rsidP="00F4028F">
      <w:pPr>
        <w:jc w:val="both"/>
      </w:pPr>
      <w:r>
        <w:t>Mungesa e rregullave për mbulimin dhe rezervën 180-ditore të likuiditetit krijon rrezik që flukset nga aktivet të mos jenë të mjaftueshme ose të disponueshme në kohën kur maturohen pagesat ndaj investitorëve. Edhe kur vlera nominale e aktiveve është e lartë, mospërputhja e afateve dhe cilësia e dobët e aktiveve mund të krijojnë mungesë likuiditeti. Për këtë arsye, vlerësimi duhet të përfshijë jo vetëm vlerën, por edhe kohën, cilësinë dhe qëndrueshmërinë e flukseve.</w:t>
      </w:r>
    </w:p>
    <w:p w14:paraId="135E52DC" w14:textId="77777777" w:rsidR="000C305C" w:rsidRDefault="00000000" w:rsidP="00F4028F">
      <w:pPr>
        <w:jc w:val="both"/>
      </w:pPr>
      <w:r>
        <w:t>Mungesa e një monitoruesi të pavarur dhe e raportimit të standardizuar kufizon kontrollin e vazhdueshëm ndërmjet inspektimeve të autoriteteve. Mbikëqyrja publike nuk mund të mbështetet vetëm në të dhënat agregate prudenciale të bankës, sepse programi kërkon informacion të veçantë për çdo aktiv, detyrim, kontratë derivative dhe përllogaritje të mbulimit.</w:t>
      </w:r>
    </w:p>
    <w:p w14:paraId="249D7566" w14:textId="77777777" w:rsidR="005A32F9" w:rsidRDefault="00000000">
      <w:pPr>
        <w:pStyle w:val="Heading2"/>
      </w:pPr>
      <w:r>
        <w:rPr>
          <w:rFonts w:ascii="Times New Roman" w:eastAsia="Times New Roman" w:hAnsi="Times New Roman"/>
        </w:rPr>
        <w:t>Shkaqet e problemit</w:t>
      </w:r>
    </w:p>
    <w:p w14:paraId="47AD9BBA" w14:textId="77777777" w:rsidR="005A32F9" w:rsidRDefault="00000000" w:rsidP="00F4028F">
      <w:pPr>
        <w:jc w:val="both"/>
      </w:pPr>
      <w:r>
        <w:t>Shkaku themelor është se obligacionet e mbuluara janë instrumente që kërkojnë efekte të posaçme ligjore, të cilat nuk mund të krijohen përmes kontratave private. Veçimi i aktiveve nga masa e likuidimit, privilegji i investitorëve, mos-përshpejtimi automatik i pagesave, transferimi i grupit të mbulimit dhe kompetencat e administratorit të posaçëm kërkojnë dispozita të nivelit ligjor. Një shkak i dytë është mungesa e transpozimit të Direktivës (BE) 2019/2162 dhe e rregullave të lidhura me ESAP. Një shkak i tretë është zhvillimi ende i kufizuar i tregut vendas të titujve të borxhit, i cili nuk ka krijuar vetë standarde të konsoliduara për këtë produkt.</w:t>
      </w:r>
    </w:p>
    <w:p w14:paraId="6A3C07F5" w14:textId="77777777" w:rsidR="000C305C" w:rsidRDefault="00000000" w:rsidP="00F4028F">
      <w:pPr>
        <w:jc w:val="both"/>
      </w:pPr>
      <w:r>
        <w:t>Shkaqet e identifikuara mund të përmblidhen si më poshtë:</w:t>
      </w:r>
    </w:p>
    <w:p w14:paraId="1C0A3698" w14:textId="77777777" w:rsidR="000C305C" w:rsidRDefault="00000000" w:rsidP="00F4028F">
      <w:pPr>
        <w:pStyle w:val="ListBullet"/>
        <w:jc w:val="both"/>
      </w:pPr>
      <w:r>
        <w:lastRenderedPageBreak/>
        <w:t xml:space="preserve">shkak normativ: mungesa e dispozitave të nivelit ligjor për të drejtat me përparësi, veçimin, mos-përshpejtimin automatik, transferimin dhe administrimin e </w:t>
      </w:r>
      <w:proofErr w:type="gramStart"/>
      <w:r>
        <w:t>posaçëm;</w:t>
      </w:r>
      <w:proofErr w:type="gramEnd"/>
    </w:p>
    <w:p w14:paraId="4EDD30F8" w14:textId="77777777" w:rsidR="000C305C" w:rsidRDefault="00000000" w:rsidP="00F4028F">
      <w:pPr>
        <w:pStyle w:val="ListBullet"/>
        <w:jc w:val="both"/>
      </w:pPr>
      <w:r>
        <w:t xml:space="preserve">shkak institucional: mungesa e kompetencave dhe procedurave të posaçme për miratimin dhe mbikëqyrjen e programit, si dhe e mekanizmit të formalizuar të bashkëpunimit ndërmjet </w:t>
      </w:r>
      <w:proofErr w:type="gramStart"/>
      <w:r>
        <w:t>autoriteteve;</w:t>
      </w:r>
      <w:proofErr w:type="gramEnd"/>
    </w:p>
    <w:p w14:paraId="16AC8C70" w14:textId="77777777" w:rsidR="000C305C" w:rsidRDefault="00000000" w:rsidP="00F4028F">
      <w:pPr>
        <w:pStyle w:val="ListBullet"/>
        <w:jc w:val="both"/>
      </w:pPr>
      <w:r>
        <w:t xml:space="preserve">shkak operacional: mungesa e formateve të regjistrit, raportimit, testimit të qëndrueshmërisë, kontrollit të mbulimit dhe administrimit të të </w:t>
      </w:r>
      <w:proofErr w:type="gramStart"/>
      <w:r>
        <w:t>dhënave;</w:t>
      </w:r>
      <w:proofErr w:type="gramEnd"/>
    </w:p>
    <w:p w14:paraId="74945F34" w14:textId="77777777" w:rsidR="000C305C" w:rsidRDefault="00000000" w:rsidP="00F4028F">
      <w:pPr>
        <w:pStyle w:val="ListBullet"/>
        <w:jc w:val="both"/>
      </w:pPr>
      <w:r>
        <w:t>shkak tregu: përvojë e kufizuar me instrumente të tilla, bazë e kufizuar investitorësh dhe mungesë e praktikave të standardizuara për çmimin dhe tregtimin sekondar.</w:t>
      </w:r>
    </w:p>
    <w:p w14:paraId="7B1548C5" w14:textId="77777777" w:rsidR="000C305C" w:rsidRDefault="00000000" w:rsidP="00F4028F">
      <w:pPr>
        <w:jc w:val="both"/>
      </w:pPr>
      <w:r>
        <w:t>Këto shkaqe janë të ndërlidhura. Vetëm krijimi i kompetencave pa vendosur efektet juridike nuk do të mbronte investitorët; vetëm vendosja e rregullave ligjore pa sisteme dhe procedura nuk do të siguronte zbatim; ndërsa vetëm masat për zhvillimin e tregut pa standarde të detyrueshme do të rrisnin rrezikun e strukturave të paqarta. Ndërhyrja duhet, për rrjedhojë, të kombinojë ligjin, aktet nënligjore, kapacitetet dhe monitorimin.</w:t>
      </w:r>
    </w:p>
    <w:p w14:paraId="7A95A992" w14:textId="77777777" w:rsidR="005A32F9" w:rsidRDefault="00000000">
      <w:pPr>
        <w:pStyle w:val="Heading2"/>
      </w:pPr>
      <w:r>
        <w:rPr>
          <w:rFonts w:ascii="Times New Roman" w:eastAsia="Times New Roman" w:hAnsi="Times New Roman"/>
        </w:rPr>
        <w:t>Shtrirja e problemit dhe grupet e prekura</w:t>
      </w:r>
    </w:p>
    <w:p w14:paraId="5A97378E" w14:textId="77777777" w:rsidR="005A32F9" w:rsidRDefault="00000000" w:rsidP="00F4028F">
      <w:pPr>
        <w:jc w:val="both"/>
      </w:pPr>
      <w:r>
        <w:t>Problemi prek drejtpërdrejt institucionet e kreditit që mund të diversifikojnë financimin përmes obligacioneve të mbuluara, AMF-në, Bankën e Shqipërisë, monitoruesit e grupit të mbulimit, audituesit, vlerësuesit dhe operatorët e infrastrukturës së tregut. Investitorët institucionalë dhe individualë preken si përdorues të produktit. Agjencia e Sigurimit të Depozitave, administratori i posaçëm, gjykatat dhe strukturat e likuidimit preken në rast paaftësie paguese ose ndërhyrjeje. Huamarrësit, NVM-të dhe ekonomia reale mund të përfitojnë tërthorazi nga burime më të qëndrueshme financimi afatgjatë.</w:t>
      </w:r>
    </w:p>
    <w:p w14:paraId="763B239D" w14:textId="77777777" w:rsidR="000C305C" w:rsidRDefault="00000000" w:rsidP="00F4028F">
      <w:pPr>
        <w:jc w:val="both"/>
      </w:pPr>
      <w:r>
        <w:t>Për institucionet e kreditit, problemi shfaqet si mungesë e një kanali të standardizuar financimi dhe si pasiguri mbi kërkesat që do të duhej të përmbusheshin për një emetim të tillë. Për bankat me portofol të përshtatshëm aktivesh, kjo kufizon mundësinë për të përdorur një pjesë të aktiveve cilësore si bazë për financim afatgjatë. Për bankat që nuk synojnë të emetojnë, ndikimi i drejtpërdrejtë është minimal.</w:t>
      </w:r>
    </w:p>
    <w:p w14:paraId="55D246DA" w14:textId="77777777" w:rsidR="000C305C" w:rsidRDefault="00000000" w:rsidP="00F4028F">
      <w:pPr>
        <w:jc w:val="both"/>
      </w:pPr>
      <w:r>
        <w:t>Për investitorët institucionalë, mungesa e kuadrit kufizon gamën e instrumenteve me profil të lartë mbrojtjeje dhe maturitet afatgjatë. Fondet e investimit, fondet e pensionit, shoqëritë e sigurimit dhe investitorë të tjerë duhet të vlerësojnë instrumentet bankare pa përfitimet e veçimit dhe të monitorimit të posaçëm. Investitorët individualë preken nga mungesa e informacionit të standardizuar dhe e një emërtimi të mbrojtur ligjërisht.</w:t>
      </w:r>
    </w:p>
    <w:p w14:paraId="7EF50D1B" w14:textId="77777777" w:rsidR="000C305C" w:rsidRDefault="00000000" w:rsidP="00F4028F">
      <w:pPr>
        <w:jc w:val="both"/>
      </w:pPr>
      <w:r>
        <w:t>Për AMF-në dhe Bankën e Shqipërisë, problemi është mungesa e një baze të plotë për ndarjen e përgjegjësive dhe shkëmbimin e informacionit. AMF-ja nuk ka regjim të posaçëm për miratimin dhe mbikëqyrjen e programit, ndërsa Banka e Shqipërisë nuk ka procedurë të lidhur posaçërisht me opinionin paraprak për programin. Në rast krize, mungesa e rregullave do ta bënte më të vështirë koordinimin ndërmjet mbikëqyrjes, ndërhyrjes së jashtëzakonshme dhe likuidimit.</w:t>
      </w:r>
    </w:p>
    <w:p w14:paraId="1A04C4F0" w14:textId="77777777" w:rsidR="000C305C" w:rsidRDefault="00000000" w:rsidP="00F4028F">
      <w:pPr>
        <w:jc w:val="both"/>
      </w:pPr>
      <w:r>
        <w:t>Për profesionistët dhe infrastrukturën e tregut, mungesa e standardeve kufizon zhvillimin e metodologjive, sistemeve dhe shërbimeve të specializuara. Monitoruesit potencialë, audituesit, vlerësuesit, këshilltarët, operatori i tregut dhe depozitari nuk kanë kërkesa të njëtrajtshme mbi të cilat të ndërtojnë procedurat e tyre.</w:t>
      </w:r>
    </w:p>
    <w:p w14:paraId="4403F60A" w14:textId="77777777" w:rsidR="000C305C" w:rsidRDefault="00000000" w:rsidP="00F4028F">
      <w:pPr>
        <w:jc w:val="both"/>
      </w:pPr>
      <w:r>
        <w:t>Ndikimi gjeografik është kombëtar, sepse emetuesit janë institucione krediti të themeluara në Republikën e Shqipërisë dhe investitorët mund të jenë vendas ose të huaj. Ndikimi kohor është afatgjatë: të drejtat dhe detyrimet vazhdojnë gjatë gjithë jetës së programit dhe duhet të funksionojnë edhe në një periudhë krize, likuidimi ose transferimi.</w:t>
      </w:r>
    </w:p>
    <w:p w14:paraId="6702C914" w14:textId="77777777" w:rsidR="005A32F9" w:rsidRDefault="00000000" w:rsidP="00F4028F">
      <w:pPr>
        <w:jc w:val="both"/>
      </w:pPr>
      <w:r>
        <w:t>Pasojat e mosndërhyrjes janë: pasiguri juridike; pamundësi për përdorimin e emërtimit dhe standardeve të harmonizuara; mungesë e një produkti të krahasueshëm me tregjet evropiane; rrezik më i lartë për investitorët; kufizim i alternativave të financimit të bankave; mosrealizim i objektivave të zhvillimit të tregut të kapitalit; dhe mospërafrim me acquis në Kapitullin 9.</w:t>
      </w:r>
    </w:p>
    <w:p w14:paraId="70E8F03C" w14:textId="77777777" w:rsidR="000C305C" w:rsidRDefault="00000000">
      <w:pPr>
        <w:pStyle w:val="Heading2"/>
      </w:pPr>
      <w:r>
        <w:t>Pasojat e mosndërhyrjes</w:t>
      </w:r>
    </w:p>
    <w:p w14:paraId="3355242F" w14:textId="77777777" w:rsidR="000C305C" w:rsidRDefault="00000000" w:rsidP="00F4028F">
      <w:pPr>
        <w:jc w:val="both"/>
      </w:pPr>
      <w:r>
        <w:t>Në afat të shkurtër, mosndërhyrja shmang kostot e përgatitjes së akteve, sistemeve dhe procedurave, por ruan pasigurinë juridike dhe nuk krijon instrumentin. Institucionet e kreditit vazhdojnë të mbështeten te burimet ekzistuese të financimit, ndërsa investitorët nuk përfitojnë një produkt me mbrojtjen strukturore të obligacioneve të mbuluara.</w:t>
      </w:r>
    </w:p>
    <w:p w14:paraId="6459F89D" w14:textId="77777777" w:rsidR="000C305C" w:rsidRDefault="00000000" w:rsidP="00F4028F">
      <w:pPr>
        <w:jc w:val="both"/>
      </w:pPr>
      <w:r>
        <w:t>Në afat të mesëm, mungesa e kuadrit do të kufizonte diversifikimin e tregut të kapitalit dhe do të ruante hendekun me kuadrin evropian. Çdo përpjekje për emetim përmes rregullave të përgjithshme do të kërkonte dokumentacion të gjerë kontraktor, analiza juridike të përsëritura dhe negocim individual, pa arritur të njëjtin nivel sigurie dhe krahasueshmërie.</w:t>
      </w:r>
    </w:p>
    <w:p w14:paraId="6AA37B32" w14:textId="77777777" w:rsidR="000C305C" w:rsidRDefault="00000000" w:rsidP="00F4028F">
      <w:pPr>
        <w:jc w:val="both"/>
      </w:pPr>
      <w:r>
        <w:t>Në afat të gjatë, mosndërhyrja do të ndikonte në përmbushjen e angazhimeve të Kapitullit 9, në gatishmërinë institucionale për anëtarësim dhe në aftësinë e tregut vendas për t’u lidhur me standardet dhe formatet evropiane. Kostoja e përafrimit do të shtyhej, ndërsa autoritetet dhe subjektet do të humbnin periudhën e nevojshme për testim dhe ndërtim kapacitetesh para fillimit të zbatimit.</w:t>
      </w:r>
    </w:p>
    <w:p w14:paraId="1CBA170A" w14:textId="77777777" w:rsidR="000C305C" w:rsidRDefault="00000000" w:rsidP="00F4028F">
      <w:pPr>
        <w:jc w:val="both"/>
      </w:pPr>
      <w:r>
        <w:t>Mosndërhyrja mund të krijojë gjithashtu rrezik reputacional nëse në treg përdoren terma të ngjashëm me “obligacion i mbuluar” për instrumente që nuk ofrojnë mbrojtjen e dyfishtë, veçimin dhe mbikëqyrjen publike. Një regjim i qartë i emërtimeve dhe publikimeve ul rrezikun e keqkuptimit dhe mbron integritetin e tregut.</w:t>
      </w:r>
    </w:p>
    <w:p w14:paraId="2A12A75C" w14:textId="77777777" w:rsidR="005A32F9" w:rsidRDefault="00000000" w:rsidP="00F4028F">
      <w:pPr>
        <w:jc w:val="both"/>
      </w:pPr>
      <w:r>
        <w:t>Problemi mund të trajtohet përmes ndryshimit të politikës, por vetëm një ndërhyrje ligjore e plotë mund të krijojë të gjitha efektet materiale, procedurale, prudenciale dhe mbikëqyrëse të nevojshme.</w:t>
      </w:r>
    </w:p>
    <w:p w14:paraId="28AB4E43" w14:textId="77777777" w:rsidR="005A32F9" w:rsidRDefault="00000000">
      <w:pPr>
        <w:pStyle w:val="Heading1"/>
      </w:pPr>
      <w:r>
        <w:rPr>
          <w:rFonts w:ascii="Times New Roman" w:eastAsia="Times New Roman" w:hAnsi="Times New Roman"/>
        </w:rPr>
        <w:lastRenderedPageBreak/>
        <w:t>Arsyeja e ndërhyrjes</w:t>
      </w:r>
    </w:p>
    <w:p w14:paraId="4EE63203" w14:textId="77777777" w:rsidR="005A32F9" w:rsidRDefault="00000000">
      <w:pPr>
        <w:keepNext/>
        <w:spacing w:before="40"/>
        <w:jc w:val="both"/>
      </w:pPr>
      <w:r>
        <w:rPr>
          <w:i/>
          <w:sz w:val="20"/>
        </w:rPr>
        <w:t>Pse qeveria e sheh të nevojshme të ndërhyjë?</w:t>
      </w:r>
    </w:p>
    <w:p w14:paraId="7019767A" w14:textId="77777777" w:rsidR="005A32F9" w:rsidRDefault="00000000" w:rsidP="00F4028F">
      <w:pPr>
        <w:jc w:val="both"/>
      </w:pPr>
      <w:r>
        <w:t>Ndërhyrja justifikohet nga dështimi i tregut dhe nevoja për siguri juridike. Investitorët nuk mund të krijojnë individualisht një regjim të përbashkët privilegji mbi aktivet, ndërsa një bankë nuk mund, vetëm me marrëveshje private, t’i vendosë aktivet jashtë pretendimeve të kreditorëve të tjerë në mënyrë të zbatueshme ndaj të gjithëve. Për më tepër, informacioni mbi cilësinë e aktiveve, mbulimin, likuiditetin dhe rreziqet zotërohet kryesisht nga emetuesi, duke krijuar asimetri informacioni. Mbikëqyrja publike, transparenca periodike dhe monitoruesi i pavarur reduktojnë këtë asimetri dhe rrisin besimin.</w:t>
      </w:r>
    </w:p>
    <w:p w14:paraId="1BE31AE9" w14:textId="77777777" w:rsidR="000C305C" w:rsidRDefault="00000000">
      <w:pPr>
        <w:pStyle w:val="Heading2"/>
      </w:pPr>
      <w:r>
        <w:t>Dështimet e tregut dhe nevoja për rregullim publik</w:t>
      </w:r>
    </w:p>
    <w:p w14:paraId="728C2865" w14:textId="77777777" w:rsidR="000C305C" w:rsidRDefault="00000000" w:rsidP="00F4028F">
      <w:pPr>
        <w:jc w:val="both"/>
      </w:pPr>
      <w:r>
        <w:t>Asimetria e informacionit është dështimi kryesor i tregut. Cilësia e portofolit, vlera e kolateralit, përqendrimi, vonesat në pagesa, ekspozimi ndaj normës së interesit dhe struktura e likuiditetit njihen në detaje nga emetuesi, por jo nga investitori. Kërkesat e publikimit tremujor, raportimit gjashtëmujor, regjistrit dhe verifikimit nga monitoruesi krijojnë informacion të standardizuar dhe ulin koston e kontrollit nga investitorët.</w:t>
      </w:r>
    </w:p>
    <w:p w14:paraId="05F69D09" w14:textId="77777777" w:rsidR="000C305C" w:rsidRDefault="00000000" w:rsidP="00F4028F">
      <w:pPr>
        <w:jc w:val="both"/>
      </w:pPr>
      <w:r>
        <w:t>Ekziston edhe problem koordinimi. Programi prek njëkohësisht mbikëqyrjen e tregut të kapitalit, mbikëqyrjen prudenciale, ndërhyrjen e jashtëzakonshme, likuidimin, regjistrimin e kolateralit dhe infrastrukturën e titujve. Pa rregulla të përbashkëta dhe ndarje të qartë kompetencash, secili institucion do të vepronte vetëm brenda kuadrit të vet, duke krijuar boshllëqe ose mbivendosje.</w:t>
      </w:r>
    </w:p>
    <w:p w14:paraId="60F31CF0" w14:textId="77777777" w:rsidR="000C305C" w:rsidRDefault="00000000" w:rsidP="00F4028F">
      <w:pPr>
        <w:jc w:val="both"/>
      </w:pPr>
      <w:r>
        <w:t>Efektet e jashtme lidhen me stabilitetin financiar dhe besimin në treg. Dobësitë e një programi të madh mund të ndikojnë jo vetëm investitorët dhe emetuesin, por edhe financimin e sektorit bankar, likuiditetin e tregut dhe perceptimin e investitorëve për instrumentet e borxhit. Prandaj, cilësia e aktiveve, mbulimi dhe likuiditeti nuk mund të lihen vetëm në vlerësimin individual të palëve kontraktuese.</w:t>
      </w:r>
    </w:p>
    <w:p w14:paraId="69AA05A4" w14:textId="77777777" w:rsidR="000C305C" w:rsidRDefault="00000000" w:rsidP="00F4028F">
      <w:pPr>
        <w:jc w:val="both"/>
      </w:pPr>
      <w:r>
        <w:t>Boshllëku juridik nuk mund të korrigjohet nga tregu. Privilegji i investitorëve, mbrojtja e aktiveve nga kreditorët e tjerë, mos-përshpejtimi automatik dhe transferimi në ndërhyrje ose likuidim kanë efekt ndaj palëve të treta dhe kërkojnë bazë ligjore. Këto elemente përbëjnë arsyen kryesore pse opsioni jorregullator ose kontraktor nuk është i mjaftueshëm.</w:t>
      </w:r>
    </w:p>
    <w:p w14:paraId="3AA75858" w14:textId="77777777" w:rsidR="005A32F9" w:rsidRDefault="00000000" w:rsidP="00F4028F">
      <w:pPr>
        <w:jc w:val="both"/>
      </w:pPr>
      <w:r>
        <w:t>Ndërhyrja është gjithashtu e nevojshme për stabilitetin financiar. Obligacionet e mbuluara krijojnë lidhje afatgjata ndërmjet aktiveve dhe detyrimeve të bankës; pa rregulla për përputhjen e flukseve, mbulimin dhe likuiditetin, produkti mund të transmetojë rrezik në vend që ta ulë atë. Për këtë arsye projektligji kombinon mbrojtjen e investitorëve me vlerësimin prudencial të Bankës së Shqipërisë dhe mbikëqyrjen publike të AMF-së.</w:t>
      </w:r>
    </w:p>
    <w:p w14:paraId="40F4F3CC" w14:textId="77777777" w:rsidR="000C305C" w:rsidRDefault="00000000">
      <w:pPr>
        <w:pStyle w:val="Heading2"/>
      </w:pPr>
      <w:r>
        <w:t>Proporcionaliteti i ndërhyrjes</w:t>
      </w:r>
    </w:p>
    <w:p w14:paraId="1039AC0F" w14:textId="77777777" w:rsidR="000C305C" w:rsidRDefault="00000000" w:rsidP="00F4028F">
      <w:pPr>
        <w:jc w:val="both"/>
      </w:pPr>
      <w:r>
        <w:t>Ndërhyrja është proporcionale sepse nuk imponon emetimin e obligacioneve të mbuluara. Institucioni i kreditit hyn në regjim vetëm kur vendos të paraqesë një program dhe të përdorë emërtimin përkatës. Pas hyrjes, kërkesat janë të detyrueshme për shkak të mbrojtjes së investitorëve dhe të efekteve mbi stabilitetin financiar.</w:t>
      </w:r>
    </w:p>
    <w:p w14:paraId="0F8A71DA" w14:textId="77777777" w:rsidR="000C305C" w:rsidRDefault="00000000" w:rsidP="00F4028F">
      <w:pPr>
        <w:jc w:val="both"/>
      </w:pPr>
      <w:r>
        <w:t>Projektligji përcakton parimet dhe kërkesat thelbësore në nivel ligji, ndërsa çështjet teknike delegohen në akte nënligjore të AMF-së dhe Bankës së Shqipërisë sipas kompetencave. Kjo shmang ngarkimin e ligjit me formate dhe parametra që mund të kërkojnë përditësim, duke ruajtur njëkohësisht sigurinë juridike për elementet që nuk mund të delegohen.</w:t>
      </w:r>
    </w:p>
    <w:p w14:paraId="4D3E66BA" w14:textId="77777777" w:rsidR="000C305C" w:rsidRDefault="00000000" w:rsidP="00F4028F">
      <w:pPr>
        <w:jc w:val="both"/>
      </w:pPr>
      <w:r>
        <w:t>Proporcionaliteti do të zbatohet edhe në mbikëqyrje. Intensiteti i monitorimit dhe inspektimeve duhet të marrë parasysh madhësinë e programit, natyrën dhe cilësinë e aktiveve, kompleksitetin e derivativëve, përqendrimet, profilin e investitorëve, rëndësinë e emetuesit dhe problematikat e evidentuara. Masat korrigjuese dhe sanksionet duhet të jenë efektive, proporcionale dhe parandaluese.</w:t>
      </w:r>
    </w:p>
    <w:p w14:paraId="6DF7BFB0" w14:textId="77777777" w:rsidR="005A32F9" w:rsidRDefault="00000000" w:rsidP="00F4028F">
      <w:pPr>
        <w:keepNext/>
        <w:spacing w:before="40"/>
        <w:jc w:val="both"/>
      </w:pPr>
      <w:r>
        <w:rPr>
          <w:i/>
          <w:sz w:val="20"/>
        </w:rPr>
        <w:t>7. Çfarë synon të trajtojë qeveria përmes kësaj ndërhyrjeje?</w:t>
      </w:r>
    </w:p>
    <w:p w14:paraId="5481C623" w14:textId="77777777" w:rsidR="005A32F9" w:rsidRDefault="00000000" w:rsidP="00F4028F">
      <w:pPr>
        <w:jc w:val="both"/>
      </w:pPr>
      <w:r>
        <w:t>Qeveria synon të krijojë një regjim të vetëm, të harmonizuar dhe të zbatueshëm për të gjithë ciklin e programit: miratimin, emetimin, përbërjen dhe veçimin e grupit të mbulimit, transparencën, mbikëqyrjen, masat korrigjuese, ndërhyrjen e jashtëzakonshme, likuidimin dhe transferimin. Ndërhyrja synon njëkohësisht të krijojë një instrument të sigurt financimi afatgjatë dhe të vendosë standarde të larta të mbrojtjes së investitorëve.</w:t>
      </w:r>
    </w:p>
    <w:p w14:paraId="119B08A8" w14:textId="77777777" w:rsidR="005A32F9" w:rsidRDefault="00000000" w:rsidP="00F4028F">
      <w:pPr>
        <w:keepNext/>
        <w:spacing w:before="40"/>
        <w:jc w:val="both"/>
      </w:pPr>
      <w:r>
        <w:rPr>
          <w:i/>
          <w:sz w:val="20"/>
        </w:rPr>
        <w:t>8. Si e mbështet kjo ndërhyrje objektivat e nivelit të lartë të qeverisë?</w:t>
      </w:r>
    </w:p>
    <w:p w14:paraId="03A7C3A4" w14:textId="77777777" w:rsidR="005A32F9" w:rsidRDefault="00000000" w:rsidP="00F4028F">
      <w:pPr>
        <w:pStyle w:val="ListBullet"/>
        <w:spacing w:after="40"/>
        <w:ind w:left="312" w:hanging="142"/>
        <w:jc w:val="both"/>
      </w:pPr>
      <w:r>
        <w:t>Përafron legjislacionin shqiptar me acquis të Bashkimit Evropian në kuadër të Kapitullit 9 “Shërbimet financiare”.</w:t>
      </w:r>
    </w:p>
    <w:p w14:paraId="56091D4E" w14:textId="77777777" w:rsidR="005A32F9" w:rsidRDefault="00000000" w:rsidP="00F4028F">
      <w:pPr>
        <w:pStyle w:val="ListBullet"/>
        <w:spacing w:after="40"/>
        <w:ind w:left="312" w:hanging="142"/>
        <w:jc w:val="both"/>
      </w:pPr>
      <w:r>
        <w:t>Mbështet zhvillimin dhe diversifikimin e tregut të kapitalit, në përputhje me Dokumentin Politik 2023–2027.</w:t>
      </w:r>
    </w:p>
    <w:p w14:paraId="36B6120D" w14:textId="77777777" w:rsidR="005A32F9" w:rsidRDefault="00000000" w:rsidP="00F4028F">
      <w:pPr>
        <w:pStyle w:val="ListBullet"/>
        <w:spacing w:after="40"/>
        <w:ind w:left="312" w:hanging="142"/>
        <w:jc w:val="both"/>
      </w:pPr>
      <w:r>
        <w:t>Forcon stabilitetin financiar përmes rregullave për mbulimin, likuiditetin, menaxhimin e rrezikut dhe vazhdimësinë e pagesave.</w:t>
      </w:r>
    </w:p>
    <w:p w14:paraId="01DF58F7" w14:textId="77777777" w:rsidR="005A32F9" w:rsidRDefault="00000000" w:rsidP="00F4028F">
      <w:pPr>
        <w:pStyle w:val="ListBullet"/>
        <w:spacing w:after="40"/>
        <w:ind w:left="312" w:hanging="142"/>
        <w:jc w:val="both"/>
      </w:pPr>
      <w:r>
        <w:t>Përmirëson klimën e investimeve dhe sigurinë juridike për investitorët vendas dhe të huaj.</w:t>
      </w:r>
    </w:p>
    <w:p w14:paraId="70649FD8" w14:textId="77777777" w:rsidR="005A32F9" w:rsidRDefault="00000000" w:rsidP="00F4028F">
      <w:pPr>
        <w:pStyle w:val="ListBullet"/>
        <w:spacing w:after="40"/>
        <w:ind w:left="312" w:hanging="142"/>
        <w:jc w:val="both"/>
      </w:pPr>
      <w:r>
        <w:t>Krijon kushte për financim më të qëndrueshëm të kredive hipotekore, sektorit publik dhe aktiveve të tjera të pranueshme.</w:t>
      </w:r>
    </w:p>
    <w:p w14:paraId="5F551070" w14:textId="77777777" w:rsidR="005A32F9" w:rsidRDefault="00000000">
      <w:pPr>
        <w:keepNext/>
        <w:spacing w:before="40"/>
        <w:jc w:val="both"/>
      </w:pPr>
      <w:r>
        <w:rPr>
          <w:i/>
          <w:sz w:val="20"/>
        </w:rPr>
        <w:t>9. Puna ekzistuese e realizuar</w:t>
      </w:r>
    </w:p>
    <w:p w14:paraId="5D6489E7" w14:textId="77777777" w:rsidR="005A32F9" w:rsidRDefault="00000000">
      <w:pPr>
        <w:jc w:val="both"/>
      </w:pPr>
      <w:r>
        <w:t xml:space="preserve">Janë përfunduar analiza e kuadrit ligjor kombëtar, analiza e boshllëqeve, projektligji dhe tabela e përputhshmërisë me Direktivën (BE) 2019/2162 dhe kërkesat e lidhura me ESAP. Janë shqyrtuar ndërveprimet me legjislacionin për institucionet e kreditit, tregjet e kapitalit, prospektin, ndërhyrjen e jashtëzakonshme, likuidimin, kolateralin, regjistrat </w:t>
      </w:r>
      <w:r>
        <w:lastRenderedPageBreak/>
        <w:t>publikë, kontabilitetin dhe auditimin. Ministria e Financave koordinon procesin dhe propozon projektligjin për shqyrtim dhe miratim, ndërsa AMF-ja dhe Banka e Shqipërisë kanë kontribuar në hartimin teknik sipas kompetencave të tyre. Projektligji është dërguar për koordinim ndërinstitucional dhe do të publikohet në RENJKP.</w:t>
      </w:r>
    </w:p>
    <w:p w14:paraId="750B4E5D" w14:textId="77777777" w:rsidR="005A32F9" w:rsidRDefault="00000000">
      <w:pPr>
        <w:pStyle w:val="Heading1"/>
      </w:pPr>
      <w:r>
        <w:rPr>
          <w:rFonts w:ascii="Times New Roman" w:eastAsia="Times New Roman" w:hAnsi="Times New Roman"/>
        </w:rPr>
        <w:t>Objektivi i politikës</w:t>
      </w:r>
    </w:p>
    <w:p w14:paraId="4DCA31C2" w14:textId="77777777" w:rsidR="005A32F9" w:rsidRDefault="00000000">
      <w:pPr>
        <w:keepNext/>
        <w:spacing w:before="40"/>
        <w:jc w:val="both"/>
      </w:pPr>
      <w:r>
        <w:rPr>
          <w:i/>
          <w:sz w:val="20"/>
        </w:rPr>
        <w:t>Vendosni objektiva që korrespondojnë me problemin dhe shkaqet e tij. Sigurohuni që objektivat përputhen me përmbledhjen ekzekutive dhe janë specifikë, të matshëm, të arritshëm, realë dhe në kohë.</w:t>
      </w:r>
    </w:p>
    <w:p w14:paraId="60E3AF93" w14:textId="77777777" w:rsidR="005A32F9" w:rsidRDefault="00000000">
      <w:pPr>
        <w:pStyle w:val="Heading2"/>
      </w:pPr>
      <w:r>
        <w:rPr>
          <w:rFonts w:ascii="Times New Roman" w:eastAsia="Times New Roman" w:hAnsi="Times New Roman"/>
        </w:rPr>
        <w:t>Objektivi i përgjithshëm</w:t>
      </w:r>
    </w:p>
    <w:p w14:paraId="19D37AEA" w14:textId="77777777" w:rsidR="005A32F9" w:rsidRDefault="00000000">
      <w:pPr>
        <w:jc w:val="both"/>
      </w:pPr>
      <w:r>
        <w:t>Objektivi i përgjithshëm i politikës është krijimi i një kuadri ligjor të qartë, të plotë, të harmonizuar me standardet evropiane dhe të zbatueshëm për emetimin dhe mbikëqyrjen publike të obligacioneve të mbuluara nga institucionet e kreditit të themeluara në Republikën e Shqipërisë, me qëllim mbrojtjen e investitorëve, forcimin e stabilitetit financiar, diversifikimin e burimeve të financimit afatgjatë dhe zhvillimin e tregut të kapitalit.</w:t>
      </w:r>
    </w:p>
    <w:p w14:paraId="611F14AF" w14:textId="77777777" w:rsidR="00AE1469" w:rsidRDefault="00000000">
      <w:pPr>
        <w:pStyle w:val="Heading2"/>
      </w:pPr>
      <w:r>
        <w:t>Rezultatet strategjike të synuara</w:t>
      </w:r>
    </w:p>
    <w:p w14:paraId="006967D4" w14:textId="77777777" w:rsidR="00AE1469" w:rsidRDefault="00000000">
      <w:pPr>
        <w:pStyle w:val="ListBullet"/>
        <w:jc w:val="both"/>
      </w:pPr>
      <w:r>
        <w:t>Përafrimi i legjislacionit vendas me Direktivën (BE) 2019/2162 dhe aktet e lidhura të Bashkimit Evropian për obligacionet e mbuluara, trajtimin prudencial dhe publikimin e informacionit.</w:t>
      </w:r>
    </w:p>
    <w:p w14:paraId="66C0D2DB" w14:textId="77777777" w:rsidR="00AE1469" w:rsidRDefault="00000000">
      <w:pPr>
        <w:pStyle w:val="ListBullet"/>
        <w:jc w:val="both"/>
      </w:pPr>
      <w:r>
        <w:t>Vendosja e kërkesave të qarta ligjore për emetimin e obligacioneve të mbuluara, miratimin e programeve dhe mbikëqyrjen publike nga AMF-ja, në bashkëpunim me Bankën e Shqipërisë.</w:t>
      </w:r>
    </w:p>
    <w:p w14:paraId="0E660729" w14:textId="77777777" w:rsidR="00AE1469" w:rsidRDefault="00000000">
      <w:pPr>
        <w:pStyle w:val="ListBullet"/>
        <w:jc w:val="both"/>
      </w:pPr>
      <w:r>
        <w:t>Garantimi i mbrojtjes së investitorëve përmes mbrojtjes së dyfishtë, veçimit juridik të grupit të mbulimit, kërkesave për mbulim, likuiditet, monitorim të pavarur dhe transparencë.</w:t>
      </w:r>
    </w:p>
    <w:p w14:paraId="7B2D6B76" w14:textId="77777777" w:rsidR="00AE1469" w:rsidRDefault="00000000">
      <w:pPr>
        <w:pStyle w:val="ListBullet"/>
        <w:jc w:val="both"/>
      </w:pPr>
      <w:r>
        <w:t>Krijimi i një instrumenti financiar të sigurt dhe të standardizuar, që mundëson diversifikimin e financimit afatgjatë të institucioneve të kreditit dhe mbështet zhvillimin e tregut të kapitalit.</w:t>
      </w:r>
    </w:p>
    <w:p w14:paraId="18807738" w14:textId="77777777" w:rsidR="00AE1469" w:rsidRDefault="00000000">
      <w:pPr>
        <w:pStyle w:val="ListBullet"/>
        <w:jc w:val="both"/>
      </w:pPr>
      <w:r>
        <w:t>Forcimi i stabilitetit financiar përmes menaxhimit të rreziqeve, përputhjes së flukseve, testimit të qëndrueshmërisë, vazhdimësisë së pagesave dhe koordinimit në rast ndërhyrjeje të jashtëzakonshme ose likuidimi.</w:t>
      </w:r>
    </w:p>
    <w:p w14:paraId="136A61CF" w14:textId="77777777" w:rsidR="000C305C" w:rsidRDefault="00000000" w:rsidP="00001CA8">
      <w:pPr>
        <w:jc w:val="both"/>
      </w:pPr>
      <w:r>
        <w:t>Rezultatet strategjike formojnë zinxhirin e ndërhyrjes. Përafrimi dhe aktet nënligjore krijojnë bazën rregullatore; procedurat dhe bashkëpunimi krijojnë kapacitetin institucional; kërkesat për veçimin, mbulimin, likuiditetin, transparencën dhe monitorimin sigurojnë pajtueshmërinë e çdo programi; ndërsa zbatimi, monitorimi dhe vlerësimi ex post matin efektivitetin dhe ndikimin në treg.</w:t>
      </w:r>
    </w:p>
    <w:p w14:paraId="7336FA18" w14:textId="77777777" w:rsidR="000C305C" w:rsidRDefault="00000000" w:rsidP="00001CA8">
      <w:pPr>
        <w:jc w:val="both"/>
      </w:pPr>
      <w:r>
        <w:t>Objektivat janë formuluar mbi rezultate që mund të kontrollohen drejtpërdrejt nga institucionet përgjegjëse ose nga subjektet e rregulluara. Zhvillimi i tregut, numri dhe vlera e emetimeve monitorohen si rezultate ekonomike të ndërhyrjes, ndërsa pajtueshmëria, afatet, cilësia e të dhënave dhe gatishmëria institucionale përbëjnë objektivat e drejtpërdrejtë të zbatimit.</w:t>
      </w:r>
    </w:p>
    <w:p w14:paraId="1F2557E4" w14:textId="77777777" w:rsidR="005A32F9" w:rsidRDefault="00000000">
      <w:pPr>
        <w:pStyle w:val="Heading2"/>
      </w:pPr>
      <w:r>
        <w:rPr>
          <w:rFonts w:ascii="Times New Roman" w:eastAsia="Times New Roman" w:hAnsi="Times New Roman"/>
        </w:rPr>
        <w:t>Objektivat specifikë dhe të matshëm</w:t>
      </w:r>
    </w:p>
    <w:p w14:paraId="76A99254" w14:textId="77777777" w:rsidR="005A32F9" w:rsidRDefault="00000000">
      <w:pPr>
        <w:pStyle w:val="ListNumber"/>
        <w:spacing w:after="40"/>
        <w:ind w:left="461" w:hanging="317"/>
        <w:jc w:val="both"/>
      </w:pPr>
      <w:r>
        <w:t>Deri në miratimin e ligjit, të verifikohet përmes tabelës së përputhshmërisë transpozimi i plotë i dispozitave të detyrueshme të Direktivës (BE) 2019/2162 dhe i kërkesave të lidhura me ESAP që zbatohen në fazën para anëtarësimit ose nga data e anëtarësimit.</w:t>
      </w:r>
    </w:p>
    <w:p w14:paraId="625F8BD0" w14:textId="77777777" w:rsidR="005A32F9" w:rsidRDefault="00000000">
      <w:pPr>
        <w:pStyle w:val="ListNumber"/>
        <w:spacing w:after="40"/>
        <w:ind w:left="461" w:hanging="317"/>
        <w:jc w:val="both"/>
      </w:pPr>
      <w:r>
        <w:t>Brenda 12 muajve nga hyrja në fuqi, AMF-ja dhe Banka e Shqipërisë të miratojnë 100% të akteve nënligjore të parashikuara nga projektligji, përfshirë kërkesat për programin, aktivet e pranueshme, regjistrin, monitoruesin, mbulimin, likuiditetin, rreziqet, raportimin, tarifat dhe bashkëpunimin.</w:t>
      </w:r>
    </w:p>
    <w:p w14:paraId="0683889A" w14:textId="77777777" w:rsidR="005A32F9" w:rsidRDefault="00000000">
      <w:pPr>
        <w:pStyle w:val="ListNumber"/>
        <w:spacing w:after="40"/>
        <w:ind w:left="461" w:hanging="317"/>
        <w:jc w:val="both"/>
      </w:pPr>
      <w:r>
        <w:t>Përpara datës 1 janar 2029, AMF-ja dhe Banka e Shqipërisë të kenë miratuar ose përditësuar marrëveshjen operacionale të bashkëpunimit, manualet e brendshme, formularët dhe protokollet e shkëmbimit të informacionit, duke përcaktuar përgjegjësitë dhe afatet e secilit autoritet.</w:t>
      </w:r>
    </w:p>
    <w:p w14:paraId="7F1C2DD8" w14:textId="77777777" w:rsidR="005A32F9" w:rsidRDefault="00000000">
      <w:pPr>
        <w:pStyle w:val="ListNumber"/>
        <w:spacing w:after="40"/>
        <w:ind w:left="461" w:hanging="317"/>
        <w:jc w:val="both"/>
      </w:pPr>
      <w:r>
        <w:t>Nga data 1 janar 2029, 100% e kërkesave për program të shqyrtohen vetëm pas paraqitjes së dosjes së plotë, marrjes së opinionit paraprak të Bankës së Shqipërisë dhe vendimit të AMF-së, brenda afateve ligjore dhe procedurale të zbatueshme.</w:t>
      </w:r>
    </w:p>
    <w:p w14:paraId="7717B69E" w14:textId="77777777" w:rsidR="005A32F9" w:rsidRDefault="00000000">
      <w:pPr>
        <w:pStyle w:val="ListNumber"/>
        <w:spacing w:after="40"/>
        <w:ind w:left="461" w:hanging="317"/>
        <w:jc w:val="both"/>
      </w:pPr>
      <w:r>
        <w:t>Për çdo program të miratuar, 100% e aktiveve të grupit të mbulimit të jenë të identifikueshme, të regjistruara, të gjurmueshme dhe të veçuara juridikisht nga aktivet e tjera të emetuesit, me dokumentacion të verifikueshëm nga monitoruesi dhe autoritetet.</w:t>
      </w:r>
    </w:p>
    <w:p w14:paraId="63C5D50A" w14:textId="77777777" w:rsidR="005A32F9" w:rsidRDefault="00000000">
      <w:pPr>
        <w:pStyle w:val="ListNumber"/>
        <w:spacing w:after="40"/>
        <w:ind w:left="461" w:hanging="317"/>
        <w:jc w:val="both"/>
      </w:pPr>
      <w:r>
        <w:t>Për çdo program, kërkesa e mbulimit dhe rezerva e likuiditetit që mbulon daljen maksimale kumulative neto të 180 ditëve të ardhshme të përmbushen në çdo kohë; 100% e mangësive të konstatuara t’i nënshtrohen masave korrigjuese brenda afatit të përcaktuar nga autoriteti.</w:t>
      </w:r>
    </w:p>
    <w:p w14:paraId="378AD466" w14:textId="77777777" w:rsidR="005A32F9" w:rsidRDefault="00000000">
      <w:pPr>
        <w:pStyle w:val="ListNumber"/>
        <w:spacing w:after="40"/>
        <w:ind w:left="461" w:hanging="317"/>
        <w:jc w:val="both"/>
      </w:pPr>
      <w:r>
        <w:t>100% e emetuesve të publikojnë informacionin e kërkuar për investitorët të paktën çdo tremujor dhe të dorëzojnë raportimet gjashtëmujore pranë AMF-së brenda afateve dhe formateve të miratuara.</w:t>
      </w:r>
    </w:p>
    <w:p w14:paraId="640318E1" w14:textId="77777777" w:rsidR="005A32F9" w:rsidRDefault="00000000">
      <w:pPr>
        <w:pStyle w:val="ListNumber"/>
        <w:spacing w:after="40"/>
        <w:ind w:left="461" w:hanging="317"/>
        <w:jc w:val="both"/>
      </w:pPr>
      <w:r>
        <w:t>100% e emetuesve të kryejnë testimin e qëndrueshmërisë së programit dhe grupit të mbulimit të paktën një herë në çdo tremujor; rezultatet dhe masat korrigjuese t’i paraqiten monitoruesit dhe autoriteteve sipas kërkesave rregullatore.</w:t>
      </w:r>
    </w:p>
    <w:p w14:paraId="65DE690C" w14:textId="77777777" w:rsidR="005A32F9" w:rsidRDefault="00000000">
      <w:pPr>
        <w:pStyle w:val="ListNumber"/>
        <w:spacing w:after="40"/>
        <w:ind w:left="461" w:hanging="317"/>
        <w:jc w:val="both"/>
      </w:pPr>
      <w:r>
        <w:t>Për çdo program të miratuar të emërohet dhe të jetë funksional një monitorues i pavarur i grupit të mbulimit; për çdo rast që aktivizon administrimin e posaçëm, administratori i posaçëm të emërohet dhe të veprojë brenda afateve të përcaktuara në ligj.</w:t>
      </w:r>
    </w:p>
    <w:p w14:paraId="2070CE1F" w14:textId="77777777" w:rsidR="005A32F9" w:rsidRDefault="00000000">
      <w:pPr>
        <w:pStyle w:val="ListNumber"/>
        <w:spacing w:after="40"/>
        <w:ind w:left="461" w:hanging="317"/>
        <w:jc w:val="both"/>
      </w:pPr>
      <w:r>
        <w:lastRenderedPageBreak/>
        <w:t>Gjatë vitit 2028 të kryhet të paktën një testim pilot i formularëve, regjistrit, raportimit, shkëmbimit të të dhënave dhe procedurave të autorizimit me institucionet e kreditit të interesuara, me dokumentim të mangësive dhe masave korrigjuese.</w:t>
      </w:r>
    </w:p>
    <w:p w14:paraId="22A05028" w14:textId="77777777" w:rsidR="005A32F9" w:rsidRDefault="00000000">
      <w:pPr>
        <w:pStyle w:val="ListNumber"/>
        <w:spacing w:after="40"/>
        <w:ind w:left="461" w:hanging="317"/>
        <w:jc w:val="both"/>
      </w:pPr>
      <w:r>
        <w:t>Zbatimi i plotë operacional i kuadrit të ri të fillojë më 1 janar 2029; sistemet e raportimit dhe publikimit të ndërtohen në mënyrë që kërkesat për ESAP dhe njoftimet ndaj autoriteteve evropiane të aktivizohen nga data e anëtarësimit pa ndryshime strukturore.</w:t>
      </w:r>
    </w:p>
    <w:p w14:paraId="7B2FE0A6" w14:textId="77777777" w:rsidR="005A32F9" w:rsidRDefault="00000000">
      <w:pPr>
        <w:pStyle w:val="ListNumber"/>
        <w:spacing w:after="40"/>
        <w:ind w:left="461" w:hanging="317"/>
        <w:jc w:val="both"/>
      </w:pPr>
      <w:r>
        <w:t>Brenda 24 muajve nga fillimi i zbatimit praktik ose nga miratimi i programit të parë, cilado ndodh më vonë, të kryhet vlerësimi ex post i efektivitetit, efikasitetit, proporcionalitetit, koherencës institucionale, kostove reale dhe ndikimit në zhvillimin e tregut.</w:t>
      </w:r>
    </w:p>
    <w:p w14:paraId="76CA4380" w14:textId="77777777" w:rsidR="000C305C" w:rsidRDefault="00000000">
      <w:pPr>
        <w:pStyle w:val="Heading2"/>
      </w:pPr>
      <w:r>
        <w:t>Matja, përgjegjësia dhe burimet e verifikimit</w:t>
      </w:r>
    </w:p>
    <w:p w14:paraId="488C87CD" w14:textId="77777777" w:rsidR="000C305C" w:rsidRDefault="00000000" w:rsidP="007518AE">
      <w:pPr>
        <w:jc w:val="both"/>
      </w:pPr>
      <w:r>
        <w:t>Për objektivat e përafrimit dhe të akteve nënligjore, vlera bazë është mungesa e ligjit dhe e akteve të posaçme, ndërsa targeti është transpozimi i dispozitave të detyrueshme dhe miratimi i të gjitha akteve brenda afatit. Verifikimi bëhet përmes tabelës së përputhshmërisë, dosjes së projektligjit, vendimeve të organeve kompetente dhe regjistrit të akteve nënligjore.</w:t>
      </w:r>
    </w:p>
    <w:p w14:paraId="52429884" w14:textId="77777777" w:rsidR="000C305C" w:rsidRDefault="00000000" w:rsidP="007518AE">
      <w:pPr>
        <w:jc w:val="both"/>
      </w:pPr>
      <w:r>
        <w:t>Për gatishmërinë institucionale, vlera bazë është mungesa e procedurave të posaçme, ndërsa targeti është miratimi i marrëveshjes së bashkëpunimit, manualeve, formularëve, specifikimeve të të dhënave dhe protokolleve para datës së zbatimit. Përgjegjësia ndahet ndërmjet AMF-së dhe Bankës së Shqipërisë, ndërsa Ministria e Financave monitoron ecurinë e procesit të miratimit dhe zbatimit të reformës.</w:t>
      </w:r>
    </w:p>
    <w:p w14:paraId="5FE1E002" w14:textId="77777777" w:rsidR="000C305C" w:rsidRDefault="00000000" w:rsidP="007518AE">
      <w:pPr>
        <w:jc w:val="both"/>
      </w:pPr>
      <w:r>
        <w:t>Për autorizimin e programeve, treguesit janë numri i kërkesave, përqindja e dosjeve të plota, marrja e opinionit paraprak, afati i shqyrtimit dhe vendimi i AMF-së. Targeti prej 100% nënkupton që asnjë program nuk miratohet jashtë procedurës dhe se çdo vendim mbështetet në dokumentacionin dhe vlerësimet e kërkuara.</w:t>
      </w:r>
    </w:p>
    <w:p w14:paraId="775BA7AE" w14:textId="77777777" w:rsidR="000C305C" w:rsidRDefault="00000000" w:rsidP="007518AE">
      <w:pPr>
        <w:jc w:val="both"/>
      </w:pPr>
      <w:r>
        <w:t>Për veçimin, mbulimin dhe likuiditetin, treguesit janë përqindja e aktiveve të regjistruara dhe të gjurmueshme, raporti i mbulimit, niveli i rezervës 180-ditore, numri i mangësive dhe koha e korrigjimit. Burimet e të dhënave janë regjistri i grupit të mbulimit, raportimet e emetuesit, verifikimet e monitoruesit dhe të dhënat prudenciale të Bankës së Shqipërisë.</w:t>
      </w:r>
    </w:p>
    <w:p w14:paraId="123CC130" w14:textId="77777777" w:rsidR="000C305C" w:rsidRDefault="00000000" w:rsidP="007518AE">
      <w:pPr>
        <w:jc w:val="both"/>
      </w:pPr>
      <w:r>
        <w:t>Për transparencën dhe menaxhimin e rrezikut, matet përqindja e publikimeve tremujore, raporteve gjashtëmujore dhe testeve të qëndrueshmërisë të përfunduara në afat, si dhe cilësia e masave të marra pas identifikimit të dobësive. Targeti 100% lidhet me respektimin e frekuencës dhe jo vetëm me dërgimin formal të dokumenteve; AMF-ja dhe monitoruesi vlerësojnë plotësinë, saktësinë dhe përdorshmërinë.</w:t>
      </w:r>
    </w:p>
    <w:p w14:paraId="3FCC1565" w14:textId="77777777" w:rsidR="000C305C" w:rsidRDefault="00000000" w:rsidP="007518AE">
      <w:pPr>
        <w:jc w:val="both"/>
      </w:pPr>
      <w:r>
        <w:t>Për zbatimin dhe vlerësimin ex post, treguesit janë përfundimi i pilotimit, korrigjimi i mangësive, fillimi i zbatimit më 1 janar 2029, funksionaliteti i sistemeve dhe përgatitja e raportit të vlerësimit. Vlerësimi ex post do të krahasojë rezultatet reale me objektivat, kostot dhe përfitimet e parashikuara dhe do të rekomandojë ndryshime ligjore, rregullatore ose operacionale kur është e nevojshme.</w:t>
      </w:r>
    </w:p>
    <w:p w14:paraId="135D9E0F" w14:textId="77777777" w:rsidR="005A32F9" w:rsidRDefault="00000000">
      <w:pPr>
        <w:pStyle w:val="Heading1"/>
      </w:pPr>
      <w:proofErr w:type="spellStart"/>
      <w:r>
        <w:rPr>
          <w:rFonts w:ascii="Times New Roman" w:eastAsia="Times New Roman" w:hAnsi="Times New Roman"/>
        </w:rPr>
        <w:t>Përshkrimi</w:t>
      </w:r>
      <w:proofErr w:type="spellEnd"/>
      <w:r>
        <w:rPr>
          <w:rFonts w:ascii="Times New Roman" w:eastAsia="Times New Roman" w:hAnsi="Times New Roman"/>
        </w:rPr>
        <w:t xml:space="preserve"> </w:t>
      </w:r>
      <w:proofErr w:type="spellStart"/>
      <w:r>
        <w:rPr>
          <w:rFonts w:ascii="Times New Roman" w:eastAsia="Times New Roman" w:hAnsi="Times New Roman"/>
        </w:rPr>
        <w:t>i</w:t>
      </w:r>
      <w:proofErr w:type="spellEnd"/>
      <w:r>
        <w:rPr>
          <w:rFonts w:ascii="Times New Roman" w:eastAsia="Times New Roman" w:hAnsi="Times New Roman"/>
        </w:rPr>
        <w:t xml:space="preserve"> </w:t>
      </w:r>
      <w:proofErr w:type="spellStart"/>
      <w:r>
        <w:rPr>
          <w:rFonts w:ascii="Times New Roman" w:eastAsia="Times New Roman" w:hAnsi="Times New Roman"/>
        </w:rPr>
        <w:t>opsioneve</w:t>
      </w:r>
      <w:proofErr w:type="spellEnd"/>
      <w:r>
        <w:rPr>
          <w:rFonts w:ascii="Times New Roman" w:eastAsia="Times New Roman" w:hAnsi="Times New Roman"/>
        </w:rPr>
        <w:t xml:space="preserve"> </w:t>
      </w:r>
      <w:proofErr w:type="spellStart"/>
      <w:r>
        <w:rPr>
          <w:rFonts w:ascii="Times New Roman" w:eastAsia="Times New Roman" w:hAnsi="Times New Roman"/>
        </w:rPr>
        <w:t>të</w:t>
      </w:r>
      <w:proofErr w:type="spellEnd"/>
      <w:r>
        <w:rPr>
          <w:rFonts w:ascii="Times New Roman" w:eastAsia="Times New Roman" w:hAnsi="Times New Roman"/>
        </w:rPr>
        <w:t xml:space="preserve"> shqyrtuara</w:t>
      </w:r>
    </w:p>
    <w:p w14:paraId="09855B2D" w14:textId="77777777" w:rsidR="005A32F9" w:rsidRDefault="00000000">
      <w:pPr>
        <w:keepNext/>
        <w:spacing w:before="40"/>
        <w:jc w:val="both"/>
      </w:pPr>
      <w:r>
        <w:rPr>
          <w:i/>
          <w:sz w:val="20"/>
        </w:rPr>
        <w:t>Identifikoni opsionet e mundshme, përfshirë status quo-në, alternativat jorregullatore dhe alternativat rregullatore. Përshkruani avantazhet dhe disavantazhet e secilit opsion.</w:t>
      </w:r>
    </w:p>
    <w:p w14:paraId="5C0789E3" w14:textId="77777777" w:rsidR="005A32F9" w:rsidRDefault="00000000">
      <w:pPr>
        <w:jc w:val="both"/>
      </w:pPr>
      <w:r>
        <w:t>Në fazën e analizës u shqyrtuan katër opsione, të vlerësuara kundrejt status quo-së dhe objektivave të politikës.</w:t>
      </w:r>
    </w:p>
    <w:p w14:paraId="2841C0AD" w14:textId="77777777" w:rsidR="005A32F9" w:rsidRDefault="00000000">
      <w:pPr>
        <w:pStyle w:val="Heading2"/>
      </w:pPr>
      <w:r>
        <w:rPr>
          <w:rFonts w:ascii="Times New Roman" w:eastAsia="Times New Roman" w:hAnsi="Times New Roman"/>
        </w:rPr>
        <w:t>Opsioni 0 – Status quo/mosndërhyrje</w:t>
      </w:r>
    </w:p>
    <w:p w14:paraId="7D89864F" w14:textId="77777777" w:rsidR="005A32F9" w:rsidRDefault="00000000" w:rsidP="00524710">
      <w:pPr>
        <w:jc w:val="both"/>
      </w:pPr>
      <w:r>
        <w:t>Ky opsion ruan kuadrin ekzistues pa ligj të posaçëm. Avantazhi i vetëm është shmangia e kostove të menjëhershme të zbatimit. Disavantazhet janë thelbësore: nuk krijohen mbrojtja e dyfishtë, veçimi, rezerva e likuiditetit, monitoruesi, miratimi i programit dhe mbikëqyrja publike; institucionet e kreditit nuk mund të ofrojnë produkt të krahasueshëm me standardet e BE-së; dhe Shqipëria nuk përmbush objektivin e përafrimit.</w:t>
      </w:r>
    </w:p>
    <w:p w14:paraId="1FF28042" w14:textId="77777777" w:rsidR="000C305C" w:rsidRDefault="00000000" w:rsidP="00524710">
      <w:pPr>
        <w:jc w:val="both"/>
      </w:pPr>
      <w:r>
        <w:t>Status quo-ja nuk nënkupton mungesë totale rregullimi, sepse vijojnë të zbatohen ligjet për bankat, tregjet e kapitalit, prospektin dhe likuidimin. Megjithatë, këto akte mbulojnë vetëm pjesë të ciklit të emetimit dhe nuk krijojnë grup të veçuar mbulimi, rezervë likuiditeti, monitorues, mbikëqyrje të programit dhe të drejta të posaçme në falimentim.</w:t>
      </w:r>
    </w:p>
    <w:p w14:paraId="352F2BAF" w14:textId="77777777" w:rsidR="000C305C" w:rsidRDefault="00000000" w:rsidP="00524710">
      <w:pPr>
        <w:jc w:val="both"/>
      </w:pPr>
      <w:r>
        <w:t>Në raport me objektivat, ky opsion merr pikë të ulëta në përafrim, mbrojtje dhe efektivitet. Kostot e menjëhershme janë të ulëta, por kostot oportune lidhen me mungesën e instrumentit, shtyrjen e përafrimit dhe vazhdimin e pasigurisë. Rreziku kryesor është që zgjidhjet individuale kontraktore të perceptohen si ekuivalente me obligacionet e mbuluara pa ofruar të njëjtën mbrojtje.</w:t>
      </w:r>
    </w:p>
    <w:p w14:paraId="6DABABE4" w14:textId="77777777" w:rsidR="005A32F9" w:rsidRDefault="00000000">
      <w:pPr>
        <w:pStyle w:val="Heading2"/>
      </w:pPr>
      <w:r>
        <w:rPr>
          <w:rFonts w:ascii="Times New Roman" w:eastAsia="Times New Roman" w:hAnsi="Times New Roman"/>
        </w:rPr>
        <w:t>Opsioni 1 – Masa jorregullatore</w:t>
      </w:r>
    </w:p>
    <w:p w14:paraId="6DEE496E" w14:textId="77777777" w:rsidR="005A32F9" w:rsidRDefault="00000000" w:rsidP="00524710">
      <w:pPr>
        <w:jc w:val="both"/>
      </w:pPr>
      <w:r>
        <w:t>Ky opsion përfshin udhëzime, rekomandime, manuale, trajnime dhe marrëveshje bashkëpunimi. Ai mund të rrisë njohuritë e tregut dhe të përmirësojë koordinimin, por nuk mund të krijojë të drejta të zbatueshme ndaj kreditorëve të tretë, privilegj në likuidim, ndarje juridike të aktiveve, detyrime të raportimit, kompetenca hetimore ose sanksione. Për rrjedhojë, nuk adreson shkakun e problemit.</w:t>
      </w:r>
    </w:p>
    <w:p w14:paraId="6983E7AF" w14:textId="77777777" w:rsidR="000C305C" w:rsidRDefault="00000000" w:rsidP="00524710">
      <w:pPr>
        <w:jc w:val="both"/>
      </w:pPr>
      <w:r>
        <w:t>Masat jorregullatore do të mund të përfshinin udhëzues për strukturimin e emetimeve, praktika të mira për raportimin, marrëveshje vullnetare ndërmjet institucioneve, trajnime dhe fushata ndërgjegjësimi. Këto masa janë të dobishme si plotësuese të ligjit dhe mund të ulin kostot e të mësuarit, por nuk janë alternativë ndaj tij.</w:t>
      </w:r>
    </w:p>
    <w:p w14:paraId="045C25FB" w14:textId="77777777" w:rsidR="000C305C" w:rsidRDefault="00000000" w:rsidP="00524710">
      <w:pPr>
        <w:jc w:val="both"/>
      </w:pPr>
      <w:r>
        <w:lastRenderedPageBreak/>
        <w:t>Ky opsion nuk mund të vendosë privilegjin e investitorëve, të mbrojë aktivet nga kreditorët e tjerë, të detyrojë publikimin, të autorizojë inspektime ose të sanksionojë mospërputhjen. Zbatimi do të varej nga vullneti i palëve dhe standardet mund të ndryshonin nga një emetues te tjetri. Përfitimet e kufizuara nuk justifikojnë përdorimin e tij si zgjidhje kryesore.</w:t>
      </w:r>
    </w:p>
    <w:p w14:paraId="5E29B5E5" w14:textId="77777777" w:rsidR="005A32F9" w:rsidRDefault="00000000">
      <w:pPr>
        <w:pStyle w:val="Heading2"/>
      </w:pPr>
      <w:r>
        <w:rPr>
          <w:rFonts w:ascii="Times New Roman" w:eastAsia="Times New Roman" w:hAnsi="Times New Roman"/>
        </w:rPr>
        <w:t>Opsioni 2 – Ndryshime të shpërndara në kuadrin ekzistues</w:t>
      </w:r>
    </w:p>
    <w:p w14:paraId="0133F660" w14:textId="77777777" w:rsidR="005A32F9" w:rsidRDefault="00000000" w:rsidP="00524710">
      <w:pPr>
        <w:jc w:val="both"/>
      </w:pPr>
      <w:r>
        <w:t>Ky opsion do të kërkonte ndryshime të njëkohshme në legjislacionin bankar, të tregjeve të kapitalit, prospektit, ndërhyrjes së jashtëzakonshme, likuidimit, kolateralit dhe kompetencave të autoriteteve. Ai mund të arrijë një pjesë të objektivave, por krijon rrezik fragmentimi, referencash të kryqëzuara, afatesh të ndryshme, interpretimi jo të njëtrajtshëm dhe kostosh më të larta koordinimi. Për më tepër, programi do të ishte i vështirë për t’u kuptuar nga emetuesit dhe investitorët.</w:t>
      </w:r>
    </w:p>
    <w:p w14:paraId="417F6EBB" w14:textId="77777777" w:rsidR="000C305C" w:rsidRDefault="00000000" w:rsidP="00524710">
      <w:pPr>
        <w:jc w:val="both"/>
      </w:pPr>
      <w:r>
        <w:t>Ndryshimet do të shpërndaheshin ndërmjet ligjit për bankat, ligjit për tregjet e kapitalit, kuadrit të ndërhyrjes së jashtëzakonshme, rregullave të likuidimit dhe akteve nënligjore të dy autoriteteve. Çdo element mund të rregullohej në aktin sektorial përkatës, por programi do të kuptohej vetëm duke lexuar një numër të madh dispozitash dhe referencash të kryqëzuara.</w:t>
      </w:r>
    </w:p>
    <w:p w14:paraId="50C7DC11" w14:textId="77777777" w:rsidR="000C305C" w:rsidRDefault="00000000" w:rsidP="00524710">
      <w:pPr>
        <w:jc w:val="both"/>
      </w:pPr>
      <w:r>
        <w:t>Avantazhi i këtij opsioni është përdorimi i akteve ekzistuese dhe ruajtja e kompetencave sektoriale. Disavantazhi është mungesa e një pike të vetme reference për emetuesin dhe investitorin, rreziku i afateve të ndryshme të hyrjes në fuqi, kostot e koordinimit dhe vështirësia e përditësimit të kuadrit. Vlerësimi ekonomik reflekton kosto më të larta zbatimi dhe përfitime më të ulëta për shkak të fragmentimit.</w:t>
      </w:r>
    </w:p>
    <w:p w14:paraId="1E525F34" w14:textId="77777777" w:rsidR="005A32F9" w:rsidRPr="006916B7" w:rsidRDefault="00000000">
      <w:pPr>
        <w:pStyle w:val="Heading2"/>
        <w:rPr>
          <w:lang w:val="it-IT"/>
        </w:rPr>
      </w:pPr>
      <w:r w:rsidRPr="006916B7">
        <w:rPr>
          <w:rFonts w:ascii="Times New Roman" w:eastAsia="Times New Roman" w:hAnsi="Times New Roman"/>
          <w:lang w:val="it-IT"/>
        </w:rPr>
        <w:t>Opsioni 3 – Ligj i ri i posaçëm (opsioni i preferuar)</w:t>
      </w:r>
    </w:p>
    <w:p w14:paraId="591B1E5D" w14:textId="77777777" w:rsidR="005A32F9" w:rsidRPr="006916B7" w:rsidRDefault="00000000" w:rsidP="00524710">
      <w:pPr>
        <w:jc w:val="both"/>
        <w:rPr>
          <w:lang w:val="it-IT"/>
        </w:rPr>
      </w:pPr>
      <w:r w:rsidRPr="006916B7">
        <w:rPr>
          <w:lang w:val="it-IT"/>
        </w:rPr>
        <w:t>Ky opsion miraton një ligj të ri që rregullon në një strukturë të vetme të gjitha elementet e obligacioneve të mbuluara dhe ndërveprimin me kuadrin sektorial. Ai siguron transpozim të plotë, qartësi juridike, kompetenca të përcaktuara, mbrojtje të investitorëve dhe zbatim të monitorueshëm. Kostoja e zbatimit është më e lartë se status quo-ja dhe kërkon akte nënligjore, kapacitete dhe sisteme, por kostot janë proporcionale dhe lidhen kryesisht me subjektet që zgjedhin të emetojnë.</w:t>
      </w:r>
    </w:p>
    <w:p w14:paraId="0068B2C6" w14:textId="77777777" w:rsidR="000C305C" w:rsidRPr="00B53887" w:rsidRDefault="00000000" w:rsidP="00524710">
      <w:pPr>
        <w:jc w:val="both"/>
        <w:rPr>
          <w:lang w:val="it-IT"/>
        </w:rPr>
      </w:pPr>
      <w:r w:rsidRPr="00B53887">
        <w:rPr>
          <w:lang w:val="it-IT"/>
        </w:rPr>
        <w:t>Ligji i posaçëm vendos në një rend logjik objektin, fushën e zbatimit, përkufizimet, mbrojtjen e dyfishtë, veçimin, aktivet, grupin e mbulimit, derivativët, monitoruesin, mbulimin, likuiditetin, transparencën, miratimin e programit, mbikëqyrjen, ndërhyrjen dhe sanksionet. Kjo e bën kuadrin më të aksesueshëm dhe zvogëlon rrezikun e interpretimit të ndryshëm.</w:t>
      </w:r>
    </w:p>
    <w:p w14:paraId="4B9F195D" w14:textId="77777777" w:rsidR="000C305C" w:rsidRPr="00B53887" w:rsidRDefault="00000000" w:rsidP="00524710">
      <w:pPr>
        <w:jc w:val="both"/>
        <w:rPr>
          <w:lang w:val="it-IT"/>
        </w:rPr>
      </w:pPr>
      <w:r w:rsidRPr="00B53887">
        <w:rPr>
          <w:lang w:val="it-IT"/>
        </w:rPr>
        <w:t>Ndërveprimi me legjislacionin sektorial ruhet përmes referencave dhe ndarjes së kompetencave. Banka e Shqipërisë vlerëson aspektet prudenciale dhe jep opinion paraprak; AMF-ja miraton dhe mbikëqyr programin; ndërsa dispozitat për prospektin, ofertën, listimin, regjistrimin, ndërhyrjen e jashtëzakonshme dhe likuidimin zbatohen në mënyrë plotësuese. Kostoja e këtij opsioni lidhet me përgatitjen e kuadrit, sistemet dhe pajtueshmërinë, por përfitimi është një regjim i plotë dhe i monitorueshëm.</w:t>
      </w:r>
    </w:p>
    <w:p w14:paraId="319CF0E9" w14:textId="77777777" w:rsidR="000C305C" w:rsidRPr="00B53887" w:rsidRDefault="00000000" w:rsidP="00524710">
      <w:pPr>
        <w:jc w:val="both"/>
        <w:rPr>
          <w:lang w:val="it-IT"/>
        </w:rPr>
      </w:pPr>
      <w:r w:rsidRPr="00B53887">
        <w:rPr>
          <w:lang w:val="it-IT"/>
        </w:rPr>
        <w:t>Opsioni i ligjit të posaçëm lejon gjithashtu fazim të zbatimit. Afati për aktet nënligjore, pilotimi dhe data e zbatimit të plotë u japin autoriteteve dhe institucioneve të kreditit kohë për të përgatitur sistemet, stafin dhe procedurat. Kjo ul rrezikun operacional krahasuar me hyrjen e menjëhershme në fuqi të të gjitha kërkesave.</w:t>
      </w:r>
    </w:p>
    <w:p w14:paraId="6CD2E0A0" w14:textId="77777777" w:rsidR="005A32F9" w:rsidRPr="006916B7" w:rsidRDefault="00000000">
      <w:pPr>
        <w:pStyle w:val="Heading2"/>
        <w:rPr>
          <w:lang w:val="it-IT"/>
        </w:rPr>
      </w:pPr>
      <w:r w:rsidRPr="006916B7">
        <w:rPr>
          <w:rFonts w:ascii="Times New Roman" w:eastAsia="Times New Roman" w:hAnsi="Times New Roman"/>
          <w:lang w:val="it-IT"/>
        </w:rPr>
        <w:t>Identifikimi dhe vlerësimi me kritere të shumëfishta</w:t>
      </w:r>
    </w:p>
    <w:p w14:paraId="71004CFD" w14:textId="77777777" w:rsidR="005A32F9" w:rsidRDefault="00000000" w:rsidP="00524710">
      <w:pPr>
        <w:jc w:val="both"/>
      </w:pPr>
      <w:r w:rsidRPr="00CA5C1B">
        <w:rPr>
          <w:lang w:val="it-IT"/>
        </w:rPr>
        <w:t xml:space="preserve">Për të shmangur zgjedhjen vetëm mbi bazën e kostos monetare, opsionet janë vlerësuar me analizë shumëkriterëshe. Çdo kriter është vlerësuar me pikë nga 1 (performancë shumë e dobët) deri në 5 (performancë shumë e mirë). Peshat pasqyrojnë rëndësinë relative të secilit kriter për problemin konkret: përafrimi dhe mbrojtja e investitorëve marrin peshën më të lartë, sepse ndërhyrja synon kryesisht krijimin e efekteve juridike të harmonizuara; efektiviteti, zbatueshmëria dhe kosto-efektiviteti marrin peshë të ndërmjetme; ndërsa proporcionaliteti, konkurrenca dhe zhvillimi i tregut plotësojnë vlerësimin. </w:t>
      </w:r>
      <w:r>
        <w:t xml:space="preserve">Shuma e </w:t>
      </w:r>
      <w:proofErr w:type="spellStart"/>
      <w:r>
        <w:t>peshave</w:t>
      </w:r>
      <w:proofErr w:type="spellEnd"/>
      <w:r>
        <w:t xml:space="preserve"> </w:t>
      </w:r>
      <w:proofErr w:type="spellStart"/>
      <w:r>
        <w:t>është</w:t>
      </w:r>
      <w:proofErr w:type="spellEnd"/>
      <w:r>
        <w:t xml:space="preserve"> 100%.</w:t>
      </w:r>
    </w:p>
    <w:p w14:paraId="33967149" w14:textId="77777777" w:rsidR="005A32F9" w:rsidRPr="006916B7" w:rsidRDefault="00000000" w:rsidP="00524710">
      <w:pPr>
        <w:pStyle w:val="ListBullet"/>
        <w:spacing w:after="40"/>
        <w:ind w:left="312" w:hanging="142"/>
        <w:jc w:val="both"/>
        <w:rPr>
          <w:lang w:val="it-IT"/>
        </w:rPr>
      </w:pPr>
      <w:r w:rsidRPr="006916B7">
        <w:rPr>
          <w:lang w:val="it-IT"/>
        </w:rPr>
        <w:t>Përafrimi i plotë me acquis të BE-së – pesha 20%.</w:t>
      </w:r>
    </w:p>
    <w:p w14:paraId="2D84BC3C" w14:textId="77777777" w:rsidR="005A32F9" w:rsidRDefault="00000000" w:rsidP="00524710">
      <w:pPr>
        <w:pStyle w:val="ListBullet"/>
        <w:spacing w:after="40"/>
        <w:ind w:left="312" w:hanging="142"/>
        <w:jc w:val="both"/>
      </w:pPr>
      <w:r>
        <w:t>Siguria juridike dhe mbrojtja e investitorëve – pesha 20%.</w:t>
      </w:r>
    </w:p>
    <w:p w14:paraId="583624E9" w14:textId="77777777" w:rsidR="005A32F9" w:rsidRPr="006916B7" w:rsidRDefault="00000000" w:rsidP="00524710">
      <w:pPr>
        <w:pStyle w:val="ListBullet"/>
        <w:spacing w:after="40"/>
        <w:ind w:left="312" w:hanging="142"/>
        <w:jc w:val="both"/>
        <w:rPr>
          <w:lang w:val="it-IT"/>
        </w:rPr>
      </w:pPr>
      <w:r w:rsidRPr="006916B7">
        <w:rPr>
          <w:lang w:val="it-IT"/>
        </w:rPr>
        <w:t>Efektiviteti në adresimin e problemit – pesha 15%.</w:t>
      </w:r>
    </w:p>
    <w:p w14:paraId="3032D3B0" w14:textId="77777777" w:rsidR="005A32F9" w:rsidRDefault="00000000" w:rsidP="00524710">
      <w:pPr>
        <w:pStyle w:val="ListBullet"/>
        <w:spacing w:after="40"/>
        <w:ind w:left="312" w:hanging="142"/>
        <w:jc w:val="both"/>
      </w:pPr>
      <w:r>
        <w:t>Zbatueshmëria institucionale dhe qartësia e kompetencave – pesha 15%.</w:t>
      </w:r>
    </w:p>
    <w:p w14:paraId="28EFE6FF" w14:textId="77777777" w:rsidR="005A32F9" w:rsidRDefault="00000000" w:rsidP="00524710">
      <w:pPr>
        <w:pStyle w:val="ListBullet"/>
        <w:spacing w:after="40"/>
        <w:ind w:left="312" w:hanging="142"/>
        <w:jc w:val="both"/>
      </w:pPr>
      <w:r>
        <w:t>Kosto-efektiviteti – pesha 15%.</w:t>
      </w:r>
    </w:p>
    <w:p w14:paraId="167D993C" w14:textId="77777777" w:rsidR="005A32F9" w:rsidRPr="006916B7" w:rsidRDefault="00000000" w:rsidP="00524710">
      <w:pPr>
        <w:pStyle w:val="ListBullet"/>
        <w:spacing w:after="40"/>
        <w:ind w:left="312" w:hanging="142"/>
        <w:jc w:val="both"/>
        <w:rPr>
          <w:lang w:val="it-IT"/>
        </w:rPr>
      </w:pPr>
      <w:r w:rsidRPr="006916B7">
        <w:rPr>
          <w:lang w:val="it-IT"/>
        </w:rPr>
        <w:t>Proporcionaliteti dhe ndikimi në konkurrencë – pesha 10%.</w:t>
      </w:r>
    </w:p>
    <w:p w14:paraId="6B6C490B" w14:textId="77777777" w:rsidR="005A32F9" w:rsidRPr="006916B7" w:rsidRDefault="00000000" w:rsidP="00524710">
      <w:pPr>
        <w:pStyle w:val="ListBullet"/>
        <w:spacing w:after="40"/>
        <w:ind w:left="312" w:hanging="142"/>
        <w:jc w:val="both"/>
        <w:rPr>
          <w:lang w:val="it-IT"/>
        </w:rPr>
      </w:pPr>
      <w:r w:rsidRPr="006916B7">
        <w:rPr>
          <w:lang w:val="it-IT"/>
        </w:rPr>
        <w:t>Zhvillimi i tregut dhe stabiliteti financiar – pesha 5%.</w:t>
      </w:r>
    </w:p>
    <w:p w14:paraId="343B1851" w14:textId="77777777" w:rsidR="000C305C" w:rsidRPr="00B53887" w:rsidRDefault="00000000">
      <w:pPr>
        <w:pStyle w:val="Heading2"/>
        <w:rPr>
          <w:lang w:val="it-IT"/>
        </w:rPr>
      </w:pPr>
      <w:r w:rsidRPr="00B53887">
        <w:rPr>
          <w:lang w:val="it-IT"/>
        </w:rPr>
        <w:t>Përkufizimi i kritereve dhe arsyetimi i peshave</w:t>
      </w:r>
    </w:p>
    <w:p w14:paraId="5A20B5DD" w14:textId="77777777" w:rsidR="000C305C" w:rsidRPr="00B53887" w:rsidRDefault="00000000" w:rsidP="00524710">
      <w:pPr>
        <w:jc w:val="both"/>
        <w:rPr>
          <w:lang w:val="it-IT"/>
        </w:rPr>
      </w:pPr>
      <w:r w:rsidRPr="00B53887">
        <w:rPr>
          <w:lang w:val="it-IT"/>
        </w:rPr>
        <w:t>Përafrimi me acquis vlerëson masën në të cilën opsioni transpozon kërkesat e detyrueshme dhe krijon gatishmëri për detyrimet e ardhshme evropiane. Pesha 20% reflekton faktin se përafrimi në Kapitullin 9 është një nga shkaqet kryesore të ndërhyrjes dhe se një zgjidhje e paplotë nuk e realizon qëllimin e politikës.</w:t>
      </w:r>
    </w:p>
    <w:p w14:paraId="33EDC257" w14:textId="77777777" w:rsidR="000C305C" w:rsidRPr="00B53887" w:rsidRDefault="00000000" w:rsidP="00524710">
      <w:pPr>
        <w:jc w:val="both"/>
        <w:rPr>
          <w:lang w:val="it-IT"/>
        </w:rPr>
      </w:pPr>
      <w:r w:rsidRPr="00B53887">
        <w:rPr>
          <w:lang w:val="it-IT"/>
        </w:rPr>
        <w:t>Siguria juridike dhe mbrojtja e investitorëve vlerësojnë qartësinë dhe zbatueshmërinë e të drejtave, veçimin e aktiveve, vazhdimësinë e pagesave, transparencën dhe mjetet e mbikëqyrjes. Pesha 20% është e barabartë me përafrimin, sepse mbrojtja e investitorëve është funksioni kryesor material i kuadrit.</w:t>
      </w:r>
    </w:p>
    <w:p w14:paraId="43456264" w14:textId="77777777" w:rsidR="000C305C" w:rsidRPr="00B53887" w:rsidRDefault="00000000" w:rsidP="00524710">
      <w:pPr>
        <w:jc w:val="both"/>
        <w:rPr>
          <w:lang w:val="it-IT"/>
        </w:rPr>
      </w:pPr>
      <w:r w:rsidRPr="00B53887">
        <w:rPr>
          <w:lang w:val="it-IT"/>
        </w:rPr>
        <w:t>Efektiviteti vlerëson nëse opsioni adreson shkaqet e identifikuara dhe mbulon të gjithë ciklin e programit. Pesha 15% merr parasysh se një opsion mund të jetë formalisht i përafruar, por të mos jetë i aftë të prodhojë rezultate nëse lë boshllëqe në autorizim, monitorim, likuiditet ose ndërhyrje.</w:t>
      </w:r>
    </w:p>
    <w:p w14:paraId="57DC678D" w14:textId="77777777" w:rsidR="000C305C" w:rsidRPr="00B53887" w:rsidRDefault="00000000" w:rsidP="00524710">
      <w:pPr>
        <w:jc w:val="both"/>
        <w:rPr>
          <w:lang w:val="it-IT"/>
        </w:rPr>
      </w:pPr>
      <w:r w:rsidRPr="00B53887">
        <w:rPr>
          <w:lang w:val="it-IT"/>
        </w:rPr>
        <w:lastRenderedPageBreak/>
        <w:t>Zbatueshmëria institucionale vlerëson qartësinë e roleve, ngarkesën administrative, mundësinë e hartimit të akteve, shkëmbimin e informacionit dhe aftësinë për mbikëqyrje. Pesha 15% reflekton nevojën që zgjidhja të funksionojë në kushtet e tregut dhe të institucioneve shqiptare, jo vetëm në nivel normativ.</w:t>
      </w:r>
    </w:p>
    <w:p w14:paraId="3D7D622A" w14:textId="77777777" w:rsidR="000C305C" w:rsidRPr="00B53887" w:rsidRDefault="00000000" w:rsidP="00524710">
      <w:pPr>
        <w:jc w:val="both"/>
        <w:rPr>
          <w:lang w:val="it-IT"/>
        </w:rPr>
      </w:pPr>
      <w:r w:rsidRPr="00B53887">
        <w:rPr>
          <w:lang w:val="it-IT"/>
        </w:rPr>
        <w:t>Kosto-efektiviteti krahason kostot e njëhershme dhe të vazhdueshme me shkallën e arritjes së objektivave dhe përfitimet monetare e cilësore. Pesha 15% shmang zgjedhjen e opsionit më të lirë kur ai nuk e zgjidh problemin, por kërkon që kostot e opsionit të preferuar të jenë proporcionale me rezultatet.</w:t>
      </w:r>
    </w:p>
    <w:p w14:paraId="0E2BCC36" w14:textId="77777777" w:rsidR="000C305C" w:rsidRPr="00B53887" w:rsidRDefault="00000000" w:rsidP="00524710">
      <w:pPr>
        <w:jc w:val="both"/>
        <w:rPr>
          <w:lang w:val="it-IT"/>
        </w:rPr>
      </w:pPr>
      <w:r w:rsidRPr="00B53887">
        <w:rPr>
          <w:lang w:val="it-IT"/>
        </w:rPr>
        <w:t>Proporcionaliteti dhe konkurrenca vlerësojnë nëse kërkesat janë të nevojshme, zbatohen në mënyrë të njëjtë dhe nuk krijojnë pengesa të pajustifikuara. Pesha 10% merr parasysh se ligji zbatohet vetëm ndaj emetuesve vullnetarë, por kërkesat teknike mund të ndikojnë ndryshe institucionet sipas madhësisë dhe kapaciteteve.</w:t>
      </w:r>
    </w:p>
    <w:p w14:paraId="4145FD1F" w14:textId="77777777" w:rsidR="000C305C" w:rsidRPr="00B53887" w:rsidRDefault="00000000" w:rsidP="00524710">
      <w:pPr>
        <w:jc w:val="both"/>
        <w:rPr>
          <w:lang w:val="it-IT"/>
        </w:rPr>
      </w:pPr>
      <w:r w:rsidRPr="00B53887">
        <w:rPr>
          <w:lang w:val="it-IT"/>
        </w:rPr>
        <w:t>Zhvillimi i tregut dhe stabiliteti financiar vlerësojnë kontributin e opsionit në diversifikimin e financimit, besimin e investitorëve, menaxhimin e rrezikut dhe funksionimin e tregut. Pesha 5% është më e ulët sepse zhvillimi i emetimeve varet edhe nga kushtet e tregut dhe nuk mund të garantohet vetëm nga ligji, por mbetet rezultat i rëndësishëm i politikës.</w:t>
      </w:r>
    </w:p>
    <w:p w14:paraId="350C6F5F" w14:textId="77777777" w:rsidR="000C305C" w:rsidRPr="00B53887" w:rsidRDefault="00000000" w:rsidP="00524710">
      <w:pPr>
        <w:jc w:val="both"/>
        <w:rPr>
          <w:lang w:val="it-IT"/>
        </w:rPr>
      </w:pPr>
      <w:r w:rsidRPr="00B53887">
        <w:rPr>
          <w:lang w:val="it-IT"/>
        </w:rPr>
        <w:t>Pikëzimi është kryer kundrejt së njëjtës bazë provash dhe së njëjtës shkallë për të gjitha opsionet. Rezultatet monetare nuk janë numëruar dy herë: ato ndikojnë në kriterin e kosto-efektivitetit, ndërsa kriteret e tjera vlerësojnë dimensione juridike, institucionale dhe të tregut. Analiza e ndjeshmërisë ndaj peshave konfirmon se Opsioni 3 mbetet i pari edhe kur pesha e kostos rritet ose pesha e përafrimit ulet në mënyrë të moderuar.</w:t>
      </w:r>
    </w:p>
    <w:p w14:paraId="39195293" w14:textId="77777777" w:rsidR="005A32F9" w:rsidRPr="006916B7" w:rsidRDefault="00000000" w:rsidP="00524710">
      <w:pPr>
        <w:jc w:val="both"/>
        <w:rPr>
          <w:lang w:val="it-IT"/>
        </w:rPr>
      </w:pPr>
      <w:r w:rsidRPr="00CA5C1B">
        <w:rPr>
          <w:lang w:val="it-IT"/>
        </w:rPr>
        <w:t xml:space="preserve">Rezultati i ponderuar llogaritet me formulën: Rezultati = </w:t>
      </w:r>
      <w:r>
        <w:t>Σ</w:t>
      </w:r>
      <w:r w:rsidRPr="00CA5C1B">
        <w:rPr>
          <w:lang w:val="it-IT"/>
        </w:rPr>
        <w:t xml:space="preserve"> (pikët e kriterit × pesha e kriterit). Matrica e pikëzimit, në rendin e shtatë kritereve të mësipërme, është: Opsioni 0 = 1, 1, 1, 2, 3, 5, 1; Opsioni 1 = 1, 1, 2, 2, 3, 5, 1; Opsioni 2 = 3, 3, 4, 3, 3, 3, 4; dhe Opsioni 3 = 5, 5, 5, 4, 4, 4, 5. </w:t>
      </w:r>
      <w:proofErr w:type="spellStart"/>
      <w:r>
        <w:t>Kjo</w:t>
      </w:r>
      <w:proofErr w:type="spellEnd"/>
      <w:r>
        <w:t xml:space="preserve"> </w:t>
      </w:r>
      <w:proofErr w:type="spellStart"/>
      <w:r>
        <w:t>jep</w:t>
      </w:r>
      <w:proofErr w:type="spellEnd"/>
      <w:r>
        <w:t xml:space="preserve"> </w:t>
      </w:r>
      <w:proofErr w:type="spellStart"/>
      <w:r>
        <w:t>rezultatet</w:t>
      </w:r>
      <w:proofErr w:type="spellEnd"/>
      <w:r>
        <w:t xml:space="preserve"> e ponderuara të mëposhtme:</w:t>
      </w:r>
    </w:p>
    <w:p w14:paraId="1B819AAF" w14:textId="77777777" w:rsidR="005A32F9" w:rsidRDefault="00000000" w:rsidP="00524710">
      <w:pPr>
        <w:pStyle w:val="ListBullet"/>
        <w:spacing w:after="40"/>
        <w:ind w:left="312" w:hanging="142"/>
        <w:jc w:val="both"/>
      </w:pPr>
      <w:r>
        <w:t xml:space="preserve">Opsioni 0: 1.85 nga </w:t>
      </w:r>
      <w:proofErr w:type="gramStart"/>
      <w:r>
        <w:t>5;</w:t>
      </w:r>
      <w:proofErr w:type="gramEnd"/>
    </w:p>
    <w:p w14:paraId="5617F7C6" w14:textId="77777777" w:rsidR="005A32F9" w:rsidRDefault="00000000" w:rsidP="00524710">
      <w:pPr>
        <w:pStyle w:val="ListBullet"/>
        <w:spacing w:after="40"/>
        <w:ind w:left="312" w:hanging="142"/>
        <w:jc w:val="both"/>
      </w:pPr>
      <w:r>
        <w:t xml:space="preserve">Opsioni 1: 2.00 nga </w:t>
      </w:r>
      <w:proofErr w:type="gramStart"/>
      <w:r>
        <w:t>5;</w:t>
      </w:r>
      <w:proofErr w:type="gramEnd"/>
    </w:p>
    <w:p w14:paraId="70895CB7" w14:textId="77777777" w:rsidR="005A32F9" w:rsidRDefault="00000000" w:rsidP="00524710">
      <w:pPr>
        <w:pStyle w:val="ListBullet"/>
        <w:spacing w:after="40"/>
        <w:ind w:left="312" w:hanging="142"/>
        <w:jc w:val="both"/>
      </w:pPr>
      <w:r>
        <w:t xml:space="preserve">Opsioni 2: 3.20 nga </w:t>
      </w:r>
      <w:proofErr w:type="gramStart"/>
      <w:r>
        <w:t>5;</w:t>
      </w:r>
      <w:proofErr w:type="gramEnd"/>
    </w:p>
    <w:p w14:paraId="60B6C6FF" w14:textId="77777777" w:rsidR="005A32F9" w:rsidRDefault="00000000" w:rsidP="00524710">
      <w:pPr>
        <w:pStyle w:val="ListBullet"/>
        <w:spacing w:after="40"/>
        <w:ind w:left="312" w:hanging="142"/>
        <w:jc w:val="both"/>
      </w:pPr>
      <w:r>
        <w:t>Opsioni 3: 4.60 nga 5.</w:t>
      </w:r>
    </w:p>
    <w:p w14:paraId="5EFD21D7" w14:textId="77777777" w:rsidR="005A32F9" w:rsidRDefault="00000000" w:rsidP="00524710">
      <w:pPr>
        <w:jc w:val="both"/>
      </w:pPr>
      <w:r>
        <w:t>Opsioni 3 renditet i pari sepse merr pikët maksimale në përafrim, siguri juridike dhe efektivitet, si dhe pikë të larta në zbatueshmëri, proporcionalitet dhe kosto-efektivitet. Ndryshimi i moderuar i peshave nuk ndryshon renditjen, pasi diferenca ndërmjet Opsionit 3 dhe Opsionit 2 mbetet e konsiderueshme.</w:t>
      </w:r>
    </w:p>
    <w:p w14:paraId="300822F4" w14:textId="77777777" w:rsidR="005A32F9" w:rsidRPr="006916B7" w:rsidRDefault="00000000">
      <w:pPr>
        <w:pStyle w:val="Heading1"/>
        <w:rPr>
          <w:lang w:val="it-IT"/>
        </w:rPr>
      </w:pPr>
      <w:r w:rsidRPr="006916B7">
        <w:rPr>
          <w:rFonts w:ascii="Times New Roman" w:eastAsia="Times New Roman" w:hAnsi="Times New Roman"/>
          <w:lang w:val="it-IT"/>
        </w:rPr>
        <w:t>Vlerësimi i opsioneve/analizimi i ndikimeve</w:t>
      </w:r>
    </w:p>
    <w:p w14:paraId="4331A90E" w14:textId="77777777" w:rsidR="005A32F9" w:rsidRPr="006916B7" w:rsidRDefault="00000000">
      <w:pPr>
        <w:keepNext/>
        <w:spacing w:before="40"/>
        <w:jc w:val="both"/>
        <w:rPr>
          <w:lang w:val="it-IT"/>
        </w:rPr>
      </w:pPr>
      <w:r w:rsidRPr="006916B7">
        <w:rPr>
          <w:i/>
          <w:sz w:val="20"/>
          <w:lang w:val="it-IT"/>
        </w:rPr>
        <w:t>Identifikoni grupet e prekura; analizoni ndikimet e drejtpërdrejta dhe jo të drejtpërdrejta, ndikimin mbi NVM-të dhe konkurrencën; monetizoni ndikimet kur është e mundur; paraqitni kufizimet, supozimet, rreziqet dhe krahasimin e përgjithshëm të opsioneve.</w:t>
      </w:r>
    </w:p>
    <w:p w14:paraId="632F63B0" w14:textId="77777777" w:rsidR="005A32F9" w:rsidRDefault="00000000" w:rsidP="00465A31">
      <w:pPr>
        <w:pStyle w:val="Heading2"/>
      </w:pPr>
      <w:r>
        <w:rPr>
          <w:rFonts w:ascii="Times New Roman" w:eastAsia="Times New Roman" w:hAnsi="Times New Roman"/>
        </w:rPr>
        <w:t>Grupet e prekura</w:t>
      </w:r>
    </w:p>
    <w:p w14:paraId="2C103C78" w14:textId="77777777" w:rsidR="005A32F9" w:rsidRDefault="00000000" w:rsidP="00465A31">
      <w:pPr>
        <w:pStyle w:val="ListBullet"/>
        <w:spacing w:after="40"/>
        <w:ind w:left="312" w:hanging="142"/>
      </w:pPr>
      <w:r>
        <w:t xml:space="preserve">institucionet e kreditit që synojnë të emetojnë obligacione të </w:t>
      </w:r>
      <w:proofErr w:type="gramStart"/>
      <w:r>
        <w:t>mbuluara;</w:t>
      </w:r>
      <w:proofErr w:type="gramEnd"/>
    </w:p>
    <w:p w14:paraId="05EC7FCB" w14:textId="77777777" w:rsidR="005A32F9" w:rsidRDefault="00000000" w:rsidP="00465A31">
      <w:pPr>
        <w:pStyle w:val="ListBullet"/>
        <w:spacing w:after="40"/>
        <w:ind w:left="312" w:hanging="142"/>
      </w:pPr>
      <w:r>
        <w:t xml:space="preserve">investitorët institucionalë dhe individualë, përfshirë fondet e investimit dhe </w:t>
      </w:r>
      <w:proofErr w:type="gramStart"/>
      <w:r>
        <w:t>pensionit;</w:t>
      </w:r>
      <w:proofErr w:type="gramEnd"/>
    </w:p>
    <w:p w14:paraId="5CEF4B10" w14:textId="77777777" w:rsidR="005A32F9" w:rsidRDefault="00000000" w:rsidP="00465A31">
      <w:pPr>
        <w:pStyle w:val="ListBullet"/>
        <w:spacing w:after="40"/>
        <w:ind w:left="312" w:hanging="142"/>
      </w:pPr>
      <w:r>
        <w:t xml:space="preserve">Autoriteti i Mbikëqyrjes </w:t>
      </w:r>
      <w:proofErr w:type="gramStart"/>
      <w:r>
        <w:t>Financiare;</w:t>
      </w:r>
      <w:proofErr w:type="gramEnd"/>
    </w:p>
    <w:p w14:paraId="631F871E" w14:textId="77777777" w:rsidR="005A32F9" w:rsidRDefault="00000000" w:rsidP="00465A31">
      <w:pPr>
        <w:pStyle w:val="ListBullet"/>
        <w:spacing w:after="40"/>
        <w:ind w:left="312" w:hanging="142"/>
      </w:pPr>
      <w:r>
        <w:t xml:space="preserve">Banka e </w:t>
      </w:r>
      <w:proofErr w:type="gramStart"/>
      <w:r>
        <w:t>Shqipërisë;</w:t>
      </w:r>
      <w:proofErr w:type="gramEnd"/>
    </w:p>
    <w:p w14:paraId="4B8F6FBA" w14:textId="77777777" w:rsidR="005A32F9" w:rsidRPr="006916B7" w:rsidRDefault="00000000" w:rsidP="00465A31">
      <w:pPr>
        <w:pStyle w:val="ListBullet"/>
        <w:spacing w:after="40"/>
        <w:ind w:left="312" w:hanging="142"/>
        <w:rPr>
          <w:lang w:val="it-IT"/>
        </w:rPr>
      </w:pPr>
      <w:r w:rsidRPr="006916B7">
        <w:rPr>
          <w:lang w:val="it-IT"/>
        </w:rPr>
        <w:t>monitoruesi i grupit të mbulimit dhe administratori i posaçëm;</w:t>
      </w:r>
    </w:p>
    <w:p w14:paraId="58BE06A4" w14:textId="77777777" w:rsidR="005A32F9" w:rsidRPr="006916B7" w:rsidRDefault="00000000" w:rsidP="00465A31">
      <w:pPr>
        <w:pStyle w:val="ListBullet"/>
        <w:spacing w:after="40"/>
        <w:ind w:left="312" w:hanging="142"/>
        <w:rPr>
          <w:lang w:val="it-IT"/>
        </w:rPr>
      </w:pPr>
      <w:r w:rsidRPr="006916B7">
        <w:rPr>
          <w:lang w:val="it-IT"/>
        </w:rPr>
        <w:t>audituesit ligjorë, vlerësuesit e pasurive, këshilltarët ligjorë dhe financiarë;</w:t>
      </w:r>
    </w:p>
    <w:p w14:paraId="0D1193C7" w14:textId="77777777" w:rsidR="005A32F9" w:rsidRDefault="00000000" w:rsidP="00465A31">
      <w:pPr>
        <w:pStyle w:val="ListBullet"/>
        <w:spacing w:after="40"/>
        <w:ind w:left="312" w:hanging="142"/>
      </w:pPr>
      <w:r>
        <w:t xml:space="preserve">operatori i tregut të rregulluar, depozitari qendror, regjistruesit dhe </w:t>
      </w:r>
      <w:proofErr w:type="gramStart"/>
      <w:r>
        <w:t>kujdestarët;</w:t>
      </w:r>
      <w:proofErr w:type="gramEnd"/>
    </w:p>
    <w:p w14:paraId="765EF6BB" w14:textId="77777777" w:rsidR="005A32F9" w:rsidRDefault="00000000" w:rsidP="00465A31">
      <w:pPr>
        <w:pStyle w:val="ListBullet"/>
        <w:spacing w:after="40"/>
        <w:ind w:left="312" w:hanging="142"/>
      </w:pPr>
      <w:r>
        <w:t xml:space="preserve">Agjencia e Sigurimit të Depozitave, gjykatat dhe strukturat e </w:t>
      </w:r>
      <w:proofErr w:type="gramStart"/>
      <w:r>
        <w:t>likuidimit;</w:t>
      </w:r>
      <w:proofErr w:type="gramEnd"/>
    </w:p>
    <w:p w14:paraId="342C620A" w14:textId="77777777" w:rsidR="005A32F9" w:rsidRDefault="00000000" w:rsidP="00465A31">
      <w:pPr>
        <w:pStyle w:val="ListBullet"/>
        <w:spacing w:after="40"/>
        <w:ind w:left="312" w:hanging="142"/>
      </w:pPr>
      <w:r>
        <w:t>huamarrësit, NVM-të, familjet dhe ekonomia reale.</w:t>
      </w:r>
    </w:p>
    <w:p w14:paraId="25B9E816" w14:textId="77777777" w:rsidR="000C305C" w:rsidRDefault="00000000">
      <w:pPr>
        <w:pStyle w:val="Heading2"/>
      </w:pPr>
      <w:r>
        <w:t>Qasja për analizimin e ndikimeve</w:t>
      </w:r>
    </w:p>
    <w:p w14:paraId="68094E49" w14:textId="77777777" w:rsidR="000C305C" w:rsidRDefault="00000000" w:rsidP="007F55C3">
      <w:pPr>
        <w:jc w:val="both"/>
      </w:pPr>
      <w:r>
        <w:t>Ndikimet janë analizuar kundrejt status quo-së dhe ndahen në ndikime të drejtpërdrejta, që lindin nga detyrimet e projektligjit, dhe ndikime të tërthorta, që varen nga përdorimi i instrumentit dhe reagimi i tregut. Analiza dallon kostot e njëhershme të përgatitjes nga kostot e vazhdueshme të pajtueshmërisë dhe dallon përfitimet e monetizueshme nga përfitimet strukturore.</w:t>
      </w:r>
    </w:p>
    <w:p w14:paraId="480D2C7F" w14:textId="77777777" w:rsidR="000C305C" w:rsidRDefault="00000000" w:rsidP="007F55C3">
      <w:pPr>
        <w:jc w:val="both"/>
      </w:pPr>
      <w:r>
        <w:t>Shkalla e ndikimit varet nga numri i institucioneve që zgjedhin të emetojnë, madhësia e programeve, lloji i aktiveve, kompleksiteti i strukturës, kërkesa e investitorëve dhe përdorimi i infrastrukturës së tregut. Për këtë arsye, vlerësimet monetare përdorin skenar bazë konservator dhe rezultatet paraqiten me analizë ndjeshmërie.</w:t>
      </w:r>
    </w:p>
    <w:p w14:paraId="3C70E625" w14:textId="77777777" w:rsidR="000C305C" w:rsidRDefault="00000000" w:rsidP="007F55C3">
      <w:pPr>
        <w:jc w:val="both"/>
      </w:pPr>
      <w:r>
        <w:t>Ndikimet vlerësohen gjatë një horizonti 10-vjeçar, i cili mbulon fazën e përgatitjes, fillimin e zbatimit dhe një periudhë të mjaftueshme të funksionimit të programeve. Ky horizont lejon që kostot fillestare të krahasohen me përfitimet që materializohen gradualisht dhe shmang vlerësimin e reformës vetëm mbi ngarkesën e vitit të parë.</w:t>
      </w:r>
    </w:p>
    <w:p w14:paraId="5239E365" w14:textId="77777777" w:rsidR="005A32F9" w:rsidRPr="006916B7" w:rsidRDefault="00000000">
      <w:pPr>
        <w:pStyle w:val="Heading2"/>
        <w:rPr>
          <w:lang w:val="pt-BR"/>
        </w:rPr>
      </w:pPr>
      <w:r w:rsidRPr="006916B7">
        <w:rPr>
          <w:rFonts w:ascii="Times New Roman" w:eastAsia="Times New Roman" w:hAnsi="Times New Roman"/>
          <w:lang w:val="pt-BR"/>
        </w:rPr>
        <w:t>Ndikimi mbi institucionet e kreditit/emetuesit</w:t>
      </w:r>
    </w:p>
    <w:p w14:paraId="11D57E40" w14:textId="77777777" w:rsidR="005A32F9" w:rsidRPr="006916B7" w:rsidRDefault="00000000" w:rsidP="007F55C3">
      <w:pPr>
        <w:jc w:val="both"/>
        <w:rPr>
          <w:lang w:val="pt-BR"/>
        </w:rPr>
      </w:pPr>
      <w:r w:rsidRPr="006916B7">
        <w:rPr>
          <w:lang w:val="pt-BR"/>
        </w:rPr>
        <w:t>Projektligji nuk i detyron institucionet e kreditit të emetojnë; detyrimet aktivizohen vetëm pas vendimit të institucionit për të paraqitur program. Kjo e bën ndërhyrjen proporcionale. Pas miratimit, detyrimet janë të vazhdueshme dhe lidhen me sigurinë e produktit.</w:t>
      </w:r>
    </w:p>
    <w:p w14:paraId="46590796" w14:textId="77777777" w:rsidR="005A32F9" w:rsidRPr="006916B7" w:rsidRDefault="00000000" w:rsidP="007F55C3">
      <w:pPr>
        <w:jc w:val="both"/>
        <w:rPr>
          <w:lang w:val="pt-BR"/>
        </w:rPr>
      </w:pPr>
      <w:r w:rsidRPr="006916B7">
        <w:rPr>
          <w:lang w:val="pt-BR"/>
        </w:rPr>
        <w:lastRenderedPageBreak/>
        <w:t>Kostot një herë përfshijnë: hartimin e planit të biznesit dhe dokumentacionit të programit; analizën e rreziqeve; përshtatjen e politikave dhe strukturës organizative; krijimin e regjistrit të grupit të mbulimit; integrimin e të dhënave të kredive, kolateralit, flukseve dhe derivativëve; procedurat për vlerësimin e kolateralit; emërimin e monitoruesit; përgatitjen e prospektit për emetimin; dhe trajnimin e stafit.</w:t>
      </w:r>
    </w:p>
    <w:p w14:paraId="6084D105" w14:textId="77777777" w:rsidR="005A32F9" w:rsidRPr="006916B7" w:rsidRDefault="00000000" w:rsidP="007F55C3">
      <w:pPr>
        <w:jc w:val="both"/>
        <w:rPr>
          <w:lang w:val="pt-BR"/>
        </w:rPr>
      </w:pPr>
      <w:r w:rsidRPr="006916B7">
        <w:rPr>
          <w:lang w:val="pt-BR"/>
        </w:rPr>
        <w:t>Kostot e vazhdueshme përfshijnë mirëmbajtjen e regjistrit, verifikimin e aktiveve, monitorimin e mbulimit dhe likuiditetit, stress-testet tremujore, raportimin gjashtëmujor, publikimin tremujor, auditimin, tarifën e mbikëqyrjes, shërbimet e monitoruesit dhe administrimin e marrëdhënieve me investitorët. Kostot varen nga madhësia e programit, numri i aktiveve, sistemi ekzistues IT, marrëveshjet me ofruesit dhe kompleksiteti i strukturës.</w:t>
      </w:r>
    </w:p>
    <w:p w14:paraId="62538A40" w14:textId="77777777" w:rsidR="005A32F9" w:rsidRPr="006916B7" w:rsidRDefault="00000000" w:rsidP="007F55C3">
      <w:pPr>
        <w:jc w:val="both"/>
        <w:rPr>
          <w:lang w:val="pt-BR"/>
        </w:rPr>
      </w:pPr>
      <w:r w:rsidRPr="006916B7">
        <w:rPr>
          <w:lang w:val="pt-BR"/>
        </w:rPr>
        <w:t>Përfitimet për emetuesit janë diversifikimi i burimeve të financimit, përputhja më e mirë e maturitetit të aktiveve dhe detyrimeve, akses i mundshëm në bazë më të gjerë investitorësh, ulje e varësisë nga depozitat ose financimi afatshkurtër dhe ulje e mundshme e kostos së financimit për shkak të cilësisë së grupit të mbulimit dhe mbikëqyrjes së posaçme. Këto përfitime varen nga kushtet e tregut dhe nuk garantohen nga ligji.</w:t>
      </w:r>
    </w:p>
    <w:p w14:paraId="39EBA67F" w14:textId="77777777" w:rsidR="000C305C" w:rsidRPr="00B53887" w:rsidRDefault="00000000" w:rsidP="007F55C3">
      <w:pPr>
        <w:jc w:val="both"/>
        <w:rPr>
          <w:lang w:val="pt-BR"/>
        </w:rPr>
      </w:pPr>
      <w:r w:rsidRPr="00B53887">
        <w:rPr>
          <w:lang w:val="pt-BR"/>
        </w:rPr>
        <w:t>Kostoja e përgatitjes së programit lidhet me hartimin e dokumentacionit ligjor dhe financiar, përcaktimin e strategjisë së financimit, analizën e ndikimit në bilanc dhe likuiditet, identifikimin e aktiveve fillestare, përgatitjen e procedurave të brendshme dhe koordinimin me Bankën e Shqipërisë dhe AMF-në. Madhësia e kostos varet nga niveli në të cilin sistemet ekzistuese të bankës mund të ripërdoren.</w:t>
      </w:r>
    </w:p>
    <w:p w14:paraId="205F2989" w14:textId="77777777" w:rsidR="000C305C" w:rsidRPr="00B53887" w:rsidRDefault="00000000" w:rsidP="007F55C3">
      <w:pPr>
        <w:jc w:val="both"/>
        <w:rPr>
          <w:lang w:val="pt-BR"/>
        </w:rPr>
      </w:pPr>
      <w:r w:rsidRPr="00B53887">
        <w:rPr>
          <w:lang w:val="pt-BR"/>
        </w:rPr>
        <w:t>Përshtatja e sistemeve IT duhet të mundësojë identifikimin unik të aktiveve, regjistrimin e ndryshimeve, lidhjen me kolateralin, llogaritjen e mbulimit dhe likuiditetit, prodhimin e raporteve dhe ruajtjen e gjurmës së auditimit. Kur të dhënat ndodhen në sisteme të ndryshme, mund të nevojiten ndërfaqe, kontrolle automatike dhe procedura të pajtimit të të dhënave.</w:t>
      </w:r>
    </w:p>
    <w:p w14:paraId="7DC9269C" w14:textId="77777777" w:rsidR="000C305C" w:rsidRPr="00B53887" w:rsidRDefault="00000000" w:rsidP="007F55C3">
      <w:pPr>
        <w:jc w:val="both"/>
        <w:rPr>
          <w:lang w:val="pt-BR"/>
        </w:rPr>
      </w:pPr>
      <w:r w:rsidRPr="00B53887">
        <w:rPr>
          <w:lang w:val="pt-BR"/>
        </w:rPr>
        <w:t>Kostoja e likuiditetit dhe mbikolateralizimit përbën kosto ekonomike, edhe kur nuk shfaqet si tarifë administrative. Mbajtja e aktiveve likuide dhe e një vlere aktivesh mbi minimumin e detyrimeve kufizon përdorimin alternativ të tyre. Megjithatë, kjo kosto është pjesë thelbësore e mbrojtjes së investitorëve dhe mund të kompensohet nga financimi më i qëndrueshëm dhe çmimi më i favorshëm i instrumentit.</w:t>
      </w:r>
    </w:p>
    <w:p w14:paraId="28DB3791" w14:textId="77777777" w:rsidR="000C305C" w:rsidRPr="00B53887" w:rsidRDefault="00000000" w:rsidP="007F55C3">
      <w:pPr>
        <w:jc w:val="both"/>
        <w:rPr>
          <w:lang w:val="pt-BR"/>
        </w:rPr>
      </w:pPr>
      <w:r w:rsidRPr="00B53887">
        <w:rPr>
          <w:lang w:val="pt-BR"/>
        </w:rPr>
        <w:t>Përfitimi kryesor është diversifikimi i financimit sipas maturitetit dhe bazës së investitorëve. Një program i mirëstrukturuar mund të ulë ekspozimin ndaj tërheqjes së financimit afatshkurtër, të përmirësojë planifikimin e likuiditetit dhe të krijojë sinjal pozitiv për cilësinë e qeverisjes së aktiveve. Ulja faktike e kostos së financimit nuk është automatike dhe varet nga normat e tregut, vlerësimi i rrezikut, madhësia dhe likuiditeti i emetimit.</w:t>
      </w:r>
    </w:p>
    <w:p w14:paraId="7CEF8A1E" w14:textId="77777777" w:rsidR="000C305C" w:rsidRPr="00B53887" w:rsidRDefault="00000000" w:rsidP="007F55C3">
      <w:pPr>
        <w:jc w:val="both"/>
        <w:rPr>
          <w:lang w:val="pt-BR"/>
        </w:rPr>
      </w:pPr>
      <w:r w:rsidRPr="00B53887">
        <w:rPr>
          <w:lang w:val="pt-BR"/>
        </w:rPr>
        <w:t>Kërkesat zbatohen në mënyrë të njëjtë për çdo emetues, por ndikimi relativ mund të jetë më i lartë për institucionet më të vogla për shkak të kostove fikse të sistemeve dhe shërbimeve profesionale. Proporcionaliteti nuk mund të cenojë mbulimin, likuiditetin ose të drejtat e investitorëve; ai mund të zbatohet në formatet, intensitetin e mbikëqyrjes, përdorimin e të dhënave ekzistuese dhe fazimin e përgatitjes.</w:t>
      </w:r>
    </w:p>
    <w:p w14:paraId="0C9295F1" w14:textId="77777777" w:rsidR="005A32F9" w:rsidRPr="006916B7" w:rsidRDefault="00000000">
      <w:pPr>
        <w:pStyle w:val="Heading2"/>
        <w:rPr>
          <w:lang w:val="pt-BR"/>
        </w:rPr>
      </w:pPr>
      <w:r w:rsidRPr="006916B7">
        <w:rPr>
          <w:rFonts w:ascii="Times New Roman" w:eastAsia="Times New Roman" w:hAnsi="Times New Roman"/>
          <w:lang w:val="pt-BR"/>
        </w:rPr>
        <w:t>Ndikimi mbi investitorët</w:t>
      </w:r>
    </w:p>
    <w:p w14:paraId="6E8EE789" w14:textId="77777777" w:rsidR="005A32F9" w:rsidRPr="006916B7" w:rsidRDefault="00000000" w:rsidP="005F7001">
      <w:pPr>
        <w:jc w:val="both"/>
        <w:rPr>
          <w:lang w:val="pt-BR"/>
        </w:rPr>
      </w:pPr>
      <w:r w:rsidRPr="006916B7">
        <w:rPr>
          <w:lang w:val="pt-BR"/>
        </w:rPr>
        <w:t>Ndikimi është kryesisht pozitiv. Investitorët përfitojnë nga pretendimi ndaj emetuesit, pretendimi me përparësi mbi grupin e mbulimit dhe pretendimi ndaj masës së likuidimit për pjesën e pambuluar. Veçimi i aktiveve dhe mos-përshpejtimi automatik mbështesin vazhdimësinë e pagesave. Informacioni tremujor mbi vlerën dhe përbërjen e grupit, rreziqet, mbulimin, likuiditetin dhe strukturën e maturimit ul asimetrinë e informacionit dhe kostot e analizës.</w:t>
      </w:r>
    </w:p>
    <w:p w14:paraId="7B555A51" w14:textId="77777777" w:rsidR="005A32F9" w:rsidRPr="006916B7" w:rsidRDefault="00000000" w:rsidP="005F7001">
      <w:pPr>
        <w:jc w:val="both"/>
        <w:rPr>
          <w:lang w:val="pt-BR"/>
        </w:rPr>
      </w:pPr>
      <w:r w:rsidRPr="006916B7">
        <w:rPr>
          <w:lang w:val="pt-BR"/>
        </w:rPr>
        <w:t>Investitorët mbeten të ekspozuar ndaj rrezikut të kredisë së emetuesit, cilësisë së aktiveve, normës së interesit, kursit të këmbimit, likuiditetit të tregut dhe zgjatjes së maturimit. Projektligji nuk eliminon rrezikun, por e bën atë më të identifikueshëm, të monitorueshëm dhe të menaxhueshëm.</w:t>
      </w:r>
    </w:p>
    <w:p w14:paraId="1476D6D4" w14:textId="77777777" w:rsidR="000C305C" w:rsidRPr="00B53887" w:rsidRDefault="00000000" w:rsidP="005F7001">
      <w:pPr>
        <w:jc w:val="both"/>
        <w:rPr>
          <w:lang w:val="pt-BR"/>
        </w:rPr>
      </w:pPr>
      <w:r w:rsidRPr="00B53887">
        <w:rPr>
          <w:lang w:val="pt-BR"/>
        </w:rPr>
        <w:t>Për investitorët institucionalë, instrumenti mund të ofrojë kombinim të maturitetit afatgjatë, flukseve të parashikueshme dhe mbrojtjes strukturore. Informacioni mbi grupin e mbulimit, nivelin e mbulimit, përqendrimet, cilësinë e aktiveve dhe derivativët mbështet analizën e portofolit dhe kontrollin e kufijve të brendshëm të rrezikut.</w:t>
      </w:r>
    </w:p>
    <w:p w14:paraId="2E1C512B" w14:textId="77777777" w:rsidR="000C305C" w:rsidRPr="00B53887" w:rsidRDefault="00000000" w:rsidP="005F7001">
      <w:pPr>
        <w:jc w:val="both"/>
        <w:rPr>
          <w:lang w:val="pt-BR"/>
        </w:rPr>
      </w:pPr>
      <w:r w:rsidRPr="00B53887">
        <w:rPr>
          <w:lang w:val="pt-BR"/>
        </w:rPr>
        <w:t>Për investitorët individualë, përfitimi kryesor është qartësia e emërtimit, dokumentacionit dhe e të drejtave. Publikimi periodik dhe mbikëqyrja publike ulin rrezikun që produkti të paraqitet vetëm si “i garantuar” pa shpjeguar natyrën e garancisë, rendin e pretendimeve dhe rreziqet e mbetura. Detyrimet e përshtatshmërisë dhe të informimit sipas legjislacionit të tregjeve të kapitalit vijojnë të zbatohen.</w:t>
      </w:r>
    </w:p>
    <w:p w14:paraId="0F62A369" w14:textId="77777777" w:rsidR="000C305C" w:rsidRPr="00B53887" w:rsidRDefault="00000000" w:rsidP="005F7001">
      <w:pPr>
        <w:jc w:val="both"/>
        <w:rPr>
          <w:lang w:val="pt-BR"/>
        </w:rPr>
      </w:pPr>
      <w:r w:rsidRPr="00B53887">
        <w:rPr>
          <w:lang w:val="pt-BR"/>
        </w:rPr>
        <w:t>Në rast paaftësie paguese, përfitimi i investitorit lidhet me vazhdimësinë e pagesave nga grupi i mbulimit dhe me administrimin e posaçëm të programit. Kjo shmang përshpejtimin automatik vetëm për shkak të krizës së emetuesit dhe krijon kohë për transferimin ose administrimin e portofolit. Efektiviteti i këtij mekanizmi varet nga cilësia e të dhënave, veçimi dhe gatishmëria e procedurave.</w:t>
      </w:r>
    </w:p>
    <w:p w14:paraId="56239CE1" w14:textId="77777777" w:rsidR="000C305C" w:rsidRPr="00B53887" w:rsidRDefault="00000000" w:rsidP="005F7001">
      <w:pPr>
        <w:jc w:val="both"/>
        <w:rPr>
          <w:lang w:val="pt-BR"/>
        </w:rPr>
      </w:pPr>
      <w:r w:rsidRPr="00B53887">
        <w:rPr>
          <w:lang w:val="pt-BR"/>
        </w:rPr>
        <w:t>Kostoja për investitorët lidhet me analizën fillestare të një produkti të ri, vlerësimin e dokumentacionit dhe monitorimin e publikimeve. Me standardizimin e tregut, këto kosto pritet të ulen, sepse të dhënat dhe termat bëhen më të krahasueshëm. Projektligji nuk zëvendëson analizën e investitorit dhe nuk garanton likuiditet në tregun sekondar.</w:t>
      </w:r>
    </w:p>
    <w:p w14:paraId="2F46443F" w14:textId="77777777" w:rsidR="005A32F9" w:rsidRPr="006916B7" w:rsidRDefault="00000000">
      <w:pPr>
        <w:pStyle w:val="Heading2"/>
        <w:rPr>
          <w:lang w:val="pt-BR"/>
        </w:rPr>
      </w:pPr>
      <w:r w:rsidRPr="006916B7">
        <w:rPr>
          <w:rFonts w:ascii="Times New Roman" w:eastAsia="Times New Roman" w:hAnsi="Times New Roman"/>
          <w:lang w:val="pt-BR"/>
        </w:rPr>
        <w:t>Ndikimi mbi AMF-në</w:t>
      </w:r>
    </w:p>
    <w:p w14:paraId="35B4FCEE" w14:textId="77777777" w:rsidR="005A32F9" w:rsidRPr="006916B7" w:rsidRDefault="00000000" w:rsidP="005F7001">
      <w:pPr>
        <w:jc w:val="both"/>
        <w:rPr>
          <w:lang w:val="pt-BR"/>
        </w:rPr>
      </w:pPr>
      <w:r w:rsidRPr="006916B7">
        <w:rPr>
          <w:lang w:val="pt-BR"/>
        </w:rPr>
        <w:t xml:space="preserve">AMF merr përgjegjësi për miratimin ose refuzimin e programit, rishikimin periodik, mbikëqyrjen në distancë dhe në vend, marrjen e raportimeve, publikimin e listave, mbikëqyrjen e emetuesit, monitoruesit dhe administratorit të posaçëm, masat korrigjuese dhe sanksionet. Kjo kërkon kapacitete juridike, financiare, prudenciale, vlerësimi dhe IT. Ngarkesa zbutet nga </w:t>
      </w:r>
      <w:r w:rsidRPr="006916B7">
        <w:rPr>
          <w:lang w:val="pt-BR"/>
        </w:rPr>
        <w:lastRenderedPageBreak/>
        <w:t>periudha deri më 1 janar 2029, aktet nënligjore, formatet standarde, tarifat mbikëqyrëse dhe bashkëpunimi me Bankën e Shqipërisë.</w:t>
      </w:r>
    </w:p>
    <w:p w14:paraId="7B57FA58" w14:textId="77777777" w:rsidR="000C305C" w:rsidRPr="00B53887" w:rsidRDefault="00000000" w:rsidP="005F7001">
      <w:pPr>
        <w:jc w:val="both"/>
        <w:rPr>
          <w:lang w:val="pt-BR"/>
        </w:rPr>
      </w:pPr>
      <w:r w:rsidRPr="00B53887">
        <w:rPr>
          <w:lang w:val="pt-BR"/>
        </w:rPr>
        <w:t>Në fazën fillestare, AMF-ja duhet të hartojë aktet nënligjore, procedurat e autorizimit, manualet e mbikëqyrjes, formularët, kërkesat e të dhënave dhe regjistrin e programeve. Nevojitet trajnim i stafit në analizën e aktiveve, mbulimit, likuiditetit, derivativëve, testimit të qëndrueshmërisë dhe ndërveprimit me prospektin dhe infrastrukturën e tregut.</w:t>
      </w:r>
    </w:p>
    <w:p w14:paraId="792BF189" w14:textId="77777777" w:rsidR="000C305C" w:rsidRPr="00B53887" w:rsidRDefault="00000000" w:rsidP="005F7001">
      <w:pPr>
        <w:jc w:val="both"/>
        <w:rPr>
          <w:lang w:val="pt-BR"/>
        </w:rPr>
      </w:pPr>
      <w:r w:rsidRPr="00B53887">
        <w:rPr>
          <w:lang w:val="pt-BR"/>
        </w:rPr>
        <w:t>Në fazën e vazhdueshme, ngarkesa lidhet me shqyrtimin e kërkesave, analizën e raportimeve, mbikëqyrjen e monitoruesit, inspektimet, masat korrigjuese, sanksionet dhe publikimin e informacionit. Për të shmangur dyfishimin, AMF-ja duhet të përdorë sa më shumë të jetë e mundur të dhënat që raportohen në mënyrë të strukturuar dhe të shkëmbejë informacion me Bankën e Shqipërisë sipas protokolleve të dakordësuara.</w:t>
      </w:r>
    </w:p>
    <w:p w14:paraId="25DE0072" w14:textId="77777777" w:rsidR="000C305C" w:rsidRPr="00B53887" w:rsidRDefault="00000000" w:rsidP="005F7001">
      <w:pPr>
        <w:jc w:val="both"/>
        <w:rPr>
          <w:lang w:val="pt-BR"/>
        </w:rPr>
      </w:pPr>
      <w:r w:rsidRPr="00B53887">
        <w:rPr>
          <w:lang w:val="pt-BR"/>
        </w:rPr>
        <w:t>Përfitimi institucional është krijimi i kompetencave të qarta dhe i një baze të standardizuar të të dhënave. Kjo përmirëson identifikimin e hershëm të rreziqeve, dokumentimin e vendimmarrjes, krahasimin ndërmjet programeve dhe aftësinë për të ndërhyrë në mënyrë proporcionale para se mangësitë të cenojnë investitorët.</w:t>
      </w:r>
    </w:p>
    <w:p w14:paraId="50C3C9A3" w14:textId="77777777" w:rsidR="005A32F9" w:rsidRPr="006916B7" w:rsidRDefault="00000000">
      <w:pPr>
        <w:pStyle w:val="Heading2"/>
        <w:rPr>
          <w:lang w:val="pt-BR"/>
        </w:rPr>
      </w:pPr>
      <w:r w:rsidRPr="006916B7">
        <w:rPr>
          <w:rFonts w:ascii="Times New Roman" w:eastAsia="Times New Roman" w:hAnsi="Times New Roman"/>
          <w:lang w:val="pt-BR"/>
        </w:rPr>
        <w:t>Ndikimi mbi Bankën e Shqipërisë</w:t>
      </w:r>
    </w:p>
    <w:p w14:paraId="021B6336" w14:textId="77777777" w:rsidR="005A32F9" w:rsidRPr="006916B7" w:rsidRDefault="00000000" w:rsidP="005F7001">
      <w:pPr>
        <w:jc w:val="both"/>
        <w:rPr>
          <w:lang w:val="pt-BR"/>
        </w:rPr>
      </w:pPr>
      <w:r w:rsidRPr="006916B7">
        <w:rPr>
          <w:lang w:val="pt-BR"/>
        </w:rPr>
        <w:t>Banka e Shqipërisë jep opinion paraprak mbi programin dhe vlerëson gjendjen financiare, menaxhimin e rreziqeve, likuiditetin dhe përmbushjen e kërkesave prudenciale të emetuesit. Ajo bashkëpunon në mbikëqyrje, ndërhyrje të jashtëzakonshme dhe likuidim, si dhe miraton kërkesa të detajuara për menaxhimin e rreziqeve dhe stress-testet. Ndikimi është rritje e ngarkesës analitike dhe nevojë për procedura të koordinuara, por edhe përfitim nga identifikimi më i hershëm i rreziqeve të financimit dhe përqendrimit.</w:t>
      </w:r>
    </w:p>
    <w:p w14:paraId="6FB9BECB" w14:textId="77777777" w:rsidR="000C305C" w:rsidRPr="00B53887" w:rsidRDefault="00000000" w:rsidP="005F7001">
      <w:pPr>
        <w:jc w:val="both"/>
        <w:rPr>
          <w:lang w:val="pt-BR"/>
        </w:rPr>
      </w:pPr>
      <w:r w:rsidRPr="00B53887">
        <w:rPr>
          <w:lang w:val="pt-BR"/>
        </w:rPr>
        <w:t>Opinioni paraprak kërkon analizë të ndikimit të programit në kapital, likuiditet, financim, përqendrim, qeverisje dhe menaxhim të rrezikut të institucionit të kreditit. Vlerësimi duhet të marrë parasysh jo vetëm gjendjen në momentin e aplikimit, por edhe skenarët e rritjes së programit dhe aftësinë e bankës për të zëvendësuar aktivet ose për të përmbushur detyrimet në kushte stresi.</w:t>
      </w:r>
    </w:p>
    <w:p w14:paraId="43D96A15" w14:textId="77777777" w:rsidR="000C305C" w:rsidRPr="00B53887" w:rsidRDefault="00000000" w:rsidP="005F7001">
      <w:pPr>
        <w:jc w:val="both"/>
        <w:rPr>
          <w:lang w:val="pt-BR"/>
        </w:rPr>
      </w:pPr>
      <w:r w:rsidRPr="00B53887">
        <w:rPr>
          <w:lang w:val="pt-BR"/>
        </w:rPr>
        <w:t>Banka e Shqipërisë do të integrojë informacionin e programit në mbikëqyrjen prudenciale dhe në vlerësimin e planit të rimëkëmbjes, likuiditetit dhe strukturës së financimit. Shkëmbimi i informacionit me AMF-në duhet të përcaktojë qartë të dhënat, frekuencën, konfidencialitetin, afatet dhe mënyrën e trajtimit të rasteve kur autoritetet identifikojnë rreziqe të ndryshme.</w:t>
      </w:r>
    </w:p>
    <w:p w14:paraId="06C78D9C" w14:textId="77777777" w:rsidR="000C305C" w:rsidRPr="00B53887" w:rsidRDefault="00000000" w:rsidP="005F7001">
      <w:pPr>
        <w:jc w:val="both"/>
        <w:rPr>
          <w:lang w:val="pt-BR"/>
        </w:rPr>
      </w:pPr>
      <w:r w:rsidRPr="00B53887">
        <w:rPr>
          <w:lang w:val="pt-BR"/>
        </w:rPr>
        <w:t>Në ndërhyrje të jashtëzakonshme ose likuidim, përfitimi i kuadrit është qartësia e trajtimit të grupit të mbulimit dhe detyrimeve përkatëse. Kjo ndihmon në ruajtjen e vazhdimësisë së funksioneve, në vlerësimin e mundësisë së transferimit dhe në shmangien e vendimeve që ndajnë aktivet nga detyrimet e programit.</w:t>
      </w:r>
    </w:p>
    <w:p w14:paraId="30905551" w14:textId="77777777" w:rsidR="000C305C" w:rsidRPr="00B53887" w:rsidRDefault="00000000">
      <w:pPr>
        <w:pStyle w:val="Heading2"/>
        <w:rPr>
          <w:lang w:val="pt-BR"/>
        </w:rPr>
      </w:pPr>
      <w:r w:rsidRPr="00B53887">
        <w:rPr>
          <w:lang w:val="pt-BR"/>
        </w:rPr>
        <w:t>Ndikimi në skenarë stresi, ndërhyrje të jashtëzakonshme dhe likuidim</w:t>
      </w:r>
    </w:p>
    <w:p w14:paraId="2C25CE62" w14:textId="77777777" w:rsidR="000C305C" w:rsidRPr="00B53887" w:rsidRDefault="00000000" w:rsidP="005F7001">
      <w:pPr>
        <w:jc w:val="both"/>
        <w:rPr>
          <w:lang w:val="pt-BR"/>
        </w:rPr>
      </w:pPr>
      <w:r w:rsidRPr="00B53887">
        <w:rPr>
          <w:lang w:val="pt-BR"/>
        </w:rPr>
        <w:t>Vlera e kuadrit vlerësohet veçanërisht në kushtet kur emetuesi përballet me stres likuiditeti, përkeqësim të cilësisë së aktiveve ose paaftësi paguese. Në gjendje normale, pagesat realizohen nga flukset e emetuesit dhe grupi i mbulimit monitorohet si burim sigurie. Në stres, rëndësi marrin ndarja juridike, cilësia dhe disponueshmëria e aktiveve, rezerva e likuiditetit, derivativët dhe aftësia për të vazhduar administrimin pa ndërprerë pagesat.</w:t>
      </w:r>
    </w:p>
    <w:p w14:paraId="416B43CB" w14:textId="77777777" w:rsidR="000C305C" w:rsidRPr="00B53887" w:rsidRDefault="00000000" w:rsidP="005F7001">
      <w:pPr>
        <w:jc w:val="both"/>
        <w:rPr>
          <w:lang w:val="pt-BR"/>
        </w:rPr>
      </w:pPr>
      <w:r w:rsidRPr="00B53887">
        <w:rPr>
          <w:lang w:val="pt-BR"/>
        </w:rPr>
        <w:t>Testimi i qëndrueshmërisë duhet të mbulojë të paktën rënie të vlerës së kolateralit, rritje të mospagimeve, shtyrje të flukseve, ndryshim të normave të interesit ose kursit të këmbimit, mbyllje të tregut të financimit dhe pamundësi të zëvendësimit të aktiveve. Rezultatet nuk përdoren vetëm për raportim; emetuesi duhet të përcaktojë masa korrigjuese, afate dhe përgjegjësi, ndërsa monitoruesi dhe autoritetet vlerësojnë mjaftueshmërinë e tyre.</w:t>
      </w:r>
    </w:p>
    <w:p w14:paraId="4B149372" w14:textId="77777777" w:rsidR="000C305C" w:rsidRPr="00B53887" w:rsidRDefault="00000000" w:rsidP="005F7001">
      <w:pPr>
        <w:jc w:val="both"/>
        <w:rPr>
          <w:lang w:val="pt-BR"/>
        </w:rPr>
      </w:pPr>
      <w:r w:rsidRPr="00B53887">
        <w:rPr>
          <w:lang w:val="pt-BR"/>
        </w:rPr>
        <w:t>Mos-përshpejtimi automatik i detyrimeve shmang që paaftësia paguese e bankës të kthejë menjëherë të gjithë principalin në detyrim të pagueshëm dhe të detyrojë shitje të përshpejtuar të aktiveve. Pagesat vijojnë sipas kalendarit kontraktor, për aq kohë sa grupi i mbulimit dhe administrimi i posaçëm e mundësojnë. Kjo ul rrezikun e humbjeve nga shitja në kushte të pafavorshme dhe mbron trajtimin e barabartë të investitorëve.</w:t>
      </w:r>
    </w:p>
    <w:p w14:paraId="6F6947F0" w14:textId="77777777" w:rsidR="000C305C" w:rsidRPr="00B53887" w:rsidRDefault="00000000" w:rsidP="005F7001">
      <w:pPr>
        <w:jc w:val="both"/>
        <w:rPr>
          <w:lang w:val="pt-BR"/>
        </w:rPr>
      </w:pPr>
      <w:r w:rsidRPr="00B53887">
        <w:rPr>
          <w:lang w:val="pt-BR"/>
        </w:rPr>
        <w:t>Administratori i posaçëm duhet të ketë akses të shpejtë në regjistrin, dokumentacionin e kredive, llogaritë, kontratat derivative, informacionin e pagesave dhe marrëveshjet me ofruesit e shërbimeve. Procedurat duhet të përcaktojnë mënyrën e emërimit, dorëzimin e të dhënave, autorizimet operative, raportimin dhe financimin e administrimit. Pilotimi para vitit 2029 duhet të përfshijë edhe simulim dokumentar të këtij transferimi të funksioneve.</w:t>
      </w:r>
    </w:p>
    <w:p w14:paraId="34F9C5FD" w14:textId="77777777" w:rsidR="000C305C" w:rsidRPr="00B53887" w:rsidRDefault="00000000" w:rsidP="005F7001">
      <w:pPr>
        <w:jc w:val="both"/>
        <w:rPr>
          <w:lang w:val="pt-BR"/>
        </w:rPr>
      </w:pPr>
      <w:r w:rsidRPr="00B53887">
        <w:rPr>
          <w:lang w:val="pt-BR"/>
        </w:rPr>
        <w:t>Në rast transferimi të programit, aktivet dhe detyrimet përkatëse duhet të trajtohen së bashku, në mënyrë që të ruhet ekuilibri ekonomik dhe juridik. Vlerësimi për transferim duhet të marrë parasysh cilësinë e aktiveve, mbulimin, likuiditetin, kushtet e derivativëve, sistemet e shërbimit dhe aftësinë e institucionit marrës. Shkëmbimi i informacionit ndërmjet AMF-së, Bankës së Shqipërisë dhe strukturave të likuidimit duhet të jetë i menjëhershëm dhe i dokumentuar.</w:t>
      </w:r>
    </w:p>
    <w:p w14:paraId="6D2D41DD" w14:textId="77777777" w:rsidR="000C305C" w:rsidRPr="00B53887" w:rsidRDefault="00000000" w:rsidP="005F7001">
      <w:pPr>
        <w:jc w:val="both"/>
        <w:rPr>
          <w:lang w:val="pt-BR"/>
        </w:rPr>
      </w:pPr>
      <w:r w:rsidRPr="00B53887">
        <w:rPr>
          <w:lang w:val="pt-BR"/>
        </w:rPr>
        <w:t>Përfitimi publik i këtyre rregullave është reduktimi i pasigurisë dhe i rrezikut të ndërprerjes së pagesave, jo mbrojtja e investitorëve nga çdo humbje. Kur grupi i mbulimit nuk është i mjaftueshëm, investitorët ushtrojnë të drejtat e mbetura sipas rendit të përcaktuar në ligj. Për këtë arsye, transparenca për rreziqet, mbikëqyrja e hershme dhe masat korrigjuese mbeten thelbësore edhe kur mekanizmat e likuidimit janë të qartë.</w:t>
      </w:r>
    </w:p>
    <w:p w14:paraId="7C44BC02" w14:textId="77777777" w:rsidR="005A32F9" w:rsidRPr="006916B7" w:rsidRDefault="00000000">
      <w:pPr>
        <w:pStyle w:val="Heading2"/>
        <w:rPr>
          <w:lang w:val="pt-BR"/>
        </w:rPr>
      </w:pPr>
      <w:r w:rsidRPr="006916B7">
        <w:rPr>
          <w:rFonts w:ascii="Times New Roman" w:eastAsia="Times New Roman" w:hAnsi="Times New Roman"/>
          <w:lang w:val="pt-BR"/>
        </w:rPr>
        <w:lastRenderedPageBreak/>
        <w:t>Ndikimi mbi monitoruesin, audituesit dhe vlerësuesit</w:t>
      </w:r>
    </w:p>
    <w:p w14:paraId="73ED9B53" w14:textId="77777777" w:rsidR="005A32F9" w:rsidRPr="006916B7" w:rsidRDefault="00000000" w:rsidP="005F7001">
      <w:pPr>
        <w:jc w:val="both"/>
        <w:rPr>
          <w:lang w:val="pt-BR"/>
        </w:rPr>
      </w:pPr>
      <w:r w:rsidRPr="006916B7">
        <w:rPr>
          <w:lang w:val="pt-BR"/>
        </w:rPr>
        <w:t>Krijohet kërkesë e re për shërbime të specializuara. Monitoruesi duhet të jetë i pavarur, të verifikojë regjistrin, aktivet, mbulimin dhe përputhshmërinë, dhe të raportojë parregullsitë. Audituesit dhe vlerësuesit duhet të përdorin metodologji të dokumentuara, të qarta dhe të pavarura nga procesi i kreditimit. Kjo rrit standardet profesionale dhe mund të krijojë kosto për emetuesit, por është thelbësore për besueshmërinë e grupit të mbulimit.</w:t>
      </w:r>
    </w:p>
    <w:p w14:paraId="7D6CB011" w14:textId="77777777" w:rsidR="000C305C" w:rsidRPr="00B53887" w:rsidRDefault="00000000" w:rsidP="005F7001">
      <w:pPr>
        <w:jc w:val="both"/>
        <w:rPr>
          <w:lang w:val="pt-BR"/>
        </w:rPr>
      </w:pPr>
      <w:r w:rsidRPr="00B53887">
        <w:rPr>
          <w:lang w:val="pt-BR"/>
        </w:rPr>
        <w:t>Kërkesat për pavarësinë, aftësinë profesionale, konfliktet e interesit dhe raportimin e monitoruesit krijojnë standard të ri profesional. Kostot për emetuesin përfshijnë shpërblimin dhe aksesin e monitoruesit në të dhëna; përfitimi është verifikimi i vazhdueshëm dhe identifikimi i hershëm i mangësive.</w:t>
      </w:r>
    </w:p>
    <w:p w14:paraId="4DAB7230" w14:textId="77777777" w:rsidR="000C305C" w:rsidRPr="00B53887" w:rsidRDefault="00000000" w:rsidP="005F7001">
      <w:pPr>
        <w:jc w:val="both"/>
        <w:rPr>
          <w:lang w:val="pt-BR"/>
        </w:rPr>
      </w:pPr>
      <w:r w:rsidRPr="00B53887">
        <w:rPr>
          <w:lang w:val="pt-BR"/>
        </w:rPr>
        <w:t>Vlerësuesit dhe audituesit ndikohen nga kërkesa për metodologji të dokumentuara, përditësim periodik të vlerave, verifikim të sistemeve dhe ruajtje të provave. Rritja e kërkesës për shërbime mund të krijojë mundësi profesionale, por kërkon kapacitete dhe kontroll të cilësisë për të shmangur varësinë nga një numër i kufizuar ofruesish.</w:t>
      </w:r>
    </w:p>
    <w:p w14:paraId="45487893" w14:textId="77777777" w:rsidR="005A32F9" w:rsidRPr="006916B7" w:rsidRDefault="00000000">
      <w:pPr>
        <w:pStyle w:val="Heading2"/>
        <w:rPr>
          <w:lang w:val="pt-BR"/>
        </w:rPr>
      </w:pPr>
      <w:r w:rsidRPr="006916B7">
        <w:rPr>
          <w:rFonts w:ascii="Times New Roman" w:eastAsia="Times New Roman" w:hAnsi="Times New Roman"/>
          <w:lang w:val="pt-BR"/>
        </w:rPr>
        <w:t>Ndikimi mbi infrastrukturën e tregut</w:t>
      </w:r>
    </w:p>
    <w:p w14:paraId="084670C7" w14:textId="77777777" w:rsidR="005A32F9" w:rsidRPr="006916B7" w:rsidRDefault="00000000" w:rsidP="005F7001">
      <w:pPr>
        <w:jc w:val="both"/>
        <w:rPr>
          <w:lang w:val="pt-BR"/>
        </w:rPr>
      </w:pPr>
      <w:r w:rsidRPr="006916B7">
        <w:rPr>
          <w:lang w:val="pt-BR"/>
        </w:rPr>
        <w:t>Operatori i tregut, depozitari qendror, regjistruesit, kujdestarët dhe ndërmjetësit mund të përballen me nevojë për procedura dhe klasifikime të reja për regjistrimin, listimin, shlyerjen dhe publikimin e informacionit. Ndikimi pritet të jetë i menaxhueshëm, pasi këto funksione mbështeten në infrastrukturën ekzistuese të titujve. Përfitimi është zgjerimi i gamës së instrumenteve dhe rritja e mundshme e aktivitetit të tregut.</w:t>
      </w:r>
    </w:p>
    <w:p w14:paraId="11613FD0" w14:textId="77777777" w:rsidR="000C305C" w:rsidRPr="00B53887" w:rsidRDefault="00000000" w:rsidP="005F7001">
      <w:pPr>
        <w:jc w:val="both"/>
        <w:rPr>
          <w:lang w:val="pt-BR"/>
        </w:rPr>
      </w:pPr>
      <w:r w:rsidRPr="00B53887">
        <w:rPr>
          <w:lang w:val="pt-BR"/>
        </w:rPr>
        <w:t>Nëse obligacionet ofrohen publikisht ose pranohen për tregtim, infrastruktura duhet të mbështesë identifikimin e instrumentit, regjistrimin e të drejtave, proceset e korporatave, pagesat dhe publikimin e informacionit. Procedurat e programit duhet të koordinohen me ciklin e prospektit dhe të listimit, në mënyrë që miratimi i programit dhe i ofertës të mos krijojnë dokumente të papajtueshme.</w:t>
      </w:r>
    </w:p>
    <w:p w14:paraId="5AD9C6E8" w14:textId="77777777" w:rsidR="000C305C" w:rsidRPr="00B53887" w:rsidRDefault="00000000" w:rsidP="005F7001">
      <w:pPr>
        <w:jc w:val="both"/>
        <w:rPr>
          <w:lang w:val="pt-BR"/>
        </w:rPr>
      </w:pPr>
      <w:r w:rsidRPr="00B53887">
        <w:rPr>
          <w:lang w:val="pt-BR"/>
        </w:rPr>
        <w:t>Tregu sekondar mund të përfitojë nga instrumente më të standardizuara dhe informacion periodik, por likuiditeti nuk krijohet vetëm nga kuadri ligjor. Madhësia e emetimit, numri i investitorëve, funksionimi i market-making, frekuenca e çmimeve dhe disponueshmëria e informacionit do të monitorohen si tregues të zhvillimit të tregut.</w:t>
      </w:r>
    </w:p>
    <w:p w14:paraId="6FB0A2E5" w14:textId="77777777" w:rsidR="005A32F9" w:rsidRPr="006916B7" w:rsidRDefault="00000000">
      <w:pPr>
        <w:pStyle w:val="Heading2"/>
        <w:rPr>
          <w:lang w:val="pt-BR"/>
        </w:rPr>
      </w:pPr>
      <w:r w:rsidRPr="006916B7">
        <w:rPr>
          <w:rFonts w:ascii="Times New Roman" w:eastAsia="Times New Roman" w:hAnsi="Times New Roman"/>
          <w:lang w:val="pt-BR"/>
        </w:rPr>
        <w:t>Ndikimi mbi buxhetin dhe administratën publike</w:t>
      </w:r>
    </w:p>
    <w:p w14:paraId="66662B9E" w14:textId="77777777" w:rsidR="005A32F9" w:rsidRPr="006916B7" w:rsidRDefault="00000000" w:rsidP="005F7001">
      <w:pPr>
        <w:jc w:val="both"/>
        <w:rPr>
          <w:lang w:val="pt-BR"/>
        </w:rPr>
      </w:pPr>
      <w:r w:rsidRPr="006916B7">
        <w:rPr>
          <w:lang w:val="pt-BR"/>
        </w:rPr>
        <w:t>Projektligji nuk parashikon financim të drejtpërdrejtë nga buxheti i shtetit. Kostot institucionale të AMF-së dhe Bankës së Shqipërisë lidhen me funksionet e tyre dhe mbulohen nga burimet institucionale, tarifat mbikëqyrëse dhe planifikimi i brendshëm. Në analizën monetare ato klasifikohen si “kosto për grupet e tjera/autoritetet”, jo si transfertë nga buxheti i shtetit. Nëse do të kërkohet një zhvillim i posaçëm IT i financuar nga buxheti, ky ndikim duhet të trajtohet në procesin buxhetor dhe në vlerësimin ex post.</w:t>
      </w:r>
    </w:p>
    <w:p w14:paraId="78A4331F" w14:textId="77777777" w:rsidR="000C305C" w:rsidRPr="00B53887" w:rsidRDefault="00000000" w:rsidP="005F7001">
      <w:pPr>
        <w:jc w:val="both"/>
        <w:rPr>
          <w:lang w:val="pt-BR"/>
        </w:rPr>
      </w:pPr>
      <w:r w:rsidRPr="00B53887">
        <w:rPr>
          <w:lang w:val="pt-BR"/>
        </w:rPr>
        <w:t>Vlerësimi me ndikim zero në buxhet nënkupton se nuk parashikohet transfertë ose zë i ri buxhetor nga buxheti i shtetit. Ai nuk nënkupton mungesë ngarkese administrative. Koha e stafit, zhvillimi i procedurave, trajnimi dhe përdorimi i sistemeve përbëjnë kosto institucionale, të cilat janë përfshirë në analizën ekonomike si kosto për grupet e tjera/autoritetet.</w:t>
      </w:r>
    </w:p>
    <w:p w14:paraId="4E4A2D96" w14:textId="77777777" w:rsidR="000C305C" w:rsidRPr="00B53887" w:rsidRDefault="00000000" w:rsidP="005F7001">
      <w:pPr>
        <w:jc w:val="both"/>
        <w:rPr>
          <w:lang w:val="pt-BR"/>
        </w:rPr>
      </w:pPr>
      <w:r w:rsidRPr="00B53887">
        <w:rPr>
          <w:lang w:val="pt-BR"/>
        </w:rPr>
        <w:t>Nëse gjatë zbatimit lind nevoja për investime që nuk mund të mbulohen nga burimet ekzistuese ose tarifat, kjo duhet të pasqyrohet në planifikimin institucional dhe në vlerësimin ex post. Tarifat mbikëqyrëse duhet të jenë transparente, të lidhura me kostot e funksionit dhe të mos krijojnë pengesë të pajustifikuar për hyrjen në regjim.</w:t>
      </w:r>
    </w:p>
    <w:p w14:paraId="0EC3C11E" w14:textId="77777777" w:rsidR="005A32F9" w:rsidRPr="006916B7" w:rsidRDefault="00000000">
      <w:pPr>
        <w:pStyle w:val="Heading2"/>
        <w:rPr>
          <w:lang w:val="pt-BR"/>
        </w:rPr>
      </w:pPr>
      <w:r w:rsidRPr="006916B7">
        <w:rPr>
          <w:rFonts w:ascii="Times New Roman" w:eastAsia="Times New Roman" w:hAnsi="Times New Roman"/>
          <w:lang w:val="pt-BR"/>
        </w:rPr>
        <w:t>Ndikimi mbi NVM-të dhe ekonominë reale</w:t>
      </w:r>
    </w:p>
    <w:p w14:paraId="06D4456A" w14:textId="77777777" w:rsidR="005A32F9" w:rsidRPr="006916B7" w:rsidRDefault="00000000" w:rsidP="005F7001">
      <w:pPr>
        <w:jc w:val="both"/>
        <w:rPr>
          <w:lang w:val="pt-BR"/>
        </w:rPr>
      </w:pPr>
      <w:r w:rsidRPr="006916B7">
        <w:rPr>
          <w:lang w:val="pt-BR"/>
        </w:rPr>
        <w:t>NVM-të nuk janë subjekte të drejtpërdrejta të ligjit. Ndikimi i tërthortë mund të jetë pozitiv nëse financimi më i qëndrueshëm i bankave mbështet rritjen e kreditimit afatgjatë. Megjithatë, ligji nuk detyron kalimin e kursimeve të financimit te huamarrësit; efekti varet nga konkurrenca, strategjia e bankës, rreziku i klientit dhe kushtet makroekonomike. Nuk nevojiten përjashtime të posaçme për NVM-të, pasi detyrimet zbatohen ndaj institucioneve të kreditit emetuese.</w:t>
      </w:r>
    </w:p>
    <w:p w14:paraId="187798C0" w14:textId="77777777" w:rsidR="000C305C" w:rsidRPr="00B53887" w:rsidRDefault="00000000" w:rsidP="005F7001">
      <w:pPr>
        <w:jc w:val="both"/>
        <w:rPr>
          <w:lang w:val="pt-BR"/>
        </w:rPr>
      </w:pPr>
      <w:r w:rsidRPr="00B53887">
        <w:rPr>
          <w:lang w:val="pt-BR"/>
        </w:rPr>
        <w:t>Ndikimi në financimin e ekonomisë varet nga mënyra se si institucionet e kreditit përdorin fondet e siguruara. Nëse obligacionet mbështeten kryesisht në kredi hipotekore ose ekspozime të tjera të pranueshme, financimi mund të rrisë kapacitetin për kredi afatgjata dhe të përmirësojë përputhjen e maturiteteve. Nuk ka detyrim që kursimi në financim të transferohet automatikisht te huamarrësit.</w:t>
      </w:r>
    </w:p>
    <w:p w14:paraId="3F2BBBCA" w14:textId="77777777" w:rsidR="000C305C" w:rsidRPr="00B53887" w:rsidRDefault="00000000" w:rsidP="005F7001">
      <w:pPr>
        <w:jc w:val="both"/>
        <w:rPr>
          <w:lang w:val="pt-BR"/>
        </w:rPr>
      </w:pPr>
      <w:r w:rsidRPr="00B53887">
        <w:rPr>
          <w:lang w:val="pt-BR"/>
        </w:rPr>
        <w:t>Për NVM-të, ndikimi i mundshëm është i tërthortë dhe mund të materializohet përmes stabilitetit më të lartë të burimeve të financimit të bankave, rritjes së konkurrencës për kredi ose zhvillimit të tregut të borxhit. Në të njëjtën kohë, veçimi i aktiveve mund të ndikojë strukturën e aktiveve të lira të bankës; ky efekt monitorohet nga Banka e Shqipërisë në vlerësimin prudencial.</w:t>
      </w:r>
    </w:p>
    <w:p w14:paraId="0BD01D83" w14:textId="77777777" w:rsidR="000C305C" w:rsidRPr="00B53887" w:rsidRDefault="00000000" w:rsidP="005F7001">
      <w:pPr>
        <w:jc w:val="both"/>
        <w:rPr>
          <w:lang w:val="pt-BR"/>
        </w:rPr>
      </w:pPr>
      <w:r w:rsidRPr="00B53887">
        <w:rPr>
          <w:lang w:val="pt-BR"/>
        </w:rPr>
        <w:t>Për familjet, ndikimi potencial lidhet kryesisht me financimin hipotekor. Një burim më i qëndrueshëm afatgjatë mund të mbështesë oferta me maturitet më të gjatë, por normat dhe kushtet e kredisë varen nga rreziku i huamarrësit, konkurrenca dhe kushtet makrofinanciare. RIA nuk i atribuon ligjit ulje të garantuar të normave të kredisë.</w:t>
      </w:r>
    </w:p>
    <w:p w14:paraId="4A08D7FF" w14:textId="77777777" w:rsidR="005A32F9" w:rsidRPr="006916B7" w:rsidRDefault="00000000">
      <w:pPr>
        <w:pStyle w:val="Heading2"/>
        <w:rPr>
          <w:lang w:val="pt-BR"/>
        </w:rPr>
      </w:pPr>
      <w:r w:rsidRPr="006916B7">
        <w:rPr>
          <w:rFonts w:ascii="Times New Roman" w:eastAsia="Times New Roman" w:hAnsi="Times New Roman"/>
          <w:lang w:val="pt-BR"/>
        </w:rPr>
        <w:t>Ndikimi mbi konkurrencën</w:t>
      </w:r>
    </w:p>
    <w:p w14:paraId="50532E53" w14:textId="77777777" w:rsidR="005A32F9" w:rsidRPr="006916B7" w:rsidRDefault="00000000" w:rsidP="005F7001">
      <w:pPr>
        <w:jc w:val="both"/>
        <w:rPr>
          <w:lang w:val="pt-BR"/>
        </w:rPr>
      </w:pPr>
      <w:r w:rsidRPr="006916B7">
        <w:rPr>
          <w:lang w:val="pt-BR"/>
        </w:rPr>
        <w:t xml:space="preserve">Projektligji është neutral në hyrje dhe nuk rezervon të drejtën e emetimit për një bankë të caktuar. Çdo institucion krediti që përmbush kushtet mund të kërkojë miratimin. Kërkesat e njëjta për aktivet, mbulimin, likuiditetin, monitorimin dhe transparencën krijojnë fushë loje të barabartë. Mund të ketë avantazh praktik për bankat me portofol më të madh aktivesh </w:t>
      </w:r>
      <w:r w:rsidRPr="006916B7">
        <w:rPr>
          <w:lang w:val="pt-BR"/>
        </w:rPr>
        <w:lastRenderedPageBreak/>
        <w:t>të pranueshme dhe sisteme më të zhvilluara, por ky avantazh rrjedh nga modeli i biznesit dhe kapaciteti, jo nga diskriminimi ligjor. Masat lehtësuese janë formularët standardë, udhëzimet, afatet e qarta dhe tarifat proporcionale.</w:t>
      </w:r>
    </w:p>
    <w:p w14:paraId="2224F414" w14:textId="77777777" w:rsidR="000C305C" w:rsidRPr="00B53887" w:rsidRDefault="00000000" w:rsidP="005F7001">
      <w:pPr>
        <w:jc w:val="both"/>
        <w:rPr>
          <w:lang w:val="pt-BR"/>
        </w:rPr>
      </w:pPr>
      <w:r w:rsidRPr="00B53887">
        <w:rPr>
          <w:lang w:val="pt-BR"/>
        </w:rPr>
        <w:t>Kërkesat e ligjit zbatohen në mënyrë të njëjtë për institucionet e kreditit të themeluara në Republikën e Shqipërisë. Asnjë subjekt nuk merr të drejtë ekskluzive dhe vendimet e autorizimit duhet të mbështeten në kritere objektive, të verifikueshme dhe të publikuara. Kjo mbështet konkurrencën mbi cilësinë e programit dhe kushtet e financimit.</w:t>
      </w:r>
    </w:p>
    <w:p w14:paraId="7EB47981" w14:textId="77777777" w:rsidR="000C305C" w:rsidRPr="00B53887" w:rsidRDefault="00000000" w:rsidP="005F7001">
      <w:pPr>
        <w:jc w:val="both"/>
        <w:rPr>
          <w:lang w:val="pt-BR"/>
        </w:rPr>
      </w:pPr>
      <w:r w:rsidRPr="00B53887">
        <w:rPr>
          <w:lang w:val="pt-BR"/>
        </w:rPr>
        <w:t>Kostot fikse mund t’u japin avantazh institucioneve më të mëdha, të cilat kanë portofol më të gjerë aktivesh dhe sisteme më të zhvilluara. Masat zbutëse përfshijnë formularë standardë, ripërdorim të raportimeve, afate të qarta, dialog para aplikimit dhe tarifa të arsyeshme. Nuk duhet të ulen standardet materiale për të kompensuar madhësinë e subjektit.</w:t>
      </w:r>
    </w:p>
    <w:p w14:paraId="6CA64CB0" w14:textId="77777777" w:rsidR="000C305C" w:rsidRPr="00B53887" w:rsidRDefault="00000000" w:rsidP="005F7001">
      <w:pPr>
        <w:jc w:val="both"/>
        <w:rPr>
          <w:lang w:val="pt-BR"/>
        </w:rPr>
      </w:pPr>
      <w:r w:rsidRPr="00B53887">
        <w:rPr>
          <w:lang w:val="pt-BR"/>
        </w:rPr>
        <w:t>Krijimi i një instrumenti të ri mund të rrisë konkurrencën për kursimet dhe investimet institucionale. Ndikimi duhet të monitorohet në lidhje me përqendrimin e emetimeve, strukturën e investitorëve, kushtet e çmimit dhe mundësinë që një numër i kufizuar emisionesh të dominojë tregun. Mbikëqyrja e konkurrencës dhe e sjelljes së tregut vijon sipas legjislacionit përkatës.</w:t>
      </w:r>
    </w:p>
    <w:p w14:paraId="42D8DB79" w14:textId="77777777" w:rsidR="005A32F9" w:rsidRPr="006916B7" w:rsidRDefault="00000000">
      <w:pPr>
        <w:pStyle w:val="Heading2"/>
        <w:rPr>
          <w:lang w:val="pt-BR"/>
        </w:rPr>
      </w:pPr>
      <w:r w:rsidRPr="006916B7">
        <w:rPr>
          <w:rFonts w:ascii="Times New Roman" w:eastAsia="Times New Roman" w:hAnsi="Times New Roman"/>
          <w:lang w:val="pt-BR"/>
        </w:rPr>
        <w:t>Ndikimet sociale, gjinore dhe mjedisore</w:t>
      </w:r>
    </w:p>
    <w:p w14:paraId="14687B37" w14:textId="77777777" w:rsidR="005A32F9" w:rsidRPr="006916B7" w:rsidRDefault="00000000" w:rsidP="005F7001">
      <w:pPr>
        <w:jc w:val="both"/>
        <w:rPr>
          <w:lang w:val="pt-BR"/>
        </w:rPr>
      </w:pPr>
      <w:r w:rsidRPr="00CA5C1B">
        <w:rPr>
          <w:lang w:val="pt-BR"/>
        </w:rPr>
        <w:t>Ndikimi social i drejtpërdrejtë është neutral, pasi projektligji rregullon një instrument financiar institucional dhe nuk ndryshon drejtpërdrejt të drejtat për përfitime sociale, punësim ose akses në shërbime publike. Ndikimi i tërthortë pritet të jetë pozitiv përmes mbrojtjes më të lartë të kursimeve të investuara, stabilitetit financiar dhe mundësisë për financim më të qëndrueshëm të kredive hipotekore dhe ekonomisë reale. Nuk identifikohet ndikim gjinor i drejtpërdrejtë ose trajtim i ndryshëm për gratë dhe burrat; çdo efekt në aksesin në financim varet nga politikat e kreditimit dhe jo nga ky projektligj. Ndikimi mjedisor është neutral në vetvete, sepse ligji nuk përcakton destinacionin e fondeve. Një efekt i tërthortë pozitiv mund të lindë vetëm nëse programet mbështeten në aktive që financojnë banesa me eficiencë energjetike ose projekte publike të qëndrueshme; çdo etiketim i gjelbër mbetet subjekt i legjislacionit dhe standardeve përkatëse.</w:t>
      </w:r>
    </w:p>
    <w:p w14:paraId="074BA0AF" w14:textId="77777777" w:rsidR="000C305C" w:rsidRPr="00B53887" w:rsidRDefault="00000000" w:rsidP="005F7001">
      <w:pPr>
        <w:jc w:val="both"/>
        <w:rPr>
          <w:lang w:val="pt-BR"/>
        </w:rPr>
      </w:pPr>
      <w:r w:rsidRPr="00B53887">
        <w:rPr>
          <w:lang w:val="pt-BR"/>
        </w:rPr>
        <w:t>Efekti social i tërthortë pozitiv lidhet me rritjen e qëndrueshmërisë së financimit, mbrojtjen e kursimeve të investuara dhe mundësinë e financimit afatgjatë. Fondet e pensionit, fondet e investimit dhe investitorë të tjerë institucionalë mund të kenë akses në instrument me informacion dhe mbrojtje më të standardizuar, duke përmirësuar menaxhimin e portofolit në interes të anëtarëve dhe investitorëve.</w:t>
      </w:r>
    </w:p>
    <w:p w14:paraId="7B6019C9" w14:textId="77777777" w:rsidR="000C305C" w:rsidRPr="00B53887" w:rsidRDefault="00000000" w:rsidP="005F7001">
      <w:pPr>
        <w:jc w:val="both"/>
        <w:rPr>
          <w:lang w:val="pt-BR"/>
        </w:rPr>
      </w:pPr>
      <w:r w:rsidRPr="00B53887">
        <w:rPr>
          <w:lang w:val="pt-BR"/>
        </w:rPr>
        <w:t>Projektligji nuk krijon dallime të drejtpërdrejta mbi bazë gjinie dhe nuk ndryshon kriteret e aksesit në produkte financiare. Ndikimi gjinor pritet të jetë neutral. Gjatë monitorimit mund të vlerësohet nëse informacioni për investitorët është i kuptueshëm dhe i aksesueshëm për kategori të ndryshme përdoruesish, pa vendosur detyrime që nuk lidhen me objektin e ligjit.</w:t>
      </w:r>
    </w:p>
    <w:p w14:paraId="30CA2769" w14:textId="77777777" w:rsidR="000C305C" w:rsidRPr="00B53887" w:rsidRDefault="00000000" w:rsidP="005F7001">
      <w:pPr>
        <w:jc w:val="both"/>
        <w:rPr>
          <w:lang w:val="pt-BR"/>
        </w:rPr>
      </w:pPr>
      <w:r w:rsidRPr="00B53887">
        <w:rPr>
          <w:lang w:val="pt-BR"/>
        </w:rPr>
        <w:t>Ndikimi në punësim është i kufizuar, por mund të ketë kërkesë shtesë për specialistë të riskut, juristë, ekspertë të të dhënave, auditues, vlerësues dhe monitorues. Ky efekt është pozitiv për zhvillimin e kapaciteteve profesionale, por mund të krijojë kosto tranzicioni dhe nevojë për trajnim.</w:t>
      </w:r>
    </w:p>
    <w:p w14:paraId="5656B67E" w14:textId="77777777" w:rsidR="000C305C" w:rsidRPr="00B53887" w:rsidRDefault="00000000" w:rsidP="005F7001">
      <w:pPr>
        <w:jc w:val="both"/>
        <w:rPr>
          <w:lang w:val="pt-BR"/>
        </w:rPr>
      </w:pPr>
      <w:r w:rsidRPr="00B53887">
        <w:rPr>
          <w:lang w:val="pt-BR"/>
        </w:rPr>
        <w:t>Ndikimi mjedisor i drejtpërdrejtë është neutral, sepse projektligji nuk përcakton qëllimin mjedisor të aktiveve. Digjitalizimi i raportimit mund të ulë përdorimin e dokumenteve fizike. Nëse në të ardhmen obligacionet lidhen me aktive ose standarde të gjelbra, kërkesat e projektligjit për mbulimin dhe transparencën do të zbatohen krahas legjislacionit dhe standardeve për financën e qëndrueshme.</w:t>
      </w:r>
    </w:p>
    <w:p w14:paraId="57A3E753" w14:textId="77777777" w:rsidR="000C305C" w:rsidRPr="00B53887" w:rsidRDefault="00000000" w:rsidP="005F7001">
      <w:pPr>
        <w:jc w:val="both"/>
        <w:rPr>
          <w:lang w:val="pt-BR"/>
        </w:rPr>
      </w:pPr>
      <w:r w:rsidRPr="00B53887">
        <w:rPr>
          <w:lang w:val="pt-BR"/>
        </w:rPr>
        <w:t>Nuk identifikohen ndikime të drejtpërdrejta mbi shëndetin, arsimin, mbrojtjen sociale, zonat rurale ose grupet vulnerabël. Çdo ndikim i tillë do të ishte i tërthortë, përmes financimit të ekonomisë, dhe nuk është monetizuar për shkak të pasigurisë së lartë të lidhjes shkakësore.</w:t>
      </w:r>
    </w:p>
    <w:p w14:paraId="45EE360A" w14:textId="77777777" w:rsidR="005A32F9" w:rsidRPr="006916B7" w:rsidRDefault="00000000">
      <w:pPr>
        <w:pStyle w:val="Heading2"/>
        <w:rPr>
          <w:lang w:val="pt-BR"/>
        </w:rPr>
      </w:pPr>
      <w:r w:rsidRPr="006916B7">
        <w:rPr>
          <w:rFonts w:ascii="Times New Roman" w:eastAsia="Times New Roman" w:hAnsi="Times New Roman"/>
          <w:lang w:val="pt-BR"/>
        </w:rPr>
        <w:t>Ndikimi mbi të dhënat dhe digjitalizimin</w:t>
      </w:r>
    </w:p>
    <w:p w14:paraId="5E9C0422" w14:textId="77777777" w:rsidR="005A32F9" w:rsidRPr="006916B7" w:rsidRDefault="00000000" w:rsidP="005F7001">
      <w:pPr>
        <w:jc w:val="both"/>
        <w:rPr>
          <w:lang w:val="pt-BR"/>
        </w:rPr>
      </w:pPr>
      <w:r w:rsidRPr="006916B7">
        <w:rPr>
          <w:lang w:val="pt-BR"/>
        </w:rPr>
        <w:t>Regjistri i grupit të mbulimit dhe raportimet përmbajnë të dhëna të detajuara mbi kreditë, kolateralin dhe flukset. Emetuesit dhe autoritetet duhet të zbatojnë parimin e minimizimit të të dhënave, kontrollin e aksesit, gjurmën e auditimit, ruajtjen e sigurt dhe ndarjen e informacionit vetëm për qëllime ligjore. Informacioni publik për investitorët duhet të jetë i mjaftueshëm për vlerësimin e rrezikut, pa publikuar të dhëna personale ose konfidenciale të huamarrësve. Arkitektura duhet të jetë e zgjerueshme për ESAP nga anëtarësimi në BE.</w:t>
      </w:r>
    </w:p>
    <w:p w14:paraId="225778C6" w14:textId="77777777" w:rsidR="000C305C" w:rsidRPr="00B53887" w:rsidRDefault="00000000" w:rsidP="005F7001">
      <w:pPr>
        <w:jc w:val="both"/>
        <w:rPr>
          <w:lang w:val="pt-BR"/>
        </w:rPr>
      </w:pPr>
      <w:r w:rsidRPr="00B53887">
        <w:rPr>
          <w:lang w:val="pt-BR"/>
        </w:rPr>
        <w:t>Projektimi i të dhënave duhet të përcaktojë fusha të detyrueshme, identifikues unikë, kontrolle cilësie, historik ndryshimesh dhe rregulla për pajtimin ndërmjet regjistrit, kontabilitetit dhe raportimeve prudenciale. Të dhënat e përdorura për mbikëqyrje duhet të jenë të mjaftueshme për verifikim pa kërkuar raportim paralel të panevojshëm.</w:t>
      </w:r>
    </w:p>
    <w:p w14:paraId="10C11767" w14:textId="77777777" w:rsidR="000C305C" w:rsidRPr="00B53887" w:rsidRDefault="00000000" w:rsidP="005F7001">
      <w:pPr>
        <w:jc w:val="both"/>
        <w:rPr>
          <w:lang w:val="pt-BR"/>
        </w:rPr>
      </w:pPr>
      <w:r w:rsidRPr="00B53887">
        <w:rPr>
          <w:lang w:val="pt-BR"/>
        </w:rPr>
        <w:t>Kur regjistri përmban të dhëna personale të huamarrësve ose garantuesve, publikimi për investitorët duhet të bëhet në nivel agregat ose të anonimizuar, përveç rasteve kur ligji kërkon ndryshe. Aksesi i plotë u jepet vetëm funksioneve që e kanë të nevojshëm, me masa teknike dhe organizative për konfidencialitetin, integritetin dhe disponueshmërinë.</w:t>
      </w:r>
    </w:p>
    <w:p w14:paraId="5AAB8B3B" w14:textId="77777777" w:rsidR="000C305C" w:rsidRPr="00B53887" w:rsidRDefault="00000000" w:rsidP="005F7001">
      <w:pPr>
        <w:jc w:val="both"/>
        <w:rPr>
          <w:lang w:val="pt-BR"/>
        </w:rPr>
      </w:pPr>
      <w:r w:rsidRPr="00B53887">
        <w:rPr>
          <w:lang w:val="pt-BR"/>
        </w:rPr>
        <w:t>Gatishmëria për ESAP kërkon që informacioni publik të prodhohet në format të lexueshëm nga sistemi, me metadata, identifikues dhe kontrolle të cilësisë. Përgatitja që në fazën kombëtare ul koston e përshtatjes në momentin e anëtarësimit dhe shmang rindërtimin e sistemeve.</w:t>
      </w:r>
    </w:p>
    <w:p w14:paraId="020934D9" w14:textId="77777777" w:rsidR="005A32F9" w:rsidRPr="006916B7" w:rsidRDefault="00000000">
      <w:pPr>
        <w:pStyle w:val="Heading2"/>
        <w:rPr>
          <w:lang w:val="pt-BR"/>
        </w:rPr>
      </w:pPr>
      <w:r w:rsidRPr="006916B7">
        <w:rPr>
          <w:rFonts w:ascii="Times New Roman" w:eastAsia="Times New Roman" w:hAnsi="Times New Roman"/>
          <w:lang w:val="pt-BR"/>
        </w:rPr>
        <w:lastRenderedPageBreak/>
        <w:t>Metodologjia e vlerësimit ekonomik</w:t>
      </w:r>
    </w:p>
    <w:p w14:paraId="363D1737" w14:textId="77777777" w:rsidR="005A32F9" w:rsidRPr="006916B7" w:rsidRDefault="00000000">
      <w:pPr>
        <w:keepNext/>
        <w:spacing w:before="40"/>
        <w:jc w:val="both"/>
        <w:rPr>
          <w:lang w:val="pt-BR"/>
        </w:rPr>
      </w:pPr>
      <w:r w:rsidRPr="006916B7">
        <w:rPr>
          <w:i/>
          <w:sz w:val="20"/>
          <w:lang w:val="pt-BR"/>
        </w:rPr>
        <w:t>Shpjegoni metodologjinë, horizontin kohor, normën e skontimit, burimet, supozimet, formulat dhe mënyrën e monetizimit të kostove dhe përfitimeve.</w:t>
      </w:r>
    </w:p>
    <w:p w14:paraId="60B05D2A" w14:textId="77777777" w:rsidR="005A32F9" w:rsidRPr="006916B7" w:rsidRDefault="00000000" w:rsidP="005F7001">
      <w:pPr>
        <w:jc w:val="both"/>
        <w:rPr>
          <w:lang w:val="pt-BR"/>
        </w:rPr>
      </w:pPr>
      <w:r w:rsidRPr="00CA5C1B">
        <w:rPr>
          <w:lang w:val="pt-BR"/>
        </w:rPr>
        <w:t>Analiza është inkrementale kundrejt status quo-së: përfshihen vetëm kostot dhe përfitimet shtesë që krijohen nga secili opsion, ndërsa kostot që emetuesit ose autoritetet do t’i kishin edhe pa projektligjin përjashtohen. Vlerësimi përdor horizont 10-vjeçar, sepse kostot e projektimit të kuadrit, sistemeve dhe procedurave janë kryesisht fillestare, ndërsa përfitimet nga financimi, transparenca, mbrojtja e investitorëve dhe stabiliteti materializohen gradualisht. Në model, “Viti 1” trajtohet si periudha bazë dhe përmbledh kostot fillestare të përgatitjes dhe përshtatjes deri në fillimin e zbatimit të plotë; flukset pasuese paraqesin vitet operacionale. Ky është një konvencion analitik dhe nuk nënkupton se emetimi mund të fillojë përpara datës 1 janar 2029.</w:t>
      </w:r>
    </w:p>
    <w:p w14:paraId="68F31056" w14:textId="77777777" w:rsidR="000C305C" w:rsidRPr="00B53887" w:rsidRDefault="00000000">
      <w:pPr>
        <w:pStyle w:val="Heading2"/>
        <w:rPr>
          <w:lang w:val="it-IT"/>
        </w:rPr>
      </w:pPr>
      <w:r w:rsidRPr="00B53887">
        <w:rPr>
          <w:lang w:val="it-IT"/>
        </w:rPr>
        <w:t>Njësia e analizës, skenari bazë dhe periudha e vlerësimit</w:t>
      </w:r>
    </w:p>
    <w:p w14:paraId="4FC6ABA7" w14:textId="77777777" w:rsidR="000C305C" w:rsidRPr="00B53887" w:rsidRDefault="00000000" w:rsidP="005F7001">
      <w:pPr>
        <w:jc w:val="both"/>
        <w:rPr>
          <w:lang w:val="it-IT"/>
        </w:rPr>
      </w:pPr>
      <w:r w:rsidRPr="00B53887">
        <w:rPr>
          <w:lang w:val="it-IT"/>
        </w:rPr>
        <w:t>Njësia e analizës është programi i obligacioneve të mbuluara dhe grupet që mbajnë kosto ose marrin përfitime nga krijimi dhe funksionimi i tij. Skenari bazë është kuadri aktual pa ligj të posaçëm. Të gjitha vlerat paraqesin diferencën ndërmjet opsionit dhe këtij skenari, duke përjashtuar shpenzimet që institucionet do t’i kryenin edhe në mungesë të projektligjit.</w:t>
      </w:r>
    </w:p>
    <w:p w14:paraId="13B3FB8A" w14:textId="77777777" w:rsidR="000C305C" w:rsidRPr="00B53887" w:rsidRDefault="00000000" w:rsidP="005F7001">
      <w:pPr>
        <w:jc w:val="both"/>
        <w:rPr>
          <w:lang w:val="it-IT"/>
        </w:rPr>
      </w:pPr>
      <w:r w:rsidRPr="00B53887">
        <w:rPr>
          <w:lang w:val="it-IT"/>
        </w:rPr>
        <w:t>Horizonti 10-vjeçar është zgjedhur sepse kostot e përgatitjes përqendrohen në fillim, ndërsa kostot dhe përfitimet e funksionimit shtrihen gjatë disa viteve. Një periudhë më e shkurtër do të mbivlerësonte peshën e kostove të njëhershme; një periudhë shumë më e gjatë do të rriste pasigurinë mbi numrin e programeve, kushtet e tregut dhe teknologjinë. Viti 1 përfaqëson fazën fillestare të zbatimit të modelit ekonomik.</w:t>
      </w:r>
    </w:p>
    <w:p w14:paraId="7AC596C0" w14:textId="77777777" w:rsidR="000C305C" w:rsidRPr="00B53887" w:rsidRDefault="00000000" w:rsidP="005F7001">
      <w:pPr>
        <w:jc w:val="both"/>
        <w:rPr>
          <w:lang w:val="it-IT"/>
        </w:rPr>
      </w:pPr>
      <w:r w:rsidRPr="00B53887">
        <w:rPr>
          <w:lang w:val="it-IT"/>
        </w:rPr>
        <w:t>Vlerat monetare shprehen në milionë lekë dhe përdoren si çmime konstante të periudhës së vlerësimit. Kjo do të thotë se modeli synon të krahasojë burimet reale dhe jo efektin e inflacionit. Tabela e ndikimit trevjeçar mbi buxhetin paraqitet veçmas në terma nominalë sipas formatit standard të RIA-s dhe rezulton zero për buxhetin e shtetit.</w:t>
      </w:r>
    </w:p>
    <w:p w14:paraId="093537BE" w14:textId="77777777" w:rsidR="005A32F9" w:rsidRPr="00B53887" w:rsidRDefault="00000000" w:rsidP="005F7001">
      <w:pPr>
        <w:jc w:val="both"/>
        <w:rPr>
          <w:lang w:val="it-IT"/>
        </w:rPr>
      </w:pPr>
      <w:r w:rsidRPr="00B53887">
        <w:rPr>
          <w:lang w:val="it-IT"/>
        </w:rPr>
        <w:t>Është përdorur normë skontimi 5% në vit. Faktori i skontimit për vitin t është DF(t)=1/(1+r)^(t−1), ku r=0.05 dhe viti 1 ka faktor 1.00. Vlera aktuale e një fluksi llogaritet PV(t)=Fluksi(t)×DF(t). Vlera aktuale totale është PV=</w:t>
      </w:r>
      <w:r>
        <w:t>Σ</w:t>
      </w:r>
      <w:r w:rsidRPr="00B53887">
        <w:rPr>
          <w:lang w:val="it-IT"/>
        </w:rPr>
        <w:t>PV(t), ndërsa Vlera Aktuale Neto është VAN=PV(Përfitime)−PV(Kosto). Vlerat paraqiten në milionë lekë dhe rrumbullakosen në dy shifra pas presjes.</w:t>
      </w:r>
    </w:p>
    <w:p w14:paraId="59A82E64" w14:textId="77777777" w:rsidR="000C305C" w:rsidRPr="00B53887" w:rsidRDefault="00000000">
      <w:pPr>
        <w:pStyle w:val="Heading2"/>
        <w:rPr>
          <w:lang w:val="it-IT"/>
        </w:rPr>
      </w:pPr>
      <w:r w:rsidRPr="00B53887">
        <w:rPr>
          <w:lang w:val="it-IT"/>
        </w:rPr>
        <w:t>Metoda e skontimit dhe interpretimi i vlerës aktuale</w:t>
      </w:r>
    </w:p>
    <w:p w14:paraId="24089F47" w14:textId="77777777" w:rsidR="000C305C" w:rsidRPr="00B53887" w:rsidRDefault="00000000" w:rsidP="005F7001">
      <w:pPr>
        <w:jc w:val="both"/>
        <w:rPr>
          <w:lang w:val="it-IT"/>
        </w:rPr>
      </w:pPr>
      <w:r w:rsidRPr="00B53887">
        <w:rPr>
          <w:lang w:val="it-IT"/>
        </w:rPr>
        <w:t>Skontimi shndërron kostot dhe përfitimet e viteve të ndryshme në vlerë të krahasueshme në momentin bazë. Një lek i disponueshëm më vonë ka vlerë më të ulët se një lek i disponueshëm sot për shkak të kostos së kapitalit, preferencës kohore dhe pasigurisë. Norma 5% përdoret në mënyrë të njëtrajtshme për kostot dhe përfitimet dhe është në përputhje me qasjen e përdorur në analizën e RIA-s së transparencës.</w:t>
      </w:r>
    </w:p>
    <w:p w14:paraId="79D31E50" w14:textId="77777777" w:rsidR="000C305C" w:rsidRPr="00B53887" w:rsidRDefault="00000000" w:rsidP="005F7001">
      <w:pPr>
        <w:jc w:val="both"/>
        <w:rPr>
          <w:lang w:val="it-IT"/>
        </w:rPr>
      </w:pPr>
      <w:r w:rsidRPr="00B53887">
        <w:rPr>
          <w:lang w:val="it-IT"/>
        </w:rPr>
        <w:t>Me formulën DF(t)=1/(1+0.05)^(t−1), faktori i vitit 1 është 1.0000, i vitit 2 është 0.9524 dhe zvogëlohet gradualisht deri në rreth 0.6446 në vitin 10. Vlera aktuale e çdo fluksi është prodhimi i vlerës vjetore me faktorin përkatës. Shuma e vlerave aktuale jep PV-në e kostove ose të përfitimeve, ndërsa VAN=PV(përfitime)−PV(kosto).</w:t>
      </w:r>
    </w:p>
    <w:p w14:paraId="333ED3C1" w14:textId="77777777" w:rsidR="000C305C" w:rsidRPr="00B53887" w:rsidRDefault="00000000" w:rsidP="005F7001">
      <w:pPr>
        <w:jc w:val="both"/>
        <w:rPr>
          <w:lang w:val="it-IT"/>
        </w:rPr>
      </w:pPr>
      <w:r w:rsidRPr="00B53887">
        <w:rPr>
          <w:lang w:val="it-IT"/>
        </w:rPr>
        <w:t>VAN pozitive tregon se përfitimet e monetizuara tejkalojnë kostot e monetizuara në horizontin e analizës; ajo nuk nënkupton se çdo subjekt individual përfiton në të njëjtën masë. Raporti përfitim/kosto në skenarin bazë është rreth 1.53, që do të thotë se për çdo 1 lek kosto të skontuar vlerësohen rreth 1.53 lekë përfitime të skontuara.</w:t>
      </w:r>
    </w:p>
    <w:p w14:paraId="0C4E7426" w14:textId="77777777" w:rsidR="005A32F9" w:rsidRPr="00B53887" w:rsidRDefault="00000000" w:rsidP="005F7001">
      <w:pPr>
        <w:jc w:val="both"/>
        <w:rPr>
          <w:lang w:val="it-IT"/>
        </w:rPr>
      </w:pPr>
      <w:r w:rsidRPr="00B53887">
        <w:rPr>
          <w:lang w:val="it-IT"/>
        </w:rPr>
        <w:t>Për kostot administrative përdoret qasja e Standard Cost Model: Kosto administrative = numri i subjekteve × koha e nevojshme × kostoja mesatare për orë × frekuenca, së cilës i shtohen shërbimet profesionale të jashtme, investimet dhe mirëmbajtja IT, vlerësimi i kolateralit, monitoruesi, auditimi dhe tarifat. Vlerësimi është ndërtuar nga poshtë-lart mbi aktivitetet konkrete që kërkon projektligji: përgatitja e programit dhe planit të biznesit, krijimi i regjistrit, integrimi i të dhënave, verifikimi i aktiveve, llogaritja e mbulimit dhe likuiditetit, raportimi, publikimi, testimi i qëndrueshmërisë dhe proceset mbikëqyrëse. Meqenëse nuk ka ende programe kombëtare të autorizuara dhe të dhëna historike, përdoret një skenar konservator me dy emetues në fazën fillestare dhe një program shtesë nga viti 4. Ky supozim shërben vetëm për përllogaritjen dhe krahasimin e opsioneve; nuk është target për numrin e emetuesve dhe nuk krijon pritshmëri ligjore ose detyrim tregu.</w:t>
      </w:r>
    </w:p>
    <w:p w14:paraId="38CA91E6" w14:textId="77777777" w:rsidR="000C305C" w:rsidRPr="00B53887" w:rsidRDefault="00000000">
      <w:pPr>
        <w:pStyle w:val="Heading2"/>
        <w:rPr>
          <w:lang w:val="it-IT"/>
        </w:rPr>
      </w:pPr>
      <w:r w:rsidRPr="00B53887">
        <w:rPr>
          <w:lang w:val="it-IT"/>
        </w:rPr>
        <w:t>Identifikimi dhe monetizimi i kostove</w:t>
      </w:r>
    </w:p>
    <w:p w14:paraId="4E4BF1F4" w14:textId="77777777" w:rsidR="000C305C" w:rsidRPr="00B53887" w:rsidRDefault="00000000" w:rsidP="005F7001">
      <w:pPr>
        <w:jc w:val="both"/>
        <w:rPr>
          <w:lang w:val="it-IT"/>
        </w:rPr>
      </w:pPr>
      <w:r w:rsidRPr="00B53887">
        <w:rPr>
          <w:lang w:val="it-IT"/>
        </w:rPr>
        <w:t>Standard Cost Model përdoret për detyrimet administrative të matshme, si përgatitja e aplikimit, raportimi, publikimi, verifikimi dhe mirëmbajtja e të dhënave. Për çdo aktivitet përcaktohen popullata e subjekteve, frekuenca, koha e stafit dhe kostoja mesatare për orë. Kësaj i shtohen kostot e jashtme për këshillim, auditim, vlerësim, monitorim dhe zhvillim IT.</w:t>
      </w:r>
    </w:p>
    <w:p w14:paraId="528E0FD5" w14:textId="77777777" w:rsidR="000C305C" w:rsidRPr="00B53887" w:rsidRDefault="00000000" w:rsidP="005F7001">
      <w:pPr>
        <w:jc w:val="both"/>
        <w:rPr>
          <w:lang w:val="it-IT"/>
        </w:rPr>
      </w:pPr>
      <w:r w:rsidRPr="00B53887">
        <w:rPr>
          <w:lang w:val="it-IT"/>
        </w:rPr>
        <w:t>Kostot e njëhershme të biznesit përfshijnë ndërtimin e programit, politikat, sistemet, regjistrin dhe shërbimet profesionale. Modeli bazë përfshin 20 milionë lekë në vitin 1 dhe 10 milionë lekë në vitin 4 për hyrjen e një programi shtesë në skenar. Kostot e vazhdueshme për biznesin rriten nga 6 milionë lekë në vitin 1 në 8 milionë lekë në vitet 2–3 dhe 10 milionë lekë nga viti 4, duke reflektuar funksionimin e programeve.</w:t>
      </w:r>
    </w:p>
    <w:p w14:paraId="2F023153" w14:textId="77777777" w:rsidR="000C305C" w:rsidRPr="00B53887" w:rsidRDefault="00000000" w:rsidP="005F7001">
      <w:pPr>
        <w:jc w:val="both"/>
        <w:rPr>
          <w:lang w:val="it-IT"/>
        </w:rPr>
      </w:pPr>
      <w:r w:rsidRPr="00B53887">
        <w:rPr>
          <w:lang w:val="it-IT"/>
        </w:rPr>
        <w:t>Kostot për autoritetet përfshijnë 8 milionë lekë të njëhershme për aktet, procedurat, trajnimet dhe përshtatjet fillestare, si dhe 3 milionë lekë në vit për autorizim, analizë, shkëmbim informacioni dhe mbikëqyrje. Këto vlera janë kosto ekonomike institucionale dhe nuk paraqiten si financim shtesë nga buxheti i shtetit.</w:t>
      </w:r>
    </w:p>
    <w:p w14:paraId="022B19EB" w14:textId="77777777" w:rsidR="000C305C" w:rsidRPr="00B53887" w:rsidRDefault="00000000" w:rsidP="005F7001">
      <w:pPr>
        <w:jc w:val="both"/>
        <w:rPr>
          <w:lang w:val="it-IT"/>
        </w:rPr>
      </w:pPr>
      <w:r w:rsidRPr="00B53887">
        <w:rPr>
          <w:lang w:val="it-IT"/>
        </w:rPr>
        <w:lastRenderedPageBreak/>
        <w:t>Kostoja ekonomike e mbajtjes së likuiditetit dhe mbikolateralizimit nuk është monetizuar veçmas në tabelë për të shmangur mbivlerësimin dhe për shkak të varësisë së saj nga madhësia dhe përbërja e programit. Ajo konsiderohet në analizën cilësore dhe në përfitimin neto të financimit, i cili reflekton kushtet e përgjithshme të programit.</w:t>
      </w:r>
    </w:p>
    <w:p w14:paraId="4A8DFAE7" w14:textId="77777777" w:rsidR="005A32F9" w:rsidRPr="00B53887" w:rsidRDefault="00000000" w:rsidP="005F7001">
      <w:pPr>
        <w:jc w:val="both"/>
        <w:rPr>
          <w:lang w:val="it-IT"/>
        </w:rPr>
      </w:pPr>
      <w:r w:rsidRPr="00B53887">
        <w:rPr>
          <w:lang w:val="it-IT"/>
        </w:rPr>
        <w:t>Kostot e modelit përfshijnë: në vitin 1, 20 milionë lekë kosto të njëhershme për dy emetues të mundshëm, të vlerësuara mesatarisht 10 milionë lekë për program, dhe 8 milionë lekë për përgatitjen institucionale; në vitin 4, 10 milionë lekë kosto të njëhershme për një program shtesë; kosto të vazhdueshme të emetuesve 6 milionë lekë në vitin 1, 8 milionë lekë në vitet 2–3 dhe 10 milionë lekë nga viti 4; si dhe 3 milionë lekë në vit për funksionet institucionale. Kostot e emetuesve mbulojnë dokumentacionin, procedurat e brendshme, regjistrin dhe integrimin IT, vlerësimin, monitoruesin, auditimin, raportimin, publikimin dhe testet; kostot institucionale mbulojnë aktet nënligjore, manualet, shqyrtimin e kërkesave, mbikëqyrjen, koordinimin dhe mirëmbajtjen e kufizuar të sistemeve. Këto janë kosto ekonomike të burimeve dhe nuk barazohen automatikisht me shpenzim nga buxheti i shtetit.</w:t>
      </w:r>
    </w:p>
    <w:p w14:paraId="43DF420B" w14:textId="77777777" w:rsidR="005A32F9" w:rsidRPr="00B53887" w:rsidRDefault="00000000" w:rsidP="005F7001">
      <w:pPr>
        <w:jc w:val="both"/>
        <w:rPr>
          <w:lang w:val="it-IT"/>
        </w:rPr>
      </w:pPr>
      <w:r w:rsidRPr="00B53887">
        <w:rPr>
          <w:lang w:val="it-IT"/>
        </w:rPr>
        <w:t>Përfitimet e monetizuara përfshijnë vetëm elemente që mund të shprehen në mënyrë konservatore: kursime të mundshme në financim dhe administrim për emetuesit, si dhe reduktim të kostove të informacionit, verifikimit dhe analizës për investitorët. Në vitet 2–3, përfitimi vjetor prej 20 milionë lekësh ndahet në 18 milionë lekë për biznesin dhe 2 milionë lekë për grupet e tjera; nga viti 4, përfitimi prej 32 milionë lekësh ndahet në 28 milionë lekë për biznesin dhe 4 milionë lekë për grupet e tjera. Nuk monetizohen ulja e rrezikut juridik, besimi i investitorëve, stabiliteti financiar, përafrimi me acquis, zgjerimi i bazës së investitorëve, zhvillimi i tregut sekondar dhe financimi i ekonomisë reale, sepse mungojnë të dhëna të mjaftueshme kombëtare për një vlerësim të besueshëm. Për rrjedhojë, VAN pasqyron vetëm një pjesë të përfitimeve të pritshme.</w:t>
      </w:r>
    </w:p>
    <w:p w14:paraId="66F56D78" w14:textId="77777777" w:rsidR="000C305C" w:rsidRPr="00B53887" w:rsidRDefault="00000000">
      <w:pPr>
        <w:pStyle w:val="Heading2"/>
        <w:rPr>
          <w:lang w:val="it-IT"/>
        </w:rPr>
      </w:pPr>
      <w:r w:rsidRPr="00B53887">
        <w:rPr>
          <w:lang w:val="it-IT"/>
        </w:rPr>
        <w:t>Identifikimi dhe monetizimi i përfitimeve</w:t>
      </w:r>
    </w:p>
    <w:p w14:paraId="70758DC0" w14:textId="77777777" w:rsidR="000C305C" w:rsidRPr="00B53887" w:rsidRDefault="00000000" w:rsidP="005F7001">
      <w:pPr>
        <w:jc w:val="both"/>
        <w:rPr>
          <w:lang w:val="it-IT"/>
        </w:rPr>
      </w:pPr>
      <w:r w:rsidRPr="00B53887">
        <w:rPr>
          <w:lang w:val="it-IT"/>
        </w:rPr>
        <w:t>Përfitimet për biznesin lidhen me kursimet e mundshme në financim, planifikimin e likuiditetit, uljen e kostove të negociimit dhe përdorimin e dokumentacionit të standardizuar. Modeli parashikon 18 milionë lekë në vit në vitet 2–3 dhe 28 milionë lekë nga viti 4, kur skenari supozon rritje të përdorimit të instrumentit. Viti 1 nuk përmban përfitim të monetizuar, sepse konsiderohet fazë përgatitore.</w:t>
      </w:r>
    </w:p>
    <w:p w14:paraId="68CBF3F0" w14:textId="77777777" w:rsidR="000C305C" w:rsidRPr="00B53887" w:rsidRDefault="00000000" w:rsidP="005F7001">
      <w:pPr>
        <w:jc w:val="both"/>
        <w:rPr>
          <w:lang w:val="it-IT"/>
        </w:rPr>
      </w:pPr>
      <w:r w:rsidRPr="00B53887">
        <w:rPr>
          <w:lang w:val="it-IT"/>
        </w:rPr>
        <w:t>Përfitimet për grupet e tjera përfshijnë uljen e kostove të kërkimit, verifikimit dhe analizës së informacionit për investitorët dhe ndërmjetësit, si dhe efikasitetin e të dhënave të standardizuara. Modeli parashikon 2 milionë lekë në vit në vitet 2–3 dhe 4 milionë lekë nga viti 4.</w:t>
      </w:r>
    </w:p>
    <w:p w14:paraId="735A1B52" w14:textId="77777777" w:rsidR="000C305C" w:rsidRPr="00B53887" w:rsidRDefault="00000000" w:rsidP="005F7001">
      <w:pPr>
        <w:jc w:val="both"/>
        <w:rPr>
          <w:lang w:val="it-IT"/>
        </w:rPr>
      </w:pPr>
      <w:r w:rsidRPr="00B53887">
        <w:rPr>
          <w:lang w:val="it-IT"/>
        </w:rPr>
        <w:t>Përfitimet nga stabiliteti financiar, siguria juridike, përafrimi me BE-në, besimi i investitorëve, zhvillimi i tregut dhe mundësia e financimit afatgjatë nuk janë monetizuar. Lidhja e tyre me një vlerë të vetme monetare do të kërkonte të dhëna historike kombëtare që nuk ekzistojnë dhe do të rrezikonte numërimin e dyfishtë me kursimet e financimit. Përfshirja e tyre vetëm në analizën cilësore e bën rezultatin monetar konservator.</w:t>
      </w:r>
    </w:p>
    <w:p w14:paraId="62D71086" w14:textId="77777777" w:rsidR="000C305C" w:rsidRPr="00B53887" w:rsidRDefault="00000000" w:rsidP="005F7001">
      <w:pPr>
        <w:jc w:val="both"/>
        <w:rPr>
          <w:lang w:val="it-IT"/>
        </w:rPr>
      </w:pPr>
      <w:r w:rsidRPr="00B53887">
        <w:rPr>
          <w:lang w:val="it-IT"/>
        </w:rPr>
        <w:t>Për të shmangur numërimin e dyfishtë, ulja e mundshme e kostos së financimit nuk llogaritet njëkohësisht si përfitim i bankës dhe si ulje e normës për huamarrësit. Përfitimi për ekonominë reale trajtohet cilësisht, sepse kalimi i kursimeve te klientët varet nga konkurrenca, rreziku i kredisë dhe kushtet makroekonomike.</w:t>
      </w:r>
    </w:p>
    <w:p w14:paraId="6FA1C8B5" w14:textId="77777777" w:rsidR="005A32F9" w:rsidRPr="00B53887" w:rsidRDefault="00000000" w:rsidP="005F7001">
      <w:pPr>
        <w:jc w:val="both"/>
        <w:rPr>
          <w:lang w:val="it-IT"/>
        </w:rPr>
      </w:pPr>
      <w:r w:rsidRPr="00B53887">
        <w:rPr>
          <w:lang w:val="it-IT"/>
        </w:rPr>
        <w:t>Shembull: në vitin 2 kostoja totale është 11 milionë lekë dhe faktori i skontimit 0.9524. Kostoja e skontuar është 11×0.9524=10.48 milionë lekë. Në vitin 4 përfitimi është 32 milionë lekë dhe faktori 0.8638; përfitimi i skontuar është 27.64 milionë lekë. Shuma e flukseve të skontuara jep PV e kostove 134.32 milionë lekë dhe PV e përfitimeve 205.14 milionë lekë; VAN rezulton 70.82 milionë lekë.</w:t>
      </w:r>
    </w:p>
    <w:p w14:paraId="2C9DB467" w14:textId="77777777" w:rsidR="000C305C" w:rsidRPr="00B53887" w:rsidRDefault="00000000">
      <w:pPr>
        <w:pStyle w:val="Heading2"/>
        <w:rPr>
          <w:lang w:val="it-IT"/>
        </w:rPr>
      </w:pPr>
      <w:r w:rsidRPr="00B53887">
        <w:rPr>
          <w:lang w:val="it-IT"/>
        </w:rPr>
        <w:t>Burimet, validimi dhe gjurmueshmëria e supozimeve</w:t>
      </w:r>
    </w:p>
    <w:p w14:paraId="391E9595" w14:textId="77777777" w:rsidR="000C305C" w:rsidRPr="00B53887" w:rsidRDefault="00000000" w:rsidP="005F7001">
      <w:pPr>
        <w:jc w:val="both"/>
        <w:rPr>
          <w:lang w:val="it-IT"/>
        </w:rPr>
      </w:pPr>
      <w:r w:rsidRPr="00B53887">
        <w:rPr>
          <w:lang w:val="it-IT"/>
        </w:rPr>
        <w:t>Burimet e analizës janë detyrimet e projektligjit, tabela e përputhshmërisë, përvoja e AMF-së dhe Bankës së Shqipërisë me autorizimin, raportimin dhe mbikëqyrjen, informacioni mbi kostot e sistemeve dhe shërbimeve profesionale, si dhe materialet e konsultimit teknik. Çdo supozim duhet të ketë gjurmë dokumentare në dosjen e RIA-s.</w:t>
      </w:r>
    </w:p>
    <w:p w14:paraId="655D3783" w14:textId="77777777" w:rsidR="000C305C" w:rsidRPr="00B53887" w:rsidRDefault="00000000" w:rsidP="005F7001">
      <w:pPr>
        <w:jc w:val="both"/>
        <w:rPr>
          <w:lang w:val="it-IT"/>
        </w:rPr>
      </w:pPr>
      <w:r w:rsidRPr="00B53887">
        <w:rPr>
          <w:lang w:val="it-IT"/>
        </w:rPr>
        <w:t>Gjatë konsultimit, institucionet e kreditit do të kërkohen të japin vlerësime për kohën e stafit, sistemet, monitoruesin, auditimin, vlerësimin e kolateralit dhe rezervën e likuiditetit. Autoritetet do të evidentojnë kohën dhe burimet e nevojshme për aktet, aplikimet, mbikëqyrjen dhe shkëmbimin e informacionit. Kur të dhënat e konsultimit ndryshojnë materialisht supozimet, tabela e kostove dhe përfitimeve duhet të përditësohet para miratimit.</w:t>
      </w:r>
    </w:p>
    <w:p w14:paraId="44279A3F" w14:textId="77777777" w:rsidR="000C305C" w:rsidRPr="00B53887" w:rsidRDefault="00000000" w:rsidP="005F7001">
      <w:pPr>
        <w:jc w:val="both"/>
        <w:rPr>
          <w:lang w:val="it-IT"/>
        </w:rPr>
      </w:pPr>
      <w:r w:rsidRPr="00B53887">
        <w:rPr>
          <w:lang w:val="it-IT"/>
        </w:rPr>
        <w:t>Pas fillimit të zbatimit, kostot reale mblidhen përmes anketave të emetuesve, të dhënave të tarifave, kohës së përpunimit dhe shpenzimeve të sistemeve. Këto të dhëna krahasohen me modelin 10-vjeçar në vlerësimin ex post, duke dokumentuar dallimet dhe shkaqet e tyre.</w:t>
      </w:r>
    </w:p>
    <w:p w14:paraId="3E552DD1" w14:textId="77777777" w:rsidR="005A32F9" w:rsidRPr="00B53887" w:rsidRDefault="00000000">
      <w:pPr>
        <w:pStyle w:val="Heading2"/>
        <w:rPr>
          <w:lang w:val="it-IT"/>
        </w:rPr>
      </w:pPr>
      <w:r w:rsidRPr="00B53887">
        <w:rPr>
          <w:rFonts w:ascii="Times New Roman" w:eastAsia="Times New Roman" w:hAnsi="Times New Roman"/>
          <w:lang w:val="it-IT"/>
        </w:rPr>
        <w:t>Analiza e ndjeshmërisë</w:t>
      </w:r>
    </w:p>
    <w:p w14:paraId="64CB76FA" w14:textId="77777777" w:rsidR="005A32F9" w:rsidRPr="00B53887" w:rsidRDefault="00000000" w:rsidP="005F7001">
      <w:pPr>
        <w:jc w:val="both"/>
        <w:rPr>
          <w:lang w:val="it-IT"/>
        </w:rPr>
      </w:pPr>
      <w:r w:rsidRPr="00B53887">
        <w:rPr>
          <w:lang w:val="it-IT"/>
        </w:rPr>
        <w:t>Për të testuar qëndrueshmërinë e rezultatit janë përdorur tre skenarë. Në skenarin bazë VAN është 70.82 milionë lekë. Në skenarin konservator, kostot rriten me 20% dhe përfitimet ulen me 20%; PV e kostove bëhet rreth 161.19 milionë lekë, PV e përfitimeve rreth 164.11 milionë lekë dhe VAN mbetet lehtësisht pozitive, rreth 2.92 milionë lekë. Në skenarin pozitiv, kostot ulen me 10% dhe përfitimet rriten me 15%; VAN rritet në rreth 115.01 milionë lekë. Kjo tregon se rezultati varet nga realizimi i përfitimeve të financimit, por opsioni mbetet i justifikueshëm edhe në kushte konservatore kur merren parasysh përfitimet e pamonetizuara të mbrojtjes së investitorëve dhe përafrimit.</w:t>
      </w:r>
    </w:p>
    <w:p w14:paraId="6CA03CAB" w14:textId="77777777" w:rsidR="000C305C" w:rsidRPr="00B53887" w:rsidRDefault="00000000" w:rsidP="005F7001">
      <w:pPr>
        <w:jc w:val="both"/>
        <w:rPr>
          <w:lang w:val="it-IT"/>
        </w:rPr>
      </w:pPr>
      <w:r w:rsidRPr="00B53887">
        <w:rPr>
          <w:lang w:val="it-IT"/>
        </w:rPr>
        <w:lastRenderedPageBreak/>
        <w:t>Skenari konservator jep VAN rreth 2.93 milionë lekë: PV e kostove rritet në rreth 161.18 milionë lekë dhe PV e përfitimeve ulet në rreth 164.11 milionë lekë. Skenari i favorshëm, me ulje 10% të kostove dhe rritje 10% të përfitimeve, jep VAN rreth 104.77 milionë lekë. Rezultati mbetet pozitiv në të dy skenarët.</w:t>
      </w:r>
    </w:p>
    <w:p w14:paraId="5A4462E2" w14:textId="77777777" w:rsidR="000C305C" w:rsidRPr="00B53887" w:rsidRDefault="00000000" w:rsidP="005F7001">
      <w:pPr>
        <w:jc w:val="both"/>
        <w:rPr>
          <w:lang w:val="it-IT"/>
        </w:rPr>
      </w:pPr>
      <w:r w:rsidRPr="00B53887">
        <w:rPr>
          <w:lang w:val="it-IT"/>
        </w:rPr>
        <w:t>Pragu i barazimit tregon se, me kostot bazë të pandryshuara, përfitimet e monetizuara mund të jenë rreth 34.5% më të ulëta para se VAN të bëhet zero. Në mënyrë alternative, me përfitimet bazë të pandryshuara, kostot mund të rriten rreth 52.7% para arritjes së pragut. Kjo nuk eliminon pasigurinë, por tregon që rezultati nuk varet nga një ndryshim i vogël i supozimeve.</w:t>
      </w:r>
    </w:p>
    <w:p w14:paraId="0C924E33" w14:textId="77777777" w:rsidR="000C305C" w:rsidRPr="00B53887" w:rsidRDefault="00000000" w:rsidP="005F7001">
      <w:pPr>
        <w:jc w:val="both"/>
        <w:rPr>
          <w:lang w:val="it-IT"/>
        </w:rPr>
      </w:pPr>
      <w:r w:rsidRPr="00B53887">
        <w:rPr>
          <w:lang w:val="it-IT"/>
        </w:rPr>
        <w:t>Analiza e ndjeshmërisë duhet të lexohet së bashku me kufizimet. Nëse nuk miratohet asnjë program për një periudhë të gjatë, përfitimet e tregut do të materializohen më ngadalë, ndërsa një pjesë e kostove institucionale do të jetë kryer. Nëse programet janë më të mëdha ose financimi përmirësohet më shumë, përfitimet mund të tejkalojnë skenarin bazë.</w:t>
      </w:r>
    </w:p>
    <w:p w14:paraId="63CEA2B0" w14:textId="77777777" w:rsidR="005A32F9" w:rsidRPr="00B53887" w:rsidRDefault="00000000">
      <w:pPr>
        <w:pStyle w:val="Heading2"/>
        <w:rPr>
          <w:lang w:val="it-IT"/>
        </w:rPr>
      </w:pPr>
      <w:r w:rsidRPr="00B53887">
        <w:rPr>
          <w:rFonts w:ascii="Times New Roman" w:eastAsia="Times New Roman" w:hAnsi="Times New Roman"/>
          <w:lang w:val="it-IT"/>
        </w:rPr>
        <w:t>Kufizimet dhe rreziqet e analizës</w:t>
      </w:r>
    </w:p>
    <w:p w14:paraId="09442191" w14:textId="77777777" w:rsidR="005A32F9" w:rsidRPr="00B53887" w:rsidRDefault="00000000" w:rsidP="00343527">
      <w:pPr>
        <w:jc w:val="both"/>
        <w:rPr>
          <w:lang w:val="it-IT"/>
        </w:rPr>
      </w:pPr>
      <w:r w:rsidRPr="00B53887">
        <w:rPr>
          <w:lang w:val="it-IT"/>
        </w:rPr>
        <w:t>Kufizimi kryesor është mungesa e të dhënave historike kombëtare për programe të obligacioneve të mbuluara. Numri i institucioneve të interesuara, madhësia dhe koha e emetimeve, spread-et, kostoja e sistemeve, çmimi i shërbimeve të monitoruesit dhe kërkesa e investitorëve do të varen nga kushtet e tregut. Për këtë arsye, vlerat monetare dhe supozimi për dy emetues fillestarë duhet të lexohen si skenar i standardizuar për krahasimin e opsioneve dhe jo si parashikim i garantuar ose objektiv detyrues. Vlerësimi ex post do të zëvendësojë supozimet me të dhëna faktike mbi kostot, emetimet, investitorët, spread-et dhe përmbushjen e kërkesave.</w:t>
      </w:r>
    </w:p>
    <w:p w14:paraId="15C8732C" w14:textId="77777777" w:rsidR="005A32F9" w:rsidRPr="00B53887" w:rsidRDefault="00000000" w:rsidP="00343527">
      <w:pPr>
        <w:jc w:val="both"/>
        <w:rPr>
          <w:lang w:val="it-IT"/>
        </w:rPr>
      </w:pPr>
      <w:r w:rsidRPr="00B53887">
        <w:rPr>
          <w:lang w:val="it-IT"/>
        </w:rPr>
        <w:t>Rreziqet kryesore të zbatimit janë: vonesa në aktet nënligjore; mbivendosje kompetencash; kapacitete të pamjaftueshme të emetuesve; cilësi e dobët e të dhënave; kosto më të larta IT; mungesë interesi nga investitorët; përqendrim i aktiveve; dhe vështirësi në transferim gjatë likuidimit. Masat zbutëse janë plani 12-mujor, marrëveshja AMF–Banka e Shqipërisë, formularët standardë, testimi pilot, udhëzimet, trajnimi, kontrollet automatike, mbikëqyrja e bazuar në rrezik dhe rishikimi ex post.</w:t>
      </w:r>
    </w:p>
    <w:p w14:paraId="45F71B00" w14:textId="77777777" w:rsidR="000C305C" w:rsidRPr="00B53887" w:rsidRDefault="00000000" w:rsidP="00343527">
      <w:pPr>
        <w:jc w:val="both"/>
        <w:rPr>
          <w:lang w:val="it-IT"/>
        </w:rPr>
      </w:pPr>
      <w:r w:rsidRPr="00B53887">
        <w:rPr>
          <w:lang w:val="it-IT"/>
        </w:rPr>
        <w:t>Pasiguria trajtohet përmes përdorimit të supozimeve konservatore, ndarjes së qartë ndërmjet vlerave të monetizuara dhe ndikimeve cilësore, analizës së ndjeshmërisë dhe detyrimit për përditësim. RIA nuk paraqet parashikim të garantuar të emetimeve ose të çmimeve, por vlerëson në mënyrë të strukturuar ndikimin e një kuadri që mundëson tregun.</w:t>
      </w:r>
    </w:p>
    <w:p w14:paraId="33D3BBCC" w14:textId="77777777" w:rsidR="000C305C" w:rsidRPr="00B53887" w:rsidRDefault="00000000" w:rsidP="00343527">
      <w:pPr>
        <w:jc w:val="both"/>
        <w:rPr>
          <w:lang w:val="it-IT"/>
        </w:rPr>
      </w:pPr>
      <w:r w:rsidRPr="00B53887">
        <w:rPr>
          <w:lang w:val="it-IT"/>
        </w:rPr>
        <w:t>Rreziku i përfitimeve të vonuara zbutet me fazimin e akteve, pilotimin dhe dialogun me tregun. Rreziku i kostove më të larta zbutet me përdorimin e sistemeve ekzistuese, standardizimin e formularëve dhe shmangien e raportimeve të dyfishta. Rreziku i cilësisë së dobët të të dhënave zbutet me kontrolle automatike, përgjegjësi të qarta dhe verifikim nga monitoruesi.</w:t>
      </w:r>
    </w:p>
    <w:p w14:paraId="5CD8510E" w14:textId="77777777" w:rsidR="000C305C" w:rsidRPr="00B53887" w:rsidRDefault="00000000" w:rsidP="00343527">
      <w:pPr>
        <w:jc w:val="both"/>
        <w:rPr>
          <w:lang w:val="it-IT"/>
        </w:rPr>
      </w:pPr>
      <w:r w:rsidRPr="00B53887">
        <w:rPr>
          <w:lang w:val="it-IT"/>
        </w:rPr>
        <w:t>Rreziku i kapacitetit profesional zbutet me kritere të përshtatshme për monitoruesit dhe vlerësuesit, periudhë përgatitore dhe trajnime. Rreziku i mbivendosjes institucionale zbutet me marrëveshjen e bashkëpunimit dhe procedura të dokumentuara për opinionin, shkëmbimin e informacionit, masat dhe rastet e krizës.</w:t>
      </w:r>
    </w:p>
    <w:p w14:paraId="71AA7F04" w14:textId="77777777" w:rsidR="005A32F9" w:rsidRPr="00B53887" w:rsidRDefault="00000000">
      <w:pPr>
        <w:pStyle w:val="Heading2"/>
        <w:rPr>
          <w:lang w:val="it-IT"/>
        </w:rPr>
      </w:pPr>
      <w:r w:rsidRPr="00B53887">
        <w:rPr>
          <w:rFonts w:ascii="Times New Roman" w:eastAsia="Times New Roman" w:hAnsi="Times New Roman"/>
          <w:lang w:val="it-IT"/>
        </w:rPr>
        <w:t>Përmbledhja krahasuese monetare e opsioneve</w:t>
      </w:r>
    </w:p>
    <w:p w14:paraId="34D7C31A" w14:textId="77777777" w:rsidR="005A32F9" w:rsidRPr="00B53887" w:rsidRDefault="00000000">
      <w:pPr>
        <w:jc w:val="both"/>
        <w:rPr>
          <w:lang w:val="it-IT"/>
        </w:rPr>
      </w:pPr>
      <w:r w:rsidRPr="00B53887">
        <w:rPr>
          <w:lang w:val="it-IT"/>
        </w:rPr>
        <w:t>Opsioni 0 nuk ka kosto të reja të monetizuara, por as përfitime dhe nuk arrin objektivat. Opsioni 1 ka PV kosto 12.30 milionë lekë dhe PV përfitime 7.50 milionë lekë, me VAN –4.80 milionë lekë, sepse masat jorregullatore nuk krijojnë instrument funksional. Opsioni 2 është vlerësuar me PV kosto 151.60 milionë lekë dhe PV përfitime 180.40 milionë lekë, me VAN 28.80 milionë lekë; kostot rriten për shkak të ndryshimeve dhe proceseve të shpërndara, ndërsa përfitimet reduktohen nga fragmentimi. Opsioni 3 ka PV kosto 134.32 milionë lekë dhe PV përfitime 205.14 milionë lekë, me VAN 70.82 milionë lekë dhe rezultatin më të lartë shumëkriterësh.</w:t>
      </w:r>
    </w:p>
    <w:p w14:paraId="54647FA8" w14:textId="77777777" w:rsidR="005A32F9" w:rsidRPr="00B53887" w:rsidRDefault="00000000">
      <w:pPr>
        <w:pStyle w:val="Heading1"/>
        <w:rPr>
          <w:lang w:val="it-IT"/>
        </w:rPr>
      </w:pPr>
      <w:r w:rsidRPr="00B53887">
        <w:rPr>
          <w:rFonts w:ascii="Times New Roman" w:eastAsia="Times New Roman" w:hAnsi="Times New Roman"/>
          <w:lang w:val="it-IT"/>
        </w:rPr>
        <w:t>Arsyetimi i opsionit të preferuar</w:t>
      </w:r>
    </w:p>
    <w:p w14:paraId="2E822740" w14:textId="77777777" w:rsidR="005A32F9" w:rsidRPr="00B53887" w:rsidRDefault="00000000">
      <w:pPr>
        <w:keepNext/>
        <w:spacing w:before="40"/>
        <w:jc w:val="both"/>
        <w:rPr>
          <w:lang w:val="it-IT"/>
        </w:rPr>
      </w:pPr>
      <w:r w:rsidRPr="00B53887">
        <w:rPr>
          <w:i/>
          <w:sz w:val="20"/>
          <w:lang w:val="it-IT"/>
        </w:rPr>
        <w:t>Zgjidhni opsionin e preferuar bazuar në analizë dhe shpjegoni arsyetimin.</w:t>
      </w:r>
    </w:p>
    <w:p w14:paraId="52288636" w14:textId="77777777" w:rsidR="005A32F9" w:rsidRPr="006916B7" w:rsidRDefault="00000000">
      <w:pPr>
        <w:jc w:val="both"/>
        <w:rPr>
          <w:lang w:val="it-IT"/>
        </w:rPr>
      </w:pPr>
      <w:r w:rsidRPr="006916B7">
        <w:rPr>
          <w:lang w:val="it-IT"/>
        </w:rPr>
        <w:t>Opsioni i preferuar është Opsioni 3 – miratimi i një ligji të ri të posaçëm. Ai është i vetmi opsion që adreson plotësisht shkakun e problemit dhe krijon të gjitha efektet e detyrueshme juridike. Ai transpozon në mënyrë sistematike Direktivën (BE) 2019/2162, ruan lidhjen me legjislacionin sektorial dhe ndan qartë miratimin e programit nga miratimi i prospektit.</w:t>
      </w:r>
    </w:p>
    <w:p w14:paraId="77B195CA" w14:textId="77777777" w:rsidR="005A32F9" w:rsidRPr="006916B7" w:rsidRDefault="00000000">
      <w:pPr>
        <w:jc w:val="both"/>
        <w:rPr>
          <w:lang w:val="it-IT"/>
        </w:rPr>
      </w:pPr>
      <w:r w:rsidRPr="006916B7">
        <w:rPr>
          <w:lang w:val="it-IT"/>
        </w:rPr>
        <w:t>Opsioni 3 siguron mbrojtje më të lartë të investitorëve dhe stabilitet më të madh, pasi lidh aktivet e pranueshme, regjistrin, mbulimin, likuiditetin, stress-testet, monitoruesin, transparencën dhe mbikëqyrjen në një mekanizëm të vetëm. Në rast likuidimi, ai garanton vazhdimësinë e pagesave, administratorin e posaçëm dhe mundësinë e transferimit të grupit me detyrimet përkatëse.</w:t>
      </w:r>
    </w:p>
    <w:p w14:paraId="72CC4DDB" w14:textId="77777777" w:rsidR="000C305C" w:rsidRPr="00B53887" w:rsidRDefault="00000000">
      <w:pPr>
        <w:pStyle w:val="Heading2"/>
        <w:rPr>
          <w:lang w:val="it-IT"/>
        </w:rPr>
      </w:pPr>
      <w:r w:rsidRPr="00B53887">
        <w:rPr>
          <w:lang w:val="it-IT"/>
        </w:rPr>
        <w:t>Risitë kryesore të opsionit të preferuar</w:t>
      </w:r>
    </w:p>
    <w:p w14:paraId="22D3C4EB" w14:textId="77777777" w:rsidR="000C305C" w:rsidRPr="00B53887" w:rsidRDefault="00000000">
      <w:pPr>
        <w:rPr>
          <w:lang w:val="it-IT"/>
        </w:rPr>
      </w:pPr>
      <w:r w:rsidRPr="00B53887">
        <w:rPr>
          <w:lang w:val="it-IT"/>
        </w:rPr>
        <w:t>Projektligji krijon për herë të parë në një akt të vetëm mbrojtjen e dyfishtë dhe rendin e pretendimeve, ndarjen e grupit të mbulimit nga masa e likuidimit, vazhdimësinë e pagesave dhe ndalimin e përshpejtimit automatik vetëm për shkak të paaftësisë paguese ose ndërhyrjes së jashtëzakonshme.</w:t>
      </w:r>
    </w:p>
    <w:p w14:paraId="313636AD" w14:textId="77777777" w:rsidR="000C305C" w:rsidRPr="00B53887" w:rsidRDefault="00000000">
      <w:pPr>
        <w:rPr>
          <w:lang w:val="it-IT"/>
        </w:rPr>
      </w:pPr>
      <w:r w:rsidRPr="00B53887">
        <w:rPr>
          <w:lang w:val="it-IT"/>
        </w:rPr>
        <w:t>Ai vendos rregulla për aktivet e pranueshme, vlerësimin e kolateralit, përbërjen e grupit, derivativët, regjistrin, mbulimin, mbikolateralizimin, rezervën 180-ditore të likuiditetit dhe testimin e qëndrueshmërisë. Këto kërkesa e lidhin mbrojtjen juridike me cilësinë financiare dhe operacionale të programit.</w:t>
      </w:r>
    </w:p>
    <w:p w14:paraId="07DC5362" w14:textId="77777777" w:rsidR="000C305C" w:rsidRPr="00B53887" w:rsidRDefault="00000000">
      <w:pPr>
        <w:rPr>
          <w:lang w:val="it-IT"/>
        </w:rPr>
      </w:pPr>
      <w:r w:rsidRPr="00B53887">
        <w:rPr>
          <w:lang w:val="it-IT"/>
        </w:rPr>
        <w:lastRenderedPageBreak/>
        <w:t>Projektligji krijon monitoruesin e pavarur, procedurën e miratimit pas opinionit paraprak të Bankës së Shqipërisë, mbikëqyrjen publike nga AMF-ja, transparencën tremujore, raportimin gjashtëmujor, masat korrigjuese, sanksionet dhe administratorin e posaçëm. Ai përcakton gjithashtu bazën për përdorimin e emërtimeve evropiane dhe gatishmërinë për ESAP.</w:t>
      </w:r>
    </w:p>
    <w:p w14:paraId="2A77837C" w14:textId="77777777" w:rsidR="000C305C" w:rsidRPr="00B53887" w:rsidRDefault="00000000">
      <w:pPr>
        <w:rPr>
          <w:lang w:val="it-IT"/>
        </w:rPr>
      </w:pPr>
      <w:r w:rsidRPr="00B53887">
        <w:rPr>
          <w:lang w:val="it-IT"/>
        </w:rPr>
        <w:t>Këto risi nuk mund të arrihen në të njëjtin nivel me ndryshime të pjesshme ose masa vullnetare. Ligji i posaçëm siguron koherencë, gjurmueshmëri të përgjegjësive dhe mundësi për vlerësim ex post, ndërsa aktet nënligjore lejojnë përditësimin e detajeve teknike.</w:t>
      </w:r>
    </w:p>
    <w:p w14:paraId="45FBFE51" w14:textId="77777777" w:rsidR="005A32F9" w:rsidRPr="006916B7" w:rsidRDefault="00000000">
      <w:pPr>
        <w:jc w:val="both"/>
        <w:rPr>
          <w:lang w:val="it-IT"/>
        </w:rPr>
      </w:pPr>
      <w:r w:rsidRPr="006916B7">
        <w:rPr>
          <w:lang w:val="it-IT"/>
        </w:rPr>
        <w:t>Nga pikëpamja ekonomike, Opsioni 3 ka VAN më të lartë se alternativat dhe mbetet i qëndrueshëm në skenarin konservator. Nga pikëpamja shumëkriterëshe, ai merr 4.60/5 dhe kryeson në kriteret me peshë më të madhe. Kostot janë proporcionale sepse emetimi është zgjedhje e institucionit të kreditit, ndërsa detyrimet e rrepta zbatohen vetëm pasi programi është miratuar.</w:t>
      </w:r>
    </w:p>
    <w:p w14:paraId="6F585432" w14:textId="77777777" w:rsidR="005A32F9" w:rsidRPr="006916B7" w:rsidRDefault="00000000">
      <w:pPr>
        <w:jc w:val="both"/>
        <w:rPr>
          <w:lang w:val="it-IT"/>
        </w:rPr>
      </w:pPr>
      <w:r w:rsidRPr="006916B7">
        <w:rPr>
          <w:lang w:val="it-IT"/>
        </w:rPr>
        <w:t>Opsioni 0 refuzohet sepse ruan boshllëkun. Opsioni 1 refuzohet sepse nuk krijon efekte juridike. Opsioni 2 nuk preferohet sepse fragmenton regjimin dhe rrit kostot e koordinimit. Për rrjedhojë, Opsioni 3 ofron raportin më të mirë ndërmjet efektivitetit, sigurisë juridike, zbatueshmërisë dhe kostos.</w:t>
      </w:r>
    </w:p>
    <w:p w14:paraId="2AA2FC26" w14:textId="77777777" w:rsidR="005A32F9" w:rsidRPr="006916B7" w:rsidRDefault="00000000">
      <w:pPr>
        <w:pStyle w:val="Heading1"/>
        <w:rPr>
          <w:lang w:val="it-IT"/>
        </w:rPr>
      </w:pPr>
      <w:r w:rsidRPr="006916B7">
        <w:rPr>
          <w:rFonts w:ascii="Times New Roman" w:eastAsia="Times New Roman" w:hAnsi="Times New Roman"/>
          <w:lang w:val="it-IT"/>
        </w:rPr>
        <w:t>Çështje të zbatimit</w:t>
      </w:r>
    </w:p>
    <w:p w14:paraId="49B00C8E" w14:textId="77777777" w:rsidR="005A32F9" w:rsidRPr="006916B7" w:rsidRDefault="00000000">
      <w:pPr>
        <w:keepNext/>
        <w:spacing w:before="40"/>
        <w:jc w:val="both"/>
        <w:rPr>
          <w:lang w:val="it-IT"/>
        </w:rPr>
      </w:pPr>
      <w:r w:rsidRPr="006916B7">
        <w:rPr>
          <w:i/>
          <w:sz w:val="20"/>
          <w:lang w:val="it-IT"/>
        </w:rPr>
        <w:t>Përcaktoni strukturat përgjegjëse, pengesat, masat e zbatimit, aktet nënligjore, afatet dhe burimet.</w:t>
      </w:r>
    </w:p>
    <w:p w14:paraId="01DE79C2" w14:textId="77777777" w:rsidR="005A32F9" w:rsidRPr="006916B7" w:rsidRDefault="00000000">
      <w:pPr>
        <w:pStyle w:val="Heading2"/>
        <w:rPr>
          <w:lang w:val="it-IT"/>
        </w:rPr>
      </w:pPr>
      <w:r w:rsidRPr="006916B7">
        <w:rPr>
          <w:rFonts w:ascii="Times New Roman" w:eastAsia="Times New Roman" w:hAnsi="Times New Roman"/>
          <w:lang w:val="it-IT"/>
        </w:rPr>
        <w:t>Strukturat përgjegjëse</w:t>
      </w:r>
    </w:p>
    <w:p w14:paraId="4EF1B69B" w14:textId="77777777" w:rsidR="005A32F9" w:rsidRPr="006916B7" w:rsidRDefault="001E6B13" w:rsidP="00343527">
      <w:pPr>
        <w:jc w:val="both"/>
        <w:rPr>
          <w:lang w:val="it-IT"/>
        </w:rPr>
      </w:pPr>
      <w:r w:rsidRPr="001E6B13">
        <w:rPr>
          <w:lang w:val="it-IT"/>
        </w:rPr>
        <w:t>Ministria e Financave koordinon procesin dhe propozon projektligjin për shqyrtim dhe miratim.</w:t>
      </w:r>
      <w:r w:rsidRPr="006916B7">
        <w:rPr>
          <w:lang w:val="it-IT"/>
        </w:rPr>
        <w:t xml:space="preserve"> AMF miraton programet, ushtron mbikëqyrjen publike, mbikëqyr emetuesin, monitoruesin dhe administratorin e posaçëm, merr masa dhe vendos sanksione. Banka e Shqipërisë jep opinion paraprak, vlerëson rreziqet prudenciale, miraton kërkesat për menaxhimin e rreziqeve dhe stress-testet dhe bashkëpunon në ndërhyrjen e jashtëzakonshme dhe likuidim. Emetuesit mbajnë përgjegjësi për programin, regjistrin, aktivet, mbulimin, likuiditetin, raportimin dhe transparencën.</w:t>
      </w:r>
    </w:p>
    <w:p w14:paraId="29F73BD1" w14:textId="77777777" w:rsidR="000C305C" w:rsidRPr="00B53887" w:rsidRDefault="00000000" w:rsidP="00343527">
      <w:pPr>
        <w:jc w:val="both"/>
        <w:rPr>
          <w:lang w:val="it-IT"/>
        </w:rPr>
      </w:pPr>
      <w:r w:rsidRPr="00B53887">
        <w:rPr>
          <w:lang w:val="it-IT"/>
        </w:rPr>
        <w:t>Ministria e Financave ndjek ecurinë e procesit normativ dhe koordinon çështjet që kërkojnë qëndrim ndërinstitucional. AMF-ja dhe Banka e Shqipërisë krijojnë grup të përbashkët zbatimi me plan pune, produkte, afate dhe përgjegjës të emërtuar. Çështjet që ndikojnë ndërhyrjen e jashtëzakonshme, likuidimin dhe sigurimin e depozitave trajtohen me përfshirjen e strukturave përkatëse.</w:t>
      </w:r>
    </w:p>
    <w:p w14:paraId="0CBE93CD" w14:textId="77777777" w:rsidR="000C305C" w:rsidRPr="00B53887" w:rsidRDefault="00000000" w:rsidP="00343527">
      <w:pPr>
        <w:jc w:val="both"/>
        <w:rPr>
          <w:lang w:val="it-IT"/>
        </w:rPr>
      </w:pPr>
      <w:r w:rsidRPr="00B53887">
        <w:rPr>
          <w:lang w:val="it-IT"/>
        </w:rPr>
        <w:t>Në AMF, zbatimi kërkon bashkëpunim ndërmjet funksioneve të autorizimit, mbikëqyrjes së tregut, mbikëqyrjes së fondeve, juridikut, teknologjisë së informacionit dhe zbatimit. Në Bankën e Shqipërisë kërkohet koordinim ndërmjet mbikëqyrjes bankare, stabilitetit financiar, ndërhyrjes së jashtëzakonshme, juridikut dhe funksioneve të raportimit.</w:t>
      </w:r>
    </w:p>
    <w:p w14:paraId="0638CEE8" w14:textId="77777777" w:rsidR="000C305C" w:rsidRPr="00B53887" w:rsidRDefault="00000000" w:rsidP="00343527">
      <w:pPr>
        <w:jc w:val="both"/>
        <w:rPr>
          <w:lang w:val="it-IT"/>
        </w:rPr>
      </w:pPr>
      <w:r w:rsidRPr="00B53887">
        <w:rPr>
          <w:lang w:val="it-IT"/>
        </w:rPr>
        <w:t>Burimet njerëzore dhe teknike vlerësohen gjatë hartimit të akteve. Në fazën fillestare prioritet kanë ekspertiza juridike, prudenciale, e riskut, e të dhënave dhe e likuidimit. Në fazën e vazhdueshme, ngarkesa duhet të përfshihet në planifikimin vjetor dhe të rishikohet në bazë të numrit dhe kompleksitetit të programeve.</w:t>
      </w:r>
    </w:p>
    <w:p w14:paraId="4C664CEF" w14:textId="77777777" w:rsidR="005A32F9" w:rsidRDefault="00000000">
      <w:pPr>
        <w:pStyle w:val="Heading2"/>
      </w:pPr>
      <w:proofErr w:type="spellStart"/>
      <w:r>
        <w:rPr>
          <w:rFonts w:ascii="Times New Roman" w:eastAsia="Times New Roman" w:hAnsi="Times New Roman"/>
        </w:rPr>
        <w:t>Pengesat</w:t>
      </w:r>
      <w:proofErr w:type="spellEnd"/>
      <w:r>
        <w:rPr>
          <w:rFonts w:ascii="Times New Roman" w:eastAsia="Times New Roman" w:hAnsi="Times New Roman"/>
        </w:rPr>
        <w:t xml:space="preserve"> </w:t>
      </w:r>
      <w:proofErr w:type="spellStart"/>
      <w:r>
        <w:rPr>
          <w:rFonts w:ascii="Times New Roman" w:eastAsia="Times New Roman" w:hAnsi="Times New Roman"/>
        </w:rPr>
        <w:t>dhe</w:t>
      </w:r>
      <w:proofErr w:type="spellEnd"/>
      <w:r>
        <w:rPr>
          <w:rFonts w:ascii="Times New Roman" w:eastAsia="Times New Roman" w:hAnsi="Times New Roman"/>
        </w:rPr>
        <w:t xml:space="preserve"> </w:t>
      </w:r>
      <w:proofErr w:type="spellStart"/>
      <w:r>
        <w:rPr>
          <w:rFonts w:ascii="Times New Roman" w:eastAsia="Times New Roman" w:hAnsi="Times New Roman"/>
        </w:rPr>
        <w:t>masat</w:t>
      </w:r>
      <w:proofErr w:type="spellEnd"/>
      <w:r>
        <w:rPr>
          <w:rFonts w:ascii="Times New Roman" w:eastAsia="Times New Roman" w:hAnsi="Times New Roman"/>
        </w:rPr>
        <w:t xml:space="preserve"> e zbatimit</w:t>
      </w:r>
    </w:p>
    <w:p w14:paraId="0BA23E93" w14:textId="77777777" w:rsidR="005A32F9" w:rsidRDefault="00000000">
      <w:pPr>
        <w:pStyle w:val="ListBullet"/>
        <w:spacing w:after="40"/>
        <w:ind w:left="312" w:hanging="142"/>
      </w:pPr>
      <w:r>
        <w:t>Vonesa në aktet nënligjore – trajtohet me plan pune të përbashkët, përgjegjësi të përcaktuara dhe konsultim të hershëm teknik.</w:t>
      </w:r>
    </w:p>
    <w:p w14:paraId="6A474765" w14:textId="77777777" w:rsidR="005A32F9" w:rsidRDefault="00000000">
      <w:pPr>
        <w:pStyle w:val="ListBullet"/>
        <w:spacing w:after="40"/>
        <w:ind w:left="312" w:hanging="142"/>
      </w:pPr>
      <w:r>
        <w:t>Mbivendosje AMF–Banka e Shqipërisë – trajtohet me marrëveshje bashkëpunimi, afate për opinionin dhe protokoll të shkëmbimit të informacionit.</w:t>
      </w:r>
    </w:p>
    <w:p w14:paraId="4B8ADE29" w14:textId="77777777" w:rsidR="005A32F9" w:rsidRDefault="00000000">
      <w:pPr>
        <w:pStyle w:val="ListBullet"/>
        <w:spacing w:after="40"/>
        <w:ind w:left="312" w:hanging="142"/>
      </w:pPr>
      <w:r>
        <w:t>Kapacitete të kufizuara te emetuesit – trajtohet me udhëzime, checklists, modele raportimi, trajnime dhe periudhë testimi.</w:t>
      </w:r>
    </w:p>
    <w:p w14:paraId="29799706" w14:textId="77777777" w:rsidR="005A32F9" w:rsidRDefault="00000000">
      <w:pPr>
        <w:pStyle w:val="ListBullet"/>
        <w:spacing w:after="40"/>
        <w:ind w:left="312" w:hanging="142"/>
      </w:pPr>
      <w:r>
        <w:t>Cilësi ose integrim i pamjaftueshëm i të dhënave – trajtohet me standarde të regjistrit, validime automatike dhe gjurmë auditi.</w:t>
      </w:r>
    </w:p>
    <w:p w14:paraId="38A389A3" w14:textId="77777777" w:rsidR="005A32F9" w:rsidRDefault="00000000">
      <w:pPr>
        <w:pStyle w:val="ListBullet"/>
        <w:spacing w:after="40"/>
        <w:ind w:left="312" w:hanging="142"/>
      </w:pPr>
      <w:r>
        <w:t>Kosto e lartë e pajtueshmërisë – trajtohet me proporcionalitet, përdorim të sistemeve ekzistuese, tarifa të arsyeshme dhe fazim.</w:t>
      </w:r>
    </w:p>
    <w:p w14:paraId="74E3FE7D" w14:textId="77777777" w:rsidR="005A32F9" w:rsidRDefault="00000000">
      <w:pPr>
        <w:pStyle w:val="ListBullet"/>
        <w:spacing w:after="40"/>
        <w:ind w:left="312" w:hanging="142"/>
      </w:pPr>
      <w:r>
        <w:t>Mungesë likuiditeti të tregut – trajtohet me transparencë, standardizim, dialog me investitorët institucionalë dhe koordinim me infrastrukturën e tregut.</w:t>
      </w:r>
    </w:p>
    <w:p w14:paraId="69A6FE2A" w14:textId="77777777" w:rsidR="005A32F9" w:rsidRDefault="00000000">
      <w:pPr>
        <w:pStyle w:val="Heading2"/>
      </w:pPr>
      <w:r>
        <w:rPr>
          <w:rFonts w:ascii="Times New Roman" w:eastAsia="Times New Roman" w:hAnsi="Times New Roman"/>
        </w:rPr>
        <w:t>Plani i zbatimit</w:t>
      </w:r>
    </w:p>
    <w:p w14:paraId="46717BBB" w14:textId="77777777" w:rsidR="005A32F9" w:rsidRDefault="00000000">
      <w:pPr>
        <w:pStyle w:val="ListBullet"/>
        <w:spacing w:after="40"/>
        <w:ind w:left="312" w:hanging="142"/>
      </w:pPr>
      <w:r>
        <w:t>0–3 muaj nga hyrja në fuqi: krijimi i grupit teknik, inventari i akteve nënligjore, përcaktimi i të dhënave dhe projekt-marrëveshja e bashkëpunimit.</w:t>
      </w:r>
    </w:p>
    <w:p w14:paraId="0AA4930C" w14:textId="77777777" w:rsidR="005A32F9" w:rsidRDefault="00000000">
      <w:pPr>
        <w:pStyle w:val="ListBullet"/>
        <w:spacing w:after="40"/>
        <w:ind w:left="312" w:hanging="142"/>
      </w:pPr>
      <w:r>
        <w:t>4–8 muaj: hartimi dhe konsultimi i rregulloreve, formularëve, manualeve mbikëqyrëse dhe specifikimeve të regjistrit/raportimit.</w:t>
      </w:r>
    </w:p>
    <w:p w14:paraId="66A9EC3A" w14:textId="77777777" w:rsidR="005A32F9" w:rsidRDefault="00000000">
      <w:pPr>
        <w:pStyle w:val="ListBullet"/>
        <w:spacing w:after="40"/>
        <w:ind w:left="312" w:hanging="142"/>
      </w:pPr>
      <w:r>
        <w:t>9–12 muaj: miratimi i akteve nënligjore, trajnimi i stafit, publikimi i udhëzimeve dhe testimi pilot me institucionet e kreditit.</w:t>
      </w:r>
    </w:p>
    <w:p w14:paraId="1FD8681B" w14:textId="77777777" w:rsidR="005A32F9" w:rsidRDefault="00000000">
      <w:pPr>
        <w:pStyle w:val="ListBullet"/>
        <w:spacing w:after="40"/>
        <w:ind w:left="312" w:hanging="142"/>
      </w:pPr>
      <w:r>
        <w:t>Gjatë vitit 2028: testim i plotë i proceseve, vlerësim i gatishmërisë së emetuesve dhe autoriteteve, korrigjim i mangësive dhe komunikim me investitorët.</w:t>
      </w:r>
    </w:p>
    <w:p w14:paraId="4C1E9106" w14:textId="77777777" w:rsidR="005A32F9" w:rsidRDefault="00000000">
      <w:pPr>
        <w:pStyle w:val="ListBullet"/>
        <w:spacing w:after="40"/>
        <w:ind w:left="312" w:hanging="142"/>
      </w:pPr>
      <w:r>
        <w:t>Nga 1 janari 2029: fillimi i zbatimit të plotë, pranimi i kërkesave, mbikëqyrja dhe publikimi i listave.</w:t>
      </w:r>
    </w:p>
    <w:p w14:paraId="4BAE7C61" w14:textId="77777777" w:rsidR="000C305C" w:rsidRPr="00B53887" w:rsidRDefault="00000000">
      <w:pPr>
        <w:pStyle w:val="Heading2"/>
        <w:rPr>
          <w:lang w:val="de-DE"/>
        </w:rPr>
      </w:pPr>
      <w:r w:rsidRPr="00B53887">
        <w:rPr>
          <w:lang w:val="de-DE"/>
        </w:rPr>
        <w:lastRenderedPageBreak/>
        <w:t>Produktet e zbatimit dhe kriteret e përfundimit</w:t>
      </w:r>
    </w:p>
    <w:p w14:paraId="7FE66FF9" w14:textId="77777777" w:rsidR="000C305C" w:rsidRPr="00B53887" w:rsidRDefault="00000000" w:rsidP="00343527">
      <w:pPr>
        <w:jc w:val="both"/>
        <w:rPr>
          <w:lang w:val="de-DE"/>
        </w:rPr>
      </w:pPr>
      <w:r w:rsidRPr="00B53887">
        <w:rPr>
          <w:lang w:val="de-DE"/>
        </w:rPr>
        <w:t>Çdo fazë konsiderohet e përfunduar vetëm kur produktet janë miratuar dhe testuar. Për fazën 0–3 muaj, produktet janë inventari i delegimeve, matrica e përgjegjësive, lista e të dhënave dhe plani i konsultimit. Për fazën 4–8 muaj, produktet janë projektaktet, formularët, manualet dhe specifikimet teknike.</w:t>
      </w:r>
    </w:p>
    <w:p w14:paraId="4662A263" w14:textId="77777777" w:rsidR="000C305C" w:rsidRPr="00B53887" w:rsidRDefault="00000000" w:rsidP="00343527">
      <w:pPr>
        <w:jc w:val="both"/>
        <w:rPr>
          <w:lang w:val="de-DE"/>
        </w:rPr>
      </w:pPr>
      <w:r w:rsidRPr="00B53887">
        <w:rPr>
          <w:lang w:val="de-DE"/>
        </w:rPr>
        <w:t>Për fazën 9–12 muaj, kriteri është miratimi i të gjitha akteve, publikimi i udhëzimeve, trajnimi i stafit dhe disponueshmëria e mjedisit të testimit. Pilotimi i vitit 2028 duhet të përfshijë të paktën një cikël të plotë të aplikimit, opinionit, regjistrit, raportimit, publikimit dhe testimit të qëndrueshmërisë, pa krijuar të drejtë automatike për miratim.</w:t>
      </w:r>
    </w:p>
    <w:p w14:paraId="50FC7E6A" w14:textId="77777777" w:rsidR="000C305C" w:rsidRPr="00B53887" w:rsidRDefault="00000000" w:rsidP="00343527">
      <w:pPr>
        <w:jc w:val="both"/>
        <w:rPr>
          <w:lang w:val="de-DE"/>
        </w:rPr>
      </w:pPr>
      <w:r w:rsidRPr="00B53887">
        <w:rPr>
          <w:lang w:val="de-DE"/>
        </w:rPr>
        <w:t>Para 1 janarit 2029, AMF-ja dhe Banka e Shqipërisë përgatisin raport të përbashkët gatishmërie, i cili evidenton aktet e miratuara, sistemet, stafin, rezultatet e pilotimit, mangësitë e hapura dhe masat. Çdo mangësi kritike që cenon autorizimin, mbikëqyrjen, mbulimin ose shkëmbimin e informacionit duhet të trajtohet para fillimit të zbatimit të plotë.</w:t>
      </w:r>
    </w:p>
    <w:p w14:paraId="018A892B" w14:textId="77777777" w:rsidR="005A32F9" w:rsidRPr="00B53887" w:rsidRDefault="00000000">
      <w:pPr>
        <w:pStyle w:val="Heading2"/>
        <w:rPr>
          <w:lang w:val="de-DE"/>
        </w:rPr>
      </w:pPr>
      <w:r w:rsidRPr="00B53887">
        <w:rPr>
          <w:rFonts w:ascii="Times New Roman" w:eastAsia="Times New Roman" w:hAnsi="Times New Roman"/>
          <w:lang w:val="de-DE"/>
        </w:rPr>
        <w:t>Aktet nënligjore dhe udhëzimet</w:t>
      </w:r>
    </w:p>
    <w:p w14:paraId="3ABCF63C" w14:textId="77777777" w:rsidR="005A32F9" w:rsidRPr="00B53887" w:rsidRDefault="00000000">
      <w:pPr>
        <w:jc w:val="both"/>
        <w:rPr>
          <w:lang w:val="de-DE"/>
        </w:rPr>
      </w:pPr>
      <w:r w:rsidRPr="00B53887">
        <w:rPr>
          <w:lang w:val="de-DE"/>
        </w:rPr>
        <w:t>Brenda afatit 12-mujor duhet të miratohen, sipas kompetencave të projektligjit, të paktën aktet për:</w:t>
      </w:r>
    </w:p>
    <w:p w14:paraId="7E3F3DCD" w14:textId="77777777" w:rsidR="005A32F9" w:rsidRPr="006916B7" w:rsidRDefault="00000000">
      <w:pPr>
        <w:pStyle w:val="ListBullet"/>
        <w:spacing w:after="40"/>
        <w:ind w:left="312" w:hanging="142"/>
        <w:rPr>
          <w:lang w:val="it-IT"/>
        </w:rPr>
      </w:pPr>
      <w:r w:rsidRPr="006916B7">
        <w:rPr>
          <w:lang w:val="it-IT"/>
        </w:rPr>
        <w:t>dokumentacionin, procedurën dhe formatet për opinionin paraprak dhe miratimin e programit;</w:t>
      </w:r>
    </w:p>
    <w:p w14:paraId="5B32DD41" w14:textId="77777777" w:rsidR="005A32F9" w:rsidRPr="006916B7" w:rsidRDefault="00000000">
      <w:pPr>
        <w:pStyle w:val="ListBullet"/>
        <w:spacing w:after="40"/>
        <w:ind w:left="312" w:hanging="142"/>
        <w:rPr>
          <w:lang w:val="it-IT"/>
        </w:rPr>
      </w:pPr>
      <w:r w:rsidRPr="006916B7">
        <w:rPr>
          <w:lang w:val="it-IT"/>
        </w:rPr>
        <w:t>aktivet e pranueshme, vlerësimin e kolateralit, përbërjen dhe cilësinë e grupit të mbulimit;</w:t>
      </w:r>
    </w:p>
    <w:p w14:paraId="495EE326" w14:textId="77777777" w:rsidR="005A32F9" w:rsidRPr="006916B7" w:rsidRDefault="00000000">
      <w:pPr>
        <w:pStyle w:val="ListBullet"/>
        <w:spacing w:after="40"/>
        <w:ind w:left="312" w:hanging="142"/>
        <w:rPr>
          <w:lang w:val="it-IT"/>
        </w:rPr>
      </w:pPr>
      <w:r w:rsidRPr="006916B7">
        <w:rPr>
          <w:lang w:val="it-IT"/>
        </w:rPr>
        <w:t>regjistrin e grupit të mbulimit, identifikimin, veçimin dhe gjurmën e auditimit;</w:t>
      </w:r>
    </w:p>
    <w:p w14:paraId="583D0F28" w14:textId="77777777" w:rsidR="005A32F9" w:rsidRPr="006916B7" w:rsidRDefault="00000000">
      <w:pPr>
        <w:pStyle w:val="ListBullet"/>
        <w:spacing w:after="40"/>
        <w:ind w:left="312" w:hanging="142"/>
        <w:rPr>
          <w:lang w:val="it-IT"/>
        </w:rPr>
      </w:pPr>
      <w:r w:rsidRPr="006916B7">
        <w:rPr>
          <w:lang w:val="it-IT"/>
        </w:rPr>
        <w:t>kriteret, pavarësinë, emërimin, detyrat dhe raportimin e monitoruesit;</w:t>
      </w:r>
    </w:p>
    <w:p w14:paraId="397B5004" w14:textId="77777777" w:rsidR="005A32F9" w:rsidRDefault="00000000">
      <w:pPr>
        <w:pStyle w:val="ListBullet"/>
        <w:spacing w:after="40"/>
        <w:ind w:left="312" w:hanging="142"/>
      </w:pPr>
      <w:r>
        <w:t xml:space="preserve">llogaritjen e mbulimit, mbikolateralizimin, derivativët dhe rezervën e </w:t>
      </w:r>
      <w:proofErr w:type="gramStart"/>
      <w:r>
        <w:t>likuiditetit;</w:t>
      </w:r>
      <w:proofErr w:type="gramEnd"/>
    </w:p>
    <w:p w14:paraId="4AB9852A" w14:textId="77777777" w:rsidR="005A32F9" w:rsidRPr="006916B7" w:rsidRDefault="00000000">
      <w:pPr>
        <w:pStyle w:val="ListBullet"/>
        <w:spacing w:after="40"/>
        <w:ind w:left="312" w:hanging="142"/>
        <w:rPr>
          <w:lang w:val="it-IT"/>
        </w:rPr>
      </w:pPr>
      <w:r w:rsidRPr="006916B7">
        <w:rPr>
          <w:lang w:val="it-IT"/>
        </w:rPr>
        <w:t>menaxhimin e rreziqeve, metodologjinë dhe skenarët e stress-testit;</w:t>
      </w:r>
    </w:p>
    <w:p w14:paraId="4A3682AF" w14:textId="77777777" w:rsidR="005A32F9" w:rsidRPr="006916B7" w:rsidRDefault="00000000">
      <w:pPr>
        <w:pStyle w:val="ListBullet"/>
        <w:spacing w:after="40"/>
        <w:ind w:left="312" w:hanging="142"/>
        <w:rPr>
          <w:lang w:val="it-IT"/>
        </w:rPr>
      </w:pPr>
      <w:r w:rsidRPr="006916B7">
        <w:rPr>
          <w:lang w:val="it-IT"/>
        </w:rPr>
        <w:t>raportimin gjashtëmujor, informacionin tremujor për investitorët dhe publikimet e autoriteteve;</w:t>
      </w:r>
    </w:p>
    <w:p w14:paraId="28405907" w14:textId="77777777" w:rsidR="005A32F9" w:rsidRDefault="00000000">
      <w:pPr>
        <w:pStyle w:val="ListBullet"/>
        <w:spacing w:after="40"/>
        <w:ind w:left="312" w:hanging="142"/>
      </w:pPr>
      <w:r>
        <w:t xml:space="preserve">tarifat e mbikëqyrjes, masat, sanksionet dhe publikimin e </w:t>
      </w:r>
      <w:proofErr w:type="gramStart"/>
      <w:r>
        <w:t>vendimeve;</w:t>
      </w:r>
      <w:proofErr w:type="gramEnd"/>
    </w:p>
    <w:p w14:paraId="47A43922" w14:textId="77777777" w:rsidR="005A32F9" w:rsidRDefault="00000000">
      <w:pPr>
        <w:pStyle w:val="ListBullet"/>
        <w:spacing w:after="40"/>
        <w:ind w:left="312" w:hanging="142"/>
      </w:pPr>
      <w:r>
        <w:t xml:space="preserve">administratorin e posaçëm, transferimin, likuidimin e grupit dhe shkëmbimin e </w:t>
      </w:r>
      <w:proofErr w:type="gramStart"/>
      <w:r>
        <w:t>informacionit;</w:t>
      </w:r>
      <w:proofErr w:type="gramEnd"/>
    </w:p>
    <w:p w14:paraId="0230B428" w14:textId="77777777" w:rsidR="005A32F9" w:rsidRDefault="00000000">
      <w:pPr>
        <w:pStyle w:val="ListBullet"/>
        <w:spacing w:after="40"/>
        <w:ind w:left="312" w:hanging="142"/>
      </w:pPr>
      <w:r>
        <w:t>kërkesat teknike për paraqitjen e informacionit për ESAP nga data e anëtarësimit në BE.</w:t>
      </w:r>
    </w:p>
    <w:p w14:paraId="217C1E1A" w14:textId="77777777" w:rsidR="005A32F9" w:rsidRDefault="00000000">
      <w:pPr>
        <w:pStyle w:val="Heading2"/>
      </w:pPr>
      <w:r>
        <w:rPr>
          <w:rFonts w:ascii="Times New Roman" w:eastAsia="Times New Roman" w:hAnsi="Times New Roman"/>
        </w:rPr>
        <w:t>Konsultimi dhe administrimi i komenteve</w:t>
      </w:r>
    </w:p>
    <w:p w14:paraId="746A3500" w14:textId="6479B90B" w:rsidR="000C305C" w:rsidRDefault="00000000" w:rsidP="00343527">
      <w:pPr>
        <w:jc w:val="both"/>
      </w:pPr>
      <w:r>
        <w:t xml:space="preserve">Projektligji është dërguar për koordinim ndërinstitucional dhe, pas kësaj faze, do të publikohet në RENJKP. </w:t>
      </w:r>
    </w:p>
    <w:p w14:paraId="29802568" w14:textId="77777777" w:rsidR="005A32F9" w:rsidRDefault="00000000">
      <w:pPr>
        <w:pStyle w:val="Heading1"/>
      </w:pPr>
      <w:r>
        <w:rPr>
          <w:rFonts w:ascii="Times New Roman" w:eastAsia="Times New Roman" w:hAnsi="Times New Roman"/>
        </w:rPr>
        <w:t>Faza e monitorimit dhe vlerësimit</w:t>
      </w:r>
    </w:p>
    <w:p w14:paraId="3427C98B" w14:textId="77777777" w:rsidR="005A32F9" w:rsidRDefault="00000000">
      <w:pPr>
        <w:keepNext/>
        <w:spacing w:before="40"/>
        <w:jc w:val="both"/>
      </w:pPr>
      <w:r>
        <w:rPr>
          <w:i/>
          <w:sz w:val="20"/>
        </w:rPr>
        <w:t>Përcaktoni mënyrën e monitorimit, treguesit, burimet e të dhënave, periodicitetin dhe vlerësimin ex post.</w:t>
      </w:r>
    </w:p>
    <w:p w14:paraId="756BAD43" w14:textId="77777777" w:rsidR="005A32F9" w:rsidRPr="006916B7" w:rsidRDefault="00000000">
      <w:pPr>
        <w:jc w:val="both"/>
        <w:rPr>
          <w:lang w:val="it-IT"/>
        </w:rPr>
      </w:pPr>
      <w:r w:rsidRPr="00CA5C1B">
        <w:rPr>
          <w:lang w:val="it-IT"/>
        </w:rPr>
        <w:t>Monitorimi organizohet si proces i vazhdueshëm i mbikëqyrjes publike dhe prudenciale. AMF-ja administron të dhënat e programeve, raportimet, publikimet, vendimet dhe masat; Banka e Shqipërisë administron informacionin prudencial, likuiditetin dhe të dhënat që lidhen me ndërhyrjen e jashtëzakonshme. Të dhënat shkëmbehen sipas marrëveshjes së bashkëpunimit. Gjatë fazës së përgatitjes monitorohen përfundimi i akteve, manualeve, sistemeve dhe testimit pilot; pas fillimit të zbatimit monitorohen përputhshmëria e çdo programi, kostot reale dhe treguesit e zhvillimit të tregut. Treguesit e tregut përdoren për të matur rezultatet, por jo si kuota ose detyrime për emetim.</w:t>
      </w:r>
    </w:p>
    <w:p w14:paraId="3EE2E664" w14:textId="77777777" w:rsidR="000C305C" w:rsidRPr="00B53887" w:rsidRDefault="00000000">
      <w:pPr>
        <w:pStyle w:val="Heading2"/>
        <w:rPr>
          <w:lang w:val="it-IT"/>
        </w:rPr>
      </w:pPr>
      <w:r w:rsidRPr="00B53887">
        <w:rPr>
          <w:lang w:val="it-IT"/>
        </w:rPr>
        <w:t>Organizimi i monitorimit dhe cilësia e të dhënave</w:t>
      </w:r>
    </w:p>
    <w:p w14:paraId="21AD5855" w14:textId="77777777" w:rsidR="000C305C" w:rsidRPr="00B53887" w:rsidRDefault="00000000">
      <w:pPr>
        <w:rPr>
          <w:lang w:val="it-IT"/>
        </w:rPr>
      </w:pPr>
      <w:r w:rsidRPr="00B53887">
        <w:rPr>
          <w:lang w:val="it-IT"/>
        </w:rPr>
        <w:t>AMF-ja krijon një regjistër të unifikuar të programeve, ku evidentohen aplikimet, vendimet, emetimet, vlera në qarkullim, raportimet, publikimet, mangësitë, masat dhe sanksionet. Banka e Shqipërisë mban të dhënat prudenciale dhe opinionet përkatëse. Sistemet duhet të mundësojnë identifikimin e të njëjtit program dhe emetues në të dy autoritetet.</w:t>
      </w:r>
    </w:p>
    <w:p w14:paraId="12226BBB" w14:textId="77777777" w:rsidR="000C305C" w:rsidRPr="00B53887" w:rsidRDefault="00000000">
      <w:pPr>
        <w:rPr>
          <w:lang w:val="it-IT"/>
        </w:rPr>
      </w:pPr>
      <w:r w:rsidRPr="00B53887">
        <w:rPr>
          <w:lang w:val="it-IT"/>
        </w:rPr>
        <w:t>Për çdo tregues përcaktohen përkufizimi, formula, burimi, pronari i të dhënave, frekuenca dhe kontrolli i cilësisë. Ndryshimet metodologjike dokumentohen për të ruajtur krahasueshmërinë në kohë. Të dhënat konfidenciale përdoren për mbikëqyrje, ndërsa publikimet bëhen në nivelin e lejuar nga ligji.</w:t>
      </w:r>
    </w:p>
    <w:p w14:paraId="4D8B96E9" w14:textId="77777777" w:rsidR="000C305C" w:rsidRPr="00B53887" w:rsidRDefault="00000000">
      <w:pPr>
        <w:rPr>
          <w:lang w:val="it-IT"/>
        </w:rPr>
      </w:pPr>
      <w:r w:rsidRPr="00B53887">
        <w:rPr>
          <w:lang w:val="it-IT"/>
        </w:rPr>
        <w:t>Monitorimi nuk kufizohet në numërimin e raporteve. Autoritetet vlerësojnë saktësinë, plotësinë, vonesat, shkaqet e mangësive dhe efektivitetin e masave. Treguesit sasiorë plotësohen me vlerësim cilësor të qeverisjes, sistemit të kontrollit, rolit të monitoruesit dhe gatishmërisë për rast krize.</w:t>
      </w:r>
    </w:p>
    <w:p w14:paraId="7F294866" w14:textId="77777777" w:rsidR="005A32F9" w:rsidRDefault="00000000">
      <w:pPr>
        <w:pStyle w:val="Heading2"/>
      </w:pPr>
      <w:proofErr w:type="spellStart"/>
      <w:r>
        <w:rPr>
          <w:rFonts w:ascii="Times New Roman" w:eastAsia="Times New Roman" w:hAnsi="Times New Roman"/>
        </w:rPr>
        <w:t>Treguesit</w:t>
      </w:r>
      <w:proofErr w:type="spellEnd"/>
      <w:r>
        <w:rPr>
          <w:rFonts w:ascii="Times New Roman" w:eastAsia="Times New Roman" w:hAnsi="Times New Roman"/>
        </w:rPr>
        <w:t xml:space="preserve"> </w:t>
      </w:r>
      <w:proofErr w:type="spellStart"/>
      <w:r>
        <w:rPr>
          <w:rFonts w:ascii="Times New Roman" w:eastAsia="Times New Roman" w:hAnsi="Times New Roman"/>
        </w:rPr>
        <w:t>kryesorë</w:t>
      </w:r>
      <w:proofErr w:type="spellEnd"/>
      <w:r>
        <w:rPr>
          <w:rFonts w:ascii="Times New Roman" w:eastAsia="Times New Roman" w:hAnsi="Times New Roman"/>
        </w:rPr>
        <w:t xml:space="preserve"> </w:t>
      </w:r>
      <w:proofErr w:type="spellStart"/>
      <w:r>
        <w:rPr>
          <w:rFonts w:ascii="Times New Roman" w:eastAsia="Times New Roman" w:hAnsi="Times New Roman"/>
        </w:rPr>
        <w:t>të</w:t>
      </w:r>
      <w:proofErr w:type="spellEnd"/>
      <w:r>
        <w:rPr>
          <w:rFonts w:ascii="Times New Roman" w:eastAsia="Times New Roman" w:hAnsi="Times New Roman"/>
        </w:rPr>
        <w:t xml:space="preserve"> </w:t>
      </w:r>
      <w:proofErr w:type="spellStart"/>
      <w:r>
        <w:rPr>
          <w:rFonts w:ascii="Times New Roman" w:eastAsia="Times New Roman" w:hAnsi="Times New Roman"/>
        </w:rPr>
        <w:t>performancës</w:t>
      </w:r>
      <w:proofErr w:type="spellEnd"/>
    </w:p>
    <w:p w14:paraId="6DCB7680" w14:textId="77777777" w:rsidR="005A32F9" w:rsidRDefault="00000000">
      <w:pPr>
        <w:pStyle w:val="ListBullet"/>
        <w:spacing w:after="40"/>
        <w:ind w:left="312" w:hanging="142"/>
        <w:jc w:val="both"/>
      </w:pPr>
      <w:r>
        <w:t>Përafrimi dhe aktet nënligjore: përfundimi i tabelës së përputhshmërisë dhe miratimi i 100% të akteve brenda 12 muajve; burimi: dosja e projektligjit dhe regjistri i akteve të AMF-së/Bankës së Shqipërisë; periodiciteti: tremujor deri në përfundim.</w:t>
      </w:r>
    </w:p>
    <w:p w14:paraId="318DF9AC" w14:textId="77777777" w:rsidR="005A32F9" w:rsidRPr="00CA5C1B" w:rsidRDefault="00000000">
      <w:pPr>
        <w:pStyle w:val="ListBullet"/>
        <w:spacing w:after="40"/>
        <w:ind w:left="312" w:hanging="142"/>
        <w:jc w:val="both"/>
      </w:pPr>
      <w:r>
        <w:t xml:space="preserve">Gatishmëria operacionale: miratimi i marrëveshjes së bashkëpunimit, manualeve dhe formularëve, si dhe përfundimi i të paktën një testimi pilot </w:t>
      </w:r>
      <w:proofErr w:type="spellStart"/>
      <w:r>
        <w:t>gjatë</w:t>
      </w:r>
      <w:proofErr w:type="spellEnd"/>
      <w:r>
        <w:t xml:space="preserve"> </w:t>
      </w:r>
      <w:proofErr w:type="spellStart"/>
      <w:r>
        <w:t>vitit</w:t>
      </w:r>
      <w:proofErr w:type="spellEnd"/>
      <w:r>
        <w:t xml:space="preserve"> 2028; </w:t>
      </w:r>
      <w:proofErr w:type="spellStart"/>
      <w:r>
        <w:t>burimi</w:t>
      </w:r>
      <w:proofErr w:type="spellEnd"/>
      <w:r>
        <w:t xml:space="preserve">: </w:t>
      </w:r>
      <w:proofErr w:type="spellStart"/>
      <w:r>
        <w:t>dokumentet</w:t>
      </w:r>
      <w:proofErr w:type="spellEnd"/>
      <w:r>
        <w:t xml:space="preserve"> e </w:t>
      </w:r>
      <w:proofErr w:type="spellStart"/>
      <w:r>
        <w:t>autoriteteve</w:t>
      </w:r>
      <w:proofErr w:type="spellEnd"/>
      <w:r>
        <w:t xml:space="preserve"> </w:t>
      </w:r>
      <w:proofErr w:type="spellStart"/>
      <w:r>
        <w:t>dhe</w:t>
      </w:r>
      <w:proofErr w:type="spellEnd"/>
      <w:r>
        <w:t xml:space="preserve"> </w:t>
      </w:r>
      <w:proofErr w:type="spellStart"/>
      <w:r>
        <w:t>raporti</w:t>
      </w:r>
      <w:proofErr w:type="spellEnd"/>
      <w:r>
        <w:t xml:space="preserve"> </w:t>
      </w:r>
      <w:proofErr w:type="spellStart"/>
      <w:r>
        <w:t>i</w:t>
      </w:r>
      <w:proofErr w:type="spellEnd"/>
      <w:r>
        <w:t xml:space="preserve"> </w:t>
      </w:r>
      <w:proofErr w:type="spellStart"/>
      <w:r>
        <w:t>pilotimit</w:t>
      </w:r>
      <w:proofErr w:type="spellEnd"/>
      <w:r>
        <w:t xml:space="preserve">; </w:t>
      </w:r>
      <w:proofErr w:type="spellStart"/>
      <w:r>
        <w:t>periodiciteti</w:t>
      </w:r>
      <w:proofErr w:type="spellEnd"/>
      <w:r>
        <w:t xml:space="preserve">: </w:t>
      </w:r>
      <w:proofErr w:type="spellStart"/>
      <w:r>
        <w:t>tremujor</w:t>
      </w:r>
      <w:proofErr w:type="spellEnd"/>
      <w:r>
        <w:t>.</w:t>
      </w:r>
    </w:p>
    <w:p w14:paraId="2EB007FD" w14:textId="77777777" w:rsidR="005A32F9" w:rsidRPr="00B53887" w:rsidRDefault="00000000">
      <w:pPr>
        <w:pStyle w:val="ListBullet"/>
        <w:spacing w:after="40"/>
        <w:ind w:left="312" w:hanging="142"/>
        <w:jc w:val="both"/>
      </w:pPr>
      <w:r>
        <w:t xml:space="preserve">Kërkesat dhe programet: numri i kërkesave, numri i programeve të miratuara/refuzuara, afati mesatar i shqyrtimit dhe vlera nominale; burimi: regjistri </w:t>
      </w:r>
      <w:proofErr w:type="spellStart"/>
      <w:r>
        <w:t>i</w:t>
      </w:r>
      <w:proofErr w:type="spellEnd"/>
      <w:r>
        <w:t xml:space="preserve"> AMF-</w:t>
      </w:r>
      <w:proofErr w:type="spellStart"/>
      <w:r>
        <w:t>së</w:t>
      </w:r>
      <w:proofErr w:type="spellEnd"/>
      <w:r>
        <w:t xml:space="preserve">; </w:t>
      </w:r>
      <w:proofErr w:type="spellStart"/>
      <w:r>
        <w:t>periodiciteti</w:t>
      </w:r>
      <w:proofErr w:type="spellEnd"/>
      <w:r>
        <w:t xml:space="preserve">: </w:t>
      </w:r>
      <w:proofErr w:type="spellStart"/>
      <w:r>
        <w:t>tremujor</w:t>
      </w:r>
      <w:proofErr w:type="spellEnd"/>
      <w:r>
        <w:t>/</w:t>
      </w:r>
      <w:proofErr w:type="spellStart"/>
      <w:r>
        <w:t>vjetor</w:t>
      </w:r>
      <w:proofErr w:type="spellEnd"/>
      <w:r>
        <w:t>.</w:t>
      </w:r>
    </w:p>
    <w:p w14:paraId="322F39D8" w14:textId="77777777" w:rsidR="005A32F9" w:rsidRPr="00B53887" w:rsidRDefault="00000000">
      <w:pPr>
        <w:pStyle w:val="ListBullet"/>
        <w:spacing w:after="40"/>
        <w:ind w:left="312" w:hanging="142"/>
        <w:jc w:val="both"/>
      </w:pPr>
      <w:proofErr w:type="spellStart"/>
      <w:r w:rsidRPr="00B53887">
        <w:t>Veçimi</w:t>
      </w:r>
      <w:proofErr w:type="spellEnd"/>
      <w:r w:rsidRPr="00B53887">
        <w:t xml:space="preserve">, </w:t>
      </w:r>
      <w:proofErr w:type="spellStart"/>
      <w:r w:rsidRPr="00B53887">
        <w:t>mbulimi</w:t>
      </w:r>
      <w:proofErr w:type="spellEnd"/>
      <w:r w:rsidRPr="00B53887">
        <w:t xml:space="preserve"> </w:t>
      </w:r>
      <w:proofErr w:type="spellStart"/>
      <w:r w:rsidRPr="00B53887">
        <w:t>dhe</w:t>
      </w:r>
      <w:proofErr w:type="spellEnd"/>
      <w:r w:rsidRPr="00B53887">
        <w:t xml:space="preserve"> </w:t>
      </w:r>
      <w:proofErr w:type="spellStart"/>
      <w:r w:rsidRPr="00B53887">
        <w:t>likuiditeti</w:t>
      </w:r>
      <w:proofErr w:type="spellEnd"/>
      <w:r w:rsidRPr="00B53887">
        <w:t xml:space="preserve">: </w:t>
      </w:r>
      <w:proofErr w:type="spellStart"/>
      <w:r w:rsidRPr="00B53887">
        <w:t>përqindja</w:t>
      </w:r>
      <w:proofErr w:type="spellEnd"/>
      <w:r w:rsidRPr="00B53887">
        <w:t xml:space="preserve"> e </w:t>
      </w:r>
      <w:proofErr w:type="spellStart"/>
      <w:r w:rsidRPr="00B53887">
        <w:t>programeve</w:t>
      </w:r>
      <w:proofErr w:type="spellEnd"/>
      <w:r w:rsidRPr="00B53887">
        <w:t xml:space="preserve"> </w:t>
      </w:r>
      <w:proofErr w:type="spellStart"/>
      <w:r w:rsidRPr="00B53887">
        <w:t>që</w:t>
      </w:r>
      <w:proofErr w:type="spellEnd"/>
      <w:r w:rsidRPr="00B53887">
        <w:t xml:space="preserve"> </w:t>
      </w:r>
      <w:proofErr w:type="spellStart"/>
      <w:r w:rsidRPr="00B53887">
        <w:t>përmbushin</w:t>
      </w:r>
      <w:proofErr w:type="spellEnd"/>
      <w:r w:rsidRPr="00B53887">
        <w:t xml:space="preserve"> </w:t>
      </w:r>
      <w:proofErr w:type="spellStart"/>
      <w:r w:rsidRPr="00B53887">
        <w:t>kërkesat</w:t>
      </w:r>
      <w:proofErr w:type="spellEnd"/>
      <w:r w:rsidRPr="00B53887">
        <w:t xml:space="preserve">, </w:t>
      </w:r>
      <w:proofErr w:type="spellStart"/>
      <w:r w:rsidRPr="00B53887">
        <w:t>numri</w:t>
      </w:r>
      <w:proofErr w:type="spellEnd"/>
      <w:r w:rsidRPr="00B53887">
        <w:t xml:space="preserve"> </w:t>
      </w:r>
      <w:proofErr w:type="spellStart"/>
      <w:r w:rsidRPr="00B53887">
        <w:t>i</w:t>
      </w:r>
      <w:proofErr w:type="spellEnd"/>
      <w:r w:rsidRPr="00B53887">
        <w:t xml:space="preserve"> </w:t>
      </w:r>
      <w:proofErr w:type="spellStart"/>
      <w:r w:rsidRPr="00B53887">
        <w:t>mangësive</w:t>
      </w:r>
      <w:proofErr w:type="spellEnd"/>
      <w:r w:rsidRPr="00B53887">
        <w:t xml:space="preserve"> </w:t>
      </w:r>
      <w:proofErr w:type="spellStart"/>
      <w:r w:rsidRPr="00B53887">
        <w:t>dhe</w:t>
      </w:r>
      <w:proofErr w:type="spellEnd"/>
      <w:r w:rsidRPr="00B53887">
        <w:t xml:space="preserve"> </w:t>
      </w:r>
      <w:proofErr w:type="spellStart"/>
      <w:r w:rsidRPr="00B53887">
        <w:t>koha</w:t>
      </w:r>
      <w:proofErr w:type="spellEnd"/>
      <w:r w:rsidRPr="00B53887">
        <w:t xml:space="preserve"> e </w:t>
      </w:r>
      <w:proofErr w:type="spellStart"/>
      <w:r w:rsidRPr="00B53887">
        <w:t>korrigjimit</w:t>
      </w:r>
      <w:proofErr w:type="spellEnd"/>
      <w:r w:rsidRPr="00B53887">
        <w:t xml:space="preserve">; </w:t>
      </w:r>
      <w:proofErr w:type="spellStart"/>
      <w:r w:rsidRPr="00B53887">
        <w:t>burimi</w:t>
      </w:r>
      <w:proofErr w:type="spellEnd"/>
      <w:r w:rsidRPr="00B53887">
        <w:t xml:space="preserve">: </w:t>
      </w:r>
      <w:proofErr w:type="spellStart"/>
      <w:r w:rsidRPr="00B53887">
        <w:t>raportimet</w:t>
      </w:r>
      <w:proofErr w:type="spellEnd"/>
      <w:r w:rsidRPr="00B53887">
        <w:t xml:space="preserve"> e </w:t>
      </w:r>
      <w:proofErr w:type="spellStart"/>
      <w:r w:rsidRPr="00B53887">
        <w:t>emetuesit</w:t>
      </w:r>
      <w:proofErr w:type="spellEnd"/>
      <w:r w:rsidRPr="00B53887">
        <w:t xml:space="preserve">, </w:t>
      </w:r>
      <w:proofErr w:type="spellStart"/>
      <w:r w:rsidRPr="00B53887">
        <w:t>monitoruesit</w:t>
      </w:r>
      <w:proofErr w:type="spellEnd"/>
      <w:r w:rsidRPr="00B53887">
        <w:t xml:space="preserve"> </w:t>
      </w:r>
      <w:proofErr w:type="spellStart"/>
      <w:r w:rsidRPr="00B53887">
        <w:t>dhe</w:t>
      </w:r>
      <w:proofErr w:type="spellEnd"/>
      <w:r w:rsidRPr="00B53887">
        <w:t xml:space="preserve"> </w:t>
      </w:r>
      <w:proofErr w:type="spellStart"/>
      <w:r w:rsidRPr="00B53887">
        <w:t>Bankës</w:t>
      </w:r>
      <w:proofErr w:type="spellEnd"/>
      <w:r w:rsidRPr="00B53887">
        <w:t xml:space="preserve"> </w:t>
      </w:r>
      <w:proofErr w:type="spellStart"/>
      <w:r w:rsidRPr="00B53887">
        <w:t>së</w:t>
      </w:r>
      <w:proofErr w:type="spellEnd"/>
      <w:r w:rsidRPr="00B53887">
        <w:t xml:space="preserve"> </w:t>
      </w:r>
      <w:proofErr w:type="spellStart"/>
      <w:r w:rsidRPr="00B53887">
        <w:t>Shqipërisë</w:t>
      </w:r>
      <w:proofErr w:type="spellEnd"/>
      <w:r w:rsidRPr="00B53887">
        <w:t xml:space="preserve">; </w:t>
      </w:r>
      <w:proofErr w:type="spellStart"/>
      <w:r w:rsidRPr="00B53887">
        <w:t>periodiciteti</w:t>
      </w:r>
      <w:proofErr w:type="spellEnd"/>
      <w:r w:rsidRPr="00B53887">
        <w:t xml:space="preserve">: </w:t>
      </w:r>
      <w:proofErr w:type="spellStart"/>
      <w:r w:rsidRPr="00B53887">
        <w:t>tremujor</w:t>
      </w:r>
      <w:proofErr w:type="spellEnd"/>
      <w:r w:rsidRPr="00B53887">
        <w:t>/</w:t>
      </w:r>
      <w:proofErr w:type="spellStart"/>
      <w:r w:rsidRPr="00B53887">
        <w:t>gjashtëmujor</w:t>
      </w:r>
      <w:proofErr w:type="spellEnd"/>
      <w:r w:rsidRPr="00B53887">
        <w:t>.</w:t>
      </w:r>
    </w:p>
    <w:p w14:paraId="58CAF181" w14:textId="77777777" w:rsidR="005A32F9" w:rsidRPr="00B53887" w:rsidRDefault="00000000">
      <w:pPr>
        <w:pStyle w:val="ListBullet"/>
        <w:spacing w:after="40"/>
        <w:ind w:left="312" w:hanging="142"/>
        <w:jc w:val="both"/>
      </w:pPr>
      <w:proofErr w:type="spellStart"/>
      <w:r w:rsidRPr="00B53887">
        <w:lastRenderedPageBreak/>
        <w:t>Transparenca</w:t>
      </w:r>
      <w:proofErr w:type="spellEnd"/>
      <w:r w:rsidRPr="00B53887">
        <w:t xml:space="preserve"> </w:t>
      </w:r>
      <w:proofErr w:type="spellStart"/>
      <w:r w:rsidRPr="00B53887">
        <w:t>dhe</w:t>
      </w:r>
      <w:proofErr w:type="spellEnd"/>
      <w:r w:rsidRPr="00B53887">
        <w:t xml:space="preserve"> </w:t>
      </w:r>
      <w:proofErr w:type="spellStart"/>
      <w:r w:rsidRPr="00B53887">
        <w:t>raportimi</w:t>
      </w:r>
      <w:proofErr w:type="spellEnd"/>
      <w:r w:rsidRPr="00B53887">
        <w:t xml:space="preserve">: </w:t>
      </w:r>
      <w:proofErr w:type="spellStart"/>
      <w:r w:rsidRPr="00B53887">
        <w:t>përqindja</w:t>
      </w:r>
      <w:proofErr w:type="spellEnd"/>
      <w:r w:rsidRPr="00B53887">
        <w:t xml:space="preserve"> e </w:t>
      </w:r>
      <w:proofErr w:type="spellStart"/>
      <w:r w:rsidRPr="00B53887">
        <w:t>publikimeve</w:t>
      </w:r>
      <w:proofErr w:type="spellEnd"/>
      <w:r w:rsidRPr="00B53887">
        <w:t xml:space="preserve"> </w:t>
      </w:r>
      <w:proofErr w:type="spellStart"/>
      <w:r w:rsidRPr="00B53887">
        <w:t>tremujore</w:t>
      </w:r>
      <w:proofErr w:type="spellEnd"/>
      <w:r w:rsidRPr="00B53887">
        <w:t xml:space="preserve"> </w:t>
      </w:r>
      <w:proofErr w:type="spellStart"/>
      <w:r w:rsidRPr="00B53887">
        <w:t>dhe</w:t>
      </w:r>
      <w:proofErr w:type="spellEnd"/>
      <w:r w:rsidRPr="00B53887">
        <w:t xml:space="preserve"> </w:t>
      </w:r>
      <w:proofErr w:type="spellStart"/>
      <w:r w:rsidRPr="00B53887">
        <w:t>raporteve</w:t>
      </w:r>
      <w:proofErr w:type="spellEnd"/>
      <w:r w:rsidRPr="00B53887">
        <w:t xml:space="preserve"> </w:t>
      </w:r>
      <w:proofErr w:type="spellStart"/>
      <w:r w:rsidRPr="00B53887">
        <w:t>gjashtëmujore</w:t>
      </w:r>
      <w:proofErr w:type="spellEnd"/>
      <w:r w:rsidRPr="00B53887">
        <w:t xml:space="preserve"> </w:t>
      </w:r>
      <w:proofErr w:type="spellStart"/>
      <w:r w:rsidRPr="00B53887">
        <w:t>të</w:t>
      </w:r>
      <w:proofErr w:type="spellEnd"/>
      <w:r w:rsidRPr="00B53887">
        <w:t xml:space="preserve"> </w:t>
      </w:r>
      <w:proofErr w:type="spellStart"/>
      <w:r w:rsidRPr="00B53887">
        <w:t>dorëzuara</w:t>
      </w:r>
      <w:proofErr w:type="spellEnd"/>
      <w:r w:rsidRPr="00B53887">
        <w:t xml:space="preserve"> </w:t>
      </w:r>
      <w:proofErr w:type="spellStart"/>
      <w:r w:rsidRPr="00B53887">
        <w:t>në</w:t>
      </w:r>
      <w:proofErr w:type="spellEnd"/>
      <w:r w:rsidRPr="00B53887">
        <w:t xml:space="preserve"> </w:t>
      </w:r>
      <w:proofErr w:type="spellStart"/>
      <w:r w:rsidRPr="00B53887">
        <w:t>afat</w:t>
      </w:r>
      <w:proofErr w:type="spellEnd"/>
      <w:r w:rsidRPr="00B53887">
        <w:t xml:space="preserve">, </w:t>
      </w:r>
      <w:proofErr w:type="spellStart"/>
      <w:r w:rsidRPr="00B53887">
        <w:t>plotësia</w:t>
      </w:r>
      <w:proofErr w:type="spellEnd"/>
      <w:r w:rsidRPr="00B53887">
        <w:t xml:space="preserve"> </w:t>
      </w:r>
      <w:proofErr w:type="spellStart"/>
      <w:r w:rsidRPr="00B53887">
        <w:t>dhe</w:t>
      </w:r>
      <w:proofErr w:type="spellEnd"/>
      <w:r w:rsidRPr="00B53887">
        <w:t xml:space="preserve"> </w:t>
      </w:r>
      <w:proofErr w:type="spellStart"/>
      <w:r w:rsidRPr="00B53887">
        <w:t>cilësia</w:t>
      </w:r>
      <w:proofErr w:type="spellEnd"/>
      <w:r w:rsidRPr="00B53887">
        <w:t xml:space="preserve"> e </w:t>
      </w:r>
      <w:proofErr w:type="spellStart"/>
      <w:r w:rsidRPr="00B53887">
        <w:t>tyre</w:t>
      </w:r>
      <w:proofErr w:type="spellEnd"/>
      <w:r w:rsidRPr="00B53887">
        <w:t xml:space="preserve">; </w:t>
      </w:r>
      <w:proofErr w:type="spellStart"/>
      <w:r w:rsidRPr="00B53887">
        <w:t>burimi</w:t>
      </w:r>
      <w:proofErr w:type="spellEnd"/>
      <w:r w:rsidRPr="00B53887">
        <w:t xml:space="preserve">: </w:t>
      </w:r>
      <w:proofErr w:type="spellStart"/>
      <w:r w:rsidRPr="00B53887">
        <w:t>faqet</w:t>
      </w:r>
      <w:proofErr w:type="spellEnd"/>
      <w:r w:rsidRPr="00B53887">
        <w:t xml:space="preserve"> e </w:t>
      </w:r>
      <w:proofErr w:type="spellStart"/>
      <w:r w:rsidRPr="00B53887">
        <w:t>emetuesve</w:t>
      </w:r>
      <w:proofErr w:type="spellEnd"/>
      <w:r w:rsidRPr="00B53887">
        <w:t xml:space="preserve">, AMF-ja </w:t>
      </w:r>
      <w:proofErr w:type="spellStart"/>
      <w:r w:rsidRPr="00B53887">
        <w:t>dhe</w:t>
      </w:r>
      <w:proofErr w:type="spellEnd"/>
      <w:r w:rsidRPr="00B53887">
        <w:t xml:space="preserve"> </w:t>
      </w:r>
      <w:proofErr w:type="spellStart"/>
      <w:r w:rsidRPr="00B53887">
        <w:t>raportimet</w:t>
      </w:r>
      <w:proofErr w:type="spellEnd"/>
      <w:r w:rsidRPr="00B53887">
        <w:t xml:space="preserve">; </w:t>
      </w:r>
      <w:proofErr w:type="spellStart"/>
      <w:r w:rsidRPr="00B53887">
        <w:t>periodiciteti</w:t>
      </w:r>
      <w:proofErr w:type="spellEnd"/>
      <w:r w:rsidRPr="00B53887">
        <w:t xml:space="preserve">: </w:t>
      </w:r>
      <w:proofErr w:type="spellStart"/>
      <w:r w:rsidRPr="00B53887">
        <w:t>tremujor</w:t>
      </w:r>
      <w:proofErr w:type="spellEnd"/>
      <w:r w:rsidRPr="00B53887">
        <w:t>/</w:t>
      </w:r>
      <w:proofErr w:type="spellStart"/>
      <w:r w:rsidRPr="00B53887">
        <w:t>gjashtëmujor</w:t>
      </w:r>
      <w:proofErr w:type="spellEnd"/>
      <w:r w:rsidRPr="00B53887">
        <w:t>.</w:t>
      </w:r>
    </w:p>
    <w:p w14:paraId="7C9FBA20" w14:textId="77777777" w:rsidR="005A32F9" w:rsidRPr="00B53887" w:rsidRDefault="00000000">
      <w:pPr>
        <w:pStyle w:val="ListBullet"/>
        <w:spacing w:after="40"/>
        <w:ind w:left="312" w:hanging="142"/>
        <w:jc w:val="both"/>
      </w:pPr>
      <w:proofErr w:type="spellStart"/>
      <w:r w:rsidRPr="00B53887">
        <w:t>Testimi</w:t>
      </w:r>
      <w:proofErr w:type="spellEnd"/>
      <w:r w:rsidRPr="00B53887">
        <w:t xml:space="preserve"> </w:t>
      </w:r>
      <w:proofErr w:type="spellStart"/>
      <w:r w:rsidRPr="00B53887">
        <w:t>i</w:t>
      </w:r>
      <w:proofErr w:type="spellEnd"/>
      <w:r w:rsidRPr="00B53887">
        <w:t xml:space="preserve"> </w:t>
      </w:r>
      <w:proofErr w:type="spellStart"/>
      <w:r w:rsidRPr="00B53887">
        <w:t>qëndrueshmërisë</w:t>
      </w:r>
      <w:proofErr w:type="spellEnd"/>
      <w:r w:rsidRPr="00B53887">
        <w:t xml:space="preserve"> </w:t>
      </w:r>
      <w:proofErr w:type="spellStart"/>
      <w:r w:rsidRPr="00B53887">
        <w:t>dhe</w:t>
      </w:r>
      <w:proofErr w:type="spellEnd"/>
      <w:r w:rsidRPr="00B53887">
        <w:t xml:space="preserve"> </w:t>
      </w:r>
      <w:proofErr w:type="spellStart"/>
      <w:r w:rsidRPr="00B53887">
        <w:t>monitoruesi</w:t>
      </w:r>
      <w:proofErr w:type="spellEnd"/>
      <w:r w:rsidRPr="00B53887">
        <w:t xml:space="preserve">: </w:t>
      </w:r>
      <w:proofErr w:type="spellStart"/>
      <w:r w:rsidRPr="00B53887">
        <w:t>përqindja</w:t>
      </w:r>
      <w:proofErr w:type="spellEnd"/>
      <w:r w:rsidRPr="00B53887">
        <w:t xml:space="preserve"> e </w:t>
      </w:r>
      <w:proofErr w:type="spellStart"/>
      <w:r w:rsidRPr="00B53887">
        <w:t>testeve</w:t>
      </w:r>
      <w:proofErr w:type="spellEnd"/>
      <w:r w:rsidRPr="00B53887">
        <w:t xml:space="preserve"> </w:t>
      </w:r>
      <w:proofErr w:type="spellStart"/>
      <w:r w:rsidRPr="00B53887">
        <w:t>të</w:t>
      </w:r>
      <w:proofErr w:type="spellEnd"/>
      <w:r w:rsidRPr="00B53887">
        <w:t xml:space="preserve"> </w:t>
      </w:r>
      <w:proofErr w:type="spellStart"/>
      <w:r w:rsidRPr="00B53887">
        <w:t>kryera</w:t>
      </w:r>
      <w:proofErr w:type="spellEnd"/>
      <w:r w:rsidRPr="00B53887">
        <w:t xml:space="preserve"> </w:t>
      </w:r>
      <w:proofErr w:type="spellStart"/>
      <w:r w:rsidRPr="00B53887">
        <w:t>çdo</w:t>
      </w:r>
      <w:proofErr w:type="spellEnd"/>
      <w:r w:rsidRPr="00B53887">
        <w:t xml:space="preserve"> </w:t>
      </w:r>
      <w:proofErr w:type="spellStart"/>
      <w:r w:rsidRPr="00B53887">
        <w:t>tremujor</w:t>
      </w:r>
      <w:proofErr w:type="spellEnd"/>
      <w:r w:rsidRPr="00B53887">
        <w:t xml:space="preserve">, </w:t>
      </w:r>
      <w:proofErr w:type="spellStart"/>
      <w:r w:rsidRPr="00B53887">
        <w:t>funksionimi</w:t>
      </w:r>
      <w:proofErr w:type="spellEnd"/>
      <w:r w:rsidRPr="00B53887">
        <w:t xml:space="preserve"> </w:t>
      </w:r>
      <w:proofErr w:type="spellStart"/>
      <w:r w:rsidRPr="00B53887">
        <w:t>i</w:t>
      </w:r>
      <w:proofErr w:type="spellEnd"/>
      <w:r w:rsidRPr="00B53887">
        <w:t xml:space="preserve"> </w:t>
      </w:r>
      <w:proofErr w:type="spellStart"/>
      <w:r w:rsidRPr="00B53887">
        <w:t>monitoruesit</w:t>
      </w:r>
      <w:proofErr w:type="spellEnd"/>
      <w:r w:rsidRPr="00B53887">
        <w:t xml:space="preserve"> </w:t>
      </w:r>
      <w:proofErr w:type="spellStart"/>
      <w:r w:rsidRPr="00B53887">
        <w:t>për</w:t>
      </w:r>
      <w:proofErr w:type="spellEnd"/>
      <w:r w:rsidRPr="00B53887">
        <w:t xml:space="preserve"> </w:t>
      </w:r>
      <w:proofErr w:type="spellStart"/>
      <w:r w:rsidRPr="00B53887">
        <w:t>çdo</w:t>
      </w:r>
      <w:proofErr w:type="spellEnd"/>
      <w:r w:rsidRPr="00B53887">
        <w:t xml:space="preserve"> program </w:t>
      </w:r>
      <w:proofErr w:type="spellStart"/>
      <w:r w:rsidRPr="00B53887">
        <w:t>dhe</w:t>
      </w:r>
      <w:proofErr w:type="spellEnd"/>
      <w:r w:rsidRPr="00B53887">
        <w:t xml:space="preserve"> </w:t>
      </w:r>
      <w:proofErr w:type="spellStart"/>
      <w:r w:rsidRPr="00B53887">
        <w:t>masat</w:t>
      </w:r>
      <w:proofErr w:type="spellEnd"/>
      <w:r w:rsidRPr="00B53887">
        <w:t xml:space="preserve"> e </w:t>
      </w:r>
      <w:proofErr w:type="spellStart"/>
      <w:r w:rsidRPr="00B53887">
        <w:t>marra</w:t>
      </w:r>
      <w:proofErr w:type="spellEnd"/>
      <w:r w:rsidRPr="00B53887">
        <w:t xml:space="preserve"> pas </w:t>
      </w:r>
      <w:proofErr w:type="spellStart"/>
      <w:r w:rsidRPr="00B53887">
        <w:t>rezultateve</w:t>
      </w:r>
      <w:proofErr w:type="spellEnd"/>
      <w:r w:rsidRPr="00B53887">
        <w:t xml:space="preserve">; </w:t>
      </w:r>
      <w:proofErr w:type="spellStart"/>
      <w:r w:rsidRPr="00B53887">
        <w:t>burimi</w:t>
      </w:r>
      <w:proofErr w:type="spellEnd"/>
      <w:r w:rsidRPr="00B53887">
        <w:t xml:space="preserve">: </w:t>
      </w:r>
      <w:proofErr w:type="spellStart"/>
      <w:r w:rsidRPr="00B53887">
        <w:t>emetuesi</w:t>
      </w:r>
      <w:proofErr w:type="spellEnd"/>
      <w:r w:rsidRPr="00B53887">
        <w:t xml:space="preserve">, </w:t>
      </w:r>
      <w:proofErr w:type="spellStart"/>
      <w:r w:rsidRPr="00B53887">
        <w:t>monitoruesi</w:t>
      </w:r>
      <w:proofErr w:type="spellEnd"/>
      <w:r w:rsidRPr="00B53887">
        <w:t xml:space="preserve"> </w:t>
      </w:r>
      <w:proofErr w:type="spellStart"/>
      <w:r w:rsidRPr="00B53887">
        <w:t>dhe</w:t>
      </w:r>
      <w:proofErr w:type="spellEnd"/>
      <w:r w:rsidRPr="00B53887">
        <w:t xml:space="preserve"> </w:t>
      </w:r>
      <w:proofErr w:type="spellStart"/>
      <w:r w:rsidRPr="00B53887">
        <w:t>autoritetet</w:t>
      </w:r>
      <w:proofErr w:type="spellEnd"/>
      <w:r w:rsidRPr="00B53887">
        <w:t xml:space="preserve">; </w:t>
      </w:r>
      <w:proofErr w:type="spellStart"/>
      <w:r w:rsidRPr="00B53887">
        <w:t>periodiciteti</w:t>
      </w:r>
      <w:proofErr w:type="spellEnd"/>
      <w:r w:rsidRPr="00B53887">
        <w:t xml:space="preserve">: </w:t>
      </w:r>
      <w:proofErr w:type="spellStart"/>
      <w:r w:rsidRPr="00B53887">
        <w:t>tremujor</w:t>
      </w:r>
      <w:proofErr w:type="spellEnd"/>
      <w:r w:rsidRPr="00B53887">
        <w:t>.</w:t>
      </w:r>
    </w:p>
    <w:p w14:paraId="16B45CC8" w14:textId="77777777" w:rsidR="005A32F9" w:rsidRPr="00B53887" w:rsidRDefault="00000000">
      <w:pPr>
        <w:pStyle w:val="ListBullet"/>
        <w:spacing w:after="40"/>
        <w:ind w:left="312" w:hanging="142"/>
        <w:jc w:val="both"/>
      </w:pPr>
      <w:proofErr w:type="spellStart"/>
      <w:r w:rsidRPr="00B53887">
        <w:t>Administrimi</w:t>
      </w:r>
      <w:proofErr w:type="spellEnd"/>
      <w:r w:rsidRPr="00B53887">
        <w:t xml:space="preserve"> </w:t>
      </w:r>
      <w:proofErr w:type="spellStart"/>
      <w:r w:rsidRPr="00B53887">
        <w:t>i</w:t>
      </w:r>
      <w:proofErr w:type="spellEnd"/>
      <w:r w:rsidRPr="00B53887">
        <w:t xml:space="preserve"> </w:t>
      </w:r>
      <w:proofErr w:type="spellStart"/>
      <w:r w:rsidRPr="00B53887">
        <w:t>posaçëm</w:t>
      </w:r>
      <w:proofErr w:type="spellEnd"/>
      <w:r w:rsidRPr="00B53887">
        <w:t xml:space="preserve"> </w:t>
      </w:r>
      <w:proofErr w:type="spellStart"/>
      <w:r w:rsidRPr="00B53887">
        <w:t>dhe</w:t>
      </w:r>
      <w:proofErr w:type="spellEnd"/>
      <w:r w:rsidRPr="00B53887">
        <w:t xml:space="preserve"> </w:t>
      </w:r>
      <w:proofErr w:type="spellStart"/>
      <w:r w:rsidRPr="00B53887">
        <w:t>ndërhyrja</w:t>
      </w:r>
      <w:proofErr w:type="spellEnd"/>
      <w:r w:rsidRPr="00B53887">
        <w:t xml:space="preserve">: </w:t>
      </w:r>
      <w:proofErr w:type="spellStart"/>
      <w:r w:rsidRPr="00B53887">
        <w:t>gatishmëria</w:t>
      </w:r>
      <w:proofErr w:type="spellEnd"/>
      <w:r w:rsidRPr="00B53887">
        <w:t xml:space="preserve"> e </w:t>
      </w:r>
      <w:proofErr w:type="spellStart"/>
      <w:r w:rsidRPr="00B53887">
        <w:t>procedurave</w:t>
      </w:r>
      <w:proofErr w:type="spellEnd"/>
      <w:r w:rsidRPr="00B53887">
        <w:t xml:space="preserve">, </w:t>
      </w:r>
      <w:proofErr w:type="spellStart"/>
      <w:r w:rsidRPr="00B53887">
        <w:t>koha</w:t>
      </w:r>
      <w:proofErr w:type="spellEnd"/>
      <w:r w:rsidRPr="00B53887">
        <w:t xml:space="preserve"> e </w:t>
      </w:r>
      <w:proofErr w:type="spellStart"/>
      <w:r w:rsidRPr="00B53887">
        <w:t>emërimit</w:t>
      </w:r>
      <w:proofErr w:type="spellEnd"/>
      <w:r w:rsidRPr="00B53887">
        <w:t xml:space="preserve"> </w:t>
      </w:r>
      <w:proofErr w:type="spellStart"/>
      <w:r w:rsidRPr="00B53887">
        <w:t>të</w:t>
      </w:r>
      <w:proofErr w:type="spellEnd"/>
      <w:r w:rsidRPr="00B53887">
        <w:t xml:space="preserve"> </w:t>
      </w:r>
      <w:proofErr w:type="spellStart"/>
      <w:r w:rsidRPr="00B53887">
        <w:t>administratorit</w:t>
      </w:r>
      <w:proofErr w:type="spellEnd"/>
      <w:r w:rsidRPr="00B53887">
        <w:t xml:space="preserve"> </w:t>
      </w:r>
      <w:proofErr w:type="spellStart"/>
      <w:r w:rsidRPr="00B53887">
        <w:t>dhe</w:t>
      </w:r>
      <w:proofErr w:type="spellEnd"/>
      <w:r w:rsidRPr="00B53887">
        <w:t xml:space="preserve"> </w:t>
      </w:r>
      <w:proofErr w:type="spellStart"/>
      <w:r w:rsidRPr="00B53887">
        <w:t>efektiviteti</w:t>
      </w:r>
      <w:proofErr w:type="spellEnd"/>
      <w:r w:rsidRPr="00B53887">
        <w:t xml:space="preserve"> </w:t>
      </w:r>
      <w:proofErr w:type="spellStart"/>
      <w:r w:rsidRPr="00B53887">
        <w:t>i</w:t>
      </w:r>
      <w:proofErr w:type="spellEnd"/>
      <w:r w:rsidRPr="00B53887">
        <w:t xml:space="preserve"> </w:t>
      </w:r>
      <w:proofErr w:type="spellStart"/>
      <w:r w:rsidRPr="00B53887">
        <w:t>transferimit</w:t>
      </w:r>
      <w:proofErr w:type="spellEnd"/>
      <w:r w:rsidRPr="00B53887">
        <w:t xml:space="preserve"> </w:t>
      </w:r>
      <w:proofErr w:type="spellStart"/>
      <w:r w:rsidRPr="00B53887">
        <w:t>ose</w:t>
      </w:r>
      <w:proofErr w:type="spellEnd"/>
      <w:r w:rsidRPr="00B53887">
        <w:t xml:space="preserve"> </w:t>
      </w:r>
      <w:proofErr w:type="spellStart"/>
      <w:r w:rsidRPr="00B53887">
        <w:t>vazhdimësisë</w:t>
      </w:r>
      <w:proofErr w:type="spellEnd"/>
      <w:r w:rsidRPr="00B53887">
        <w:t xml:space="preserve"> </w:t>
      </w:r>
      <w:proofErr w:type="spellStart"/>
      <w:r w:rsidRPr="00B53887">
        <w:t>së</w:t>
      </w:r>
      <w:proofErr w:type="spellEnd"/>
      <w:r w:rsidRPr="00B53887">
        <w:t xml:space="preserve"> </w:t>
      </w:r>
      <w:proofErr w:type="spellStart"/>
      <w:r w:rsidRPr="00B53887">
        <w:t>pagesave</w:t>
      </w:r>
      <w:proofErr w:type="spellEnd"/>
      <w:r w:rsidRPr="00B53887">
        <w:t xml:space="preserve"> </w:t>
      </w:r>
      <w:proofErr w:type="spellStart"/>
      <w:r w:rsidRPr="00B53887">
        <w:t>në</w:t>
      </w:r>
      <w:proofErr w:type="spellEnd"/>
      <w:r w:rsidRPr="00B53887">
        <w:t xml:space="preserve"> </w:t>
      </w:r>
      <w:proofErr w:type="spellStart"/>
      <w:r w:rsidRPr="00B53887">
        <w:t>çdo</w:t>
      </w:r>
      <w:proofErr w:type="spellEnd"/>
      <w:r w:rsidRPr="00B53887">
        <w:t xml:space="preserve"> </w:t>
      </w:r>
      <w:proofErr w:type="spellStart"/>
      <w:r w:rsidRPr="00B53887">
        <w:t>rast</w:t>
      </w:r>
      <w:proofErr w:type="spellEnd"/>
      <w:r w:rsidRPr="00B53887">
        <w:t xml:space="preserve"> </w:t>
      </w:r>
      <w:proofErr w:type="spellStart"/>
      <w:r w:rsidRPr="00B53887">
        <w:t>të</w:t>
      </w:r>
      <w:proofErr w:type="spellEnd"/>
      <w:r w:rsidRPr="00B53887">
        <w:t xml:space="preserve"> </w:t>
      </w:r>
      <w:proofErr w:type="spellStart"/>
      <w:r w:rsidRPr="00B53887">
        <w:t>aktivizuar</w:t>
      </w:r>
      <w:proofErr w:type="spellEnd"/>
      <w:r w:rsidRPr="00B53887">
        <w:t xml:space="preserve">; </w:t>
      </w:r>
      <w:proofErr w:type="spellStart"/>
      <w:r w:rsidRPr="00B53887">
        <w:t>burimi</w:t>
      </w:r>
      <w:proofErr w:type="spellEnd"/>
      <w:r w:rsidRPr="00B53887">
        <w:t xml:space="preserve">: AMF-ja, Banka e </w:t>
      </w:r>
      <w:proofErr w:type="spellStart"/>
      <w:r w:rsidRPr="00B53887">
        <w:t>Shqipërisë</w:t>
      </w:r>
      <w:proofErr w:type="spellEnd"/>
      <w:r w:rsidRPr="00B53887">
        <w:t xml:space="preserve"> </w:t>
      </w:r>
      <w:proofErr w:type="spellStart"/>
      <w:r w:rsidRPr="00B53887">
        <w:t>dhe</w:t>
      </w:r>
      <w:proofErr w:type="spellEnd"/>
      <w:r w:rsidRPr="00B53887">
        <w:t xml:space="preserve"> </w:t>
      </w:r>
      <w:proofErr w:type="spellStart"/>
      <w:r w:rsidRPr="00B53887">
        <w:t>strukturat</w:t>
      </w:r>
      <w:proofErr w:type="spellEnd"/>
      <w:r w:rsidRPr="00B53887">
        <w:t xml:space="preserve"> e </w:t>
      </w:r>
      <w:proofErr w:type="spellStart"/>
      <w:r w:rsidRPr="00B53887">
        <w:t>likuidimit</w:t>
      </w:r>
      <w:proofErr w:type="spellEnd"/>
      <w:r w:rsidRPr="00B53887">
        <w:t xml:space="preserve">; </w:t>
      </w:r>
      <w:proofErr w:type="spellStart"/>
      <w:r w:rsidRPr="00B53887">
        <w:t>periodiciteti</w:t>
      </w:r>
      <w:proofErr w:type="spellEnd"/>
      <w:r w:rsidRPr="00B53887">
        <w:t xml:space="preserve">: </w:t>
      </w:r>
      <w:proofErr w:type="spellStart"/>
      <w:r w:rsidRPr="00B53887">
        <w:t>sipas</w:t>
      </w:r>
      <w:proofErr w:type="spellEnd"/>
      <w:r w:rsidRPr="00B53887">
        <w:t xml:space="preserve"> </w:t>
      </w:r>
      <w:proofErr w:type="spellStart"/>
      <w:r w:rsidRPr="00B53887">
        <w:t>rastit</w:t>
      </w:r>
      <w:proofErr w:type="spellEnd"/>
      <w:r w:rsidRPr="00B53887">
        <w:t>/</w:t>
      </w:r>
      <w:proofErr w:type="spellStart"/>
      <w:r w:rsidRPr="00B53887">
        <w:t>vjetor</w:t>
      </w:r>
      <w:proofErr w:type="spellEnd"/>
      <w:r w:rsidRPr="00B53887">
        <w:t>.</w:t>
      </w:r>
    </w:p>
    <w:p w14:paraId="20582193" w14:textId="77777777" w:rsidR="005A32F9" w:rsidRPr="00B53887" w:rsidRDefault="00000000">
      <w:pPr>
        <w:pStyle w:val="ListBullet"/>
        <w:spacing w:after="40"/>
        <w:ind w:left="312" w:hanging="142"/>
        <w:jc w:val="both"/>
      </w:pPr>
      <w:proofErr w:type="spellStart"/>
      <w:r w:rsidRPr="00B53887">
        <w:t>Masat</w:t>
      </w:r>
      <w:proofErr w:type="spellEnd"/>
      <w:r w:rsidRPr="00B53887">
        <w:t xml:space="preserve"> </w:t>
      </w:r>
      <w:proofErr w:type="spellStart"/>
      <w:r w:rsidRPr="00B53887">
        <w:t>mbikëqyrëse</w:t>
      </w:r>
      <w:proofErr w:type="spellEnd"/>
      <w:r w:rsidRPr="00B53887">
        <w:t xml:space="preserve"> </w:t>
      </w:r>
      <w:proofErr w:type="spellStart"/>
      <w:r w:rsidRPr="00B53887">
        <w:t>dhe</w:t>
      </w:r>
      <w:proofErr w:type="spellEnd"/>
      <w:r w:rsidRPr="00B53887">
        <w:t xml:space="preserve"> </w:t>
      </w:r>
      <w:proofErr w:type="spellStart"/>
      <w:r w:rsidRPr="00B53887">
        <w:t>sanksionet</w:t>
      </w:r>
      <w:proofErr w:type="spellEnd"/>
      <w:r w:rsidRPr="00B53887">
        <w:t xml:space="preserve">: </w:t>
      </w:r>
      <w:proofErr w:type="spellStart"/>
      <w:r w:rsidRPr="00B53887">
        <w:t>numri</w:t>
      </w:r>
      <w:proofErr w:type="spellEnd"/>
      <w:r w:rsidRPr="00B53887">
        <w:t xml:space="preserve">, </w:t>
      </w:r>
      <w:proofErr w:type="spellStart"/>
      <w:r w:rsidRPr="00B53887">
        <w:t>lloji</w:t>
      </w:r>
      <w:proofErr w:type="spellEnd"/>
      <w:r w:rsidRPr="00B53887">
        <w:t xml:space="preserve">, </w:t>
      </w:r>
      <w:proofErr w:type="spellStart"/>
      <w:r w:rsidRPr="00B53887">
        <w:t>kohëzgjatja</w:t>
      </w:r>
      <w:proofErr w:type="spellEnd"/>
      <w:r w:rsidRPr="00B53887">
        <w:t xml:space="preserve">, </w:t>
      </w:r>
      <w:proofErr w:type="spellStart"/>
      <w:r w:rsidRPr="00B53887">
        <w:t>shkaku</w:t>
      </w:r>
      <w:proofErr w:type="spellEnd"/>
      <w:r w:rsidRPr="00B53887">
        <w:t xml:space="preserve"> </w:t>
      </w:r>
      <w:proofErr w:type="spellStart"/>
      <w:r w:rsidRPr="00B53887">
        <w:t>dhe</w:t>
      </w:r>
      <w:proofErr w:type="spellEnd"/>
      <w:r w:rsidRPr="00B53887">
        <w:t xml:space="preserve"> </w:t>
      </w:r>
      <w:proofErr w:type="spellStart"/>
      <w:r w:rsidRPr="00B53887">
        <w:t>rezultati</w:t>
      </w:r>
      <w:proofErr w:type="spellEnd"/>
      <w:r w:rsidRPr="00B53887">
        <w:t xml:space="preserve"> </w:t>
      </w:r>
      <w:proofErr w:type="spellStart"/>
      <w:r w:rsidRPr="00B53887">
        <w:t>i</w:t>
      </w:r>
      <w:proofErr w:type="spellEnd"/>
      <w:r w:rsidRPr="00B53887">
        <w:t xml:space="preserve"> </w:t>
      </w:r>
      <w:proofErr w:type="spellStart"/>
      <w:r w:rsidRPr="00B53887">
        <w:t>masave</w:t>
      </w:r>
      <w:proofErr w:type="spellEnd"/>
      <w:r w:rsidRPr="00B53887">
        <w:t xml:space="preserve">; </w:t>
      </w:r>
      <w:proofErr w:type="spellStart"/>
      <w:r w:rsidRPr="00B53887">
        <w:t>burimi</w:t>
      </w:r>
      <w:proofErr w:type="spellEnd"/>
      <w:r w:rsidRPr="00B53887">
        <w:t xml:space="preserve">: </w:t>
      </w:r>
      <w:proofErr w:type="spellStart"/>
      <w:r w:rsidRPr="00B53887">
        <w:t>vendimet</w:t>
      </w:r>
      <w:proofErr w:type="spellEnd"/>
      <w:r w:rsidRPr="00B53887">
        <w:t xml:space="preserve"> e AMF-</w:t>
      </w:r>
      <w:proofErr w:type="spellStart"/>
      <w:r w:rsidRPr="00B53887">
        <w:t>së</w:t>
      </w:r>
      <w:proofErr w:type="spellEnd"/>
      <w:r w:rsidRPr="00B53887">
        <w:t xml:space="preserve"> </w:t>
      </w:r>
      <w:proofErr w:type="spellStart"/>
      <w:r w:rsidRPr="00B53887">
        <w:t>dhe</w:t>
      </w:r>
      <w:proofErr w:type="spellEnd"/>
      <w:r w:rsidRPr="00B53887">
        <w:t xml:space="preserve"> </w:t>
      </w:r>
      <w:proofErr w:type="spellStart"/>
      <w:r w:rsidRPr="00B53887">
        <w:t>informacioni</w:t>
      </w:r>
      <w:proofErr w:type="spellEnd"/>
      <w:r w:rsidRPr="00B53887">
        <w:t xml:space="preserve"> </w:t>
      </w:r>
      <w:proofErr w:type="spellStart"/>
      <w:r w:rsidRPr="00B53887">
        <w:t>i</w:t>
      </w:r>
      <w:proofErr w:type="spellEnd"/>
      <w:r w:rsidRPr="00B53887">
        <w:t xml:space="preserve"> </w:t>
      </w:r>
      <w:proofErr w:type="spellStart"/>
      <w:r w:rsidRPr="00B53887">
        <w:t>Bankës</w:t>
      </w:r>
      <w:proofErr w:type="spellEnd"/>
      <w:r w:rsidRPr="00B53887">
        <w:t xml:space="preserve"> </w:t>
      </w:r>
      <w:proofErr w:type="spellStart"/>
      <w:r w:rsidRPr="00B53887">
        <w:t>së</w:t>
      </w:r>
      <w:proofErr w:type="spellEnd"/>
      <w:r w:rsidRPr="00B53887">
        <w:t xml:space="preserve"> </w:t>
      </w:r>
      <w:proofErr w:type="spellStart"/>
      <w:r w:rsidRPr="00B53887">
        <w:t>Shqipërisë</w:t>
      </w:r>
      <w:proofErr w:type="spellEnd"/>
      <w:r w:rsidRPr="00B53887">
        <w:t xml:space="preserve">; </w:t>
      </w:r>
      <w:proofErr w:type="spellStart"/>
      <w:r w:rsidRPr="00B53887">
        <w:t>periodiciteti</w:t>
      </w:r>
      <w:proofErr w:type="spellEnd"/>
      <w:r w:rsidRPr="00B53887">
        <w:t xml:space="preserve">: </w:t>
      </w:r>
      <w:proofErr w:type="spellStart"/>
      <w:r w:rsidRPr="00B53887">
        <w:t>vjetor</w:t>
      </w:r>
      <w:proofErr w:type="spellEnd"/>
      <w:r w:rsidRPr="00B53887">
        <w:t>.</w:t>
      </w:r>
    </w:p>
    <w:p w14:paraId="700CD1BA" w14:textId="77777777" w:rsidR="005A32F9" w:rsidRPr="006916B7" w:rsidRDefault="00000000">
      <w:pPr>
        <w:pStyle w:val="ListBullet"/>
        <w:spacing w:after="40"/>
        <w:ind w:left="312" w:hanging="142"/>
        <w:jc w:val="both"/>
        <w:rPr>
          <w:lang w:val="it-IT"/>
        </w:rPr>
      </w:pPr>
      <w:proofErr w:type="spellStart"/>
      <w:r w:rsidRPr="00B53887">
        <w:t>Zhvillimi</w:t>
      </w:r>
      <w:proofErr w:type="spellEnd"/>
      <w:r w:rsidRPr="00B53887">
        <w:t xml:space="preserve"> </w:t>
      </w:r>
      <w:proofErr w:type="spellStart"/>
      <w:r w:rsidRPr="00B53887">
        <w:t>i</w:t>
      </w:r>
      <w:proofErr w:type="spellEnd"/>
      <w:r w:rsidRPr="00B53887">
        <w:t xml:space="preserve"> </w:t>
      </w:r>
      <w:proofErr w:type="spellStart"/>
      <w:r w:rsidRPr="00B53887">
        <w:t>tregut</w:t>
      </w:r>
      <w:proofErr w:type="spellEnd"/>
      <w:r w:rsidRPr="00B53887">
        <w:t xml:space="preserve">: </w:t>
      </w:r>
      <w:proofErr w:type="spellStart"/>
      <w:r w:rsidRPr="00B53887">
        <w:t>numri</w:t>
      </w:r>
      <w:proofErr w:type="spellEnd"/>
      <w:r w:rsidRPr="00B53887">
        <w:t xml:space="preserve"> </w:t>
      </w:r>
      <w:proofErr w:type="spellStart"/>
      <w:r w:rsidRPr="00B53887">
        <w:t>i</w:t>
      </w:r>
      <w:proofErr w:type="spellEnd"/>
      <w:r w:rsidRPr="00B53887">
        <w:t xml:space="preserve"> </w:t>
      </w:r>
      <w:proofErr w:type="spellStart"/>
      <w:r w:rsidRPr="00B53887">
        <w:t>institucioneve</w:t>
      </w:r>
      <w:proofErr w:type="spellEnd"/>
      <w:r w:rsidRPr="00B53887">
        <w:t xml:space="preserve"> </w:t>
      </w:r>
      <w:proofErr w:type="spellStart"/>
      <w:r w:rsidRPr="00B53887">
        <w:t>që</w:t>
      </w:r>
      <w:proofErr w:type="spellEnd"/>
      <w:r w:rsidRPr="00B53887">
        <w:t xml:space="preserve"> </w:t>
      </w:r>
      <w:proofErr w:type="spellStart"/>
      <w:r w:rsidRPr="00B53887">
        <w:t>aplikojnë</w:t>
      </w:r>
      <w:proofErr w:type="spellEnd"/>
      <w:r w:rsidRPr="00B53887">
        <w:t xml:space="preserve"> </w:t>
      </w:r>
      <w:proofErr w:type="spellStart"/>
      <w:r w:rsidRPr="00B53887">
        <w:t>ose</w:t>
      </w:r>
      <w:proofErr w:type="spellEnd"/>
      <w:r w:rsidRPr="00B53887">
        <w:t xml:space="preserve"> </w:t>
      </w:r>
      <w:proofErr w:type="spellStart"/>
      <w:r w:rsidRPr="00B53887">
        <w:t>emetojnë</w:t>
      </w:r>
      <w:proofErr w:type="spellEnd"/>
      <w:r w:rsidRPr="00B53887">
        <w:t xml:space="preserve">, </w:t>
      </w:r>
      <w:proofErr w:type="spellStart"/>
      <w:r w:rsidRPr="00B53887">
        <w:t>numri</w:t>
      </w:r>
      <w:proofErr w:type="spellEnd"/>
      <w:r w:rsidRPr="00B53887">
        <w:t xml:space="preserve"> </w:t>
      </w:r>
      <w:proofErr w:type="spellStart"/>
      <w:r w:rsidRPr="00B53887">
        <w:t>dhe</w:t>
      </w:r>
      <w:proofErr w:type="spellEnd"/>
      <w:r w:rsidRPr="00B53887">
        <w:t xml:space="preserve"> </w:t>
      </w:r>
      <w:proofErr w:type="spellStart"/>
      <w:r w:rsidRPr="00B53887">
        <w:t>vlera</w:t>
      </w:r>
      <w:proofErr w:type="spellEnd"/>
      <w:r w:rsidRPr="00B53887">
        <w:t xml:space="preserve"> e </w:t>
      </w:r>
      <w:proofErr w:type="spellStart"/>
      <w:r w:rsidRPr="00B53887">
        <w:t>programeve</w:t>
      </w:r>
      <w:proofErr w:type="spellEnd"/>
      <w:r w:rsidRPr="00B53887">
        <w:t xml:space="preserve">, </w:t>
      </w:r>
      <w:proofErr w:type="spellStart"/>
      <w:r w:rsidRPr="00B53887">
        <w:t>maturiteti</w:t>
      </w:r>
      <w:proofErr w:type="spellEnd"/>
      <w:r w:rsidRPr="00B53887">
        <w:t>, spread-</w:t>
      </w:r>
      <w:proofErr w:type="spellStart"/>
      <w:r w:rsidRPr="00B53887">
        <w:t>i</w:t>
      </w:r>
      <w:proofErr w:type="spellEnd"/>
      <w:r w:rsidRPr="00B53887">
        <w:t xml:space="preserve">, </w:t>
      </w:r>
      <w:proofErr w:type="spellStart"/>
      <w:r w:rsidRPr="00B53887">
        <w:t>struktura</w:t>
      </w:r>
      <w:proofErr w:type="spellEnd"/>
      <w:r w:rsidRPr="00B53887">
        <w:t xml:space="preserve"> e </w:t>
      </w:r>
      <w:proofErr w:type="spellStart"/>
      <w:r w:rsidRPr="00B53887">
        <w:t>investitorëve</w:t>
      </w:r>
      <w:proofErr w:type="spellEnd"/>
      <w:r w:rsidRPr="00B53887">
        <w:t xml:space="preserve"> </w:t>
      </w:r>
      <w:proofErr w:type="spellStart"/>
      <w:r w:rsidRPr="00B53887">
        <w:t>dhe</w:t>
      </w:r>
      <w:proofErr w:type="spellEnd"/>
      <w:r w:rsidRPr="00B53887">
        <w:t xml:space="preserve"> </w:t>
      </w:r>
      <w:proofErr w:type="spellStart"/>
      <w:r w:rsidRPr="00B53887">
        <w:t>tregtimi</w:t>
      </w:r>
      <w:proofErr w:type="spellEnd"/>
      <w:r w:rsidRPr="00B53887">
        <w:t xml:space="preserve"> </w:t>
      </w:r>
      <w:proofErr w:type="spellStart"/>
      <w:r w:rsidRPr="00B53887">
        <w:t>sekondar</w:t>
      </w:r>
      <w:proofErr w:type="spellEnd"/>
      <w:r w:rsidRPr="00B53887">
        <w:t xml:space="preserve">; </w:t>
      </w:r>
      <w:proofErr w:type="spellStart"/>
      <w:r w:rsidRPr="00B53887">
        <w:t>burimi</w:t>
      </w:r>
      <w:proofErr w:type="spellEnd"/>
      <w:r w:rsidRPr="00B53887">
        <w:t xml:space="preserve">: </w:t>
      </w:r>
      <w:proofErr w:type="spellStart"/>
      <w:r w:rsidRPr="00B53887">
        <w:t>emetuesit</w:t>
      </w:r>
      <w:proofErr w:type="spellEnd"/>
      <w:r w:rsidRPr="00B53887">
        <w:t xml:space="preserve"> </w:t>
      </w:r>
      <w:proofErr w:type="spellStart"/>
      <w:r w:rsidRPr="00B53887">
        <w:t>dhe</w:t>
      </w:r>
      <w:proofErr w:type="spellEnd"/>
      <w:r w:rsidRPr="00B53887">
        <w:t xml:space="preserve"> </w:t>
      </w:r>
      <w:proofErr w:type="spellStart"/>
      <w:r w:rsidRPr="00B53887">
        <w:t>infrastruktura</w:t>
      </w:r>
      <w:proofErr w:type="spellEnd"/>
      <w:r w:rsidRPr="00B53887">
        <w:t xml:space="preserve"> e </w:t>
      </w:r>
      <w:proofErr w:type="spellStart"/>
      <w:r w:rsidRPr="00B53887">
        <w:t>tregut</w:t>
      </w:r>
      <w:proofErr w:type="spellEnd"/>
      <w:r w:rsidRPr="00B53887">
        <w:t xml:space="preserve">; </w:t>
      </w:r>
      <w:proofErr w:type="spellStart"/>
      <w:r w:rsidRPr="00B53887">
        <w:t>periodiciteti</w:t>
      </w:r>
      <w:proofErr w:type="spellEnd"/>
      <w:r w:rsidRPr="00B53887">
        <w:t xml:space="preserve">: </w:t>
      </w:r>
      <w:proofErr w:type="spellStart"/>
      <w:r w:rsidRPr="00B53887">
        <w:t>vjetor</w:t>
      </w:r>
      <w:proofErr w:type="spellEnd"/>
      <w:r w:rsidRPr="00B53887">
        <w:t xml:space="preserve">. </w:t>
      </w:r>
      <w:r>
        <w:t xml:space="preserve">Këta </w:t>
      </w:r>
      <w:proofErr w:type="spellStart"/>
      <w:r>
        <w:t>janë</w:t>
      </w:r>
      <w:proofErr w:type="spellEnd"/>
      <w:r>
        <w:t xml:space="preserve"> </w:t>
      </w:r>
      <w:proofErr w:type="spellStart"/>
      <w:r>
        <w:t>tregues</w:t>
      </w:r>
      <w:proofErr w:type="spellEnd"/>
      <w:r>
        <w:t xml:space="preserve"> </w:t>
      </w:r>
      <w:proofErr w:type="spellStart"/>
      <w:r>
        <w:t>rezultati</w:t>
      </w:r>
      <w:proofErr w:type="spellEnd"/>
      <w:r>
        <w:t xml:space="preserve"> </w:t>
      </w:r>
      <w:proofErr w:type="spellStart"/>
      <w:r>
        <w:t>dhe</w:t>
      </w:r>
      <w:proofErr w:type="spellEnd"/>
      <w:r>
        <w:t xml:space="preserve"> jo targete detyruese.</w:t>
      </w:r>
    </w:p>
    <w:p w14:paraId="36D6B7CB" w14:textId="77777777" w:rsidR="005A32F9" w:rsidRPr="006916B7" w:rsidRDefault="00000000">
      <w:pPr>
        <w:pStyle w:val="ListBullet"/>
        <w:spacing w:after="40"/>
        <w:ind w:left="312" w:hanging="142"/>
        <w:jc w:val="both"/>
        <w:rPr>
          <w:lang w:val="it-IT"/>
        </w:rPr>
      </w:pPr>
      <w:r w:rsidRPr="00CA5C1B">
        <w:rPr>
          <w:lang w:val="it-IT"/>
        </w:rPr>
        <w:t>Efikasiteti dhe gatishmëria për BE-në: kostoja reale një herë dhe e vazhdueshme për program, kostoja institucionale, funksionaliteti i formateve elektronike dhe aftësia për aktivizimin e ESAP; burimi: anketa, sistemet e autoriteteve dhe vlerësimi ex post; periodiciteti: vjetor/ex post.</w:t>
      </w:r>
    </w:p>
    <w:p w14:paraId="6655BDE3" w14:textId="77777777" w:rsidR="000C305C" w:rsidRPr="00B53887" w:rsidRDefault="00000000">
      <w:pPr>
        <w:pStyle w:val="Heading2"/>
        <w:rPr>
          <w:lang w:val="it-IT"/>
        </w:rPr>
      </w:pPr>
      <w:r w:rsidRPr="00B53887">
        <w:rPr>
          <w:lang w:val="it-IT"/>
        </w:rPr>
        <w:t>Raportimi i rezultateve dhe përdorimi i tyre</w:t>
      </w:r>
    </w:p>
    <w:p w14:paraId="026290D3" w14:textId="77777777" w:rsidR="000C305C" w:rsidRPr="00B53887" w:rsidRDefault="00000000">
      <w:pPr>
        <w:rPr>
          <w:lang w:val="it-IT"/>
        </w:rPr>
      </w:pPr>
      <w:r w:rsidRPr="00B53887">
        <w:rPr>
          <w:lang w:val="it-IT"/>
        </w:rPr>
        <w:t>AMF-ja përgatit përmbledhje vjetore mbi zhvillimin dhe mbikëqyrjen e tregut të obligacioneve të mbuluara, duke përfshirë programet, përmbushjen e kërkesave, masat, sanksionet dhe treguesit e tregut. Informacioni publik paraqitet në mënyrë që të mos cenojë konfidencialitetin ose stabilitetin e institucioneve.</w:t>
      </w:r>
    </w:p>
    <w:p w14:paraId="1A5A9C96" w14:textId="77777777" w:rsidR="000C305C" w:rsidRPr="00B53887" w:rsidRDefault="00000000">
      <w:pPr>
        <w:rPr>
          <w:lang w:val="it-IT"/>
        </w:rPr>
      </w:pPr>
      <w:r w:rsidRPr="00B53887">
        <w:rPr>
          <w:lang w:val="it-IT"/>
        </w:rPr>
        <w:t>Rezultatet e monitorimit përdoren për planin e mbikëqyrjes me bazë rreziku, përditësimin e formularëve, udhëzimeve dhe akteve nënligjore, si dhe për përcaktimin e nevojave për trajnim dhe sisteme. Mangësitë e përsëritura ose kostot e pajustifikuara trajtohen me masa rregullatore ose procedurale.</w:t>
      </w:r>
    </w:p>
    <w:p w14:paraId="2135E73C" w14:textId="77777777" w:rsidR="000C305C" w:rsidRPr="00B53887" w:rsidRDefault="00000000">
      <w:pPr>
        <w:rPr>
          <w:lang w:val="it-IT"/>
        </w:rPr>
      </w:pPr>
      <w:r w:rsidRPr="00B53887">
        <w:rPr>
          <w:lang w:val="it-IT"/>
        </w:rPr>
        <w:t>Ministria e Financave informohet mbi ecurinë e zbatimit dhe çështjet që kërkojnë ndryshim ligjor ose koordinim qeveritar. Banka e Shqipërisë dhe AMF-ja shkëmbejnë rezultatet që lidhen me stabilitetin, likuiditetin, përqendrimet dhe rastet e ndërhyrjes, duke ruajtur pavarësinë e vendimmarrjes sipas kompetencave.</w:t>
      </w:r>
    </w:p>
    <w:p w14:paraId="2BF4B0E1" w14:textId="77777777" w:rsidR="005A32F9" w:rsidRPr="006916B7" w:rsidRDefault="00000000">
      <w:pPr>
        <w:pStyle w:val="Heading2"/>
        <w:rPr>
          <w:lang w:val="it-IT"/>
        </w:rPr>
      </w:pPr>
      <w:r w:rsidRPr="006916B7">
        <w:rPr>
          <w:rFonts w:ascii="Times New Roman" w:eastAsia="Times New Roman" w:hAnsi="Times New Roman"/>
          <w:lang w:val="it-IT"/>
        </w:rPr>
        <w:t>Vlerësimi ex post</w:t>
      </w:r>
    </w:p>
    <w:p w14:paraId="65327789" w14:textId="77777777" w:rsidR="005A32F9" w:rsidRPr="006916B7" w:rsidRDefault="00000000" w:rsidP="00A97B2A">
      <w:pPr>
        <w:jc w:val="both"/>
        <w:rPr>
          <w:lang w:val="it-IT"/>
        </w:rPr>
      </w:pPr>
      <w:r w:rsidRPr="00CA5C1B">
        <w:rPr>
          <w:lang w:val="it-IT"/>
        </w:rPr>
        <w:t>Vlerësimi ex post kryhet brenda 24 muajve nga fillimi i zbatimit praktik ose nga miratimi i programit të parë, cilado ndodh më vonë. Ai vlerëson: efektivitetin – nëse kuadri garanton mbrojtjen, mbulimin, likuiditetin dhe transparencën; efikasitetin – nëse kostot reale dhe përfitimet janë në përputhje me parashikimet; koherencën – nëse bashkëpunimi AMF–Banka e Shqipërisë dhe ndërveprimi me likuidimin funksionojnë pa boshllëqe; proporcionalitetin – nëse kërkesat dhe tarifat janë të arsyeshme; ndikimin në treg – numrin dhe vlerën e programeve, bazën e investitorëve, maturitetin, spread-et dhe likuiditetin; si dhe gatishmërinë për BE-në. Vlerësimi nuk e gjykon suksesin vetëm nga arritja e një numri të paracaktuar emetuesish, por nga krijimi i një kuadri funksional, niveli i pajtueshmërisë dhe zhvillimi faktik i tregut në kushtet ekonomike përkatëse.</w:t>
      </w:r>
    </w:p>
    <w:p w14:paraId="5C20ADC4" w14:textId="77777777" w:rsidR="000C305C" w:rsidRPr="00B53887" w:rsidRDefault="00000000" w:rsidP="00A97B2A">
      <w:pPr>
        <w:jc w:val="both"/>
        <w:rPr>
          <w:lang w:val="it-IT"/>
        </w:rPr>
      </w:pPr>
      <w:r w:rsidRPr="00B53887">
        <w:rPr>
          <w:lang w:val="it-IT"/>
        </w:rPr>
        <w:t>Vlerësimi ex post përdor të njëjtën logjikë ndërhyrjeje dhe të njëjtët tregues si RIA, në mënyrë që rezultatet të jenë të krahasueshme. Ai analizon nëse problemi fillestar është zvogëluar, nëse objektivat SMART janë arritur, nëse opsioni i preferuar ka prodhuar përfitimet e pritshme dhe nëse kostot janë proporcionale.</w:t>
      </w:r>
    </w:p>
    <w:p w14:paraId="6CB720BA" w14:textId="77777777" w:rsidR="000C305C" w:rsidRPr="00B53887" w:rsidRDefault="00000000" w:rsidP="00A97B2A">
      <w:pPr>
        <w:jc w:val="both"/>
        <w:rPr>
          <w:lang w:val="it-IT"/>
        </w:rPr>
      </w:pPr>
      <w:r w:rsidRPr="00B53887">
        <w:rPr>
          <w:lang w:val="it-IT"/>
        </w:rPr>
        <w:t>Vlerësimi përfshin intervista dhe anketa me emetuesit, investitorët, monitoruesit, profesionistët dhe infrastrukturën e tregut; analizën e dosjeve të autorizimit dhe mbikëqyrjes; krahasimin e kostove reale me Standard Cost Model; dhe shqyrtimin e të dhënave për spread-et, maturitetin, investitorët dhe tregtimin.</w:t>
      </w:r>
    </w:p>
    <w:p w14:paraId="486F6852" w14:textId="77777777" w:rsidR="000C305C" w:rsidRPr="00B53887" w:rsidRDefault="00000000" w:rsidP="00A97B2A">
      <w:pPr>
        <w:jc w:val="both"/>
        <w:rPr>
          <w:lang w:val="it-IT"/>
        </w:rPr>
      </w:pPr>
      <w:r w:rsidRPr="00B53887">
        <w:rPr>
          <w:lang w:val="it-IT"/>
        </w:rPr>
        <w:t>Rekomandimet mund të përfshijnë ndryshim të akteve nënligjore, përmirësim të të dhënave, rishikim të tarifave, ndryshim të proceseve ose, kur është e nevojshme, ndryshim ligjor. Raporti duhet të shpjegojë çdo devijim nga objektivat dhe të përcaktojë përgjegjësi dhe afate për masat pasuese.</w:t>
      </w:r>
    </w:p>
    <w:p w14:paraId="7501E93A" w14:textId="77777777" w:rsidR="000C305C" w:rsidRPr="00B53887" w:rsidRDefault="00000000">
      <w:pPr>
        <w:pStyle w:val="Heading2"/>
        <w:rPr>
          <w:lang w:val="it-IT"/>
        </w:rPr>
      </w:pPr>
      <w:r w:rsidRPr="00B53887">
        <w:rPr>
          <w:lang w:val="it-IT"/>
        </w:rPr>
        <w:t>Plani i mbledhjes së të dhënave për vlerësimin ex post</w:t>
      </w:r>
    </w:p>
    <w:p w14:paraId="655D554C" w14:textId="77777777" w:rsidR="000C305C" w:rsidRPr="00B53887" w:rsidRDefault="00000000" w:rsidP="00A97B2A">
      <w:pPr>
        <w:jc w:val="both"/>
        <w:rPr>
          <w:lang w:val="it-IT"/>
        </w:rPr>
      </w:pPr>
      <w:r w:rsidRPr="00B53887">
        <w:rPr>
          <w:lang w:val="it-IT"/>
        </w:rPr>
        <w:t>Mbledhja e të dhënave fillon nga data e zbatimit dhe nuk shtyhet deri në momentin e vlerësimit. Për secilin tregues caktohet institucioni përgjegjës, burimi, periodiciteti dhe formati. AMF-ja administron të dhënat për aplikimet, programet, raportimet, publikimet, masat dhe kostot e mbikëqyrjes; Banka e Shqipërisë administron treguesit prudencialë, opinionet, likuiditetin dhe informacionin e lidhur me ndërhyrjen e jashtëzakonshme.</w:t>
      </w:r>
    </w:p>
    <w:p w14:paraId="489E2EEF" w14:textId="77777777" w:rsidR="000C305C" w:rsidRPr="00B53887" w:rsidRDefault="00000000" w:rsidP="00A97B2A">
      <w:pPr>
        <w:jc w:val="both"/>
        <w:rPr>
          <w:lang w:val="it-IT"/>
        </w:rPr>
      </w:pPr>
      <w:r w:rsidRPr="00B53887">
        <w:rPr>
          <w:lang w:val="it-IT"/>
        </w:rPr>
        <w:t>Për kostot e emetuesve përdoret formular i standardizuar që ndan kostot e njëhershme dhe të vazhdueshme: kohën e stafit, këshillimin ligjor dhe financiar, zhvillimin e sistemeve, monitoruesin, auditimin, vlerësimin e kolateralit, raportimin dhe kostot e likuiditetit. Të dhënat mblidhen pas miratimit të programit dhe përditësohen çdo vit, duke shmangur publikimin e informacionit tregtar konfidencial.</w:t>
      </w:r>
    </w:p>
    <w:p w14:paraId="777B56FF" w14:textId="77777777" w:rsidR="000C305C" w:rsidRPr="00B53887" w:rsidRDefault="00000000" w:rsidP="00A97B2A">
      <w:pPr>
        <w:jc w:val="both"/>
        <w:rPr>
          <w:lang w:val="it-IT"/>
        </w:rPr>
      </w:pPr>
      <w:r w:rsidRPr="00B53887">
        <w:rPr>
          <w:lang w:val="it-IT"/>
        </w:rPr>
        <w:t>Për përfitimet dhe zhvillimin e tregut mblidhen të dhëna mbi vlerën dhe maturitetin e emetimeve, strukturën e investitorëve, kushtet e financimit, spread-in ndaj instrumenteve të krahasueshme, tregtimin sekondar dhe përdorimin e fondeve. Kur nuk mund të izolohet ndikimi i ligjit nga kushtet e tregut, raporti evidenton kufizimin dhe përdor krahasime para/pas, krahasime ndërmjet instrumenteve dhe vlerësim cilësor nga pjesëmarrësit.</w:t>
      </w:r>
    </w:p>
    <w:p w14:paraId="51C55C1D" w14:textId="77777777" w:rsidR="000C305C" w:rsidRPr="00B53887" w:rsidRDefault="00000000">
      <w:pPr>
        <w:rPr>
          <w:lang w:val="it-IT"/>
        </w:rPr>
      </w:pPr>
      <w:r w:rsidRPr="00B53887">
        <w:rPr>
          <w:lang w:val="it-IT"/>
        </w:rPr>
        <w:lastRenderedPageBreak/>
        <w:t>Për cilësinë e zbatimit analizohen plotësia dhe saktësia e të dhënave, numri i kërkesave për korrigjim, koha e shqyrtimit, rastet e mospërputhjes, masat e marra dhe përsëritja e shkeljeve. Përvoja e monitoruesve, audituesve, investitorëve dhe infrastrukturës së tregut merret përmes pyetësorëve dhe takimeve të strukturuara. Të gjitha burimet dhe metodat dokumentohen në dosjen e vlerësimit.</w:t>
      </w:r>
    </w:p>
    <w:p w14:paraId="1B6B9888" w14:textId="77777777" w:rsidR="000C305C" w:rsidRDefault="00000000">
      <w:pPr>
        <w:pStyle w:val="Heading2"/>
      </w:pPr>
      <w:proofErr w:type="spellStart"/>
      <w:r>
        <w:t>Kriteret</w:t>
      </w:r>
      <w:proofErr w:type="spellEnd"/>
      <w:r>
        <w:t xml:space="preserve"> e </w:t>
      </w:r>
      <w:proofErr w:type="spellStart"/>
      <w:r>
        <w:t>vlerësimit</w:t>
      </w:r>
      <w:proofErr w:type="spellEnd"/>
      <w:r>
        <w:t xml:space="preserve"> ex post</w:t>
      </w:r>
    </w:p>
    <w:p w14:paraId="09C764A3" w14:textId="77777777" w:rsidR="000C305C" w:rsidRDefault="00000000" w:rsidP="00A97B2A">
      <w:pPr>
        <w:pStyle w:val="ListBullet"/>
        <w:jc w:val="both"/>
      </w:pPr>
      <w:r>
        <w:t>Efektiviteti: nëse kuadri ka krijuar programe të autorizuara dhe ka garantuar veçimin, mbulimin, likuiditetin, transparencën, monitorimin dhe vazhdimësinë e pagesave sipas objektivave të përcaktuara.</w:t>
      </w:r>
    </w:p>
    <w:p w14:paraId="416C82C7" w14:textId="77777777" w:rsidR="000C305C" w:rsidRDefault="00000000" w:rsidP="00A97B2A">
      <w:pPr>
        <w:pStyle w:val="ListBullet"/>
        <w:jc w:val="both"/>
      </w:pPr>
      <w:r>
        <w:t>Efikasiteti: nëse kostot reale të emetuesve, autoriteteve dhe profesionistëve janë në përputhje me parashikimet dhe nëse proceset mund të thjeshtohen pa ulur standardet e mbrojtjes.</w:t>
      </w:r>
    </w:p>
    <w:p w14:paraId="7AE1E3A8" w14:textId="77777777" w:rsidR="000C305C" w:rsidRDefault="00000000" w:rsidP="00A97B2A">
      <w:pPr>
        <w:pStyle w:val="ListBullet"/>
        <w:jc w:val="both"/>
      </w:pPr>
      <w:r>
        <w:t>Koherenca: nëse ligji dhe aktet nënligjore funksionojnë në mënyrë të harmonizuar me kuadrin bankar, prospektin, tregtimin, ndërhyrjen e jashtëzakonshme, likuidimin, kolateralin dhe mbrojtjen e të dhënave.</w:t>
      </w:r>
    </w:p>
    <w:p w14:paraId="46E79C4B" w14:textId="77777777" w:rsidR="000C305C" w:rsidRDefault="00000000" w:rsidP="00A97B2A">
      <w:pPr>
        <w:pStyle w:val="ListBullet"/>
        <w:jc w:val="both"/>
      </w:pPr>
      <w:r>
        <w:t>Proporcionaliteti: nëse dokumentacioni, raportimi, tarifat, frekuenca e kontrolleve dhe masat mbikëqyrëse janë të nevojshme dhe të arsyeshme në raport me madhësinë, kompleksitetin dhe rrezikun e programit.</w:t>
      </w:r>
    </w:p>
    <w:p w14:paraId="3E63B141" w14:textId="77777777" w:rsidR="000C305C" w:rsidRDefault="00000000" w:rsidP="00A97B2A">
      <w:pPr>
        <w:pStyle w:val="ListBullet"/>
        <w:jc w:val="both"/>
      </w:pPr>
      <w:r>
        <w:t>Ndikimi në treg: nëse kuadri ka përmirësuar diversifikimin e financimit, gamën e instrumenteve, pjesëmarrjen e investitorëve, transparencën dhe kushtet për tregtim, pa krijuar përqendrim ose avantazhe të pajustifikuara.</w:t>
      </w:r>
    </w:p>
    <w:p w14:paraId="1193D372" w14:textId="77777777" w:rsidR="000C305C" w:rsidRDefault="00000000" w:rsidP="00A97B2A">
      <w:pPr>
        <w:pStyle w:val="ListBullet"/>
        <w:jc w:val="both"/>
      </w:pPr>
      <w:r>
        <w:t>Stabiliteti financiar dhe mbrojtja e investitorëve: nëse programet kanë ruajtur cilësinë e aktiveve dhe likuiditetin, nëse rreziqet janë identifikuar në kohë dhe nëse investitorët kanë marrë informacion të plotë dhe të kuptueshëm.</w:t>
      </w:r>
    </w:p>
    <w:p w14:paraId="6F23852B" w14:textId="77777777" w:rsidR="000C305C" w:rsidRDefault="00000000" w:rsidP="00A97B2A">
      <w:pPr>
        <w:pStyle w:val="ListBullet"/>
        <w:jc w:val="both"/>
      </w:pPr>
      <w:r>
        <w:t>Gatishmëria për Bashkimin Evropian: nëse transpozimi, procedurat, formatet e të dhënave dhe sistemet mundësojnë aktivizimin e kërkesave për ESAP dhe bashkëpunimin me autoritetet evropiane nga data e anëtarësimit.</w:t>
      </w:r>
    </w:p>
    <w:p w14:paraId="40B8AAC6" w14:textId="77777777" w:rsidR="000C305C" w:rsidRDefault="00000000" w:rsidP="00A97B2A">
      <w:pPr>
        <w:pStyle w:val="ListBullet"/>
        <w:jc w:val="both"/>
      </w:pPr>
      <w:r>
        <w:t>Ndikimet e paparashikuara: nëse janë shfaqur kosto, pengesa për konkurrencën, rreziqe të reja, boshllëqe në likuidim, vështirësi të të dhënave ose sjellje të tregut që nuk ishin identifikuar në RIA.</w:t>
      </w:r>
    </w:p>
    <w:p w14:paraId="077C33FE" w14:textId="77777777" w:rsidR="000C305C" w:rsidRDefault="00000000">
      <w:pPr>
        <w:pStyle w:val="Heading2"/>
      </w:pPr>
      <w:r>
        <w:t>Mekanizmi i rishikimit dhe ndjekja e rekomandimeve</w:t>
      </w:r>
    </w:p>
    <w:p w14:paraId="42E34461" w14:textId="77777777" w:rsidR="000C305C" w:rsidRDefault="00000000" w:rsidP="00A97B2A">
      <w:pPr>
        <w:jc w:val="both"/>
      </w:pPr>
      <w:r>
        <w:t>Raporti ex post përgatitet në bashkëpunim ndërmjet Ministrisë së Financave, AMF-së dhe Bankës së Shqipërisë, duke ruajtur kompetencat e secilit institucion. Projektraporti konsultohet me grupet e prekura dhe shoqërohet me një matricë që lidh gjetjet, provat, rekomandimet, institucionin përgjegjës dhe afatin e zbatimit.</w:t>
      </w:r>
    </w:p>
    <w:p w14:paraId="23C3246B" w14:textId="77777777" w:rsidR="000C305C" w:rsidRDefault="00000000" w:rsidP="00A97B2A">
      <w:pPr>
        <w:jc w:val="both"/>
      </w:pPr>
      <w:r>
        <w:t>Rekomandimet klasifikohen sipas nivelit të ndërhyrjes: përmirësime të procedurave dhe sistemeve; ndryshime të formularëve ose udhëzimeve; ndryshime të akteve nënligjore; dhe ndryshime ligjore. Masa që prek të drejtat e investitorëve, veçimin, rendin e pretendimeve ose kompetencat themelore trajtohet vetëm me ndryshim ligjor.</w:t>
      </w:r>
    </w:p>
    <w:p w14:paraId="1058D4EC" w14:textId="77777777" w:rsidR="000C305C" w:rsidRDefault="00000000" w:rsidP="00A97B2A">
      <w:pPr>
        <w:jc w:val="both"/>
      </w:pPr>
      <w:r>
        <w:t>Brenda gjashtë muajve nga miratimi i raportit ex post, institucionet përgjegjëse publikojnë ose miratojnë planin e veprimit dhe raportojnë mbi zbatimin e tij. Kur rekomandimi nuk zbatohet, vendimi arsyetohet mbi bazën e provave, kostove, proporcionalitetit dhe përputhshmërisë me acquis. Rezultatet përdoren edhe për përditësimin e RIA-ve të ardhshme në fushën e tregjeve të kapitalit dhe shërbimeve financiare.</w:t>
      </w:r>
    </w:p>
    <w:p w14:paraId="3AED101E" w14:textId="77777777" w:rsidR="005A32F9" w:rsidRPr="00B53887" w:rsidRDefault="005A32F9">
      <w:pPr>
        <w:sectPr w:rsidR="005A32F9" w:rsidRPr="00B53887">
          <w:footerReference w:type="default" r:id="rId8"/>
          <w:pgSz w:w="11906" w:h="16838"/>
          <w:pgMar w:top="680" w:right="850" w:bottom="680" w:left="850" w:header="454" w:footer="454" w:gutter="0"/>
          <w:cols w:space="720"/>
          <w:docGrid w:linePitch="360"/>
        </w:sectPr>
      </w:pPr>
    </w:p>
    <w:p w14:paraId="33901316" w14:textId="77777777" w:rsidR="005A32F9" w:rsidRPr="006916B7" w:rsidRDefault="00000000">
      <w:pPr>
        <w:keepNext/>
        <w:spacing w:after="20"/>
        <w:rPr>
          <w:lang w:val="it-IT"/>
        </w:rPr>
      </w:pPr>
      <w:r w:rsidRPr="006916B7">
        <w:rPr>
          <w:b/>
          <w:sz w:val="22"/>
          <w:lang w:val="it-IT"/>
        </w:rPr>
        <w:lastRenderedPageBreak/>
        <w:t>Raporti i vlerësimit të ndikimit – Shtojca 2/a</w:t>
      </w:r>
    </w:p>
    <w:p w14:paraId="3938F1B5" w14:textId="77777777" w:rsidR="005A32F9" w:rsidRPr="006916B7" w:rsidRDefault="00000000">
      <w:pPr>
        <w:spacing w:after="40"/>
        <w:jc w:val="both"/>
        <w:rPr>
          <w:lang w:val="it-IT"/>
        </w:rPr>
      </w:pPr>
      <w:r w:rsidRPr="006916B7">
        <w:rPr>
          <w:i/>
          <w:sz w:val="16"/>
          <w:lang w:val="it-IT"/>
        </w:rPr>
        <w:t>Tabela: Vlera aktuale neto në total (VAN) – kostot dhe përfitimet me vlerë monetare të përcaktuar, në milionë lekë, të skontuara për 10 vjet, krahasuar me status quo-në.</w:t>
      </w:r>
    </w:p>
    <w:tbl>
      <w:tblPr>
        <w:tblW w:w="0" w:type="auto"/>
        <w:jc w:val="center"/>
        <w:tblLayout w:type="fixed"/>
        <w:tblLook w:val="04A0" w:firstRow="1" w:lastRow="0" w:firstColumn="1" w:lastColumn="0" w:noHBand="0" w:noVBand="1"/>
      </w:tblPr>
      <w:tblGrid>
        <w:gridCol w:w="3742"/>
        <w:gridCol w:w="1134"/>
        <w:gridCol w:w="1134"/>
        <w:gridCol w:w="1134"/>
        <w:gridCol w:w="1134"/>
        <w:gridCol w:w="1134"/>
        <w:gridCol w:w="1134"/>
        <w:gridCol w:w="1134"/>
        <w:gridCol w:w="1134"/>
        <w:gridCol w:w="1134"/>
        <w:gridCol w:w="1134"/>
      </w:tblGrid>
      <w:tr w:rsidR="005A32F9" w14:paraId="4C368A35" w14:textId="77777777">
        <w:trPr>
          <w:tblHeader/>
          <w:jc w:val="center"/>
        </w:trPr>
        <w:tc>
          <w:tcPr>
            <w:tcW w:w="3742" w:type="dxa"/>
            <w:tcBorders>
              <w:top w:val="single" w:sz="6" w:space="0" w:color="000000"/>
              <w:left w:val="single" w:sz="6" w:space="0" w:color="000000"/>
              <w:bottom w:val="single" w:sz="6" w:space="0" w:color="000000"/>
              <w:right w:val="single" w:sz="6" w:space="0" w:color="000000"/>
            </w:tcBorders>
            <w:shd w:val="clear" w:color="auto" w:fill="D9D9D9"/>
            <w:tcMar>
              <w:top w:w="10" w:type="dxa"/>
              <w:left w:w="25" w:type="dxa"/>
              <w:bottom w:w="10" w:type="dxa"/>
              <w:right w:w="25" w:type="dxa"/>
            </w:tcMar>
            <w:vAlign w:val="center"/>
          </w:tcPr>
          <w:p w14:paraId="589D87DE" w14:textId="77777777" w:rsidR="005A32F9" w:rsidRPr="006916B7" w:rsidRDefault="005A32F9">
            <w:pPr>
              <w:spacing w:after="0"/>
              <w:rPr>
                <w:lang w:val="it-IT"/>
              </w:rPr>
            </w:pPr>
          </w:p>
        </w:tc>
        <w:tc>
          <w:tcPr>
            <w:tcW w:w="1134" w:type="dxa"/>
            <w:tcBorders>
              <w:top w:val="single" w:sz="6" w:space="0" w:color="000000"/>
              <w:left w:val="single" w:sz="6" w:space="0" w:color="000000"/>
              <w:bottom w:val="single" w:sz="6" w:space="0" w:color="000000"/>
              <w:right w:val="single" w:sz="6" w:space="0" w:color="000000"/>
            </w:tcBorders>
            <w:shd w:val="clear" w:color="auto" w:fill="D9D9D9"/>
            <w:tcMar>
              <w:top w:w="10" w:type="dxa"/>
              <w:left w:w="25" w:type="dxa"/>
              <w:bottom w:w="10" w:type="dxa"/>
              <w:right w:w="25" w:type="dxa"/>
            </w:tcMar>
            <w:vAlign w:val="center"/>
          </w:tcPr>
          <w:p w14:paraId="2E7224B2" w14:textId="77777777" w:rsidR="005A32F9" w:rsidRDefault="00000000">
            <w:pPr>
              <w:spacing w:after="0"/>
              <w:jc w:val="center"/>
            </w:pPr>
            <w:r>
              <w:rPr>
                <w:b/>
                <w:sz w:val="13"/>
              </w:rPr>
              <w:t>Viti 1</w:t>
            </w:r>
          </w:p>
        </w:tc>
        <w:tc>
          <w:tcPr>
            <w:tcW w:w="1134" w:type="dxa"/>
            <w:tcBorders>
              <w:top w:val="single" w:sz="6" w:space="0" w:color="000000"/>
              <w:left w:val="single" w:sz="6" w:space="0" w:color="000000"/>
              <w:bottom w:val="single" w:sz="6" w:space="0" w:color="000000"/>
              <w:right w:val="single" w:sz="6" w:space="0" w:color="000000"/>
            </w:tcBorders>
            <w:shd w:val="clear" w:color="auto" w:fill="D9D9D9"/>
            <w:tcMar>
              <w:top w:w="10" w:type="dxa"/>
              <w:left w:w="25" w:type="dxa"/>
              <w:bottom w:w="10" w:type="dxa"/>
              <w:right w:w="25" w:type="dxa"/>
            </w:tcMar>
            <w:vAlign w:val="center"/>
          </w:tcPr>
          <w:p w14:paraId="6BF67A5B" w14:textId="77777777" w:rsidR="005A32F9" w:rsidRDefault="00000000">
            <w:pPr>
              <w:spacing w:after="0"/>
              <w:jc w:val="center"/>
            </w:pPr>
            <w:r>
              <w:rPr>
                <w:b/>
                <w:sz w:val="13"/>
              </w:rPr>
              <w:t>Viti 2</w:t>
            </w:r>
          </w:p>
        </w:tc>
        <w:tc>
          <w:tcPr>
            <w:tcW w:w="1134" w:type="dxa"/>
            <w:tcBorders>
              <w:top w:val="single" w:sz="6" w:space="0" w:color="000000"/>
              <w:left w:val="single" w:sz="6" w:space="0" w:color="000000"/>
              <w:bottom w:val="single" w:sz="6" w:space="0" w:color="000000"/>
              <w:right w:val="single" w:sz="6" w:space="0" w:color="000000"/>
            </w:tcBorders>
            <w:shd w:val="clear" w:color="auto" w:fill="D9D9D9"/>
            <w:tcMar>
              <w:top w:w="10" w:type="dxa"/>
              <w:left w:w="25" w:type="dxa"/>
              <w:bottom w:w="10" w:type="dxa"/>
              <w:right w:w="25" w:type="dxa"/>
            </w:tcMar>
            <w:vAlign w:val="center"/>
          </w:tcPr>
          <w:p w14:paraId="69C0F004" w14:textId="77777777" w:rsidR="005A32F9" w:rsidRDefault="00000000">
            <w:pPr>
              <w:spacing w:after="0"/>
              <w:jc w:val="center"/>
            </w:pPr>
            <w:r>
              <w:rPr>
                <w:b/>
                <w:sz w:val="13"/>
              </w:rPr>
              <w:t>Viti 3</w:t>
            </w:r>
          </w:p>
        </w:tc>
        <w:tc>
          <w:tcPr>
            <w:tcW w:w="1134" w:type="dxa"/>
            <w:tcBorders>
              <w:top w:val="single" w:sz="6" w:space="0" w:color="000000"/>
              <w:left w:val="single" w:sz="6" w:space="0" w:color="000000"/>
              <w:bottom w:val="single" w:sz="6" w:space="0" w:color="000000"/>
              <w:right w:val="single" w:sz="6" w:space="0" w:color="000000"/>
            </w:tcBorders>
            <w:shd w:val="clear" w:color="auto" w:fill="D9D9D9"/>
            <w:tcMar>
              <w:top w:w="10" w:type="dxa"/>
              <w:left w:w="25" w:type="dxa"/>
              <w:bottom w:w="10" w:type="dxa"/>
              <w:right w:w="25" w:type="dxa"/>
            </w:tcMar>
            <w:vAlign w:val="center"/>
          </w:tcPr>
          <w:p w14:paraId="29C4A624" w14:textId="77777777" w:rsidR="005A32F9" w:rsidRDefault="00000000">
            <w:pPr>
              <w:spacing w:after="0"/>
              <w:jc w:val="center"/>
            </w:pPr>
            <w:r>
              <w:rPr>
                <w:b/>
                <w:sz w:val="13"/>
              </w:rPr>
              <w:t>Viti 4</w:t>
            </w:r>
          </w:p>
        </w:tc>
        <w:tc>
          <w:tcPr>
            <w:tcW w:w="1134" w:type="dxa"/>
            <w:tcBorders>
              <w:top w:val="single" w:sz="6" w:space="0" w:color="000000"/>
              <w:left w:val="single" w:sz="6" w:space="0" w:color="000000"/>
              <w:bottom w:val="single" w:sz="6" w:space="0" w:color="000000"/>
              <w:right w:val="single" w:sz="6" w:space="0" w:color="000000"/>
            </w:tcBorders>
            <w:shd w:val="clear" w:color="auto" w:fill="D9D9D9"/>
            <w:tcMar>
              <w:top w:w="10" w:type="dxa"/>
              <w:left w:w="25" w:type="dxa"/>
              <w:bottom w:w="10" w:type="dxa"/>
              <w:right w:w="25" w:type="dxa"/>
            </w:tcMar>
            <w:vAlign w:val="center"/>
          </w:tcPr>
          <w:p w14:paraId="78268100" w14:textId="77777777" w:rsidR="005A32F9" w:rsidRDefault="00000000">
            <w:pPr>
              <w:spacing w:after="0"/>
              <w:jc w:val="center"/>
            </w:pPr>
            <w:r>
              <w:rPr>
                <w:b/>
                <w:sz w:val="13"/>
              </w:rPr>
              <w:t>Viti 5</w:t>
            </w:r>
          </w:p>
        </w:tc>
        <w:tc>
          <w:tcPr>
            <w:tcW w:w="1134" w:type="dxa"/>
            <w:tcBorders>
              <w:top w:val="single" w:sz="6" w:space="0" w:color="000000"/>
              <w:left w:val="single" w:sz="6" w:space="0" w:color="000000"/>
              <w:bottom w:val="single" w:sz="6" w:space="0" w:color="000000"/>
              <w:right w:val="single" w:sz="6" w:space="0" w:color="000000"/>
            </w:tcBorders>
            <w:shd w:val="clear" w:color="auto" w:fill="D9D9D9"/>
            <w:tcMar>
              <w:top w:w="10" w:type="dxa"/>
              <w:left w:w="25" w:type="dxa"/>
              <w:bottom w:w="10" w:type="dxa"/>
              <w:right w:w="25" w:type="dxa"/>
            </w:tcMar>
            <w:vAlign w:val="center"/>
          </w:tcPr>
          <w:p w14:paraId="782FD99A" w14:textId="77777777" w:rsidR="005A32F9" w:rsidRDefault="00000000">
            <w:pPr>
              <w:spacing w:after="0"/>
              <w:jc w:val="center"/>
            </w:pPr>
            <w:r>
              <w:rPr>
                <w:b/>
                <w:sz w:val="13"/>
              </w:rPr>
              <w:t>Viti 6</w:t>
            </w:r>
          </w:p>
        </w:tc>
        <w:tc>
          <w:tcPr>
            <w:tcW w:w="1134" w:type="dxa"/>
            <w:tcBorders>
              <w:top w:val="single" w:sz="6" w:space="0" w:color="000000"/>
              <w:left w:val="single" w:sz="6" w:space="0" w:color="000000"/>
              <w:bottom w:val="single" w:sz="6" w:space="0" w:color="000000"/>
              <w:right w:val="single" w:sz="6" w:space="0" w:color="000000"/>
            </w:tcBorders>
            <w:shd w:val="clear" w:color="auto" w:fill="D9D9D9"/>
            <w:tcMar>
              <w:top w:w="10" w:type="dxa"/>
              <w:left w:w="25" w:type="dxa"/>
              <w:bottom w:w="10" w:type="dxa"/>
              <w:right w:w="25" w:type="dxa"/>
            </w:tcMar>
            <w:vAlign w:val="center"/>
          </w:tcPr>
          <w:p w14:paraId="5EBBEBD8" w14:textId="77777777" w:rsidR="005A32F9" w:rsidRDefault="00000000">
            <w:pPr>
              <w:spacing w:after="0"/>
              <w:jc w:val="center"/>
            </w:pPr>
            <w:r>
              <w:rPr>
                <w:b/>
                <w:sz w:val="13"/>
              </w:rPr>
              <w:t>Viti 7</w:t>
            </w:r>
          </w:p>
        </w:tc>
        <w:tc>
          <w:tcPr>
            <w:tcW w:w="1134" w:type="dxa"/>
            <w:tcBorders>
              <w:top w:val="single" w:sz="6" w:space="0" w:color="000000"/>
              <w:left w:val="single" w:sz="6" w:space="0" w:color="000000"/>
              <w:bottom w:val="single" w:sz="6" w:space="0" w:color="000000"/>
              <w:right w:val="single" w:sz="6" w:space="0" w:color="000000"/>
            </w:tcBorders>
            <w:shd w:val="clear" w:color="auto" w:fill="D9D9D9"/>
            <w:tcMar>
              <w:top w:w="10" w:type="dxa"/>
              <w:left w:w="25" w:type="dxa"/>
              <w:bottom w:w="10" w:type="dxa"/>
              <w:right w:w="25" w:type="dxa"/>
            </w:tcMar>
            <w:vAlign w:val="center"/>
          </w:tcPr>
          <w:p w14:paraId="6A53A3E5" w14:textId="77777777" w:rsidR="005A32F9" w:rsidRDefault="00000000">
            <w:pPr>
              <w:spacing w:after="0"/>
              <w:jc w:val="center"/>
            </w:pPr>
            <w:r>
              <w:rPr>
                <w:b/>
                <w:sz w:val="13"/>
              </w:rPr>
              <w:t>Viti 8</w:t>
            </w:r>
          </w:p>
        </w:tc>
        <w:tc>
          <w:tcPr>
            <w:tcW w:w="1134" w:type="dxa"/>
            <w:tcBorders>
              <w:top w:val="single" w:sz="6" w:space="0" w:color="000000"/>
              <w:left w:val="single" w:sz="6" w:space="0" w:color="000000"/>
              <w:bottom w:val="single" w:sz="6" w:space="0" w:color="000000"/>
              <w:right w:val="single" w:sz="6" w:space="0" w:color="000000"/>
            </w:tcBorders>
            <w:shd w:val="clear" w:color="auto" w:fill="D9D9D9"/>
            <w:tcMar>
              <w:top w:w="10" w:type="dxa"/>
              <w:left w:w="25" w:type="dxa"/>
              <w:bottom w:w="10" w:type="dxa"/>
              <w:right w:w="25" w:type="dxa"/>
            </w:tcMar>
            <w:vAlign w:val="center"/>
          </w:tcPr>
          <w:p w14:paraId="25C36DA5" w14:textId="77777777" w:rsidR="005A32F9" w:rsidRDefault="00000000">
            <w:pPr>
              <w:spacing w:after="0"/>
              <w:jc w:val="center"/>
            </w:pPr>
            <w:r>
              <w:rPr>
                <w:b/>
                <w:sz w:val="13"/>
              </w:rPr>
              <w:t>Viti 9</w:t>
            </w:r>
          </w:p>
        </w:tc>
        <w:tc>
          <w:tcPr>
            <w:tcW w:w="1134" w:type="dxa"/>
            <w:tcBorders>
              <w:top w:val="single" w:sz="6" w:space="0" w:color="000000"/>
              <w:left w:val="single" w:sz="6" w:space="0" w:color="000000"/>
              <w:bottom w:val="single" w:sz="6" w:space="0" w:color="000000"/>
              <w:right w:val="single" w:sz="6" w:space="0" w:color="000000"/>
            </w:tcBorders>
            <w:shd w:val="clear" w:color="auto" w:fill="D9D9D9"/>
            <w:tcMar>
              <w:top w:w="10" w:type="dxa"/>
              <w:left w:w="25" w:type="dxa"/>
              <w:bottom w:w="10" w:type="dxa"/>
              <w:right w:w="25" w:type="dxa"/>
            </w:tcMar>
            <w:vAlign w:val="center"/>
          </w:tcPr>
          <w:p w14:paraId="55522A88" w14:textId="77777777" w:rsidR="005A32F9" w:rsidRDefault="00000000">
            <w:pPr>
              <w:spacing w:after="0"/>
              <w:jc w:val="center"/>
            </w:pPr>
            <w:r>
              <w:rPr>
                <w:b/>
                <w:sz w:val="13"/>
              </w:rPr>
              <w:t>Viti 10</w:t>
            </w:r>
          </w:p>
        </w:tc>
      </w:tr>
      <w:tr w:rsidR="005A32F9" w14:paraId="5AE8B125" w14:textId="77777777">
        <w:trPr>
          <w:jc w:val="center"/>
        </w:trPr>
        <w:tc>
          <w:tcPr>
            <w:tcW w:w="3742"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360F52F" w14:textId="77777777" w:rsidR="005A32F9" w:rsidRDefault="00000000">
            <w:pPr>
              <w:spacing w:after="0"/>
            </w:pPr>
            <w:r>
              <w:rPr>
                <w:sz w:val="12"/>
              </w:rPr>
              <w:t>Faktori i skontimit</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19AAF56D" w14:textId="77777777" w:rsidR="005A32F9" w:rsidRDefault="00000000">
            <w:pPr>
              <w:spacing w:after="0"/>
              <w:jc w:val="center"/>
            </w:pPr>
            <w:r>
              <w:rPr>
                <w:sz w:val="12"/>
              </w:rPr>
              <w:t>1.00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E9618E9" w14:textId="77777777" w:rsidR="005A32F9" w:rsidRDefault="00000000">
            <w:pPr>
              <w:spacing w:after="0"/>
              <w:jc w:val="center"/>
            </w:pPr>
            <w:r>
              <w:rPr>
                <w:sz w:val="12"/>
              </w:rPr>
              <w:t>0.95</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F4672F7" w14:textId="77777777" w:rsidR="005A32F9" w:rsidRDefault="00000000">
            <w:pPr>
              <w:spacing w:after="0"/>
              <w:jc w:val="center"/>
            </w:pPr>
            <w:r>
              <w:rPr>
                <w:sz w:val="12"/>
              </w:rPr>
              <w:t>0.91</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7CB56324" w14:textId="77777777" w:rsidR="005A32F9" w:rsidRDefault="00000000">
            <w:pPr>
              <w:spacing w:after="0"/>
              <w:jc w:val="center"/>
            </w:pPr>
            <w:r>
              <w:rPr>
                <w:sz w:val="12"/>
              </w:rPr>
              <w:t>0.86</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55A94E31" w14:textId="77777777" w:rsidR="005A32F9" w:rsidRDefault="00000000">
            <w:pPr>
              <w:spacing w:after="0"/>
              <w:jc w:val="center"/>
            </w:pPr>
            <w:r>
              <w:rPr>
                <w:sz w:val="12"/>
              </w:rPr>
              <w:t>0.82</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5B29A037" w14:textId="77777777" w:rsidR="005A32F9" w:rsidRDefault="00000000">
            <w:pPr>
              <w:spacing w:after="0"/>
              <w:jc w:val="center"/>
            </w:pPr>
            <w:r>
              <w:rPr>
                <w:sz w:val="12"/>
              </w:rPr>
              <w:t>0.78</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6F445D4" w14:textId="77777777" w:rsidR="005A32F9" w:rsidRDefault="00000000">
            <w:pPr>
              <w:spacing w:after="0"/>
              <w:jc w:val="center"/>
            </w:pPr>
            <w:r>
              <w:rPr>
                <w:sz w:val="12"/>
              </w:rPr>
              <w:t>0.75</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427CCC7" w14:textId="77777777" w:rsidR="005A32F9" w:rsidRDefault="00000000">
            <w:pPr>
              <w:spacing w:after="0"/>
              <w:jc w:val="center"/>
            </w:pPr>
            <w:r>
              <w:rPr>
                <w:sz w:val="12"/>
              </w:rPr>
              <w:t>0.71</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5E7C450" w14:textId="77777777" w:rsidR="005A32F9" w:rsidRDefault="00000000">
            <w:pPr>
              <w:spacing w:after="0"/>
              <w:jc w:val="center"/>
            </w:pPr>
            <w:r>
              <w:rPr>
                <w:sz w:val="12"/>
              </w:rPr>
              <w:t>0.68</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762F89E" w14:textId="77777777" w:rsidR="005A32F9" w:rsidRDefault="00000000">
            <w:pPr>
              <w:spacing w:after="0"/>
              <w:jc w:val="center"/>
            </w:pPr>
            <w:r>
              <w:rPr>
                <w:sz w:val="12"/>
              </w:rPr>
              <w:t>0.64</w:t>
            </w:r>
          </w:p>
        </w:tc>
      </w:tr>
      <w:tr w:rsidR="005A32F9" w14:paraId="1F63561F" w14:textId="77777777">
        <w:trPr>
          <w:jc w:val="center"/>
        </w:trPr>
        <w:tc>
          <w:tcPr>
            <w:tcW w:w="3742"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2BE0B9ED" w14:textId="77777777" w:rsidR="005A32F9" w:rsidRDefault="00000000">
            <w:pPr>
              <w:spacing w:after="0"/>
            </w:pPr>
            <w:r>
              <w:rPr>
                <w:sz w:val="12"/>
              </w:rPr>
              <w:t>Kosto për buxhetin – një herë</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74978A3"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08A5E042"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5E98EBB0"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2B96A31E"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CFC8A1E"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0F4B8109"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5EA1EB78"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04D33317"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55B9A53"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163C38FF" w14:textId="77777777" w:rsidR="005A32F9" w:rsidRDefault="00000000">
            <w:pPr>
              <w:spacing w:after="0"/>
              <w:jc w:val="center"/>
            </w:pPr>
            <w:r>
              <w:rPr>
                <w:sz w:val="12"/>
              </w:rPr>
              <w:t>0.00</w:t>
            </w:r>
          </w:p>
        </w:tc>
      </w:tr>
      <w:tr w:rsidR="005A32F9" w14:paraId="3812B3FD" w14:textId="77777777">
        <w:trPr>
          <w:jc w:val="center"/>
        </w:trPr>
        <w:tc>
          <w:tcPr>
            <w:tcW w:w="3742"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0EBA1AD" w14:textId="77777777" w:rsidR="005A32F9" w:rsidRDefault="00000000">
            <w:pPr>
              <w:spacing w:after="0"/>
            </w:pPr>
            <w:r>
              <w:rPr>
                <w:sz w:val="12"/>
              </w:rPr>
              <w:t>Kosto për buxhetin – në vazhdimësi</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2AA64F74"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942D44E"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23D792E6"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202B3DE0"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5F17652"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0B54E742"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53387CAF"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91417C5"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52E0C45F"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13DA4841" w14:textId="77777777" w:rsidR="005A32F9" w:rsidRDefault="00000000">
            <w:pPr>
              <w:spacing w:after="0"/>
              <w:jc w:val="center"/>
            </w:pPr>
            <w:r>
              <w:rPr>
                <w:sz w:val="12"/>
              </w:rPr>
              <w:t>0.00</w:t>
            </w:r>
          </w:p>
        </w:tc>
      </w:tr>
      <w:tr w:rsidR="005A32F9" w14:paraId="43683E77" w14:textId="77777777">
        <w:trPr>
          <w:jc w:val="center"/>
        </w:trPr>
        <w:tc>
          <w:tcPr>
            <w:tcW w:w="3742"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08FCA9A" w14:textId="77777777" w:rsidR="005A32F9" w:rsidRDefault="00000000">
            <w:pPr>
              <w:spacing w:after="0"/>
            </w:pPr>
            <w:r>
              <w:rPr>
                <w:sz w:val="12"/>
              </w:rPr>
              <w:t>Kosto për bizneset – një herë</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75C39AE" w14:textId="77777777" w:rsidR="005A32F9" w:rsidRDefault="00000000">
            <w:pPr>
              <w:spacing w:after="0"/>
              <w:jc w:val="center"/>
            </w:pPr>
            <w:r>
              <w:rPr>
                <w:sz w:val="12"/>
              </w:rPr>
              <w:t>20.00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581DA9D7"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050990F3"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5B0A66B5" w14:textId="77777777" w:rsidR="005A32F9" w:rsidRDefault="00000000">
            <w:pPr>
              <w:spacing w:after="0"/>
              <w:jc w:val="center"/>
            </w:pPr>
            <w:r>
              <w:rPr>
                <w:sz w:val="12"/>
              </w:rPr>
              <w:t>10.00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91322F1"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2E3054B0"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0F2DB550"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7917B94"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533EBB79"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28AB0193" w14:textId="77777777" w:rsidR="005A32F9" w:rsidRDefault="00000000">
            <w:pPr>
              <w:spacing w:after="0"/>
              <w:jc w:val="center"/>
            </w:pPr>
            <w:r>
              <w:rPr>
                <w:sz w:val="12"/>
              </w:rPr>
              <w:t>0.00</w:t>
            </w:r>
          </w:p>
        </w:tc>
      </w:tr>
      <w:tr w:rsidR="005A32F9" w14:paraId="5375D54B" w14:textId="77777777">
        <w:trPr>
          <w:jc w:val="center"/>
        </w:trPr>
        <w:tc>
          <w:tcPr>
            <w:tcW w:w="3742"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113141CF" w14:textId="77777777" w:rsidR="005A32F9" w:rsidRDefault="00000000">
            <w:pPr>
              <w:spacing w:after="0"/>
            </w:pPr>
            <w:r>
              <w:rPr>
                <w:sz w:val="12"/>
              </w:rPr>
              <w:t>Kosto për bizneset – në vazhdimësi</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29B66F3A" w14:textId="77777777" w:rsidR="005A32F9" w:rsidRDefault="00000000">
            <w:pPr>
              <w:spacing w:after="0"/>
              <w:jc w:val="center"/>
            </w:pPr>
            <w:r>
              <w:rPr>
                <w:sz w:val="12"/>
              </w:rPr>
              <w:t>6.00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56D5D36B" w14:textId="77777777" w:rsidR="005A32F9" w:rsidRDefault="00000000">
            <w:pPr>
              <w:spacing w:after="0"/>
              <w:jc w:val="center"/>
            </w:pPr>
            <w:r>
              <w:rPr>
                <w:sz w:val="12"/>
              </w:rPr>
              <w:t>8.00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41C976C" w14:textId="77777777" w:rsidR="005A32F9" w:rsidRDefault="00000000">
            <w:pPr>
              <w:spacing w:after="0"/>
              <w:jc w:val="center"/>
            </w:pPr>
            <w:r>
              <w:rPr>
                <w:sz w:val="12"/>
              </w:rPr>
              <w:t>8.00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7E9E520" w14:textId="77777777" w:rsidR="005A32F9" w:rsidRDefault="00000000">
            <w:pPr>
              <w:spacing w:after="0"/>
              <w:jc w:val="center"/>
            </w:pPr>
            <w:r>
              <w:rPr>
                <w:sz w:val="12"/>
              </w:rPr>
              <w:t>10.00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2307BCC4" w14:textId="77777777" w:rsidR="005A32F9" w:rsidRDefault="00000000">
            <w:pPr>
              <w:spacing w:after="0"/>
              <w:jc w:val="center"/>
            </w:pPr>
            <w:r>
              <w:rPr>
                <w:sz w:val="12"/>
              </w:rPr>
              <w:t>10.00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7AE17142" w14:textId="77777777" w:rsidR="005A32F9" w:rsidRDefault="00000000">
            <w:pPr>
              <w:spacing w:after="0"/>
              <w:jc w:val="center"/>
            </w:pPr>
            <w:r>
              <w:rPr>
                <w:sz w:val="12"/>
              </w:rPr>
              <w:t>10.00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5C2EAD0" w14:textId="77777777" w:rsidR="005A32F9" w:rsidRDefault="00000000">
            <w:pPr>
              <w:spacing w:after="0"/>
              <w:jc w:val="center"/>
            </w:pPr>
            <w:r>
              <w:rPr>
                <w:sz w:val="12"/>
              </w:rPr>
              <w:t>10.00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11B6EE87" w14:textId="77777777" w:rsidR="005A32F9" w:rsidRDefault="00000000">
            <w:pPr>
              <w:spacing w:after="0"/>
              <w:jc w:val="center"/>
            </w:pPr>
            <w:r>
              <w:rPr>
                <w:sz w:val="12"/>
              </w:rPr>
              <w:t>10.00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1E97707" w14:textId="77777777" w:rsidR="005A32F9" w:rsidRDefault="00000000">
            <w:pPr>
              <w:spacing w:after="0"/>
              <w:jc w:val="center"/>
            </w:pPr>
            <w:r>
              <w:rPr>
                <w:sz w:val="12"/>
              </w:rPr>
              <w:t>10.00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488140B" w14:textId="77777777" w:rsidR="005A32F9" w:rsidRDefault="00000000">
            <w:pPr>
              <w:spacing w:after="0"/>
              <w:jc w:val="center"/>
            </w:pPr>
            <w:r>
              <w:rPr>
                <w:sz w:val="12"/>
              </w:rPr>
              <w:t>10.00</w:t>
            </w:r>
          </w:p>
        </w:tc>
      </w:tr>
      <w:tr w:rsidR="005A32F9" w14:paraId="54D5CCE4" w14:textId="77777777">
        <w:trPr>
          <w:jc w:val="center"/>
        </w:trPr>
        <w:tc>
          <w:tcPr>
            <w:tcW w:w="3742"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A847C47" w14:textId="77777777" w:rsidR="005A32F9" w:rsidRDefault="00000000">
            <w:pPr>
              <w:spacing w:after="0"/>
            </w:pPr>
            <w:r>
              <w:rPr>
                <w:sz w:val="12"/>
              </w:rPr>
              <w:t>Kosto për grupet e tjera/autoritetet – një herë</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77A0AE6B" w14:textId="77777777" w:rsidR="005A32F9" w:rsidRDefault="00000000">
            <w:pPr>
              <w:spacing w:after="0"/>
              <w:jc w:val="center"/>
            </w:pPr>
            <w:r>
              <w:rPr>
                <w:sz w:val="12"/>
              </w:rPr>
              <w:t>8.00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A503E06"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23684F76"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73BD2F31"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BC85606"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0F98FB53"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7AEE5C24"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2551CBBD"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E01D279"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6F44A5E" w14:textId="77777777" w:rsidR="005A32F9" w:rsidRDefault="00000000">
            <w:pPr>
              <w:spacing w:after="0"/>
              <w:jc w:val="center"/>
            </w:pPr>
            <w:r>
              <w:rPr>
                <w:sz w:val="12"/>
              </w:rPr>
              <w:t>0.00</w:t>
            </w:r>
          </w:p>
        </w:tc>
      </w:tr>
      <w:tr w:rsidR="005A32F9" w14:paraId="15B322D2" w14:textId="77777777">
        <w:trPr>
          <w:jc w:val="center"/>
        </w:trPr>
        <w:tc>
          <w:tcPr>
            <w:tcW w:w="3742"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29223161" w14:textId="77777777" w:rsidR="005A32F9" w:rsidRDefault="00000000">
            <w:pPr>
              <w:spacing w:after="0"/>
            </w:pPr>
            <w:r>
              <w:rPr>
                <w:sz w:val="12"/>
              </w:rPr>
              <w:t>Kosto për grupet e tjera/autoritetet – në vazhdimësi</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1FCD14F5" w14:textId="77777777" w:rsidR="005A32F9" w:rsidRDefault="00000000">
            <w:pPr>
              <w:spacing w:after="0"/>
              <w:jc w:val="center"/>
            </w:pPr>
            <w:r>
              <w:rPr>
                <w:sz w:val="12"/>
              </w:rPr>
              <w:t>3.00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19A9AFC2" w14:textId="77777777" w:rsidR="005A32F9" w:rsidRDefault="00000000">
            <w:pPr>
              <w:spacing w:after="0"/>
              <w:jc w:val="center"/>
            </w:pPr>
            <w:r>
              <w:rPr>
                <w:sz w:val="12"/>
              </w:rPr>
              <w:t>3.00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1DC85429" w14:textId="77777777" w:rsidR="005A32F9" w:rsidRDefault="00000000">
            <w:pPr>
              <w:spacing w:after="0"/>
              <w:jc w:val="center"/>
            </w:pPr>
            <w:r>
              <w:rPr>
                <w:sz w:val="12"/>
              </w:rPr>
              <w:t>3.00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29516297" w14:textId="77777777" w:rsidR="005A32F9" w:rsidRDefault="00000000">
            <w:pPr>
              <w:spacing w:after="0"/>
              <w:jc w:val="center"/>
            </w:pPr>
            <w:r>
              <w:rPr>
                <w:sz w:val="12"/>
              </w:rPr>
              <w:t>3.00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2400F73" w14:textId="77777777" w:rsidR="005A32F9" w:rsidRDefault="00000000">
            <w:pPr>
              <w:spacing w:after="0"/>
              <w:jc w:val="center"/>
            </w:pPr>
            <w:r>
              <w:rPr>
                <w:sz w:val="12"/>
              </w:rPr>
              <w:t>3.00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5E9D8B63" w14:textId="77777777" w:rsidR="005A32F9" w:rsidRDefault="00000000">
            <w:pPr>
              <w:spacing w:after="0"/>
              <w:jc w:val="center"/>
            </w:pPr>
            <w:r>
              <w:rPr>
                <w:sz w:val="12"/>
              </w:rPr>
              <w:t>3.00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5CF94249" w14:textId="77777777" w:rsidR="005A32F9" w:rsidRDefault="00000000">
            <w:pPr>
              <w:spacing w:after="0"/>
              <w:jc w:val="center"/>
            </w:pPr>
            <w:r>
              <w:rPr>
                <w:sz w:val="12"/>
              </w:rPr>
              <w:t>3.00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170C4E2" w14:textId="77777777" w:rsidR="005A32F9" w:rsidRDefault="00000000">
            <w:pPr>
              <w:spacing w:after="0"/>
              <w:jc w:val="center"/>
            </w:pPr>
            <w:r>
              <w:rPr>
                <w:sz w:val="12"/>
              </w:rPr>
              <w:t>3.00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E3DEE30" w14:textId="77777777" w:rsidR="005A32F9" w:rsidRDefault="00000000">
            <w:pPr>
              <w:spacing w:after="0"/>
              <w:jc w:val="center"/>
            </w:pPr>
            <w:r>
              <w:rPr>
                <w:sz w:val="12"/>
              </w:rPr>
              <w:t>3.00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8E78A57" w14:textId="77777777" w:rsidR="005A32F9" w:rsidRDefault="00000000">
            <w:pPr>
              <w:spacing w:after="0"/>
              <w:jc w:val="center"/>
            </w:pPr>
            <w:r>
              <w:rPr>
                <w:sz w:val="12"/>
              </w:rPr>
              <w:t>3.00</w:t>
            </w:r>
          </w:p>
        </w:tc>
      </w:tr>
      <w:tr w:rsidR="005A32F9" w14:paraId="54753A29" w14:textId="77777777">
        <w:trPr>
          <w:jc w:val="center"/>
        </w:trPr>
        <w:tc>
          <w:tcPr>
            <w:tcW w:w="3742"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144B8565" w14:textId="77777777" w:rsidR="005A32F9" w:rsidRDefault="00000000">
            <w:pPr>
              <w:spacing w:after="0"/>
            </w:pPr>
            <w:r>
              <w:rPr>
                <w:b/>
                <w:sz w:val="12"/>
              </w:rPr>
              <w:t>Kosto në total</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0492286" w14:textId="77777777" w:rsidR="005A32F9" w:rsidRDefault="00000000">
            <w:pPr>
              <w:spacing w:after="0"/>
              <w:jc w:val="center"/>
            </w:pPr>
            <w:r>
              <w:rPr>
                <w:sz w:val="12"/>
              </w:rPr>
              <w:t>37.00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00BE3651" w14:textId="77777777" w:rsidR="005A32F9" w:rsidRDefault="00000000">
            <w:pPr>
              <w:spacing w:after="0"/>
              <w:jc w:val="center"/>
            </w:pPr>
            <w:r>
              <w:rPr>
                <w:sz w:val="12"/>
              </w:rPr>
              <w:t>11.00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1C36676B" w14:textId="77777777" w:rsidR="005A32F9" w:rsidRDefault="00000000">
            <w:pPr>
              <w:spacing w:after="0"/>
              <w:jc w:val="center"/>
            </w:pPr>
            <w:r>
              <w:rPr>
                <w:sz w:val="12"/>
              </w:rPr>
              <w:t>11.00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E2A2ADE" w14:textId="77777777" w:rsidR="005A32F9" w:rsidRDefault="00000000">
            <w:pPr>
              <w:spacing w:after="0"/>
              <w:jc w:val="center"/>
            </w:pPr>
            <w:r>
              <w:rPr>
                <w:sz w:val="12"/>
              </w:rPr>
              <w:t>23.00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2BB786D" w14:textId="77777777" w:rsidR="005A32F9" w:rsidRDefault="00000000">
            <w:pPr>
              <w:spacing w:after="0"/>
              <w:jc w:val="center"/>
            </w:pPr>
            <w:r>
              <w:rPr>
                <w:sz w:val="12"/>
              </w:rPr>
              <w:t>13.00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D07D3E0" w14:textId="77777777" w:rsidR="005A32F9" w:rsidRDefault="00000000">
            <w:pPr>
              <w:spacing w:after="0"/>
              <w:jc w:val="center"/>
            </w:pPr>
            <w:r>
              <w:rPr>
                <w:sz w:val="12"/>
              </w:rPr>
              <w:t>13.00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0580FE4" w14:textId="77777777" w:rsidR="005A32F9" w:rsidRDefault="00000000">
            <w:pPr>
              <w:spacing w:after="0"/>
              <w:jc w:val="center"/>
            </w:pPr>
            <w:r>
              <w:rPr>
                <w:sz w:val="12"/>
              </w:rPr>
              <w:t>13.00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0D667DAA" w14:textId="77777777" w:rsidR="005A32F9" w:rsidRDefault="00000000">
            <w:pPr>
              <w:spacing w:after="0"/>
              <w:jc w:val="center"/>
            </w:pPr>
            <w:r>
              <w:rPr>
                <w:sz w:val="12"/>
              </w:rPr>
              <w:t>13.00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2FEFA273" w14:textId="77777777" w:rsidR="005A32F9" w:rsidRDefault="00000000">
            <w:pPr>
              <w:spacing w:after="0"/>
              <w:jc w:val="center"/>
            </w:pPr>
            <w:r>
              <w:rPr>
                <w:sz w:val="12"/>
              </w:rPr>
              <w:t>13.00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1737D864" w14:textId="77777777" w:rsidR="005A32F9" w:rsidRDefault="00000000">
            <w:pPr>
              <w:spacing w:after="0"/>
              <w:jc w:val="center"/>
            </w:pPr>
            <w:r>
              <w:rPr>
                <w:sz w:val="12"/>
              </w:rPr>
              <w:t>13.00</w:t>
            </w:r>
          </w:p>
        </w:tc>
      </w:tr>
      <w:tr w:rsidR="005A32F9" w14:paraId="71BEDF5E" w14:textId="77777777">
        <w:trPr>
          <w:jc w:val="center"/>
        </w:trPr>
        <w:tc>
          <w:tcPr>
            <w:tcW w:w="3742"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0451BD3" w14:textId="77777777" w:rsidR="005A32F9" w:rsidRDefault="00000000">
            <w:pPr>
              <w:spacing w:after="0"/>
            </w:pPr>
            <w:r>
              <w:rPr>
                <w:b/>
                <w:sz w:val="12"/>
              </w:rPr>
              <w:t>Kosto e skontuar</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6493AD4" w14:textId="77777777" w:rsidR="005A32F9" w:rsidRDefault="00000000">
            <w:pPr>
              <w:spacing w:after="0"/>
              <w:jc w:val="center"/>
            </w:pPr>
            <w:r>
              <w:rPr>
                <w:sz w:val="12"/>
              </w:rPr>
              <w:t>37.00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2262B44E" w14:textId="77777777" w:rsidR="005A32F9" w:rsidRDefault="00000000">
            <w:pPr>
              <w:spacing w:after="0"/>
              <w:jc w:val="center"/>
            </w:pPr>
            <w:r>
              <w:rPr>
                <w:sz w:val="12"/>
              </w:rPr>
              <w:t>10.48</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FABCD48" w14:textId="77777777" w:rsidR="005A32F9" w:rsidRDefault="00000000">
            <w:pPr>
              <w:spacing w:after="0"/>
              <w:jc w:val="center"/>
            </w:pPr>
            <w:r>
              <w:rPr>
                <w:sz w:val="12"/>
              </w:rPr>
              <w:t>9.98</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CEF1ECB" w14:textId="77777777" w:rsidR="005A32F9" w:rsidRDefault="00000000">
            <w:pPr>
              <w:spacing w:after="0"/>
              <w:jc w:val="center"/>
            </w:pPr>
            <w:r>
              <w:rPr>
                <w:sz w:val="12"/>
              </w:rPr>
              <w:t>19.87</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C7D3135" w14:textId="77777777" w:rsidR="005A32F9" w:rsidRDefault="00000000">
            <w:pPr>
              <w:spacing w:after="0"/>
              <w:jc w:val="center"/>
            </w:pPr>
            <w:r>
              <w:rPr>
                <w:sz w:val="12"/>
              </w:rPr>
              <w:t>10.70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29D58177" w14:textId="77777777" w:rsidR="005A32F9" w:rsidRDefault="00000000">
            <w:pPr>
              <w:spacing w:after="0"/>
              <w:jc w:val="center"/>
            </w:pPr>
            <w:r>
              <w:rPr>
                <w:sz w:val="12"/>
              </w:rPr>
              <w:t>10.19</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7ED48972" w14:textId="77777777" w:rsidR="005A32F9" w:rsidRDefault="00000000">
            <w:pPr>
              <w:spacing w:after="0"/>
              <w:jc w:val="center"/>
            </w:pPr>
            <w:r>
              <w:rPr>
                <w:sz w:val="12"/>
              </w:rPr>
              <w:t>9.70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AA9C4BD" w14:textId="77777777" w:rsidR="005A32F9" w:rsidRDefault="00000000">
            <w:pPr>
              <w:spacing w:after="0"/>
              <w:jc w:val="center"/>
            </w:pPr>
            <w:r>
              <w:rPr>
                <w:sz w:val="12"/>
              </w:rPr>
              <w:t>9.24</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1DED56E9" w14:textId="77777777" w:rsidR="005A32F9" w:rsidRDefault="00000000">
            <w:pPr>
              <w:spacing w:after="0"/>
              <w:jc w:val="center"/>
            </w:pPr>
            <w:r>
              <w:rPr>
                <w:sz w:val="12"/>
              </w:rPr>
              <w:t>8.80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52BF0BA" w14:textId="77777777" w:rsidR="005A32F9" w:rsidRDefault="00000000">
            <w:pPr>
              <w:spacing w:after="0"/>
              <w:jc w:val="center"/>
            </w:pPr>
            <w:r>
              <w:rPr>
                <w:sz w:val="12"/>
              </w:rPr>
              <w:t>8.38</w:t>
            </w:r>
          </w:p>
        </w:tc>
      </w:tr>
      <w:tr w:rsidR="005A32F9" w14:paraId="15AAE693" w14:textId="77777777">
        <w:trPr>
          <w:jc w:val="center"/>
        </w:trPr>
        <w:tc>
          <w:tcPr>
            <w:tcW w:w="3742"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28C0425" w14:textId="77777777" w:rsidR="005A32F9" w:rsidRDefault="00000000">
            <w:pPr>
              <w:spacing w:after="0"/>
            </w:pPr>
            <w:r>
              <w:rPr>
                <w:sz w:val="12"/>
              </w:rPr>
              <w:t>Përfitime për buxhetin – një herë</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1087E7F8"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8DAD77B"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0E8960FA"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75A21C0"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7CD8ECD"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53EC3653"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27ECDE8D"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5229D3E"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5BF71B14"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1D6BA04" w14:textId="77777777" w:rsidR="005A32F9" w:rsidRDefault="00000000">
            <w:pPr>
              <w:spacing w:after="0"/>
              <w:jc w:val="center"/>
            </w:pPr>
            <w:r>
              <w:rPr>
                <w:sz w:val="12"/>
              </w:rPr>
              <w:t>0.00</w:t>
            </w:r>
          </w:p>
        </w:tc>
      </w:tr>
      <w:tr w:rsidR="005A32F9" w14:paraId="5E860FDF" w14:textId="77777777">
        <w:trPr>
          <w:jc w:val="center"/>
        </w:trPr>
        <w:tc>
          <w:tcPr>
            <w:tcW w:w="3742"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585C54F1" w14:textId="77777777" w:rsidR="005A32F9" w:rsidRDefault="00000000">
            <w:pPr>
              <w:spacing w:after="0"/>
            </w:pPr>
            <w:r>
              <w:rPr>
                <w:sz w:val="12"/>
              </w:rPr>
              <w:t>Përfitime për buxhetin – në vazhdimësi</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9337C96"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773F7AED"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595BE0A4"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4C5C7E0"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22919D1D"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74538FA"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5A7A7AF"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BD8CEBF"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57805DFC"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72A27C43" w14:textId="77777777" w:rsidR="005A32F9" w:rsidRDefault="00000000">
            <w:pPr>
              <w:spacing w:after="0"/>
              <w:jc w:val="center"/>
            </w:pPr>
            <w:r>
              <w:rPr>
                <w:sz w:val="12"/>
              </w:rPr>
              <w:t>0.00</w:t>
            </w:r>
          </w:p>
        </w:tc>
      </w:tr>
      <w:tr w:rsidR="005A32F9" w14:paraId="55335920" w14:textId="77777777">
        <w:trPr>
          <w:jc w:val="center"/>
        </w:trPr>
        <w:tc>
          <w:tcPr>
            <w:tcW w:w="3742"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581BCFD4" w14:textId="77777777" w:rsidR="005A32F9" w:rsidRPr="006916B7" w:rsidRDefault="00000000">
            <w:pPr>
              <w:spacing w:after="0"/>
              <w:rPr>
                <w:lang w:val="pt-BR"/>
              </w:rPr>
            </w:pPr>
            <w:r w:rsidRPr="006916B7">
              <w:rPr>
                <w:sz w:val="12"/>
                <w:lang w:val="pt-BR"/>
              </w:rPr>
              <w:t>Përfitime për grupet e tjera – një herë</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E00CE7C"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FFE360D"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166C63BF"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573B53C0"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1A08E3E3"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21B4DF6"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C8AAFAE"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7F8293D4"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F6E2240"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F24E35D" w14:textId="77777777" w:rsidR="005A32F9" w:rsidRDefault="00000000">
            <w:pPr>
              <w:spacing w:after="0"/>
              <w:jc w:val="center"/>
            </w:pPr>
            <w:r>
              <w:rPr>
                <w:sz w:val="12"/>
              </w:rPr>
              <w:t>0.00</w:t>
            </w:r>
          </w:p>
        </w:tc>
      </w:tr>
      <w:tr w:rsidR="005A32F9" w14:paraId="23FAEEF2" w14:textId="77777777">
        <w:trPr>
          <w:jc w:val="center"/>
        </w:trPr>
        <w:tc>
          <w:tcPr>
            <w:tcW w:w="3742"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2DEF0182" w14:textId="77777777" w:rsidR="005A32F9" w:rsidRDefault="00000000">
            <w:pPr>
              <w:spacing w:after="0"/>
            </w:pPr>
            <w:r>
              <w:rPr>
                <w:sz w:val="12"/>
              </w:rPr>
              <w:t>Përfitime për grupet e tjera – në vazhdimësi</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519ACBF"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0504F109" w14:textId="77777777" w:rsidR="005A32F9" w:rsidRDefault="00000000">
            <w:pPr>
              <w:spacing w:after="0"/>
              <w:jc w:val="center"/>
            </w:pPr>
            <w:r>
              <w:rPr>
                <w:sz w:val="12"/>
              </w:rPr>
              <w:t>2.00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299F8AFC" w14:textId="77777777" w:rsidR="005A32F9" w:rsidRDefault="00000000">
            <w:pPr>
              <w:spacing w:after="0"/>
              <w:jc w:val="center"/>
            </w:pPr>
            <w:r>
              <w:rPr>
                <w:sz w:val="12"/>
              </w:rPr>
              <w:t>2.00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8A3BF89" w14:textId="77777777" w:rsidR="005A32F9" w:rsidRDefault="00000000">
            <w:pPr>
              <w:spacing w:after="0"/>
              <w:jc w:val="center"/>
            </w:pPr>
            <w:r>
              <w:rPr>
                <w:sz w:val="12"/>
              </w:rPr>
              <w:t>4.00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CF7CA60" w14:textId="77777777" w:rsidR="005A32F9" w:rsidRDefault="00000000">
            <w:pPr>
              <w:spacing w:after="0"/>
              <w:jc w:val="center"/>
            </w:pPr>
            <w:r>
              <w:rPr>
                <w:sz w:val="12"/>
              </w:rPr>
              <w:t>4.00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791BBC62" w14:textId="77777777" w:rsidR="005A32F9" w:rsidRDefault="00000000">
            <w:pPr>
              <w:spacing w:after="0"/>
              <w:jc w:val="center"/>
            </w:pPr>
            <w:r>
              <w:rPr>
                <w:sz w:val="12"/>
              </w:rPr>
              <w:t>4.00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816F104" w14:textId="77777777" w:rsidR="005A32F9" w:rsidRDefault="00000000">
            <w:pPr>
              <w:spacing w:after="0"/>
              <w:jc w:val="center"/>
            </w:pPr>
            <w:r>
              <w:rPr>
                <w:sz w:val="12"/>
              </w:rPr>
              <w:t>4.00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328F234" w14:textId="77777777" w:rsidR="005A32F9" w:rsidRDefault="00000000">
            <w:pPr>
              <w:spacing w:after="0"/>
              <w:jc w:val="center"/>
            </w:pPr>
            <w:r>
              <w:rPr>
                <w:sz w:val="12"/>
              </w:rPr>
              <w:t>4.00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4E0A73B" w14:textId="77777777" w:rsidR="005A32F9" w:rsidRDefault="00000000">
            <w:pPr>
              <w:spacing w:after="0"/>
              <w:jc w:val="center"/>
            </w:pPr>
            <w:r>
              <w:rPr>
                <w:sz w:val="12"/>
              </w:rPr>
              <w:t>4.00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297C6351" w14:textId="77777777" w:rsidR="005A32F9" w:rsidRDefault="00000000">
            <w:pPr>
              <w:spacing w:after="0"/>
              <w:jc w:val="center"/>
            </w:pPr>
            <w:r>
              <w:rPr>
                <w:sz w:val="12"/>
              </w:rPr>
              <w:t>4.00</w:t>
            </w:r>
          </w:p>
        </w:tc>
      </w:tr>
      <w:tr w:rsidR="005A32F9" w14:paraId="3ED389B3" w14:textId="77777777">
        <w:trPr>
          <w:jc w:val="center"/>
        </w:trPr>
        <w:tc>
          <w:tcPr>
            <w:tcW w:w="3742"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CAD8F8E" w14:textId="77777777" w:rsidR="005A32F9" w:rsidRDefault="00000000">
            <w:pPr>
              <w:spacing w:after="0"/>
            </w:pPr>
            <w:r>
              <w:rPr>
                <w:sz w:val="12"/>
              </w:rPr>
              <w:t>Përfitime për biznesin – një herë</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59692C07"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2CAE2AF"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2C671AC2"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0A7A4D63"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10F77854"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00CFEC30"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3A48D5B"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1ACFC470"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2FAFBC9A"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03E33777" w14:textId="77777777" w:rsidR="005A32F9" w:rsidRDefault="00000000">
            <w:pPr>
              <w:spacing w:after="0"/>
              <w:jc w:val="center"/>
            </w:pPr>
            <w:r>
              <w:rPr>
                <w:sz w:val="12"/>
              </w:rPr>
              <w:t>0.00</w:t>
            </w:r>
          </w:p>
        </w:tc>
      </w:tr>
      <w:tr w:rsidR="005A32F9" w14:paraId="3D24AC0F" w14:textId="77777777">
        <w:trPr>
          <w:jc w:val="center"/>
        </w:trPr>
        <w:tc>
          <w:tcPr>
            <w:tcW w:w="3742"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54567E14" w14:textId="77777777" w:rsidR="005A32F9" w:rsidRDefault="00000000">
            <w:pPr>
              <w:spacing w:after="0"/>
            </w:pPr>
            <w:r>
              <w:rPr>
                <w:sz w:val="12"/>
              </w:rPr>
              <w:t>Përfitime për biznesin – në vazhdimësi</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152FAE3E"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13C465B" w14:textId="77777777" w:rsidR="005A32F9" w:rsidRDefault="00000000">
            <w:pPr>
              <w:spacing w:after="0"/>
              <w:jc w:val="center"/>
            </w:pPr>
            <w:r>
              <w:rPr>
                <w:sz w:val="12"/>
              </w:rPr>
              <w:t>18.00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063F5FC" w14:textId="77777777" w:rsidR="005A32F9" w:rsidRDefault="00000000">
            <w:pPr>
              <w:spacing w:after="0"/>
              <w:jc w:val="center"/>
            </w:pPr>
            <w:r>
              <w:rPr>
                <w:sz w:val="12"/>
              </w:rPr>
              <w:t>18.00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75E0B815" w14:textId="77777777" w:rsidR="005A32F9" w:rsidRDefault="00000000">
            <w:pPr>
              <w:spacing w:after="0"/>
              <w:jc w:val="center"/>
            </w:pPr>
            <w:r>
              <w:rPr>
                <w:sz w:val="12"/>
              </w:rPr>
              <w:t>28.00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9030147" w14:textId="77777777" w:rsidR="005A32F9" w:rsidRDefault="00000000">
            <w:pPr>
              <w:spacing w:after="0"/>
              <w:jc w:val="center"/>
            </w:pPr>
            <w:r>
              <w:rPr>
                <w:sz w:val="12"/>
              </w:rPr>
              <w:t>28.00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1354E02E" w14:textId="77777777" w:rsidR="005A32F9" w:rsidRDefault="00000000">
            <w:pPr>
              <w:spacing w:after="0"/>
              <w:jc w:val="center"/>
            </w:pPr>
            <w:r>
              <w:rPr>
                <w:sz w:val="12"/>
              </w:rPr>
              <w:t>28.00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A2900F4" w14:textId="77777777" w:rsidR="005A32F9" w:rsidRDefault="00000000">
            <w:pPr>
              <w:spacing w:after="0"/>
              <w:jc w:val="center"/>
            </w:pPr>
            <w:r>
              <w:rPr>
                <w:sz w:val="12"/>
              </w:rPr>
              <w:t>28.00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52166BFA" w14:textId="77777777" w:rsidR="005A32F9" w:rsidRDefault="00000000">
            <w:pPr>
              <w:spacing w:after="0"/>
              <w:jc w:val="center"/>
            </w:pPr>
            <w:r>
              <w:rPr>
                <w:sz w:val="12"/>
              </w:rPr>
              <w:t>28.00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1393FC5" w14:textId="77777777" w:rsidR="005A32F9" w:rsidRDefault="00000000">
            <w:pPr>
              <w:spacing w:after="0"/>
              <w:jc w:val="center"/>
            </w:pPr>
            <w:r>
              <w:rPr>
                <w:sz w:val="12"/>
              </w:rPr>
              <w:t>28.00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C503C43" w14:textId="77777777" w:rsidR="005A32F9" w:rsidRDefault="00000000">
            <w:pPr>
              <w:spacing w:after="0"/>
              <w:jc w:val="center"/>
            </w:pPr>
            <w:r>
              <w:rPr>
                <w:sz w:val="12"/>
              </w:rPr>
              <w:t>28.00</w:t>
            </w:r>
          </w:p>
        </w:tc>
      </w:tr>
      <w:tr w:rsidR="005A32F9" w14:paraId="65B4A5F0" w14:textId="77777777">
        <w:trPr>
          <w:jc w:val="center"/>
        </w:trPr>
        <w:tc>
          <w:tcPr>
            <w:tcW w:w="3742"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2E98D7F" w14:textId="77777777" w:rsidR="005A32F9" w:rsidRDefault="00000000">
            <w:pPr>
              <w:spacing w:after="0"/>
            </w:pPr>
            <w:r>
              <w:rPr>
                <w:b/>
                <w:sz w:val="12"/>
              </w:rPr>
              <w:t>Përfitime totale</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14E61702"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5A0D6158" w14:textId="77777777" w:rsidR="005A32F9" w:rsidRDefault="00000000">
            <w:pPr>
              <w:spacing w:after="0"/>
              <w:jc w:val="center"/>
            </w:pPr>
            <w:r>
              <w:rPr>
                <w:sz w:val="12"/>
              </w:rPr>
              <w:t>20.00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E5C60F5" w14:textId="77777777" w:rsidR="005A32F9" w:rsidRDefault="00000000">
            <w:pPr>
              <w:spacing w:after="0"/>
              <w:jc w:val="center"/>
            </w:pPr>
            <w:r>
              <w:rPr>
                <w:sz w:val="12"/>
              </w:rPr>
              <w:t>20.00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90077BC" w14:textId="77777777" w:rsidR="005A32F9" w:rsidRDefault="00000000">
            <w:pPr>
              <w:spacing w:after="0"/>
              <w:jc w:val="center"/>
            </w:pPr>
            <w:r>
              <w:rPr>
                <w:sz w:val="12"/>
              </w:rPr>
              <w:t>32.00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1FE543E" w14:textId="77777777" w:rsidR="005A32F9" w:rsidRDefault="00000000">
            <w:pPr>
              <w:spacing w:after="0"/>
              <w:jc w:val="center"/>
            </w:pPr>
            <w:r>
              <w:rPr>
                <w:sz w:val="12"/>
              </w:rPr>
              <w:t>32.00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04F2AC6A" w14:textId="77777777" w:rsidR="005A32F9" w:rsidRDefault="00000000">
            <w:pPr>
              <w:spacing w:after="0"/>
              <w:jc w:val="center"/>
            </w:pPr>
            <w:r>
              <w:rPr>
                <w:sz w:val="12"/>
              </w:rPr>
              <w:t>32.00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CCD0279" w14:textId="77777777" w:rsidR="005A32F9" w:rsidRDefault="00000000">
            <w:pPr>
              <w:spacing w:after="0"/>
              <w:jc w:val="center"/>
            </w:pPr>
            <w:r>
              <w:rPr>
                <w:sz w:val="12"/>
              </w:rPr>
              <w:t>32.00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0FE4BCFE" w14:textId="77777777" w:rsidR="005A32F9" w:rsidRDefault="00000000">
            <w:pPr>
              <w:spacing w:after="0"/>
              <w:jc w:val="center"/>
            </w:pPr>
            <w:r>
              <w:rPr>
                <w:sz w:val="12"/>
              </w:rPr>
              <w:t>32.00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55331871" w14:textId="77777777" w:rsidR="005A32F9" w:rsidRDefault="00000000">
            <w:pPr>
              <w:spacing w:after="0"/>
              <w:jc w:val="center"/>
            </w:pPr>
            <w:r>
              <w:rPr>
                <w:sz w:val="12"/>
              </w:rPr>
              <w:t>32.00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243D7B6C" w14:textId="77777777" w:rsidR="005A32F9" w:rsidRDefault="00000000">
            <w:pPr>
              <w:spacing w:after="0"/>
              <w:jc w:val="center"/>
            </w:pPr>
            <w:r>
              <w:rPr>
                <w:sz w:val="12"/>
              </w:rPr>
              <w:t>32.00</w:t>
            </w:r>
          </w:p>
        </w:tc>
      </w:tr>
      <w:tr w:rsidR="005A32F9" w14:paraId="62C14F9F" w14:textId="77777777">
        <w:trPr>
          <w:jc w:val="center"/>
        </w:trPr>
        <w:tc>
          <w:tcPr>
            <w:tcW w:w="3742"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5E4EE1DF" w14:textId="77777777" w:rsidR="005A32F9" w:rsidRDefault="00000000">
            <w:pPr>
              <w:spacing w:after="0"/>
            </w:pPr>
            <w:r>
              <w:rPr>
                <w:b/>
                <w:sz w:val="12"/>
              </w:rPr>
              <w:t>Përfitime të skontuara</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133C0141" w14:textId="77777777" w:rsidR="005A32F9" w:rsidRDefault="00000000">
            <w:pPr>
              <w:spacing w:after="0"/>
              <w:jc w:val="center"/>
            </w:pPr>
            <w:r>
              <w:rPr>
                <w:sz w:val="12"/>
              </w:rPr>
              <w:t>0.00</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0008DAE8" w14:textId="77777777" w:rsidR="005A32F9" w:rsidRDefault="00000000">
            <w:pPr>
              <w:spacing w:after="0"/>
              <w:jc w:val="center"/>
            </w:pPr>
            <w:r>
              <w:rPr>
                <w:sz w:val="12"/>
              </w:rPr>
              <w:t>19.05</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EC2A3E9" w14:textId="77777777" w:rsidR="005A32F9" w:rsidRDefault="00000000">
            <w:pPr>
              <w:spacing w:after="0"/>
              <w:jc w:val="center"/>
            </w:pPr>
            <w:r>
              <w:rPr>
                <w:sz w:val="12"/>
              </w:rPr>
              <w:t>18.14</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C17133D" w14:textId="77777777" w:rsidR="005A32F9" w:rsidRDefault="00000000">
            <w:pPr>
              <w:spacing w:after="0"/>
              <w:jc w:val="center"/>
            </w:pPr>
            <w:r>
              <w:rPr>
                <w:sz w:val="12"/>
              </w:rPr>
              <w:t>27.64</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5C49DA82" w14:textId="77777777" w:rsidR="005A32F9" w:rsidRDefault="00000000">
            <w:pPr>
              <w:spacing w:after="0"/>
              <w:jc w:val="center"/>
            </w:pPr>
            <w:r>
              <w:rPr>
                <w:sz w:val="12"/>
              </w:rPr>
              <w:t>26.33</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185094C8" w14:textId="77777777" w:rsidR="005A32F9" w:rsidRDefault="00000000">
            <w:pPr>
              <w:spacing w:after="0"/>
              <w:jc w:val="center"/>
            </w:pPr>
            <w:r>
              <w:rPr>
                <w:sz w:val="12"/>
              </w:rPr>
              <w:t>25.07</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668712E" w14:textId="77777777" w:rsidR="005A32F9" w:rsidRDefault="00000000">
            <w:pPr>
              <w:spacing w:after="0"/>
              <w:jc w:val="center"/>
            </w:pPr>
            <w:r>
              <w:rPr>
                <w:sz w:val="12"/>
              </w:rPr>
              <w:t>23.88</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4FCAD836" w14:textId="77777777" w:rsidR="005A32F9" w:rsidRDefault="00000000">
            <w:pPr>
              <w:spacing w:after="0"/>
              <w:jc w:val="center"/>
            </w:pPr>
            <w:r>
              <w:rPr>
                <w:sz w:val="12"/>
              </w:rPr>
              <w:t>22.74</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33D57C0A" w14:textId="77777777" w:rsidR="005A32F9" w:rsidRDefault="00000000">
            <w:pPr>
              <w:spacing w:after="0"/>
              <w:jc w:val="center"/>
            </w:pPr>
            <w:r>
              <w:rPr>
                <w:sz w:val="12"/>
              </w:rPr>
              <w:t>21.66</w:t>
            </w:r>
          </w:p>
        </w:tc>
        <w:tc>
          <w:tcPr>
            <w:tcW w:w="1134"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20045F1B" w14:textId="77777777" w:rsidR="005A32F9" w:rsidRDefault="00000000">
            <w:pPr>
              <w:spacing w:after="0"/>
              <w:jc w:val="center"/>
            </w:pPr>
            <w:r>
              <w:rPr>
                <w:sz w:val="12"/>
              </w:rPr>
              <w:t>20.63</w:t>
            </w:r>
          </w:p>
        </w:tc>
      </w:tr>
      <w:tr w:rsidR="005A32F9" w14:paraId="18F7531F" w14:textId="77777777">
        <w:trPr>
          <w:jc w:val="center"/>
        </w:trPr>
        <w:tc>
          <w:tcPr>
            <w:tcW w:w="3742"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2D18652C" w14:textId="77777777" w:rsidR="005A32F9" w:rsidRDefault="00000000">
            <w:pPr>
              <w:spacing w:after="0"/>
            </w:pPr>
            <w:r>
              <w:rPr>
                <w:b/>
                <w:sz w:val="12"/>
              </w:rPr>
              <w:t>Vlera aktuale e kostove në total</w:t>
            </w:r>
          </w:p>
        </w:tc>
        <w:tc>
          <w:tcPr>
            <w:tcW w:w="11340" w:type="dxa"/>
            <w:gridSpan w:val="10"/>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1BEE1DBB" w14:textId="77777777" w:rsidR="005A32F9" w:rsidRDefault="00000000">
            <w:pPr>
              <w:spacing w:after="0"/>
              <w:jc w:val="center"/>
            </w:pPr>
            <w:r>
              <w:rPr>
                <w:b/>
                <w:sz w:val="13"/>
              </w:rPr>
              <w:t>134.32 milionë lekë</w:t>
            </w:r>
          </w:p>
        </w:tc>
      </w:tr>
      <w:tr w:rsidR="005A32F9" w14:paraId="06E86CDF" w14:textId="77777777">
        <w:trPr>
          <w:jc w:val="center"/>
        </w:trPr>
        <w:tc>
          <w:tcPr>
            <w:tcW w:w="3742"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33C8AFA" w14:textId="77777777" w:rsidR="005A32F9" w:rsidRDefault="00000000">
            <w:pPr>
              <w:spacing w:after="0"/>
            </w:pPr>
            <w:r>
              <w:rPr>
                <w:b/>
                <w:sz w:val="12"/>
              </w:rPr>
              <w:t>Vlera aktuale e përfitimeve në total</w:t>
            </w:r>
          </w:p>
        </w:tc>
        <w:tc>
          <w:tcPr>
            <w:tcW w:w="11340" w:type="dxa"/>
            <w:gridSpan w:val="10"/>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24AC73EF" w14:textId="77777777" w:rsidR="005A32F9" w:rsidRDefault="00000000">
            <w:pPr>
              <w:spacing w:after="0"/>
              <w:jc w:val="center"/>
            </w:pPr>
            <w:r>
              <w:rPr>
                <w:b/>
                <w:sz w:val="13"/>
              </w:rPr>
              <w:t>205.14 milionë lekë</w:t>
            </w:r>
          </w:p>
        </w:tc>
      </w:tr>
      <w:tr w:rsidR="005A32F9" w14:paraId="658E36F1" w14:textId="77777777">
        <w:trPr>
          <w:jc w:val="center"/>
        </w:trPr>
        <w:tc>
          <w:tcPr>
            <w:tcW w:w="3742" w:type="dxa"/>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1DA560B5" w14:textId="77777777" w:rsidR="005A32F9" w:rsidRDefault="00000000">
            <w:pPr>
              <w:spacing w:after="0"/>
            </w:pPr>
            <w:r>
              <w:rPr>
                <w:b/>
                <w:sz w:val="12"/>
              </w:rPr>
              <w:t>Vlera Aktuale Neto (VAN)</w:t>
            </w:r>
          </w:p>
        </w:tc>
        <w:tc>
          <w:tcPr>
            <w:tcW w:w="11340" w:type="dxa"/>
            <w:gridSpan w:val="10"/>
            <w:tcBorders>
              <w:top w:val="single" w:sz="6" w:space="0" w:color="000000"/>
              <w:left w:val="single" w:sz="6" w:space="0" w:color="000000"/>
              <w:bottom w:val="single" w:sz="6" w:space="0" w:color="000000"/>
              <w:right w:val="single" w:sz="6" w:space="0" w:color="000000"/>
            </w:tcBorders>
            <w:tcMar>
              <w:top w:w="10" w:type="dxa"/>
              <w:left w:w="25" w:type="dxa"/>
              <w:bottom w:w="10" w:type="dxa"/>
              <w:right w:w="25" w:type="dxa"/>
            </w:tcMar>
            <w:vAlign w:val="center"/>
          </w:tcPr>
          <w:p w14:paraId="6C7BD458" w14:textId="77777777" w:rsidR="005A32F9" w:rsidRDefault="00000000">
            <w:pPr>
              <w:spacing w:after="0"/>
              <w:jc w:val="center"/>
            </w:pPr>
            <w:r>
              <w:rPr>
                <w:b/>
                <w:sz w:val="13"/>
              </w:rPr>
              <w:t>70.82 milionë lekë</w:t>
            </w:r>
          </w:p>
        </w:tc>
      </w:tr>
    </w:tbl>
    <w:p w14:paraId="1BDEA8E0" w14:textId="77777777" w:rsidR="005A32F9" w:rsidRDefault="005A32F9">
      <w:pPr>
        <w:sectPr w:rsidR="005A32F9">
          <w:footerReference w:type="default" r:id="rId9"/>
          <w:pgSz w:w="16838" w:h="11906" w:orient="landscape"/>
          <w:pgMar w:top="312" w:right="369" w:bottom="312" w:left="369" w:header="454" w:footer="454" w:gutter="0"/>
          <w:cols w:space="720"/>
          <w:docGrid w:linePitch="360"/>
        </w:sectPr>
      </w:pPr>
    </w:p>
    <w:p w14:paraId="48014D60" w14:textId="77777777" w:rsidR="005A32F9" w:rsidRDefault="00000000">
      <w:pPr>
        <w:pStyle w:val="Heading1"/>
      </w:pPr>
      <w:r>
        <w:rPr>
          <w:rFonts w:ascii="Times New Roman" w:eastAsia="Times New Roman" w:hAnsi="Times New Roman"/>
        </w:rPr>
        <w:lastRenderedPageBreak/>
        <w:t>Raporti i vlerësimit të ndikimit – Shtojca 2/b</w:t>
      </w:r>
    </w:p>
    <w:p w14:paraId="750237F5" w14:textId="77777777" w:rsidR="005A32F9" w:rsidRDefault="00000000">
      <w:pPr>
        <w:jc w:val="both"/>
      </w:pPr>
      <w:r>
        <w:rPr>
          <w:i/>
          <w:sz w:val="20"/>
        </w:rPr>
        <w:t>Tabela: Vlera aktuale neto në total e çdo opsioni, në milionë lekë.</w:t>
      </w:r>
    </w:p>
    <w:tbl>
      <w:tblPr>
        <w:tblW w:w="0" w:type="auto"/>
        <w:jc w:val="center"/>
        <w:tblLayout w:type="fixed"/>
        <w:tblLook w:val="04A0" w:firstRow="1" w:lastRow="0" w:firstColumn="1" w:lastColumn="0" w:noHBand="0" w:noVBand="1"/>
      </w:tblPr>
      <w:tblGrid>
        <w:gridCol w:w="5102"/>
        <w:gridCol w:w="1701"/>
        <w:gridCol w:w="1701"/>
        <w:gridCol w:w="1701"/>
      </w:tblGrid>
      <w:tr w:rsidR="005A32F9" w14:paraId="337E5482" w14:textId="77777777">
        <w:trPr>
          <w:jc w:val="center"/>
        </w:trPr>
        <w:tc>
          <w:tcPr>
            <w:tcW w:w="5102" w:type="dxa"/>
            <w:tcBorders>
              <w:top w:val="single" w:sz="8" w:space="0" w:color="000000"/>
              <w:left w:val="single" w:sz="8" w:space="0" w:color="000000"/>
              <w:bottom w:val="single" w:sz="8" w:space="0" w:color="000000"/>
              <w:right w:val="single" w:sz="8" w:space="0" w:color="000000"/>
            </w:tcBorders>
            <w:shd w:val="clear" w:color="auto" w:fill="D9D9D9"/>
            <w:tcMar>
              <w:top w:w="70" w:type="dxa"/>
              <w:left w:w="80" w:type="dxa"/>
              <w:bottom w:w="70" w:type="dxa"/>
              <w:right w:w="80" w:type="dxa"/>
            </w:tcMar>
            <w:vAlign w:val="center"/>
          </w:tcPr>
          <w:p w14:paraId="7129BB45" w14:textId="77777777" w:rsidR="005A32F9" w:rsidRDefault="00000000">
            <w:pPr>
              <w:spacing w:after="0"/>
              <w:jc w:val="center"/>
            </w:pPr>
            <w:r>
              <w:rPr>
                <w:b/>
                <w:sz w:val="18"/>
              </w:rPr>
              <w:t>Opsioni</w:t>
            </w:r>
          </w:p>
        </w:tc>
        <w:tc>
          <w:tcPr>
            <w:tcW w:w="1701" w:type="dxa"/>
            <w:tcBorders>
              <w:top w:val="single" w:sz="8" w:space="0" w:color="000000"/>
              <w:left w:val="single" w:sz="8" w:space="0" w:color="000000"/>
              <w:bottom w:val="single" w:sz="8" w:space="0" w:color="000000"/>
              <w:right w:val="single" w:sz="8" w:space="0" w:color="000000"/>
            </w:tcBorders>
            <w:shd w:val="clear" w:color="auto" w:fill="D9D9D9"/>
            <w:tcMar>
              <w:top w:w="70" w:type="dxa"/>
              <w:left w:w="80" w:type="dxa"/>
              <w:bottom w:w="70" w:type="dxa"/>
              <w:right w:w="80" w:type="dxa"/>
            </w:tcMar>
            <w:vAlign w:val="center"/>
          </w:tcPr>
          <w:p w14:paraId="69023D46" w14:textId="77777777" w:rsidR="005A32F9" w:rsidRDefault="00000000">
            <w:pPr>
              <w:spacing w:after="0"/>
              <w:jc w:val="center"/>
            </w:pPr>
            <w:r>
              <w:rPr>
                <w:b/>
                <w:sz w:val="18"/>
              </w:rPr>
              <w:t>PV e kostove</w:t>
            </w:r>
          </w:p>
        </w:tc>
        <w:tc>
          <w:tcPr>
            <w:tcW w:w="1701" w:type="dxa"/>
            <w:tcBorders>
              <w:top w:val="single" w:sz="8" w:space="0" w:color="000000"/>
              <w:left w:val="single" w:sz="8" w:space="0" w:color="000000"/>
              <w:bottom w:val="single" w:sz="8" w:space="0" w:color="000000"/>
              <w:right w:val="single" w:sz="8" w:space="0" w:color="000000"/>
            </w:tcBorders>
            <w:shd w:val="clear" w:color="auto" w:fill="D9D9D9"/>
            <w:tcMar>
              <w:top w:w="70" w:type="dxa"/>
              <w:left w:w="80" w:type="dxa"/>
              <w:bottom w:w="70" w:type="dxa"/>
              <w:right w:w="80" w:type="dxa"/>
            </w:tcMar>
            <w:vAlign w:val="center"/>
          </w:tcPr>
          <w:p w14:paraId="15F5A656" w14:textId="77777777" w:rsidR="005A32F9" w:rsidRDefault="00000000">
            <w:pPr>
              <w:spacing w:after="0"/>
              <w:jc w:val="center"/>
            </w:pPr>
            <w:r>
              <w:rPr>
                <w:b/>
                <w:sz w:val="18"/>
              </w:rPr>
              <w:t>PV e përfitimeve</w:t>
            </w:r>
          </w:p>
        </w:tc>
        <w:tc>
          <w:tcPr>
            <w:tcW w:w="1701" w:type="dxa"/>
            <w:tcBorders>
              <w:top w:val="single" w:sz="8" w:space="0" w:color="000000"/>
              <w:left w:val="single" w:sz="8" w:space="0" w:color="000000"/>
              <w:bottom w:val="single" w:sz="8" w:space="0" w:color="000000"/>
              <w:right w:val="single" w:sz="8" w:space="0" w:color="000000"/>
            </w:tcBorders>
            <w:shd w:val="clear" w:color="auto" w:fill="D9D9D9"/>
            <w:tcMar>
              <w:top w:w="70" w:type="dxa"/>
              <w:left w:w="80" w:type="dxa"/>
              <w:bottom w:w="70" w:type="dxa"/>
              <w:right w:w="80" w:type="dxa"/>
            </w:tcMar>
            <w:vAlign w:val="center"/>
          </w:tcPr>
          <w:p w14:paraId="0BFAE70B" w14:textId="77777777" w:rsidR="005A32F9" w:rsidRDefault="00000000">
            <w:pPr>
              <w:spacing w:after="0"/>
              <w:jc w:val="center"/>
            </w:pPr>
            <w:r>
              <w:rPr>
                <w:b/>
                <w:sz w:val="18"/>
              </w:rPr>
              <w:t>VAN</w:t>
            </w:r>
          </w:p>
        </w:tc>
      </w:tr>
      <w:tr w:rsidR="005A32F9" w14:paraId="0C442302" w14:textId="77777777">
        <w:trPr>
          <w:jc w:val="center"/>
        </w:trPr>
        <w:tc>
          <w:tcPr>
            <w:tcW w:w="5102"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107CCBF5" w14:textId="77777777" w:rsidR="005A32F9" w:rsidRDefault="00000000">
            <w:pPr>
              <w:spacing w:after="0"/>
            </w:pPr>
            <w:r>
              <w:rPr>
                <w:sz w:val="18"/>
              </w:rPr>
              <w:t>Opsioni 0 – Status quo</w:t>
            </w:r>
          </w:p>
        </w:tc>
        <w:tc>
          <w:tcPr>
            <w:tcW w:w="1701"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1EA9297B" w14:textId="77777777" w:rsidR="005A32F9" w:rsidRDefault="00000000">
            <w:pPr>
              <w:spacing w:after="0"/>
              <w:jc w:val="center"/>
            </w:pPr>
            <w:r>
              <w:rPr>
                <w:sz w:val="18"/>
              </w:rPr>
              <w:t>0.00</w:t>
            </w:r>
          </w:p>
        </w:tc>
        <w:tc>
          <w:tcPr>
            <w:tcW w:w="1701"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5AA9255B" w14:textId="77777777" w:rsidR="005A32F9" w:rsidRDefault="00000000">
            <w:pPr>
              <w:spacing w:after="0"/>
              <w:jc w:val="center"/>
            </w:pPr>
            <w:r>
              <w:rPr>
                <w:sz w:val="18"/>
              </w:rPr>
              <w:t>0.00</w:t>
            </w:r>
          </w:p>
        </w:tc>
        <w:tc>
          <w:tcPr>
            <w:tcW w:w="1701"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260AED73" w14:textId="77777777" w:rsidR="005A32F9" w:rsidRDefault="00000000">
            <w:pPr>
              <w:spacing w:after="0"/>
              <w:jc w:val="center"/>
            </w:pPr>
            <w:r>
              <w:rPr>
                <w:sz w:val="18"/>
              </w:rPr>
              <w:t>0.00</w:t>
            </w:r>
          </w:p>
        </w:tc>
      </w:tr>
      <w:tr w:rsidR="005A32F9" w14:paraId="4230A2C8" w14:textId="77777777">
        <w:trPr>
          <w:jc w:val="center"/>
        </w:trPr>
        <w:tc>
          <w:tcPr>
            <w:tcW w:w="5102"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2CFFA91E" w14:textId="77777777" w:rsidR="005A32F9" w:rsidRDefault="00000000">
            <w:pPr>
              <w:spacing w:after="0"/>
            </w:pPr>
            <w:r>
              <w:rPr>
                <w:sz w:val="18"/>
              </w:rPr>
              <w:t>Opsioni 1 – Masa jorregullatore</w:t>
            </w:r>
          </w:p>
        </w:tc>
        <w:tc>
          <w:tcPr>
            <w:tcW w:w="1701"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6707AFE0" w14:textId="77777777" w:rsidR="005A32F9" w:rsidRDefault="00000000">
            <w:pPr>
              <w:spacing w:after="0"/>
              <w:jc w:val="center"/>
            </w:pPr>
            <w:r>
              <w:rPr>
                <w:sz w:val="18"/>
              </w:rPr>
              <w:t>12.30</w:t>
            </w:r>
          </w:p>
        </w:tc>
        <w:tc>
          <w:tcPr>
            <w:tcW w:w="1701"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2CF30542" w14:textId="77777777" w:rsidR="005A32F9" w:rsidRDefault="00000000">
            <w:pPr>
              <w:spacing w:after="0"/>
              <w:jc w:val="center"/>
            </w:pPr>
            <w:r>
              <w:rPr>
                <w:sz w:val="18"/>
              </w:rPr>
              <w:t>7.50</w:t>
            </w:r>
          </w:p>
        </w:tc>
        <w:tc>
          <w:tcPr>
            <w:tcW w:w="1701"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021D8980" w14:textId="77777777" w:rsidR="005A32F9" w:rsidRDefault="00000000">
            <w:pPr>
              <w:spacing w:after="0"/>
              <w:jc w:val="center"/>
            </w:pPr>
            <w:r>
              <w:rPr>
                <w:sz w:val="18"/>
              </w:rPr>
              <w:t>-4.80</w:t>
            </w:r>
          </w:p>
        </w:tc>
      </w:tr>
      <w:tr w:rsidR="005A32F9" w14:paraId="7517ADF0" w14:textId="77777777">
        <w:trPr>
          <w:jc w:val="center"/>
        </w:trPr>
        <w:tc>
          <w:tcPr>
            <w:tcW w:w="5102"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5EE19DBC" w14:textId="77777777" w:rsidR="005A32F9" w:rsidRDefault="00000000">
            <w:pPr>
              <w:spacing w:after="0"/>
            </w:pPr>
            <w:r>
              <w:rPr>
                <w:sz w:val="18"/>
              </w:rPr>
              <w:t>Opsioni 2 – Ndryshime të shpërndara</w:t>
            </w:r>
          </w:p>
        </w:tc>
        <w:tc>
          <w:tcPr>
            <w:tcW w:w="1701"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106D264B" w14:textId="77777777" w:rsidR="005A32F9" w:rsidRDefault="00000000">
            <w:pPr>
              <w:spacing w:after="0"/>
              <w:jc w:val="center"/>
            </w:pPr>
            <w:r>
              <w:rPr>
                <w:sz w:val="18"/>
              </w:rPr>
              <w:t>151.60</w:t>
            </w:r>
          </w:p>
        </w:tc>
        <w:tc>
          <w:tcPr>
            <w:tcW w:w="1701"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4662BB6D" w14:textId="77777777" w:rsidR="005A32F9" w:rsidRDefault="00000000">
            <w:pPr>
              <w:spacing w:after="0"/>
              <w:jc w:val="center"/>
            </w:pPr>
            <w:r>
              <w:rPr>
                <w:sz w:val="18"/>
              </w:rPr>
              <w:t>180.40</w:t>
            </w:r>
          </w:p>
        </w:tc>
        <w:tc>
          <w:tcPr>
            <w:tcW w:w="1701"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54BD1691" w14:textId="77777777" w:rsidR="005A32F9" w:rsidRDefault="00000000">
            <w:pPr>
              <w:spacing w:after="0"/>
              <w:jc w:val="center"/>
            </w:pPr>
            <w:r>
              <w:rPr>
                <w:sz w:val="18"/>
              </w:rPr>
              <w:t>28.80</w:t>
            </w:r>
          </w:p>
        </w:tc>
      </w:tr>
      <w:tr w:rsidR="005A32F9" w14:paraId="2FB330F7" w14:textId="77777777">
        <w:trPr>
          <w:jc w:val="center"/>
        </w:trPr>
        <w:tc>
          <w:tcPr>
            <w:tcW w:w="5102"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2878B44B" w14:textId="77777777" w:rsidR="005A32F9" w:rsidRPr="006916B7" w:rsidRDefault="00000000">
            <w:pPr>
              <w:spacing w:after="0"/>
              <w:rPr>
                <w:lang w:val="it-IT"/>
              </w:rPr>
            </w:pPr>
            <w:r w:rsidRPr="006916B7">
              <w:rPr>
                <w:sz w:val="18"/>
                <w:lang w:val="it-IT"/>
              </w:rPr>
              <w:t>Opsioni 3 – Ligj i ri i posaçëm</w:t>
            </w:r>
          </w:p>
        </w:tc>
        <w:tc>
          <w:tcPr>
            <w:tcW w:w="1701"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39A96E7F" w14:textId="77777777" w:rsidR="005A32F9" w:rsidRDefault="00000000">
            <w:pPr>
              <w:spacing w:after="0"/>
              <w:jc w:val="center"/>
            </w:pPr>
            <w:r>
              <w:rPr>
                <w:sz w:val="18"/>
              </w:rPr>
              <w:t>134.32</w:t>
            </w:r>
          </w:p>
        </w:tc>
        <w:tc>
          <w:tcPr>
            <w:tcW w:w="1701"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3400E264" w14:textId="77777777" w:rsidR="005A32F9" w:rsidRDefault="00000000">
            <w:pPr>
              <w:spacing w:after="0"/>
              <w:jc w:val="center"/>
            </w:pPr>
            <w:r>
              <w:rPr>
                <w:sz w:val="18"/>
              </w:rPr>
              <w:t>205.14</w:t>
            </w:r>
          </w:p>
        </w:tc>
        <w:tc>
          <w:tcPr>
            <w:tcW w:w="1701"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20F9F185" w14:textId="77777777" w:rsidR="005A32F9" w:rsidRDefault="00000000">
            <w:pPr>
              <w:spacing w:after="0"/>
              <w:jc w:val="center"/>
            </w:pPr>
            <w:r>
              <w:rPr>
                <w:sz w:val="18"/>
              </w:rPr>
              <w:t>70.82</w:t>
            </w:r>
          </w:p>
        </w:tc>
      </w:tr>
      <w:tr w:rsidR="005A32F9" w14:paraId="292DCF19" w14:textId="77777777">
        <w:trPr>
          <w:jc w:val="center"/>
        </w:trPr>
        <w:tc>
          <w:tcPr>
            <w:tcW w:w="5102"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086A4FAC" w14:textId="77777777" w:rsidR="005A32F9" w:rsidRDefault="00000000">
            <w:pPr>
              <w:spacing w:after="0"/>
            </w:pPr>
            <w:proofErr w:type="gramStart"/>
            <w:r>
              <w:rPr>
                <w:b/>
                <w:sz w:val="18"/>
              </w:rPr>
              <w:t>Opsioni i</w:t>
            </w:r>
            <w:proofErr w:type="gramEnd"/>
            <w:r>
              <w:rPr>
                <w:b/>
                <w:sz w:val="18"/>
              </w:rPr>
              <w:t xml:space="preserve"> preferuar</w:t>
            </w:r>
          </w:p>
        </w:tc>
        <w:tc>
          <w:tcPr>
            <w:tcW w:w="1701"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717F2816" w14:textId="77777777" w:rsidR="005A32F9" w:rsidRDefault="00000000">
            <w:pPr>
              <w:spacing w:after="0"/>
              <w:jc w:val="center"/>
            </w:pPr>
            <w:r>
              <w:rPr>
                <w:b/>
                <w:sz w:val="18"/>
              </w:rPr>
              <w:t>134.32</w:t>
            </w:r>
          </w:p>
        </w:tc>
        <w:tc>
          <w:tcPr>
            <w:tcW w:w="1701"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3631D372" w14:textId="77777777" w:rsidR="005A32F9" w:rsidRDefault="00000000">
            <w:pPr>
              <w:spacing w:after="0"/>
              <w:jc w:val="center"/>
            </w:pPr>
            <w:r>
              <w:rPr>
                <w:b/>
                <w:sz w:val="18"/>
              </w:rPr>
              <w:t>205.14</w:t>
            </w:r>
          </w:p>
        </w:tc>
        <w:tc>
          <w:tcPr>
            <w:tcW w:w="1701" w:type="dxa"/>
            <w:tcBorders>
              <w:top w:val="single" w:sz="8" w:space="0" w:color="000000"/>
              <w:left w:val="single" w:sz="8" w:space="0" w:color="000000"/>
              <w:bottom w:val="single" w:sz="8" w:space="0" w:color="000000"/>
              <w:right w:val="single" w:sz="8" w:space="0" w:color="000000"/>
            </w:tcBorders>
            <w:tcMar>
              <w:top w:w="70" w:type="dxa"/>
              <w:left w:w="80" w:type="dxa"/>
              <w:bottom w:w="70" w:type="dxa"/>
              <w:right w:w="80" w:type="dxa"/>
            </w:tcMar>
            <w:vAlign w:val="center"/>
          </w:tcPr>
          <w:p w14:paraId="30899535" w14:textId="77777777" w:rsidR="005A32F9" w:rsidRDefault="00000000">
            <w:pPr>
              <w:spacing w:after="0"/>
              <w:jc w:val="center"/>
            </w:pPr>
            <w:r>
              <w:rPr>
                <w:b/>
                <w:sz w:val="18"/>
              </w:rPr>
              <w:t>70.82</w:t>
            </w:r>
          </w:p>
        </w:tc>
      </w:tr>
    </w:tbl>
    <w:p w14:paraId="5D6EB870" w14:textId="77777777" w:rsidR="005A32F9" w:rsidRDefault="00000000">
      <w:pPr>
        <w:jc w:val="both"/>
      </w:pPr>
      <w:r>
        <w:rPr>
          <w:sz w:val="19"/>
        </w:rPr>
        <w:t>Shënim metodologjik: Opsioni 2 është modeluar me kosto më të larta për shkak të ndërhyrjeve të shpërndara dhe përfitime më të ulëta për shkak të fragmentimit. Opsioni 1 përfshin vetëm kosto të udhëzimeve dhe trajnimeve dhe përfitime të kufizuara, pa krijuar instrument juridik funksional. Vlerat përdoren për krahasim analitik dhe rishikohen në vlerësimin ex post me të dhëna faktike.</w:t>
      </w:r>
    </w:p>
    <w:p w14:paraId="051DF19A" w14:textId="77777777" w:rsidR="00A97B2A" w:rsidRDefault="00A97B2A">
      <w:pPr>
        <w:spacing w:before="400" w:after="0"/>
        <w:jc w:val="center"/>
        <w:rPr>
          <w:b/>
          <w:sz w:val="22"/>
        </w:rPr>
      </w:pPr>
    </w:p>
    <w:p w14:paraId="32F07D9C" w14:textId="77777777" w:rsidR="00A97B2A" w:rsidRDefault="00A97B2A">
      <w:pPr>
        <w:spacing w:before="400" w:after="0"/>
        <w:jc w:val="center"/>
        <w:rPr>
          <w:b/>
          <w:sz w:val="22"/>
        </w:rPr>
      </w:pPr>
    </w:p>
    <w:p w14:paraId="7BA69007" w14:textId="68CA461C" w:rsidR="005A32F9" w:rsidRDefault="00000000">
      <w:pPr>
        <w:spacing w:before="400" w:after="0"/>
        <w:jc w:val="center"/>
        <w:rPr>
          <w:b/>
          <w:sz w:val="22"/>
        </w:rPr>
      </w:pPr>
      <w:r>
        <w:rPr>
          <w:b/>
          <w:sz w:val="22"/>
        </w:rPr>
        <w:t>MINISTËR I FINANCAVE</w:t>
      </w:r>
    </w:p>
    <w:p w14:paraId="3FF05999" w14:textId="77777777" w:rsidR="00224FB8" w:rsidRDefault="00224FB8">
      <w:pPr>
        <w:spacing w:before="400" w:after="0"/>
        <w:jc w:val="center"/>
      </w:pPr>
      <w:r>
        <w:rPr>
          <w:b/>
          <w:sz w:val="22"/>
        </w:rPr>
        <w:t>PETRIT MALAJ</w:t>
      </w:r>
    </w:p>
    <w:sectPr w:rsidR="00224FB8" w:rsidSect="00034616">
      <w:footerReference w:type="default" r:id="rId10"/>
      <w:pgSz w:w="11906" w:h="16838"/>
      <w:pgMar w:top="680" w:right="850" w:bottom="680" w:left="850"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1F0BB" w14:textId="77777777" w:rsidR="009E3BDD" w:rsidRDefault="009E3BDD">
      <w:pPr>
        <w:spacing w:after="0"/>
      </w:pPr>
      <w:r>
        <w:separator/>
      </w:r>
    </w:p>
  </w:endnote>
  <w:endnote w:type="continuationSeparator" w:id="0">
    <w:p w14:paraId="7C3D3B42" w14:textId="77777777" w:rsidR="009E3BDD" w:rsidRDefault="009E3BD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91799" w14:textId="77777777" w:rsidR="005A32F9" w:rsidRDefault="00000000">
    <w:pPr>
      <w:jc w:val="center"/>
    </w:pPr>
    <w:r>
      <w:fldChar w:fldCharType="begin"/>
    </w:r>
    <w:r>
      <w:instrText xml:space="preserve"> PAGE </w:instrText>
    </w:r>
    <w:r>
      <w:fldChar w:fldCharType="separate"/>
    </w:r>
    <w:r w:rsidR="00FE0C3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01A6" w14:textId="77777777" w:rsidR="005A32F9" w:rsidRDefault="00000000">
    <w:pPr>
      <w:jc w:val="center"/>
    </w:pPr>
    <w:r>
      <w:fldChar w:fldCharType="begin"/>
    </w:r>
    <w:r>
      <w:instrText xml:space="preserve"> PAGE </w:instrText>
    </w:r>
    <w:r>
      <w:fldChar w:fldCharType="separate"/>
    </w:r>
    <w:r w:rsidR="00FE0C35">
      <w:rPr>
        <w:noProof/>
      </w:rPr>
      <w:t>11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DE8CB" w14:textId="77777777" w:rsidR="005A32F9" w:rsidRDefault="00000000">
    <w:pPr>
      <w:jc w:val="center"/>
    </w:pPr>
    <w:r>
      <w:fldChar w:fldCharType="begin"/>
    </w:r>
    <w:r>
      <w:instrText xml:space="preserve"> PAGE </w:instrText>
    </w:r>
    <w:r>
      <w:fldChar w:fldCharType="separate"/>
    </w:r>
    <w:r w:rsidR="00FE0C35">
      <w:rPr>
        <w:noProof/>
      </w:rP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9D008" w14:textId="77777777" w:rsidR="009E3BDD" w:rsidRDefault="009E3BDD">
      <w:pPr>
        <w:spacing w:after="0"/>
      </w:pPr>
      <w:r>
        <w:separator/>
      </w:r>
    </w:p>
  </w:footnote>
  <w:footnote w:type="continuationSeparator" w:id="0">
    <w:p w14:paraId="40C0EA4E" w14:textId="77777777" w:rsidR="009E3BDD" w:rsidRDefault="009E3BD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624DA6"/>
    <w:multiLevelType w:val="hybridMultilevel"/>
    <w:tmpl w:val="3E06C3D2"/>
    <w:lvl w:ilvl="0" w:tplc="DE5275A0">
      <w:start w:val="1"/>
      <w:numFmt w:val="bullet"/>
      <w:lvlText w:val=""/>
      <w:lvlJc w:val="left"/>
      <w:pPr>
        <w:ind w:left="1080" w:hanging="360"/>
      </w:pPr>
      <w:rPr>
        <w:rFonts w:ascii="Symbol" w:hAnsi="Symbol"/>
      </w:rPr>
    </w:lvl>
    <w:lvl w:ilvl="1" w:tplc="02E425DE">
      <w:start w:val="1"/>
      <w:numFmt w:val="bullet"/>
      <w:lvlText w:val=""/>
      <w:lvlJc w:val="left"/>
      <w:pPr>
        <w:ind w:left="1080" w:hanging="360"/>
      </w:pPr>
      <w:rPr>
        <w:rFonts w:ascii="Symbol" w:hAnsi="Symbol"/>
      </w:rPr>
    </w:lvl>
    <w:lvl w:ilvl="2" w:tplc="15001D68">
      <w:start w:val="1"/>
      <w:numFmt w:val="bullet"/>
      <w:lvlText w:val=""/>
      <w:lvlJc w:val="left"/>
      <w:pPr>
        <w:ind w:left="1080" w:hanging="360"/>
      </w:pPr>
      <w:rPr>
        <w:rFonts w:ascii="Symbol" w:hAnsi="Symbol"/>
      </w:rPr>
    </w:lvl>
    <w:lvl w:ilvl="3" w:tplc="80AE1C6A">
      <w:start w:val="1"/>
      <w:numFmt w:val="bullet"/>
      <w:lvlText w:val=""/>
      <w:lvlJc w:val="left"/>
      <w:pPr>
        <w:ind w:left="1080" w:hanging="360"/>
      </w:pPr>
      <w:rPr>
        <w:rFonts w:ascii="Symbol" w:hAnsi="Symbol"/>
      </w:rPr>
    </w:lvl>
    <w:lvl w:ilvl="4" w:tplc="61789430">
      <w:start w:val="1"/>
      <w:numFmt w:val="bullet"/>
      <w:lvlText w:val=""/>
      <w:lvlJc w:val="left"/>
      <w:pPr>
        <w:ind w:left="1080" w:hanging="360"/>
      </w:pPr>
      <w:rPr>
        <w:rFonts w:ascii="Symbol" w:hAnsi="Symbol"/>
      </w:rPr>
    </w:lvl>
    <w:lvl w:ilvl="5" w:tplc="90A0BC9E">
      <w:start w:val="1"/>
      <w:numFmt w:val="bullet"/>
      <w:lvlText w:val=""/>
      <w:lvlJc w:val="left"/>
      <w:pPr>
        <w:ind w:left="1080" w:hanging="360"/>
      </w:pPr>
      <w:rPr>
        <w:rFonts w:ascii="Symbol" w:hAnsi="Symbol"/>
      </w:rPr>
    </w:lvl>
    <w:lvl w:ilvl="6" w:tplc="B3E6FCD0">
      <w:start w:val="1"/>
      <w:numFmt w:val="bullet"/>
      <w:lvlText w:val=""/>
      <w:lvlJc w:val="left"/>
      <w:pPr>
        <w:ind w:left="1080" w:hanging="360"/>
      </w:pPr>
      <w:rPr>
        <w:rFonts w:ascii="Symbol" w:hAnsi="Symbol"/>
      </w:rPr>
    </w:lvl>
    <w:lvl w:ilvl="7" w:tplc="5AC0F04A">
      <w:start w:val="1"/>
      <w:numFmt w:val="bullet"/>
      <w:lvlText w:val=""/>
      <w:lvlJc w:val="left"/>
      <w:pPr>
        <w:ind w:left="1080" w:hanging="360"/>
      </w:pPr>
      <w:rPr>
        <w:rFonts w:ascii="Symbol" w:hAnsi="Symbol"/>
      </w:rPr>
    </w:lvl>
    <w:lvl w:ilvl="8" w:tplc="FD30B93A">
      <w:start w:val="1"/>
      <w:numFmt w:val="bullet"/>
      <w:lvlText w:val=""/>
      <w:lvlJc w:val="left"/>
      <w:pPr>
        <w:ind w:left="1080" w:hanging="360"/>
      </w:pPr>
      <w:rPr>
        <w:rFonts w:ascii="Symbol" w:hAnsi="Symbol"/>
      </w:rPr>
    </w:lvl>
  </w:abstractNum>
  <w:abstractNum w:abstractNumId="10" w15:restartNumberingAfterBreak="0">
    <w:nsid w:val="055D696C"/>
    <w:multiLevelType w:val="multilevel"/>
    <w:tmpl w:val="5AA83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D51764"/>
    <w:multiLevelType w:val="hybridMultilevel"/>
    <w:tmpl w:val="9BA468DE"/>
    <w:lvl w:ilvl="0" w:tplc="428A2140">
      <w:start w:val="1"/>
      <w:numFmt w:val="bullet"/>
      <w:lvlText w:val=""/>
      <w:lvlJc w:val="left"/>
      <w:pPr>
        <w:ind w:left="1080" w:hanging="360"/>
      </w:pPr>
      <w:rPr>
        <w:rFonts w:ascii="Symbol" w:hAnsi="Symbol"/>
      </w:rPr>
    </w:lvl>
    <w:lvl w:ilvl="1" w:tplc="9ABE025C">
      <w:start w:val="1"/>
      <w:numFmt w:val="bullet"/>
      <w:lvlText w:val=""/>
      <w:lvlJc w:val="left"/>
      <w:pPr>
        <w:ind w:left="1440" w:hanging="360"/>
      </w:pPr>
      <w:rPr>
        <w:rFonts w:ascii="Symbol" w:hAnsi="Symbol"/>
      </w:rPr>
    </w:lvl>
    <w:lvl w:ilvl="2" w:tplc="E47C08C8">
      <w:start w:val="1"/>
      <w:numFmt w:val="bullet"/>
      <w:lvlText w:val=""/>
      <w:lvlJc w:val="left"/>
      <w:pPr>
        <w:ind w:left="1080" w:hanging="360"/>
      </w:pPr>
      <w:rPr>
        <w:rFonts w:ascii="Symbol" w:hAnsi="Symbol"/>
      </w:rPr>
    </w:lvl>
    <w:lvl w:ilvl="3" w:tplc="4CEE966C">
      <w:start w:val="1"/>
      <w:numFmt w:val="bullet"/>
      <w:lvlText w:val=""/>
      <w:lvlJc w:val="left"/>
      <w:pPr>
        <w:ind w:left="1080" w:hanging="360"/>
      </w:pPr>
      <w:rPr>
        <w:rFonts w:ascii="Symbol" w:hAnsi="Symbol"/>
      </w:rPr>
    </w:lvl>
    <w:lvl w:ilvl="4" w:tplc="2E7CA7B8">
      <w:start w:val="1"/>
      <w:numFmt w:val="bullet"/>
      <w:lvlText w:val=""/>
      <w:lvlJc w:val="left"/>
      <w:pPr>
        <w:ind w:left="1080" w:hanging="360"/>
      </w:pPr>
      <w:rPr>
        <w:rFonts w:ascii="Symbol" w:hAnsi="Symbol"/>
      </w:rPr>
    </w:lvl>
    <w:lvl w:ilvl="5" w:tplc="CBDEC19C">
      <w:start w:val="1"/>
      <w:numFmt w:val="bullet"/>
      <w:lvlText w:val=""/>
      <w:lvlJc w:val="left"/>
      <w:pPr>
        <w:ind w:left="1080" w:hanging="360"/>
      </w:pPr>
      <w:rPr>
        <w:rFonts w:ascii="Symbol" w:hAnsi="Symbol"/>
      </w:rPr>
    </w:lvl>
    <w:lvl w:ilvl="6" w:tplc="3698D3CE">
      <w:start w:val="1"/>
      <w:numFmt w:val="bullet"/>
      <w:lvlText w:val=""/>
      <w:lvlJc w:val="left"/>
      <w:pPr>
        <w:ind w:left="1080" w:hanging="360"/>
      </w:pPr>
      <w:rPr>
        <w:rFonts w:ascii="Symbol" w:hAnsi="Symbol"/>
      </w:rPr>
    </w:lvl>
    <w:lvl w:ilvl="7" w:tplc="461277F6">
      <w:start w:val="1"/>
      <w:numFmt w:val="bullet"/>
      <w:lvlText w:val=""/>
      <w:lvlJc w:val="left"/>
      <w:pPr>
        <w:ind w:left="1080" w:hanging="360"/>
      </w:pPr>
      <w:rPr>
        <w:rFonts w:ascii="Symbol" w:hAnsi="Symbol"/>
      </w:rPr>
    </w:lvl>
    <w:lvl w:ilvl="8" w:tplc="77E63072">
      <w:start w:val="1"/>
      <w:numFmt w:val="bullet"/>
      <w:lvlText w:val=""/>
      <w:lvlJc w:val="left"/>
      <w:pPr>
        <w:ind w:left="1080" w:hanging="360"/>
      </w:pPr>
      <w:rPr>
        <w:rFonts w:ascii="Symbol" w:hAnsi="Symbol"/>
      </w:rPr>
    </w:lvl>
  </w:abstractNum>
  <w:abstractNum w:abstractNumId="12" w15:restartNumberingAfterBreak="0">
    <w:nsid w:val="0DC87708"/>
    <w:multiLevelType w:val="hybridMultilevel"/>
    <w:tmpl w:val="6E3A16DC"/>
    <w:lvl w:ilvl="0" w:tplc="4EE8A322">
      <w:start w:val="1"/>
      <w:numFmt w:val="bullet"/>
      <w:lvlText w:val=""/>
      <w:lvlJc w:val="left"/>
      <w:pPr>
        <w:ind w:left="1080" w:hanging="360"/>
      </w:pPr>
      <w:rPr>
        <w:rFonts w:ascii="Symbol" w:hAnsi="Symbol"/>
      </w:rPr>
    </w:lvl>
    <w:lvl w:ilvl="1" w:tplc="C360CE22">
      <w:start w:val="1"/>
      <w:numFmt w:val="bullet"/>
      <w:lvlText w:val=""/>
      <w:lvlJc w:val="left"/>
      <w:pPr>
        <w:ind w:left="1080" w:hanging="360"/>
      </w:pPr>
      <w:rPr>
        <w:rFonts w:ascii="Symbol" w:hAnsi="Symbol"/>
      </w:rPr>
    </w:lvl>
    <w:lvl w:ilvl="2" w:tplc="A18E75AA">
      <w:start w:val="1"/>
      <w:numFmt w:val="bullet"/>
      <w:lvlText w:val=""/>
      <w:lvlJc w:val="left"/>
      <w:pPr>
        <w:ind w:left="1080" w:hanging="360"/>
      </w:pPr>
      <w:rPr>
        <w:rFonts w:ascii="Symbol" w:hAnsi="Symbol"/>
      </w:rPr>
    </w:lvl>
    <w:lvl w:ilvl="3" w:tplc="5F886122">
      <w:start w:val="1"/>
      <w:numFmt w:val="bullet"/>
      <w:lvlText w:val=""/>
      <w:lvlJc w:val="left"/>
      <w:pPr>
        <w:ind w:left="1080" w:hanging="360"/>
      </w:pPr>
      <w:rPr>
        <w:rFonts w:ascii="Symbol" w:hAnsi="Symbol"/>
      </w:rPr>
    </w:lvl>
    <w:lvl w:ilvl="4" w:tplc="C90EB27E">
      <w:start w:val="1"/>
      <w:numFmt w:val="bullet"/>
      <w:lvlText w:val=""/>
      <w:lvlJc w:val="left"/>
      <w:pPr>
        <w:ind w:left="1080" w:hanging="360"/>
      </w:pPr>
      <w:rPr>
        <w:rFonts w:ascii="Symbol" w:hAnsi="Symbol"/>
      </w:rPr>
    </w:lvl>
    <w:lvl w:ilvl="5" w:tplc="3FF05FE2">
      <w:start w:val="1"/>
      <w:numFmt w:val="bullet"/>
      <w:lvlText w:val=""/>
      <w:lvlJc w:val="left"/>
      <w:pPr>
        <w:ind w:left="1080" w:hanging="360"/>
      </w:pPr>
      <w:rPr>
        <w:rFonts w:ascii="Symbol" w:hAnsi="Symbol"/>
      </w:rPr>
    </w:lvl>
    <w:lvl w:ilvl="6" w:tplc="C0622BA8">
      <w:start w:val="1"/>
      <w:numFmt w:val="bullet"/>
      <w:lvlText w:val=""/>
      <w:lvlJc w:val="left"/>
      <w:pPr>
        <w:ind w:left="1080" w:hanging="360"/>
      </w:pPr>
      <w:rPr>
        <w:rFonts w:ascii="Symbol" w:hAnsi="Symbol"/>
      </w:rPr>
    </w:lvl>
    <w:lvl w:ilvl="7" w:tplc="4F169260">
      <w:start w:val="1"/>
      <w:numFmt w:val="bullet"/>
      <w:lvlText w:val=""/>
      <w:lvlJc w:val="left"/>
      <w:pPr>
        <w:ind w:left="1080" w:hanging="360"/>
      </w:pPr>
      <w:rPr>
        <w:rFonts w:ascii="Symbol" w:hAnsi="Symbol"/>
      </w:rPr>
    </w:lvl>
    <w:lvl w:ilvl="8" w:tplc="096E3DF2">
      <w:start w:val="1"/>
      <w:numFmt w:val="bullet"/>
      <w:lvlText w:val=""/>
      <w:lvlJc w:val="left"/>
      <w:pPr>
        <w:ind w:left="1080" w:hanging="360"/>
      </w:pPr>
      <w:rPr>
        <w:rFonts w:ascii="Symbol" w:hAnsi="Symbol"/>
      </w:rPr>
    </w:lvl>
  </w:abstractNum>
  <w:abstractNum w:abstractNumId="13" w15:restartNumberingAfterBreak="0">
    <w:nsid w:val="0E591C98"/>
    <w:multiLevelType w:val="hybridMultilevel"/>
    <w:tmpl w:val="18FCEB18"/>
    <w:lvl w:ilvl="0" w:tplc="7ECAAE7C">
      <w:start w:val="1"/>
      <w:numFmt w:val="bullet"/>
      <w:lvlText w:val=""/>
      <w:lvlJc w:val="left"/>
      <w:pPr>
        <w:ind w:left="1080" w:hanging="360"/>
      </w:pPr>
      <w:rPr>
        <w:rFonts w:ascii="Symbol" w:hAnsi="Symbol"/>
      </w:rPr>
    </w:lvl>
    <w:lvl w:ilvl="1" w:tplc="79D0AFA2">
      <w:start w:val="1"/>
      <w:numFmt w:val="bullet"/>
      <w:lvlText w:val=""/>
      <w:lvlJc w:val="left"/>
      <w:pPr>
        <w:ind w:left="1440" w:hanging="360"/>
      </w:pPr>
      <w:rPr>
        <w:rFonts w:ascii="Symbol" w:hAnsi="Symbol"/>
      </w:rPr>
    </w:lvl>
    <w:lvl w:ilvl="2" w:tplc="2F6EDB44">
      <w:start w:val="1"/>
      <w:numFmt w:val="bullet"/>
      <w:lvlText w:val=""/>
      <w:lvlJc w:val="left"/>
      <w:pPr>
        <w:ind w:left="1080" w:hanging="360"/>
      </w:pPr>
      <w:rPr>
        <w:rFonts w:ascii="Symbol" w:hAnsi="Symbol"/>
      </w:rPr>
    </w:lvl>
    <w:lvl w:ilvl="3" w:tplc="3AFAFA9A">
      <w:start w:val="1"/>
      <w:numFmt w:val="bullet"/>
      <w:lvlText w:val=""/>
      <w:lvlJc w:val="left"/>
      <w:pPr>
        <w:ind w:left="1080" w:hanging="360"/>
      </w:pPr>
      <w:rPr>
        <w:rFonts w:ascii="Symbol" w:hAnsi="Symbol"/>
      </w:rPr>
    </w:lvl>
    <w:lvl w:ilvl="4" w:tplc="B05C346E">
      <w:start w:val="1"/>
      <w:numFmt w:val="bullet"/>
      <w:lvlText w:val=""/>
      <w:lvlJc w:val="left"/>
      <w:pPr>
        <w:ind w:left="1080" w:hanging="360"/>
      </w:pPr>
      <w:rPr>
        <w:rFonts w:ascii="Symbol" w:hAnsi="Symbol"/>
      </w:rPr>
    </w:lvl>
    <w:lvl w:ilvl="5" w:tplc="DA941F68">
      <w:start w:val="1"/>
      <w:numFmt w:val="bullet"/>
      <w:lvlText w:val=""/>
      <w:lvlJc w:val="left"/>
      <w:pPr>
        <w:ind w:left="1080" w:hanging="360"/>
      </w:pPr>
      <w:rPr>
        <w:rFonts w:ascii="Symbol" w:hAnsi="Symbol"/>
      </w:rPr>
    </w:lvl>
    <w:lvl w:ilvl="6" w:tplc="1B88ADEE">
      <w:start w:val="1"/>
      <w:numFmt w:val="bullet"/>
      <w:lvlText w:val=""/>
      <w:lvlJc w:val="left"/>
      <w:pPr>
        <w:ind w:left="1080" w:hanging="360"/>
      </w:pPr>
      <w:rPr>
        <w:rFonts w:ascii="Symbol" w:hAnsi="Symbol"/>
      </w:rPr>
    </w:lvl>
    <w:lvl w:ilvl="7" w:tplc="FC46D432">
      <w:start w:val="1"/>
      <w:numFmt w:val="bullet"/>
      <w:lvlText w:val=""/>
      <w:lvlJc w:val="left"/>
      <w:pPr>
        <w:ind w:left="1080" w:hanging="360"/>
      </w:pPr>
      <w:rPr>
        <w:rFonts w:ascii="Symbol" w:hAnsi="Symbol"/>
      </w:rPr>
    </w:lvl>
    <w:lvl w:ilvl="8" w:tplc="04906928">
      <w:start w:val="1"/>
      <w:numFmt w:val="bullet"/>
      <w:lvlText w:val=""/>
      <w:lvlJc w:val="left"/>
      <w:pPr>
        <w:ind w:left="1080" w:hanging="360"/>
      </w:pPr>
      <w:rPr>
        <w:rFonts w:ascii="Symbol" w:hAnsi="Symbol"/>
      </w:rPr>
    </w:lvl>
  </w:abstractNum>
  <w:abstractNum w:abstractNumId="14" w15:restartNumberingAfterBreak="0">
    <w:nsid w:val="0F5E33CD"/>
    <w:multiLevelType w:val="multilevel"/>
    <w:tmpl w:val="0B1ED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0D4173"/>
    <w:multiLevelType w:val="multilevel"/>
    <w:tmpl w:val="2BF48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5A225A2"/>
    <w:multiLevelType w:val="hybridMultilevel"/>
    <w:tmpl w:val="0464BC58"/>
    <w:lvl w:ilvl="0" w:tplc="118C7E6C">
      <w:start w:val="1"/>
      <w:numFmt w:val="bullet"/>
      <w:lvlText w:val=""/>
      <w:lvlJc w:val="left"/>
      <w:pPr>
        <w:ind w:left="720" w:hanging="360"/>
      </w:pPr>
      <w:rPr>
        <w:rFonts w:ascii="Symbol" w:hAnsi="Symbol"/>
      </w:rPr>
    </w:lvl>
    <w:lvl w:ilvl="1" w:tplc="7E78430A">
      <w:start w:val="1"/>
      <w:numFmt w:val="bullet"/>
      <w:lvlText w:val=""/>
      <w:lvlJc w:val="left"/>
      <w:pPr>
        <w:ind w:left="720" w:hanging="360"/>
      </w:pPr>
      <w:rPr>
        <w:rFonts w:ascii="Symbol" w:hAnsi="Symbol"/>
      </w:rPr>
    </w:lvl>
    <w:lvl w:ilvl="2" w:tplc="57AA9214">
      <w:start w:val="1"/>
      <w:numFmt w:val="bullet"/>
      <w:lvlText w:val=""/>
      <w:lvlJc w:val="left"/>
      <w:pPr>
        <w:ind w:left="720" w:hanging="360"/>
      </w:pPr>
      <w:rPr>
        <w:rFonts w:ascii="Symbol" w:hAnsi="Symbol"/>
      </w:rPr>
    </w:lvl>
    <w:lvl w:ilvl="3" w:tplc="94E0C63C">
      <w:start w:val="1"/>
      <w:numFmt w:val="bullet"/>
      <w:lvlText w:val=""/>
      <w:lvlJc w:val="left"/>
      <w:pPr>
        <w:ind w:left="720" w:hanging="360"/>
      </w:pPr>
      <w:rPr>
        <w:rFonts w:ascii="Symbol" w:hAnsi="Symbol"/>
      </w:rPr>
    </w:lvl>
    <w:lvl w:ilvl="4" w:tplc="79E85C7E">
      <w:start w:val="1"/>
      <w:numFmt w:val="bullet"/>
      <w:lvlText w:val=""/>
      <w:lvlJc w:val="left"/>
      <w:pPr>
        <w:ind w:left="720" w:hanging="360"/>
      </w:pPr>
      <w:rPr>
        <w:rFonts w:ascii="Symbol" w:hAnsi="Symbol"/>
      </w:rPr>
    </w:lvl>
    <w:lvl w:ilvl="5" w:tplc="A61883CE">
      <w:start w:val="1"/>
      <w:numFmt w:val="bullet"/>
      <w:lvlText w:val=""/>
      <w:lvlJc w:val="left"/>
      <w:pPr>
        <w:ind w:left="720" w:hanging="360"/>
      </w:pPr>
      <w:rPr>
        <w:rFonts w:ascii="Symbol" w:hAnsi="Symbol"/>
      </w:rPr>
    </w:lvl>
    <w:lvl w:ilvl="6" w:tplc="EA32343C">
      <w:start w:val="1"/>
      <w:numFmt w:val="bullet"/>
      <w:lvlText w:val=""/>
      <w:lvlJc w:val="left"/>
      <w:pPr>
        <w:ind w:left="720" w:hanging="360"/>
      </w:pPr>
      <w:rPr>
        <w:rFonts w:ascii="Symbol" w:hAnsi="Symbol"/>
      </w:rPr>
    </w:lvl>
    <w:lvl w:ilvl="7" w:tplc="3A38041A">
      <w:start w:val="1"/>
      <w:numFmt w:val="bullet"/>
      <w:lvlText w:val=""/>
      <w:lvlJc w:val="left"/>
      <w:pPr>
        <w:ind w:left="720" w:hanging="360"/>
      </w:pPr>
      <w:rPr>
        <w:rFonts w:ascii="Symbol" w:hAnsi="Symbol"/>
      </w:rPr>
    </w:lvl>
    <w:lvl w:ilvl="8" w:tplc="96B89FDC">
      <w:start w:val="1"/>
      <w:numFmt w:val="bullet"/>
      <w:lvlText w:val=""/>
      <w:lvlJc w:val="left"/>
      <w:pPr>
        <w:ind w:left="720" w:hanging="360"/>
      </w:pPr>
      <w:rPr>
        <w:rFonts w:ascii="Symbol" w:hAnsi="Symbol"/>
      </w:rPr>
    </w:lvl>
  </w:abstractNum>
  <w:abstractNum w:abstractNumId="17" w15:restartNumberingAfterBreak="0">
    <w:nsid w:val="15A47AA1"/>
    <w:multiLevelType w:val="hybridMultilevel"/>
    <w:tmpl w:val="86C01530"/>
    <w:lvl w:ilvl="0" w:tplc="148A4666">
      <w:start w:val="1"/>
      <w:numFmt w:val="bullet"/>
      <w:lvlText w:val=""/>
      <w:lvlJc w:val="left"/>
      <w:pPr>
        <w:ind w:left="1080" w:hanging="360"/>
      </w:pPr>
      <w:rPr>
        <w:rFonts w:ascii="Symbol" w:hAnsi="Symbol"/>
      </w:rPr>
    </w:lvl>
    <w:lvl w:ilvl="1" w:tplc="3488D6BC">
      <w:start w:val="1"/>
      <w:numFmt w:val="bullet"/>
      <w:lvlText w:val=""/>
      <w:lvlJc w:val="left"/>
      <w:pPr>
        <w:ind w:left="1080" w:hanging="360"/>
      </w:pPr>
      <w:rPr>
        <w:rFonts w:ascii="Symbol" w:hAnsi="Symbol"/>
      </w:rPr>
    </w:lvl>
    <w:lvl w:ilvl="2" w:tplc="A61042CC">
      <w:start w:val="1"/>
      <w:numFmt w:val="bullet"/>
      <w:lvlText w:val=""/>
      <w:lvlJc w:val="left"/>
      <w:pPr>
        <w:ind w:left="1080" w:hanging="360"/>
      </w:pPr>
      <w:rPr>
        <w:rFonts w:ascii="Symbol" w:hAnsi="Symbol"/>
      </w:rPr>
    </w:lvl>
    <w:lvl w:ilvl="3" w:tplc="1D20AADC">
      <w:start w:val="1"/>
      <w:numFmt w:val="bullet"/>
      <w:lvlText w:val=""/>
      <w:lvlJc w:val="left"/>
      <w:pPr>
        <w:ind w:left="1080" w:hanging="360"/>
      </w:pPr>
      <w:rPr>
        <w:rFonts w:ascii="Symbol" w:hAnsi="Symbol"/>
      </w:rPr>
    </w:lvl>
    <w:lvl w:ilvl="4" w:tplc="6B564A70">
      <w:start w:val="1"/>
      <w:numFmt w:val="bullet"/>
      <w:lvlText w:val=""/>
      <w:lvlJc w:val="left"/>
      <w:pPr>
        <w:ind w:left="1080" w:hanging="360"/>
      </w:pPr>
      <w:rPr>
        <w:rFonts w:ascii="Symbol" w:hAnsi="Symbol"/>
      </w:rPr>
    </w:lvl>
    <w:lvl w:ilvl="5" w:tplc="0986D7B6">
      <w:start w:val="1"/>
      <w:numFmt w:val="bullet"/>
      <w:lvlText w:val=""/>
      <w:lvlJc w:val="left"/>
      <w:pPr>
        <w:ind w:left="1080" w:hanging="360"/>
      </w:pPr>
      <w:rPr>
        <w:rFonts w:ascii="Symbol" w:hAnsi="Symbol"/>
      </w:rPr>
    </w:lvl>
    <w:lvl w:ilvl="6" w:tplc="F96A2084">
      <w:start w:val="1"/>
      <w:numFmt w:val="bullet"/>
      <w:lvlText w:val=""/>
      <w:lvlJc w:val="left"/>
      <w:pPr>
        <w:ind w:left="1080" w:hanging="360"/>
      </w:pPr>
      <w:rPr>
        <w:rFonts w:ascii="Symbol" w:hAnsi="Symbol"/>
      </w:rPr>
    </w:lvl>
    <w:lvl w:ilvl="7" w:tplc="CFC2E55E">
      <w:start w:val="1"/>
      <w:numFmt w:val="bullet"/>
      <w:lvlText w:val=""/>
      <w:lvlJc w:val="left"/>
      <w:pPr>
        <w:ind w:left="1080" w:hanging="360"/>
      </w:pPr>
      <w:rPr>
        <w:rFonts w:ascii="Symbol" w:hAnsi="Symbol"/>
      </w:rPr>
    </w:lvl>
    <w:lvl w:ilvl="8" w:tplc="EC8C3C18">
      <w:start w:val="1"/>
      <w:numFmt w:val="bullet"/>
      <w:lvlText w:val=""/>
      <w:lvlJc w:val="left"/>
      <w:pPr>
        <w:ind w:left="1080" w:hanging="360"/>
      </w:pPr>
      <w:rPr>
        <w:rFonts w:ascii="Symbol" w:hAnsi="Symbol"/>
      </w:rPr>
    </w:lvl>
  </w:abstractNum>
  <w:abstractNum w:abstractNumId="18" w15:restartNumberingAfterBreak="0">
    <w:nsid w:val="16EA5355"/>
    <w:multiLevelType w:val="multilevel"/>
    <w:tmpl w:val="598E0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7FE31C8"/>
    <w:multiLevelType w:val="hybridMultilevel"/>
    <w:tmpl w:val="1A56AB26"/>
    <w:lvl w:ilvl="0" w:tplc="3FF4FA7C">
      <w:start w:val="1"/>
      <w:numFmt w:val="bullet"/>
      <w:lvlText w:val=""/>
      <w:lvlJc w:val="left"/>
      <w:pPr>
        <w:ind w:left="1080" w:hanging="360"/>
      </w:pPr>
      <w:rPr>
        <w:rFonts w:ascii="Symbol" w:hAnsi="Symbol"/>
      </w:rPr>
    </w:lvl>
    <w:lvl w:ilvl="1" w:tplc="0CAA542C">
      <w:start w:val="1"/>
      <w:numFmt w:val="bullet"/>
      <w:lvlText w:val=""/>
      <w:lvlJc w:val="left"/>
      <w:pPr>
        <w:ind w:left="1080" w:hanging="360"/>
      </w:pPr>
      <w:rPr>
        <w:rFonts w:ascii="Symbol" w:hAnsi="Symbol"/>
      </w:rPr>
    </w:lvl>
    <w:lvl w:ilvl="2" w:tplc="8BF82BC2">
      <w:start w:val="1"/>
      <w:numFmt w:val="bullet"/>
      <w:lvlText w:val=""/>
      <w:lvlJc w:val="left"/>
      <w:pPr>
        <w:ind w:left="1080" w:hanging="360"/>
      </w:pPr>
      <w:rPr>
        <w:rFonts w:ascii="Symbol" w:hAnsi="Symbol"/>
      </w:rPr>
    </w:lvl>
    <w:lvl w:ilvl="3" w:tplc="3D3484B6">
      <w:start w:val="1"/>
      <w:numFmt w:val="bullet"/>
      <w:lvlText w:val=""/>
      <w:lvlJc w:val="left"/>
      <w:pPr>
        <w:ind w:left="1080" w:hanging="360"/>
      </w:pPr>
      <w:rPr>
        <w:rFonts w:ascii="Symbol" w:hAnsi="Symbol"/>
      </w:rPr>
    </w:lvl>
    <w:lvl w:ilvl="4" w:tplc="99840078">
      <w:start w:val="1"/>
      <w:numFmt w:val="bullet"/>
      <w:lvlText w:val=""/>
      <w:lvlJc w:val="left"/>
      <w:pPr>
        <w:ind w:left="1080" w:hanging="360"/>
      </w:pPr>
      <w:rPr>
        <w:rFonts w:ascii="Symbol" w:hAnsi="Symbol"/>
      </w:rPr>
    </w:lvl>
    <w:lvl w:ilvl="5" w:tplc="3E604658">
      <w:start w:val="1"/>
      <w:numFmt w:val="bullet"/>
      <w:lvlText w:val=""/>
      <w:lvlJc w:val="left"/>
      <w:pPr>
        <w:ind w:left="1080" w:hanging="360"/>
      </w:pPr>
      <w:rPr>
        <w:rFonts w:ascii="Symbol" w:hAnsi="Symbol"/>
      </w:rPr>
    </w:lvl>
    <w:lvl w:ilvl="6" w:tplc="125A616E">
      <w:start w:val="1"/>
      <w:numFmt w:val="bullet"/>
      <w:lvlText w:val=""/>
      <w:lvlJc w:val="left"/>
      <w:pPr>
        <w:ind w:left="1080" w:hanging="360"/>
      </w:pPr>
      <w:rPr>
        <w:rFonts w:ascii="Symbol" w:hAnsi="Symbol"/>
      </w:rPr>
    </w:lvl>
    <w:lvl w:ilvl="7" w:tplc="5130F816">
      <w:start w:val="1"/>
      <w:numFmt w:val="bullet"/>
      <w:lvlText w:val=""/>
      <w:lvlJc w:val="left"/>
      <w:pPr>
        <w:ind w:left="1080" w:hanging="360"/>
      </w:pPr>
      <w:rPr>
        <w:rFonts w:ascii="Symbol" w:hAnsi="Symbol"/>
      </w:rPr>
    </w:lvl>
    <w:lvl w:ilvl="8" w:tplc="F5264B8C">
      <w:start w:val="1"/>
      <w:numFmt w:val="bullet"/>
      <w:lvlText w:val=""/>
      <w:lvlJc w:val="left"/>
      <w:pPr>
        <w:ind w:left="1080" w:hanging="360"/>
      </w:pPr>
      <w:rPr>
        <w:rFonts w:ascii="Symbol" w:hAnsi="Symbol"/>
      </w:rPr>
    </w:lvl>
  </w:abstractNum>
  <w:abstractNum w:abstractNumId="20" w15:restartNumberingAfterBreak="0">
    <w:nsid w:val="20367D6F"/>
    <w:multiLevelType w:val="multilevel"/>
    <w:tmpl w:val="A3D4A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72709A"/>
    <w:multiLevelType w:val="hybridMultilevel"/>
    <w:tmpl w:val="0584D974"/>
    <w:lvl w:ilvl="0" w:tplc="F13AF410">
      <w:start w:val="1"/>
      <w:numFmt w:val="bullet"/>
      <w:lvlText w:val=""/>
      <w:lvlJc w:val="left"/>
      <w:pPr>
        <w:ind w:left="1080" w:hanging="360"/>
      </w:pPr>
      <w:rPr>
        <w:rFonts w:ascii="Symbol" w:hAnsi="Symbol"/>
      </w:rPr>
    </w:lvl>
    <w:lvl w:ilvl="1" w:tplc="EB2E081E">
      <w:start w:val="1"/>
      <w:numFmt w:val="bullet"/>
      <w:lvlText w:val=""/>
      <w:lvlJc w:val="left"/>
      <w:pPr>
        <w:ind w:left="1440" w:hanging="360"/>
      </w:pPr>
      <w:rPr>
        <w:rFonts w:ascii="Symbol" w:hAnsi="Symbol"/>
      </w:rPr>
    </w:lvl>
    <w:lvl w:ilvl="2" w:tplc="F0D6F6C6">
      <w:start w:val="1"/>
      <w:numFmt w:val="bullet"/>
      <w:lvlText w:val=""/>
      <w:lvlJc w:val="left"/>
      <w:pPr>
        <w:ind w:left="1080" w:hanging="360"/>
      </w:pPr>
      <w:rPr>
        <w:rFonts w:ascii="Symbol" w:hAnsi="Symbol"/>
      </w:rPr>
    </w:lvl>
    <w:lvl w:ilvl="3" w:tplc="D4FAFEE8">
      <w:start w:val="1"/>
      <w:numFmt w:val="bullet"/>
      <w:lvlText w:val=""/>
      <w:lvlJc w:val="left"/>
      <w:pPr>
        <w:ind w:left="1080" w:hanging="360"/>
      </w:pPr>
      <w:rPr>
        <w:rFonts w:ascii="Symbol" w:hAnsi="Symbol"/>
      </w:rPr>
    </w:lvl>
    <w:lvl w:ilvl="4" w:tplc="A0E4F856">
      <w:start w:val="1"/>
      <w:numFmt w:val="bullet"/>
      <w:lvlText w:val=""/>
      <w:lvlJc w:val="left"/>
      <w:pPr>
        <w:ind w:left="1080" w:hanging="360"/>
      </w:pPr>
      <w:rPr>
        <w:rFonts w:ascii="Symbol" w:hAnsi="Symbol"/>
      </w:rPr>
    </w:lvl>
    <w:lvl w:ilvl="5" w:tplc="978AF50A">
      <w:start w:val="1"/>
      <w:numFmt w:val="bullet"/>
      <w:lvlText w:val=""/>
      <w:lvlJc w:val="left"/>
      <w:pPr>
        <w:ind w:left="1080" w:hanging="360"/>
      </w:pPr>
      <w:rPr>
        <w:rFonts w:ascii="Symbol" w:hAnsi="Symbol"/>
      </w:rPr>
    </w:lvl>
    <w:lvl w:ilvl="6" w:tplc="3F8AF5B0">
      <w:start w:val="1"/>
      <w:numFmt w:val="bullet"/>
      <w:lvlText w:val=""/>
      <w:lvlJc w:val="left"/>
      <w:pPr>
        <w:ind w:left="1080" w:hanging="360"/>
      </w:pPr>
      <w:rPr>
        <w:rFonts w:ascii="Symbol" w:hAnsi="Symbol"/>
      </w:rPr>
    </w:lvl>
    <w:lvl w:ilvl="7" w:tplc="F9F491A0">
      <w:start w:val="1"/>
      <w:numFmt w:val="bullet"/>
      <w:lvlText w:val=""/>
      <w:lvlJc w:val="left"/>
      <w:pPr>
        <w:ind w:left="1080" w:hanging="360"/>
      </w:pPr>
      <w:rPr>
        <w:rFonts w:ascii="Symbol" w:hAnsi="Symbol"/>
      </w:rPr>
    </w:lvl>
    <w:lvl w:ilvl="8" w:tplc="2862BEB4">
      <w:start w:val="1"/>
      <w:numFmt w:val="bullet"/>
      <w:lvlText w:val=""/>
      <w:lvlJc w:val="left"/>
      <w:pPr>
        <w:ind w:left="1080" w:hanging="360"/>
      </w:pPr>
      <w:rPr>
        <w:rFonts w:ascii="Symbol" w:hAnsi="Symbol"/>
      </w:rPr>
    </w:lvl>
  </w:abstractNum>
  <w:abstractNum w:abstractNumId="22" w15:restartNumberingAfterBreak="0">
    <w:nsid w:val="2097743C"/>
    <w:multiLevelType w:val="multilevel"/>
    <w:tmpl w:val="C5224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1777A85"/>
    <w:multiLevelType w:val="multilevel"/>
    <w:tmpl w:val="0EBEE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34E0FD3"/>
    <w:multiLevelType w:val="multilevel"/>
    <w:tmpl w:val="9F843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8D659A6"/>
    <w:multiLevelType w:val="hybridMultilevel"/>
    <w:tmpl w:val="0C7687C8"/>
    <w:lvl w:ilvl="0" w:tplc="972629BC">
      <w:start w:val="1"/>
      <w:numFmt w:val="bullet"/>
      <w:lvlText w:val=""/>
      <w:lvlJc w:val="left"/>
      <w:pPr>
        <w:ind w:left="1080" w:hanging="360"/>
      </w:pPr>
      <w:rPr>
        <w:rFonts w:ascii="Symbol" w:hAnsi="Symbol"/>
      </w:rPr>
    </w:lvl>
    <w:lvl w:ilvl="1" w:tplc="7778B7F4">
      <w:start w:val="1"/>
      <w:numFmt w:val="bullet"/>
      <w:lvlText w:val=""/>
      <w:lvlJc w:val="left"/>
      <w:pPr>
        <w:ind w:left="1080" w:hanging="360"/>
      </w:pPr>
      <w:rPr>
        <w:rFonts w:ascii="Symbol" w:hAnsi="Symbol"/>
      </w:rPr>
    </w:lvl>
    <w:lvl w:ilvl="2" w:tplc="B47A43C4">
      <w:start w:val="1"/>
      <w:numFmt w:val="bullet"/>
      <w:lvlText w:val=""/>
      <w:lvlJc w:val="left"/>
      <w:pPr>
        <w:ind w:left="1080" w:hanging="360"/>
      </w:pPr>
      <w:rPr>
        <w:rFonts w:ascii="Symbol" w:hAnsi="Symbol"/>
      </w:rPr>
    </w:lvl>
    <w:lvl w:ilvl="3" w:tplc="2C0AED5E">
      <w:start w:val="1"/>
      <w:numFmt w:val="bullet"/>
      <w:lvlText w:val=""/>
      <w:lvlJc w:val="left"/>
      <w:pPr>
        <w:ind w:left="1080" w:hanging="360"/>
      </w:pPr>
      <w:rPr>
        <w:rFonts w:ascii="Symbol" w:hAnsi="Symbol"/>
      </w:rPr>
    </w:lvl>
    <w:lvl w:ilvl="4" w:tplc="E9B2F02E">
      <w:start w:val="1"/>
      <w:numFmt w:val="bullet"/>
      <w:lvlText w:val=""/>
      <w:lvlJc w:val="left"/>
      <w:pPr>
        <w:ind w:left="1080" w:hanging="360"/>
      </w:pPr>
      <w:rPr>
        <w:rFonts w:ascii="Symbol" w:hAnsi="Symbol"/>
      </w:rPr>
    </w:lvl>
    <w:lvl w:ilvl="5" w:tplc="B1A23342">
      <w:start w:val="1"/>
      <w:numFmt w:val="bullet"/>
      <w:lvlText w:val=""/>
      <w:lvlJc w:val="left"/>
      <w:pPr>
        <w:ind w:left="1080" w:hanging="360"/>
      </w:pPr>
      <w:rPr>
        <w:rFonts w:ascii="Symbol" w:hAnsi="Symbol"/>
      </w:rPr>
    </w:lvl>
    <w:lvl w:ilvl="6" w:tplc="E7A41B10">
      <w:start w:val="1"/>
      <w:numFmt w:val="bullet"/>
      <w:lvlText w:val=""/>
      <w:lvlJc w:val="left"/>
      <w:pPr>
        <w:ind w:left="1080" w:hanging="360"/>
      </w:pPr>
      <w:rPr>
        <w:rFonts w:ascii="Symbol" w:hAnsi="Symbol"/>
      </w:rPr>
    </w:lvl>
    <w:lvl w:ilvl="7" w:tplc="A41075A4">
      <w:start w:val="1"/>
      <w:numFmt w:val="bullet"/>
      <w:lvlText w:val=""/>
      <w:lvlJc w:val="left"/>
      <w:pPr>
        <w:ind w:left="1080" w:hanging="360"/>
      </w:pPr>
      <w:rPr>
        <w:rFonts w:ascii="Symbol" w:hAnsi="Symbol"/>
      </w:rPr>
    </w:lvl>
    <w:lvl w:ilvl="8" w:tplc="7BAAA230">
      <w:start w:val="1"/>
      <w:numFmt w:val="bullet"/>
      <w:lvlText w:val=""/>
      <w:lvlJc w:val="left"/>
      <w:pPr>
        <w:ind w:left="1080" w:hanging="360"/>
      </w:pPr>
      <w:rPr>
        <w:rFonts w:ascii="Symbol" w:hAnsi="Symbol"/>
      </w:rPr>
    </w:lvl>
  </w:abstractNum>
  <w:abstractNum w:abstractNumId="26" w15:restartNumberingAfterBreak="0">
    <w:nsid w:val="28D7731D"/>
    <w:multiLevelType w:val="hybridMultilevel"/>
    <w:tmpl w:val="FAE84ECE"/>
    <w:lvl w:ilvl="0" w:tplc="AB7A1BA6">
      <w:start w:val="1"/>
      <w:numFmt w:val="bullet"/>
      <w:lvlText w:val=""/>
      <w:lvlJc w:val="left"/>
      <w:pPr>
        <w:ind w:left="1080" w:hanging="360"/>
      </w:pPr>
      <w:rPr>
        <w:rFonts w:ascii="Symbol" w:hAnsi="Symbol"/>
      </w:rPr>
    </w:lvl>
    <w:lvl w:ilvl="1" w:tplc="37F4D2F8">
      <w:start w:val="1"/>
      <w:numFmt w:val="bullet"/>
      <w:lvlText w:val=""/>
      <w:lvlJc w:val="left"/>
      <w:pPr>
        <w:ind w:left="1080" w:hanging="360"/>
      </w:pPr>
      <w:rPr>
        <w:rFonts w:ascii="Symbol" w:hAnsi="Symbol"/>
      </w:rPr>
    </w:lvl>
    <w:lvl w:ilvl="2" w:tplc="EC1212D2">
      <w:start w:val="1"/>
      <w:numFmt w:val="bullet"/>
      <w:lvlText w:val=""/>
      <w:lvlJc w:val="left"/>
      <w:pPr>
        <w:ind w:left="1080" w:hanging="360"/>
      </w:pPr>
      <w:rPr>
        <w:rFonts w:ascii="Symbol" w:hAnsi="Symbol"/>
      </w:rPr>
    </w:lvl>
    <w:lvl w:ilvl="3" w:tplc="7520EEDC">
      <w:start w:val="1"/>
      <w:numFmt w:val="bullet"/>
      <w:lvlText w:val=""/>
      <w:lvlJc w:val="left"/>
      <w:pPr>
        <w:ind w:left="1080" w:hanging="360"/>
      </w:pPr>
      <w:rPr>
        <w:rFonts w:ascii="Symbol" w:hAnsi="Symbol"/>
      </w:rPr>
    </w:lvl>
    <w:lvl w:ilvl="4" w:tplc="07326610">
      <w:start w:val="1"/>
      <w:numFmt w:val="bullet"/>
      <w:lvlText w:val=""/>
      <w:lvlJc w:val="left"/>
      <w:pPr>
        <w:ind w:left="1080" w:hanging="360"/>
      </w:pPr>
      <w:rPr>
        <w:rFonts w:ascii="Symbol" w:hAnsi="Symbol"/>
      </w:rPr>
    </w:lvl>
    <w:lvl w:ilvl="5" w:tplc="E00E16EA">
      <w:start w:val="1"/>
      <w:numFmt w:val="bullet"/>
      <w:lvlText w:val=""/>
      <w:lvlJc w:val="left"/>
      <w:pPr>
        <w:ind w:left="1080" w:hanging="360"/>
      </w:pPr>
      <w:rPr>
        <w:rFonts w:ascii="Symbol" w:hAnsi="Symbol"/>
      </w:rPr>
    </w:lvl>
    <w:lvl w:ilvl="6" w:tplc="925AFCE6">
      <w:start w:val="1"/>
      <w:numFmt w:val="bullet"/>
      <w:lvlText w:val=""/>
      <w:lvlJc w:val="left"/>
      <w:pPr>
        <w:ind w:left="1080" w:hanging="360"/>
      </w:pPr>
      <w:rPr>
        <w:rFonts w:ascii="Symbol" w:hAnsi="Symbol"/>
      </w:rPr>
    </w:lvl>
    <w:lvl w:ilvl="7" w:tplc="C04CA016">
      <w:start w:val="1"/>
      <w:numFmt w:val="bullet"/>
      <w:lvlText w:val=""/>
      <w:lvlJc w:val="left"/>
      <w:pPr>
        <w:ind w:left="1080" w:hanging="360"/>
      </w:pPr>
      <w:rPr>
        <w:rFonts w:ascii="Symbol" w:hAnsi="Symbol"/>
      </w:rPr>
    </w:lvl>
    <w:lvl w:ilvl="8" w:tplc="1360D06C">
      <w:start w:val="1"/>
      <w:numFmt w:val="bullet"/>
      <w:lvlText w:val=""/>
      <w:lvlJc w:val="left"/>
      <w:pPr>
        <w:ind w:left="1080" w:hanging="360"/>
      </w:pPr>
      <w:rPr>
        <w:rFonts w:ascii="Symbol" w:hAnsi="Symbol"/>
      </w:rPr>
    </w:lvl>
  </w:abstractNum>
  <w:abstractNum w:abstractNumId="27" w15:restartNumberingAfterBreak="0">
    <w:nsid w:val="2CBB4865"/>
    <w:multiLevelType w:val="multilevel"/>
    <w:tmpl w:val="FF64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F32518D"/>
    <w:multiLevelType w:val="multilevel"/>
    <w:tmpl w:val="AD18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4F37BB9"/>
    <w:multiLevelType w:val="multilevel"/>
    <w:tmpl w:val="9084C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864145D"/>
    <w:multiLevelType w:val="multilevel"/>
    <w:tmpl w:val="CE7E7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A9652EA"/>
    <w:multiLevelType w:val="hybridMultilevel"/>
    <w:tmpl w:val="2794C296"/>
    <w:lvl w:ilvl="0" w:tplc="82BC0908">
      <w:start w:val="1"/>
      <w:numFmt w:val="bullet"/>
      <w:lvlText w:val=""/>
      <w:lvlJc w:val="left"/>
      <w:pPr>
        <w:ind w:left="1080" w:hanging="360"/>
      </w:pPr>
      <w:rPr>
        <w:rFonts w:ascii="Symbol" w:hAnsi="Symbol"/>
      </w:rPr>
    </w:lvl>
    <w:lvl w:ilvl="1" w:tplc="D396C51C">
      <w:start w:val="1"/>
      <w:numFmt w:val="bullet"/>
      <w:lvlText w:val=""/>
      <w:lvlJc w:val="left"/>
      <w:pPr>
        <w:ind w:left="1080" w:hanging="360"/>
      </w:pPr>
      <w:rPr>
        <w:rFonts w:ascii="Symbol" w:hAnsi="Symbol"/>
      </w:rPr>
    </w:lvl>
    <w:lvl w:ilvl="2" w:tplc="3B627AEE">
      <w:start w:val="1"/>
      <w:numFmt w:val="bullet"/>
      <w:lvlText w:val=""/>
      <w:lvlJc w:val="left"/>
      <w:pPr>
        <w:ind w:left="1080" w:hanging="360"/>
      </w:pPr>
      <w:rPr>
        <w:rFonts w:ascii="Symbol" w:hAnsi="Symbol"/>
      </w:rPr>
    </w:lvl>
    <w:lvl w:ilvl="3" w:tplc="761C8D18">
      <w:start w:val="1"/>
      <w:numFmt w:val="bullet"/>
      <w:lvlText w:val=""/>
      <w:lvlJc w:val="left"/>
      <w:pPr>
        <w:ind w:left="1080" w:hanging="360"/>
      </w:pPr>
      <w:rPr>
        <w:rFonts w:ascii="Symbol" w:hAnsi="Symbol"/>
      </w:rPr>
    </w:lvl>
    <w:lvl w:ilvl="4" w:tplc="6CA20B3A">
      <w:start w:val="1"/>
      <w:numFmt w:val="bullet"/>
      <w:lvlText w:val=""/>
      <w:lvlJc w:val="left"/>
      <w:pPr>
        <w:ind w:left="1080" w:hanging="360"/>
      </w:pPr>
      <w:rPr>
        <w:rFonts w:ascii="Symbol" w:hAnsi="Symbol"/>
      </w:rPr>
    </w:lvl>
    <w:lvl w:ilvl="5" w:tplc="0DF27704">
      <w:start w:val="1"/>
      <w:numFmt w:val="bullet"/>
      <w:lvlText w:val=""/>
      <w:lvlJc w:val="left"/>
      <w:pPr>
        <w:ind w:left="1080" w:hanging="360"/>
      </w:pPr>
      <w:rPr>
        <w:rFonts w:ascii="Symbol" w:hAnsi="Symbol"/>
      </w:rPr>
    </w:lvl>
    <w:lvl w:ilvl="6" w:tplc="473C29D4">
      <w:start w:val="1"/>
      <w:numFmt w:val="bullet"/>
      <w:lvlText w:val=""/>
      <w:lvlJc w:val="left"/>
      <w:pPr>
        <w:ind w:left="1080" w:hanging="360"/>
      </w:pPr>
      <w:rPr>
        <w:rFonts w:ascii="Symbol" w:hAnsi="Symbol"/>
      </w:rPr>
    </w:lvl>
    <w:lvl w:ilvl="7" w:tplc="FA4E42DC">
      <w:start w:val="1"/>
      <w:numFmt w:val="bullet"/>
      <w:lvlText w:val=""/>
      <w:lvlJc w:val="left"/>
      <w:pPr>
        <w:ind w:left="1080" w:hanging="360"/>
      </w:pPr>
      <w:rPr>
        <w:rFonts w:ascii="Symbol" w:hAnsi="Symbol"/>
      </w:rPr>
    </w:lvl>
    <w:lvl w:ilvl="8" w:tplc="850CB04C">
      <w:start w:val="1"/>
      <w:numFmt w:val="bullet"/>
      <w:lvlText w:val=""/>
      <w:lvlJc w:val="left"/>
      <w:pPr>
        <w:ind w:left="1080" w:hanging="360"/>
      </w:pPr>
      <w:rPr>
        <w:rFonts w:ascii="Symbol" w:hAnsi="Symbol"/>
      </w:rPr>
    </w:lvl>
  </w:abstractNum>
  <w:abstractNum w:abstractNumId="32" w15:restartNumberingAfterBreak="0">
    <w:nsid w:val="3AA17B75"/>
    <w:multiLevelType w:val="multilevel"/>
    <w:tmpl w:val="27CC0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C363537"/>
    <w:multiLevelType w:val="multilevel"/>
    <w:tmpl w:val="6FDE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CA40F86"/>
    <w:multiLevelType w:val="hybridMultilevel"/>
    <w:tmpl w:val="7FEAD942"/>
    <w:lvl w:ilvl="0" w:tplc="55EA6690">
      <w:start w:val="1"/>
      <w:numFmt w:val="bullet"/>
      <w:lvlText w:val=""/>
      <w:lvlJc w:val="left"/>
      <w:pPr>
        <w:ind w:left="720" w:hanging="360"/>
      </w:pPr>
      <w:rPr>
        <w:rFonts w:ascii="Symbol" w:hAnsi="Symbol"/>
      </w:rPr>
    </w:lvl>
    <w:lvl w:ilvl="1" w:tplc="164A7A1C">
      <w:start w:val="1"/>
      <w:numFmt w:val="bullet"/>
      <w:lvlText w:val=""/>
      <w:lvlJc w:val="left"/>
      <w:pPr>
        <w:ind w:left="720" w:hanging="360"/>
      </w:pPr>
      <w:rPr>
        <w:rFonts w:ascii="Symbol" w:hAnsi="Symbol"/>
      </w:rPr>
    </w:lvl>
    <w:lvl w:ilvl="2" w:tplc="1D9A19FA">
      <w:start w:val="1"/>
      <w:numFmt w:val="bullet"/>
      <w:lvlText w:val=""/>
      <w:lvlJc w:val="left"/>
      <w:pPr>
        <w:ind w:left="720" w:hanging="360"/>
      </w:pPr>
      <w:rPr>
        <w:rFonts w:ascii="Symbol" w:hAnsi="Symbol"/>
      </w:rPr>
    </w:lvl>
    <w:lvl w:ilvl="3" w:tplc="155E3426">
      <w:start w:val="1"/>
      <w:numFmt w:val="bullet"/>
      <w:lvlText w:val=""/>
      <w:lvlJc w:val="left"/>
      <w:pPr>
        <w:ind w:left="720" w:hanging="360"/>
      </w:pPr>
      <w:rPr>
        <w:rFonts w:ascii="Symbol" w:hAnsi="Symbol"/>
      </w:rPr>
    </w:lvl>
    <w:lvl w:ilvl="4" w:tplc="0848EFB4">
      <w:start w:val="1"/>
      <w:numFmt w:val="bullet"/>
      <w:lvlText w:val=""/>
      <w:lvlJc w:val="left"/>
      <w:pPr>
        <w:ind w:left="720" w:hanging="360"/>
      </w:pPr>
      <w:rPr>
        <w:rFonts w:ascii="Symbol" w:hAnsi="Symbol"/>
      </w:rPr>
    </w:lvl>
    <w:lvl w:ilvl="5" w:tplc="8EC45816">
      <w:start w:val="1"/>
      <w:numFmt w:val="bullet"/>
      <w:lvlText w:val=""/>
      <w:lvlJc w:val="left"/>
      <w:pPr>
        <w:ind w:left="720" w:hanging="360"/>
      </w:pPr>
      <w:rPr>
        <w:rFonts w:ascii="Symbol" w:hAnsi="Symbol"/>
      </w:rPr>
    </w:lvl>
    <w:lvl w:ilvl="6" w:tplc="C5AA8E28">
      <w:start w:val="1"/>
      <w:numFmt w:val="bullet"/>
      <w:lvlText w:val=""/>
      <w:lvlJc w:val="left"/>
      <w:pPr>
        <w:ind w:left="720" w:hanging="360"/>
      </w:pPr>
      <w:rPr>
        <w:rFonts w:ascii="Symbol" w:hAnsi="Symbol"/>
      </w:rPr>
    </w:lvl>
    <w:lvl w:ilvl="7" w:tplc="399681EA">
      <w:start w:val="1"/>
      <w:numFmt w:val="bullet"/>
      <w:lvlText w:val=""/>
      <w:lvlJc w:val="left"/>
      <w:pPr>
        <w:ind w:left="720" w:hanging="360"/>
      </w:pPr>
      <w:rPr>
        <w:rFonts w:ascii="Symbol" w:hAnsi="Symbol"/>
      </w:rPr>
    </w:lvl>
    <w:lvl w:ilvl="8" w:tplc="852C5480">
      <w:start w:val="1"/>
      <w:numFmt w:val="bullet"/>
      <w:lvlText w:val=""/>
      <w:lvlJc w:val="left"/>
      <w:pPr>
        <w:ind w:left="720" w:hanging="360"/>
      </w:pPr>
      <w:rPr>
        <w:rFonts w:ascii="Symbol" w:hAnsi="Symbol"/>
      </w:rPr>
    </w:lvl>
  </w:abstractNum>
  <w:abstractNum w:abstractNumId="35" w15:restartNumberingAfterBreak="0">
    <w:nsid w:val="405F35BC"/>
    <w:multiLevelType w:val="hybridMultilevel"/>
    <w:tmpl w:val="3FD68804"/>
    <w:lvl w:ilvl="0" w:tplc="70062262">
      <w:start w:val="1"/>
      <w:numFmt w:val="bullet"/>
      <w:lvlText w:val=""/>
      <w:lvlJc w:val="left"/>
      <w:pPr>
        <w:ind w:left="720" w:hanging="360"/>
      </w:pPr>
      <w:rPr>
        <w:rFonts w:ascii="Symbol" w:hAnsi="Symbol"/>
      </w:rPr>
    </w:lvl>
    <w:lvl w:ilvl="1" w:tplc="7D98A1DC">
      <w:start w:val="1"/>
      <w:numFmt w:val="bullet"/>
      <w:lvlText w:val=""/>
      <w:lvlJc w:val="left"/>
      <w:pPr>
        <w:ind w:left="720" w:hanging="360"/>
      </w:pPr>
      <w:rPr>
        <w:rFonts w:ascii="Symbol" w:hAnsi="Symbol"/>
      </w:rPr>
    </w:lvl>
    <w:lvl w:ilvl="2" w:tplc="0FCA3DF0">
      <w:start w:val="1"/>
      <w:numFmt w:val="bullet"/>
      <w:lvlText w:val=""/>
      <w:lvlJc w:val="left"/>
      <w:pPr>
        <w:ind w:left="720" w:hanging="360"/>
      </w:pPr>
      <w:rPr>
        <w:rFonts w:ascii="Symbol" w:hAnsi="Symbol"/>
      </w:rPr>
    </w:lvl>
    <w:lvl w:ilvl="3" w:tplc="A7D4D874">
      <w:start w:val="1"/>
      <w:numFmt w:val="bullet"/>
      <w:lvlText w:val=""/>
      <w:lvlJc w:val="left"/>
      <w:pPr>
        <w:ind w:left="720" w:hanging="360"/>
      </w:pPr>
      <w:rPr>
        <w:rFonts w:ascii="Symbol" w:hAnsi="Symbol"/>
      </w:rPr>
    </w:lvl>
    <w:lvl w:ilvl="4" w:tplc="67E0834E">
      <w:start w:val="1"/>
      <w:numFmt w:val="bullet"/>
      <w:lvlText w:val=""/>
      <w:lvlJc w:val="left"/>
      <w:pPr>
        <w:ind w:left="720" w:hanging="360"/>
      </w:pPr>
      <w:rPr>
        <w:rFonts w:ascii="Symbol" w:hAnsi="Symbol"/>
      </w:rPr>
    </w:lvl>
    <w:lvl w:ilvl="5" w:tplc="C4D49764">
      <w:start w:val="1"/>
      <w:numFmt w:val="bullet"/>
      <w:lvlText w:val=""/>
      <w:lvlJc w:val="left"/>
      <w:pPr>
        <w:ind w:left="720" w:hanging="360"/>
      </w:pPr>
      <w:rPr>
        <w:rFonts w:ascii="Symbol" w:hAnsi="Symbol"/>
      </w:rPr>
    </w:lvl>
    <w:lvl w:ilvl="6" w:tplc="6D165C6A">
      <w:start w:val="1"/>
      <w:numFmt w:val="bullet"/>
      <w:lvlText w:val=""/>
      <w:lvlJc w:val="left"/>
      <w:pPr>
        <w:ind w:left="720" w:hanging="360"/>
      </w:pPr>
      <w:rPr>
        <w:rFonts w:ascii="Symbol" w:hAnsi="Symbol"/>
      </w:rPr>
    </w:lvl>
    <w:lvl w:ilvl="7" w:tplc="CC16E796">
      <w:start w:val="1"/>
      <w:numFmt w:val="bullet"/>
      <w:lvlText w:val=""/>
      <w:lvlJc w:val="left"/>
      <w:pPr>
        <w:ind w:left="720" w:hanging="360"/>
      </w:pPr>
      <w:rPr>
        <w:rFonts w:ascii="Symbol" w:hAnsi="Symbol"/>
      </w:rPr>
    </w:lvl>
    <w:lvl w:ilvl="8" w:tplc="0B18EDC6">
      <w:start w:val="1"/>
      <w:numFmt w:val="bullet"/>
      <w:lvlText w:val=""/>
      <w:lvlJc w:val="left"/>
      <w:pPr>
        <w:ind w:left="720" w:hanging="360"/>
      </w:pPr>
      <w:rPr>
        <w:rFonts w:ascii="Symbol" w:hAnsi="Symbol"/>
      </w:rPr>
    </w:lvl>
  </w:abstractNum>
  <w:abstractNum w:abstractNumId="36" w15:restartNumberingAfterBreak="0">
    <w:nsid w:val="424D5729"/>
    <w:multiLevelType w:val="multilevel"/>
    <w:tmpl w:val="42E0E208"/>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2964687"/>
    <w:multiLevelType w:val="multilevel"/>
    <w:tmpl w:val="D1240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3457270"/>
    <w:multiLevelType w:val="multilevel"/>
    <w:tmpl w:val="08144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34E4E7F"/>
    <w:multiLevelType w:val="hybridMultilevel"/>
    <w:tmpl w:val="28861C18"/>
    <w:lvl w:ilvl="0" w:tplc="0B52B88C">
      <w:start w:val="1"/>
      <w:numFmt w:val="bullet"/>
      <w:lvlText w:val=""/>
      <w:lvlJc w:val="left"/>
      <w:pPr>
        <w:ind w:left="1080" w:hanging="360"/>
      </w:pPr>
      <w:rPr>
        <w:rFonts w:ascii="Symbol" w:hAnsi="Symbol"/>
      </w:rPr>
    </w:lvl>
    <w:lvl w:ilvl="1" w:tplc="4D22A61A">
      <w:start w:val="1"/>
      <w:numFmt w:val="bullet"/>
      <w:lvlText w:val=""/>
      <w:lvlJc w:val="left"/>
      <w:pPr>
        <w:ind w:left="1080" w:hanging="360"/>
      </w:pPr>
      <w:rPr>
        <w:rFonts w:ascii="Symbol" w:hAnsi="Symbol"/>
      </w:rPr>
    </w:lvl>
    <w:lvl w:ilvl="2" w:tplc="BBE6EF46">
      <w:start w:val="1"/>
      <w:numFmt w:val="bullet"/>
      <w:lvlText w:val=""/>
      <w:lvlJc w:val="left"/>
      <w:pPr>
        <w:ind w:left="1080" w:hanging="360"/>
      </w:pPr>
      <w:rPr>
        <w:rFonts w:ascii="Symbol" w:hAnsi="Symbol"/>
      </w:rPr>
    </w:lvl>
    <w:lvl w:ilvl="3" w:tplc="F2E6F96E">
      <w:start w:val="1"/>
      <w:numFmt w:val="bullet"/>
      <w:lvlText w:val=""/>
      <w:lvlJc w:val="left"/>
      <w:pPr>
        <w:ind w:left="1080" w:hanging="360"/>
      </w:pPr>
      <w:rPr>
        <w:rFonts w:ascii="Symbol" w:hAnsi="Symbol"/>
      </w:rPr>
    </w:lvl>
    <w:lvl w:ilvl="4" w:tplc="87900448">
      <w:start w:val="1"/>
      <w:numFmt w:val="bullet"/>
      <w:lvlText w:val=""/>
      <w:lvlJc w:val="left"/>
      <w:pPr>
        <w:ind w:left="1080" w:hanging="360"/>
      </w:pPr>
      <w:rPr>
        <w:rFonts w:ascii="Symbol" w:hAnsi="Symbol"/>
      </w:rPr>
    </w:lvl>
    <w:lvl w:ilvl="5" w:tplc="9F9244F8">
      <w:start w:val="1"/>
      <w:numFmt w:val="bullet"/>
      <w:lvlText w:val=""/>
      <w:lvlJc w:val="left"/>
      <w:pPr>
        <w:ind w:left="1080" w:hanging="360"/>
      </w:pPr>
      <w:rPr>
        <w:rFonts w:ascii="Symbol" w:hAnsi="Symbol"/>
      </w:rPr>
    </w:lvl>
    <w:lvl w:ilvl="6" w:tplc="5A84DEEA">
      <w:start w:val="1"/>
      <w:numFmt w:val="bullet"/>
      <w:lvlText w:val=""/>
      <w:lvlJc w:val="left"/>
      <w:pPr>
        <w:ind w:left="1080" w:hanging="360"/>
      </w:pPr>
      <w:rPr>
        <w:rFonts w:ascii="Symbol" w:hAnsi="Symbol"/>
      </w:rPr>
    </w:lvl>
    <w:lvl w:ilvl="7" w:tplc="303A6722">
      <w:start w:val="1"/>
      <w:numFmt w:val="bullet"/>
      <w:lvlText w:val=""/>
      <w:lvlJc w:val="left"/>
      <w:pPr>
        <w:ind w:left="1080" w:hanging="360"/>
      </w:pPr>
      <w:rPr>
        <w:rFonts w:ascii="Symbol" w:hAnsi="Symbol"/>
      </w:rPr>
    </w:lvl>
    <w:lvl w:ilvl="8" w:tplc="048022B8">
      <w:start w:val="1"/>
      <w:numFmt w:val="bullet"/>
      <w:lvlText w:val=""/>
      <w:lvlJc w:val="left"/>
      <w:pPr>
        <w:ind w:left="1080" w:hanging="360"/>
      </w:pPr>
      <w:rPr>
        <w:rFonts w:ascii="Symbol" w:hAnsi="Symbol"/>
      </w:rPr>
    </w:lvl>
  </w:abstractNum>
  <w:abstractNum w:abstractNumId="40" w15:restartNumberingAfterBreak="0">
    <w:nsid w:val="43566BC6"/>
    <w:multiLevelType w:val="multilevel"/>
    <w:tmpl w:val="AB240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3876049"/>
    <w:multiLevelType w:val="multilevel"/>
    <w:tmpl w:val="1BFE3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3ED0BA3"/>
    <w:multiLevelType w:val="multilevel"/>
    <w:tmpl w:val="561A7A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446E6E60"/>
    <w:multiLevelType w:val="multilevel"/>
    <w:tmpl w:val="3C587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71B1F68"/>
    <w:multiLevelType w:val="multilevel"/>
    <w:tmpl w:val="373C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7F072D6"/>
    <w:multiLevelType w:val="hybridMultilevel"/>
    <w:tmpl w:val="FFFFFFFF"/>
    <w:lvl w:ilvl="0" w:tplc="B6EC1D1E">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EC179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0C0C4C2">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EB20B7C">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56E569A">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20E4BDC">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2AE607E">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C3C6B62">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A104D32">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496A3AC3"/>
    <w:multiLevelType w:val="hybridMultilevel"/>
    <w:tmpl w:val="14045616"/>
    <w:lvl w:ilvl="0" w:tplc="F4E8F2A8">
      <w:start w:val="1"/>
      <w:numFmt w:val="bullet"/>
      <w:lvlText w:val=""/>
      <w:lvlJc w:val="left"/>
      <w:pPr>
        <w:ind w:left="1080" w:hanging="360"/>
      </w:pPr>
      <w:rPr>
        <w:rFonts w:ascii="Symbol" w:hAnsi="Symbol"/>
      </w:rPr>
    </w:lvl>
    <w:lvl w:ilvl="1" w:tplc="DC1A5AD2">
      <w:start w:val="1"/>
      <w:numFmt w:val="bullet"/>
      <w:lvlText w:val=""/>
      <w:lvlJc w:val="left"/>
      <w:pPr>
        <w:ind w:left="1080" w:hanging="360"/>
      </w:pPr>
      <w:rPr>
        <w:rFonts w:ascii="Symbol" w:hAnsi="Symbol"/>
      </w:rPr>
    </w:lvl>
    <w:lvl w:ilvl="2" w:tplc="88B4FCEA">
      <w:start w:val="1"/>
      <w:numFmt w:val="bullet"/>
      <w:lvlText w:val=""/>
      <w:lvlJc w:val="left"/>
      <w:pPr>
        <w:ind w:left="1080" w:hanging="360"/>
      </w:pPr>
      <w:rPr>
        <w:rFonts w:ascii="Symbol" w:hAnsi="Symbol"/>
      </w:rPr>
    </w:lvl>
    <w:lvl w:ilvl="3" w:tplc="552CF740">
      <w:start w:val="1"/>
      <w:numFmt w:val="bullet"/>
      <w:lvlText w:val=""/>
      <w:lvlJc w:val="left"/>
      <w:pPr>
        <w:ind w:left="1080" w:hanging="360"/>
      </w:pPr>
      <w:rPr>
        <w:rFonts w:ascii="Symbol" w:hAnsi="Symbol"/>
      </w:rPr>
    </w:lvl>
    <w:lvl w:ilvl="4" w:tplc="17CADF7C">
      <w:start w:val="1"/>
      <w:numFmt w:val="bullet"/>
      <w:lvlText w:val=""/>
      <w:lvlJc w:val="left"/>
      <w:pPr>
        <w:ind w:left="1080" w:hanging="360"/>
      </w:pPr>
      <w:rPr>
        <w:rFonts w:ascii="Symbol" w:hAnsi="Symbol"/>
      </w:rPr>
    </w:lvl>
    <w:lvl w:ilvl="5" w:tplc="4216D4F0">
      <w:start w:val="1"/>
      <w:numFmt w:val="bullet"/>
      <w:lvlText w:val=""/>
      <w:lvlJc w:val="left"/>
      <w:pPr>
        <w:ind w:left="1080" w:hanging="360"/>
      </w:pPr>
      <w:rPr>
        <w:rFonts w:ascii="Symbol" w:hAnsi="Symbol"/>
      </w:rPr>
    </w:lvl>
    <w:lvl w:ilvl="6" w:tplc="7BA60C16">
      <w:start w:val="1"/>
      <w:numFmt w:val="bullet"/>
      <w:lvlText w:val=""/>
      <w:lvlJc w:val="left"/>
      <w:pPr>
        <w:ind w:left="1080" w:hanging="360"/>
      </w:pPr>
      <w:rPr>
        <w:rFonts w:ascii="Symbol" w:hAnsi="Symbol"/>
      </w:rPr>
    </w:lvl>
    <w:lvl w:ilvl="7" w:tplc="0E005BDE">
      <w:start w:val="1"/>
      <w:numFmt w:val="bullet"/>
      <w:lvlText w:val=""/>
      <w:lvlJc w:val="left"/>
      <w:pPr>
        <w:ind w:left="1080" w:hanging="360"/>
      </w:pPr>
      <w:rPr>
        <w:rFonts w:ascii="Symbol" w:hAnsi="Symbol"/>
      </w:rPr>
    </w:lvl>
    <w:lvl w:ilvl="8" w:tplc="C9684D56">
      <w:start w:val="1"/>
      <w:numFmt w:val="bullet"/>
      <w:lvlText w:val=""/>
      <w:lvlJc w:val="left"/>
      <w:pPr>
        <w:ind w:left="1080" w:hanging="360"/>
      </w:pPr>
      <w:rPr>
        <w:rFonts w:ascii="Symbol" w:hAnsi="Symbol"/>
      </w:rPr>
    </w:lvl>
  </w:abstractNum>
  <w:abstractNum w:abstractNumId="47" w15:restartNumberingAfterBreak="0">
    <w:nsid w:val="4CDD0E5E"/>
    <w:multiLevelType w:val="hybridMultilevel"/>
    <w:tmpl w:val="BE0EBF5E"/>
    <w:lvl w:ilvl="0" w:tplc="07B05A44">
      <w:start w:val="1"/>
      <w:numFmt w:val="bullet"/>
      <w:lvlText w:val=""/>
      <w:lvlJc w:val="left"/>
      <w:pPr>
        <w:ind w:left="1080" w:hanging="360"/>
      </w:pPr>
      <w:rPr>
        <w:rFonts w:ascii="Symbol" w:hAnsi="Symbol"/>
      </w:rPr>
    </w:lvl>
    <w:lvl w:ilvl="1" w:tplc="7D2EE89E">
      <w:start w:val="1"/>
      <w:numFmt w:val="bullet"/>
      <w:lvlText w:val=""/>
      <w:lvlJc w:val="left"/>
      <w:pPr>
        <w:ind w:left="1080" w:hanging="360"/>
      </w:pPr>
      <w:rPr>
        <w:rFonts w:ascii="Symbol" w:hAnsi="Symbol"/>
      </w:rPr>
    </w:lvl>
    <w:lvl w:ilvl="2" w:tplc="B24E11EA">
      <w:start w:val="1"/>
      <w:numFmt w:val="bullet"/>
      <w:lvlText w:val=""/>
      <w:lvlJc w:val="left"/>
      <w:pPr>
        <w:ind w:left="1080" w:hanging="360"/>
      </w:pPr>
      <w:rPr>
        <w:rFonts w:ascii="Symbol" w:hAnsi="Symbol"/>
      </w:rPr>
    </w:lvl>
    <w:lvl w:ilvl="3" w:tplc="92E4CAD2">
      <w:start w:val="1"/>
      <w:numFmt w:val="bullet"/>
      <w:lvlText w:val=""/>
      <w:lvlJc w:val="left"/>
      <w:pPr>
        <w:ind w:left="1080" w:hanging="360"/>
      </w:pPr>
      <w:rPr>
        <w:rFonts w:ascii="Symbol" w:hAnsi="Symbol"/>
      </w:rPr>
    </w:lvl>
    <w:lvl w:ilvl="4" w:tplc="5622E6C6">
      <w:start w:val="1"/>
      <w:numFmt w:val="bullet"/>
      <w:lvlText w:val=""/>
      <w:lvlJc w:val="left"/>
      <w:pPr>
        <w:ind w:left="1080" w:hanging="360"/>
      </w:pPr>
      <w:rPr>
        <w:rFonts w:ascii="Symbol" w:hAnsi="Symbol"/>
      </w:rPr>
    </w:lvl>
    <w:lvl w:ilvl="5" w:tplc="CF9AC84E">
      <w:start w:val="1"/>
      <w:numFmt w:val="bullet"/>
      <w:lvlText w:val=""/>
      <w:lvlJc w:val="left"/>
      <w:pPr>
        <w:ind w:left="1080" w:hanging="360"/>
      </w:pPr>
      <w:rPr>
        <w:rFonts w:ascii="Symbol" w:hAnsi="Symbol"/>
      </w:rPr>
    </w:lvl>
    <w:lvl w:ilvl="6" w:tplc="EA0A2DD2">
      <w:start w:val="1"/>
      <w:numFmt w:val="bullet"/>
      <w:lvlText w:val=""/>
      <w:lvlJc w:val="left"/>
      <w:pPr>
        <w:ind w:left="1080" w:hanging="360"/>
      </w:pPr>
      <w:rPr>
        <w:rFonts w:ascii="Symbol" w:hAnsi="Symbol"/>
      </w:rPr>
    </w:lvl>
    <w:lvl w:ilvl="7" w:tplc="43B6269A">
      <w:start w:val="1"/>
      <w:numFmt w:val="bullet"/>
      <w:lvlText w:val=""/>
      <w:lvlJc w:val="left"/>
      <w:pPr>
        <w:ind w:left="1080" w:hanging="360"/>
      </w:pPr>
      <w:rPr>
        <w:rFonts w:ascii="Symbol" w:hAnsi="Symbol"/>
      </w:rPr>
    </w:lvl>
    <w:lvl w:ilvl="8" w:tplc="6AB04498">
      <w:start w:val="1"/>
      <w:numFmt w:val="bullet"/>
      <w:lvlText w:val=""/>
      <w:lvlJc w:val="left"/>
      <w:pPr>
        <w:ind w:left="1080" w:hanging="360"/>
      </w:pPr>
      <w:rPr>
        <w:rFonts w:ascii="Symbol" w:hAnsi="Symbol"/>
      </w:rPr>
    </w:lvl>
  </w:abstractNum>
  <w:abstractNum w:abstractNumId="48" w15:restartNumberingAfterBreak="0">
    <w:nsid w:val="4D724B1F"/>
    <w:multiLevelType w:val="multilevel"/>
    <w:tmpl w:val="2FF64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0336B80"/>
    <w:multiLevelType w:val="multilevel"/>
    <w:tmpl w:val="D54EA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042275E"/>
    <w:multiLevelType w:val="multilevel"/>
    <w:tmpl w:val="FE186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37D1905"/>
    <w:multiLevelType w:val="multilevel"/>
    <w:tmpl w:val="1B5CE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3AE78BA"/>
    <w:multiLevelType w:val="multilevel"/>
    <w:tmpl w:val="AD146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6566EE3"/>
    <w:multiLevelType w:val="multilevel"/>
    <w:tmpl w:val="7D547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6891DFB"/>
    <w:multiLevelType w:val="hybridMultilevel"/>
    <w:tmpl w:val="B360D7E6"/>
    <w:lvl w:ilvl="0" w:tplc="0BB8DF52">
      <w:start w:val="1"/>
      <w:numFmt w:val="bullet"/>
      <w:lvlText w:val=""/>
      <w:lvlJc w:val="left"/>
      <w:pPr>
        <w:ind w:left="1080" w:hanging="360"/>
      </w:pPr>
      <w:rPr>
        <w:rFonts w:ascii="Symbol" w:hAnsi="Symbol"/>
      </w:rPr>
    </w:lvl>
    <w:lvl w:ilvl="1" w:tplc="DA9C128A">
      <w:start w:val="1"/>
      <w:numFmt w:val="bullet"/>
      <w:lvlText w:val=""/>
      <w:lvlJc w:val="left"/>
      <w:pPr>
        <w:ind w:left="1080" w:hanging="360"/>
      </w:pPr>
      <w:rPr>
        <w:rFonts w:ascii="Symbol" w:hAnsi="Symbol"/>
      </w:rPr>
    </w:lvl>
    <w:lvl w:ilvl="2" w:tplc="9C8AC7C0">
      <w:start w:val="1"/>
      <w:numFmt w:val="bullet"/>
      <w:lvlText w:val=""/>
      <w:lvlJc w:val="left"/>
      <w:pPr>
        <w:ind w:left="1080" w:hanging="360"/>
      </w:pPr>
      <w:rPr>
        <w:rFonts w:ascii="Symbol" w:hAnsi="Symbol"/>
      </w:rPr>
    </w:lvl>
    <w:lvl w:ilvl="3" w:tplc="8B1AFCB8">
      <w:start w:val="1"/>
      <w:numFmt w:val="bullet"/>
      <w:lvlText w:val=""/>
      <w:lvlJc w:val="left"/>
      <w:pPr>
        <w:ind w:left="1080" w:hanging="360"/>
      </w:pPr>
      <w:rPr>
        <w:rFonts w:ascii="Symbol" w:hAnsi="Symbol"/>
      </w:rPr>
    </w:lvl>
    <w:lvl w:ilvl="4" w:tplc="BD38A604">
      <w:start w:val="1"/>
      <w:numFmt w:val="bullet"/>
      <w:lvlText w:val=""/>
      <w:lvlJc w:val="left"/>
      <w:pPr>
        <w:ind w:left="1080" w:hanging="360"/>
      </w:pPr>
      <w:rPr>
        <w:rFonts w:ascii="Symbol" w:hAnsi="Symbol"/>
      </w:rPr>
    </w:lvl>
    <w:lvl w:ilvl="5" w:tplc="93685F48">
      <w:start w:val="1"/>
      <w:numFmt w:val="bullet"/>
      <w:lvlText w:val=""/>
      <w:lvlJc w:val="left"/>
      <w:pPr>
        <w:ind w:left="1080" w:hanging="360"/>
      </w:pPr>
      <w:rPr>
        <w:rFonts w:ascii="Symbol" w:hAnsi="Symbol"/>
      </w:rPr>
    </w:lvl>
    <w:lvl w:ilvl="6" w:tplc="D79E5578">
      <w:start w:val="1"/>
      <w:numFmt w:val="bullet"/>
      <w:lvlText w:val=""/>
      <w:lvlJc w:val="left"/>
      <w:pPr>
        <w:ind w:left="1080" w:hanging="360"/>
      </w:pPr>
      <w:rPr>
        <w:rFonts w:ascii="Symbol" w:hAnsi="Symbol"/>
      </w:rPr>
    </w:lvl>
    <w:lvl w:ilvl="7" w:tplc="715C4282">
      <w:start w:val="1"/>
      <w:numFmt w:val="bullet"/>
      <w:lvlText w:val=""/>
      <w:lvlJc w:val="left"/>
      <w:pPr>
        <w:ind w:left="1080" w:hanging="360"/>
      </w:pPr>
      <w:rPr>
        <w:rFonts w:ascii="Symbol" w:hAnsi="Symbol"/>
      </w:rPr>
    </w:lvl>
    <w:lvl w:ilvl="8" w:tplc="F90CDFEE">
      <w:start w:val="1"/>
      <w:numFmt w:val="bullet"/>
      <w:lvlText w:val=""/>
      <w:lvlJc w:val="left"/>
      <w:pPr>
        <w:ind w:left="1080" w:hanging="360"/>
      </w:pPr>
      <w:rPr>
        <w:rFonts w:ascii="Symbol" w:hAnsi="Symbol"/>
      </w:rPr>
    </w:lvl>
  </w:abstractNum>
  <w:abstractNum w:abstractNumId="55" w15:restartNumberingAfterBreak="0">
    <w:nsid w:val="56DD2BF7"/>
    <w:multiLevelType w:val="hybridMultilevel"/>
    <w:tmpl w:val="9AA4FB42"/>
    <w:lvl w:ilvl="0" w:tplc="997EDF0A">
      <w:start w:val="1"/>
      <w:numFmt w:val="bullet"/>
      <w:lvlText w:val=""/>
      <w:lvlJc w:val="left"/>
      <w:pPr>
        <w:ind w:left="1080" w:hanging="360"/>
      </w:pPr>
      <w:rPr>
        <w:rFonts w:ascii="Symbol" w:hAnsi="Symbol"/>
      </w:rPr>
    </w:lvl>
    <w:lvl w:ilvl="1" w:tplc="2736C652">
      <w:start w:val="1"/>
      <w:numFmt w:val="bullet"/>
      <w:lvlText w:val=""/>
      <w:lvlJc w:val="left"/>
      <w:pPr>
        <w:ind w:left="1080" w:hanging="360"/>
      </w:pPr>
      <w:rPr>
        <w:rFonts w:ascii="Symbol" w:hAnsi="Symbol"/>
      </w:rPr>
    </w:lvl>
    <w:lvl w:ilvl="2" w:tplc="EFC28570">
      <w:start w:val="1"/>
      <w:numFmt w:val="bullet"/>
      <w:lvlText w:val=""/>
      <w:lvlJc w:val="left"/>
      <w:pPr>
        <w:ind w:left="1080" w:hanging="360"/>
      </w:pPr>
      <w:rPr>
        <w:rFonts w:ascii="Symbol" w:hAnsi="Symbol"/>
      </w:rPr>
    </w:lvl>
    <w:lvl w:ilvl="3" w:tplc="809A18F2">
      <w:start w:val="1"/>
      <w:numFmt w:val="bullet"/>
      <w:lvlText w:val=""/>
      <w:lvlJc w:val="left"/>
      <w:pPr>
        <w:ind w:left="1080" w:hanging="360"/>
      </w:pPr>
      <w:rPr>
        <w:rFonts w:ascii="Symbol" w:hAnsi="Symbol"/>
      </w:rPr>
    </w:lvl>
    <w:lvl w:ilvl="4" w:tplc="840AE854">
      <w:start w:val="1"/>
      <w:numFmt w:val="bullet"/>
      <w:lvlText w:val=""/>
      <w:lvlJc w:val="left"/>
      <w:pPr>
        <w:ind w:left="1080" w:hanging="360"/>
      </w:pPr>
      <w:rPr>
        <w:rFonts w:ascii="Symbol" w:hAnsi="Symbol"/>
      </w:rPr>
    </w:lvl>
    <w:lvl w:ilvl="5" w:tplc="5FCA4168">
      <w:start w:val="1"/>
      <w:numFmt w:val="bullet"/>
      <w:lvlText w:val=""/>
      <w:lvlJc w:val="left"/>
      <w:pPr>
        <w:ind w:left="1080" w:hanging="360"/>
      </w:pPr>
      <w:rPr>
        <w:rFonts w:ascii="Symbol" w:hAnsi="Symbol"/>
      </w:rPr>
    </w:lvl>
    <w:lvl w:ilvl="6" w:tplc="82407400">
      <w:start w:val="1"/>
      <w:numFmt w:val="bullet"/>
      <w:lvlText w:val=""/>
      <w:lvlJc w:val="left"/>
      <w:pPr>
        <w:ind w:left="1080" w:hanging="360"/>
      </w:pPr>
      <w:rPr>
        <w:rFonts w:ascii="Symbol" w:hAnsi="Symbol"/>
      </w:rPr>
    </w:lvl>
    <w:lvl w:ilvl="7" w:tplc="92A2CDDA">
      <w:start w:val="1"/>
      <w:numFmt w:val="bullet"/>
      <w:lvlText w:val=""/>
      <w:lvlJc w:val="left"/>
      <w:pPr>
        <w:ind w:left="1080" w:hanging="360"/>
      </w:pPr>
      <w:rPr>
        <w:rFonts w:ascii="Symbol" w:hAnsi="Symbol"/>
      </w:rPr>
    </w:lvl>
    <w:lvl w:ilvl="8" w:tplc="C12682D6">
      <w:start w:val="1"/>
      <w:numFmt w:val="bullet"/>
      <w:lvlText w:val=""/>
      <w:lvlJc w:val="left"/>
      <w:pPr>
        <w:ind w:left="1080" w:hanging="360"/>
      </w:pPr>
      <w:rPr>
        <w:rFonts w:ascii="Symbol" w:hAnsi="Symbol"/>
      </w:rPr>
    </w:lvl>
  </w:abstractNum>
  <w:abstractNum w:abstractNumId="56" w15:restartNumberingAfterBreak="0">
    <w:nsid w:val="580A38E9"/>
    <w:multiLevelType w:val="multilevel"/>
    <w:tmpl w:val="1DEC3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9BE0857"/>
    <w:multiLevelType w:val="multilevel"/>
    <w:tmpl w:val="25440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B18631A"/>
    <w:multiLevelType w:val="hybridMultilevel"/>
    <w:tmpl w:val="4D2A9B6E"/>
    <w:lvl w:ilvl="0" w:tplc="68587336">
      <w:start w:val="1"/>
      <w:numFmt w:val="bullet"/>
      <w:lvlText w:val=""/>
      <w:lvlJc w:val="left"/>
      <w:pPr>
        <w:ind w:left="720" w:hanging="360"/>
      </w:pPr>
      <w:rPr>
        <w:rFonts w:ascii="Symbol" w:hAnsi="Symbol"/>
      </w:rPr>
    </w:lvl>
    <w:lvl w:ilvl="1" w:tplc="502048CC">
      <w:start w:val="1"/>
      <w:numFmt w:val="bullet"/>
      <w:lvlText w:val=""/>
      <w:lvlJc w:val="left"/>
      <w:pPr>
        <w:ind w:left="720" w:hanging="360"/>
      </w:pPr>
      <w:rPr>
        <w:rFonts w:ascii="Symbol" w:hAnsi="Symbol"/>
      </w:rPr>
    </w:lvl>
    <w:lvl w:ilvl="2" w:tplc="3F46C034">
      <w:start w:val="1"/>
      <w:numFmt w:val="bullet"/>
      <w:lvlText w:val=""/>
      <w:lvlJc w:val="left"/>
      <w:pPr>
        <w:ind w:left="720" w:hanging="360"/>
      </w:pPr>
      <w:rPr>
        <w:rFonts w:ascii="Symbol" w:hAnsi="Symbol"/>
      </w:rPr>
    </w:lvl>
    <w:lvl w:ilvl="3" w:tplc="325C57D2">
      <w:start w:val="1"/>
      <w:numFmt w:val="bullet"/>
      <w:lvlText w:val=""/>
      <w:lvlJc w:val="left"/>
      <w:pPr>
        <w:ind w:left="720" w:hanging="360"/>
      </w:pPr>
      <w:rPr>
        <w:rFonts w:ascii="Symbol" w:hAnsi="Symbol"/>
      </w:rPr>
    </w:lvl>
    <w:lvl w:ilvl="4" w:tplc="AB74FCF0">
      <w:start w:val="1"/>
      <w:numFmt w:val="bullet"/>
      <w:lvlText w:val=""/>
      <w:lvlJc w:val="left"/>
      <w:pPr>
        <w:ind w:left="720" w:hanging="360"/>
      </w:pPr>
      <w:rPr>
        <w:rFonts w:ascii="Symbol" w:hAnsi="Symbol"/>
      </w:rPr>
    </w:lvl>
    <w:lvl w:ilvl="5" w:tplc="3DC29A22">
      <w:start w:val="1"/>
      <w:numFmt w:val="bullet"/>
      <w:lvlText w:val=""/>
      <w:lvlJc w:val="left"/>
      <w:pPr>
        <w:ind w:left="720" w:hanging="360"/>
      </w:pPr>
      <w:rPr>
        <w:rFonts w:ascii="Symbol" w:hAnsi="Symbol"/>
      </w:rPr>
    </w:lvl>
    <w:lvl w:ilvl="6" w:tplc="819E33F8">
      <w:start w:val="1"/>
      <w:numFmt w:val="bullet"/>
      <w:lvlText w:val=""/>
      <w:lvlJc w:val="left"/>
      <w:pPr>
        <w:ind w:left="720" w:hanging="360"/>
      </w:pPr>
      <w:rPr>
        <w:rFonts w:ascii="Symbol" w:hAnsi="Symbol"/>
      </w:rPr>
    </w:lvl>
    <w:lvl w:ilvl="7" w:tplc="3C9A7476">
      <w:start w:val="1"/>
      <w:numFmt w:val="bullet"/>
      <w:lvlText w:val=""/>
      <w:lvlJc w:val="left"/>
      <w:pPr>
        <w:ind w:left="720" w:hanging="360"/>
      </w:pPr>
      <w:rPr>
        <w:rFonts w:ascii="Symbol" w:hAnsi="Symbol"/>
      </w:rPr>
    </w:lvl>
    <w:lvl w:ilvl="8" w:tplc="6B66BDAE">
      <w:start w:val="1"/>
      <w:numFmt w:val="bullet"/>
      <w:lvlText w:val=""/>
      <w:lvlJc w:val="left"/>
      <w:pPr>
        <w:ind w:left="720" w:hanging="360"/>
      </w:pPr>
      <w:rPr>
        <w:rFonts w:ascii="Symbol" w:hAnsi="Symbol"/>
      </w:rPr>
    </w:lvl>
  </w:abstractNum>
  <w:abstractNum w:abstractNumId="59" w15:restartNumberingAfterBreak="0">
    <w:nsid w:val="5B6F769F"/>
    <w:multiLevelType w:val="hybridMultilevel"/>
    <w:tmpl w:val="C93230BC"/>
    <w:lvl w:ilvl="0" w:tplc="FC2A8C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C545D91"/>
    <w:multiLevelType w:val="multilevel"/>
    <w:tmpl w:val="A22E2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C8767AB"/>
    <w:multiLevelType w:val="multilevel"/>
    <w:tmpl w:val="B77A4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6940A13"/>
    <w:multiLevelType w:val="multilevel"/>
    <w:tmpl w:val="642C7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6BF082B"/>
    <w:multiLevelType w:val="hybridMultilevel"/>
    <w:tmpl w:val="2A208A12"/>
    <w:lvl w:ilvl="0" w:tplc="36EC7554">
      <w:start w:val="1"/>
      <w:numFmt w:val="bullet"/>
      <w:lvlText w:val=""/>
      <w:lvlJc w:val="left"/>
      <w:pPr>
        <w:ind w:left="1080" w:hanging="360"/>
      </w:pPr>
      <w:rPr>
        <w:rFonts w:ascii="Symbol" w:hAnsi="Symbol"/>
      </w:rPr>
    </w:lvl>
    <w:lvl w:ilvl="1" w:tplc="B9405DE0">
      <w:start w:val="1"/>
      <w:numFmt w:val="bullet"/>
      <w:lvlText w:val=""/>
      <w:lvlJc w:val="left"/>
      <w:pPr>
        <w:ind w:left="1080" w:hanging="360"/>
      </w:pPr>
      <w:rPr>
        <w:rFonts w:ascii="Symbol" w:hAnsi="Symbol"/>
      </w:rPr>
    </w:lvl>
    <w:lvl w:ilvl="2" w:tplc="B8180B6E">
      <w:start w:val="1"/>
      <w:numFmt w:val="bullet"/>
      <w:lvlText w:val=""/>
      <w:lvlJc w:val="left"/>
      <w:pPr>
        <w:ind w:left="1080" w:hanging="360"/>
      </w:pPr>
      <w:rPr>
        <w:rFonts w:ascii="Symbol" w:hAnsi="Symbol"/>
      </w:rPr>
    </w:lvl>
    <w:lvl w:ilvl="3" w:tplc="DD582BA8">
      <w:start w:val="1"/>
      <w:numFmt w:val="bullet"/>
      <w:lvlText w:val=""/>
      <w:lvlJc w:val="left"/>
      <w:pPr>
        <w:ind w:left="1080" w:hanging="360"/>
      </w:pPr>
      <w:rPr>
        <w:rFonts w:ascii="Symbol" w:hAnsi="Symbol"/>
      </w:rPr>
    </w:lvl>
    <w:lvl w:ilvl="4" w:tplc="1E6C7D90">
      <w:start w:val="1"/>
      <w:numFmt w:val="bullet"/>
      <w:lvlText w:val=""/>
      <w:lvlJc w:val="left"/>
      <w:pPr>
        <w:ind w:left="1080" w:hanging="360"/>
      </w:pPr>
      <w:rPr>
        <w:rFonts w:ascii="Symbol" w:hAnsi="Symbol"/>
      </w:rPr>
    </w:lvl>
    <w:lvl w:ilvl="5" w:tplc="65944974">
      <w:start w:val="1"/>
      <w:numFmt w:val="bullet"/>
      <w:lvlText w:val=""/>
      <w:lvlJc w:val="left"/>
      <w:pPr>
        <w:ind w:left="1080" w:hanging="360"/>
      </w:pPr>
      <w:rPr>
        <w:rFonts w:ascii="Symbol" w:hAnsi="Symbol"/>
      </w:rPr>
    </w:lvl>
    <w:lvl w:ilvl="6" w:tplc="4882F36A">
      <w:start w:val="1"/>
      <w:numFmt w:val="bullet"/>
      <w:lvlText w:val=""/>
      <w:lvlJc w:val="left"/>
      <w:pPr>
        <w:ind w:left="1080" w:hanging="360"/>
      </w:pPr>
      <w:rPr>
        <w:rFonts w:ascii="Symbol" w:hAnsi="Symbol"/>
      </w:rPr>
    </w:lvl>
    <w:lvl w:ilvl="7" w:tplc="A98E2D90">
      <w:start w:val="1"/>
      <w:numFmt w:val="bullet"/>
      <w:lvlText w:val=""/>
      <w:lvlJc w:val="left"/>
      <w:pPr>
        <w:ind w:left="1080" w:hanging="360"/>
      </w:pPr>
      <w:rPr>
        <w:rFonts w:ascii="Symbol" w:hAnsi="Symbol"/>
      </w:rPr>
    </w:lvl>
    <w:lvl w:ilvl="8" w:tplc="53FC3A0C">
      <w:start w:val="1"/>
      <w:numFmt w:val="bullet"/>
      <w:lvlText w:val=""/>
      <w:lvlJc w:val="left"/>
      <w:pPr>
        <w:ind w:left="1080" w:hanging="360"/>
      </w:pPr>
      <w:rPr>
        <w:rFonts w:ascii="Symbol" w:hAnsi="Symbol"/>
      </w:rPr>
    </w:lvl>
  </w:abstractNum>
  <w:abstractNum w:abstractNumId="64" w15:restartNumberingAfterBreak="0">
    <w:nsid w:val="6A01701A"/>
    <w:multiLevelType w:val="multilevel"/>
    <w:tmpl w:val="EFF63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B4F0623"/>
    <w:multiLevelType w:val="hybridMultilevel"/>
    <w:tmpl w:val="4B5208E8"/>
    <w:lvl w:ilvl="0" w:tplc="69A8D3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E4C1F8C"/>
    <w:multiLevelType w:val="hybridMultilevel"/>
    <w:tmpl w:val="DA0A5B40"/>
    <w:lvl w:ilvl="0" w:tplc="09A440C4">
      <w:start w:val="1"/>
      <w:numFmt w:val="bullet"/>
      <w:lvlText w:val=""/>
      <w:lvlJc w:val="left"/>
      <w:pPr>
        <w:ind w:left="1080" w:hanging="360"/>
      </w:pPr>
      <w:rPr>
        <w:rFonts w:ascii="Symbol" w:hAnsi="Symbol"/>
      </w:rPr>
    </w:lvl>
    <w:lvl w:ilvl="1" w:tplc="F350FD18">
      <w:start w:val="1"/>
      <w:numFmt w:val="bullet"/>
      <w:lvlText w:val=""/>
      <w:lvlJc w:val="left"/>
      <w:pPr>
        <w:ind w:left="1080" w:hanging="360"/>
      </w:pPr>
      <w:rPr>
        <w:rFonts w:ascii="Symbol" w:hAnsi="Symbol"/>
      </w:rPr>
    </w:lvl>
    <w:lvl w:ilvl="2" w:tplc="20E2C128">
      <w:start w:val="1"/>
      <w:numFmt w:val="bullet"/>
      <w:lvlText w:val=""/>
      <w:lvlJc w:val="left"/>
      <w:pPr>
        <w:ind w:left="1080" w:hanging="360"/>
      </w:pPr>
      <w:rPr>
        <w:rFonts w:ascii="Symbol" w:hAnsi="Symbol"/>
      </w:rPr>
    </w:lvl>
    <w:lvl w:ilvl="3" w:tplc="A8D4726E">
      <w:start w:val="1"/>
      <w:numFmt w:val="bullet"/>
      <w:lvlText w:val=""/>
      <w:lvlJc w:val="left"/>
      <w:pPr>
        <w:ind w:left="1080" w:hanging="360"/>
      </w:pPr>
      <w:rPr>
        <w:rFonts w:ascii="Symbol" w:hAnsi="Symbol"/>
      </w:rPr>
    </w:lvl>
    <w:lvl w:ilvl="4" w:tplc="87766066">
      <w:start w:val="1"/>
      <w:numFmt w:val="bullet"/>
      <w:lvlText w:val=""/>
      <w:lvlJc w:val="left"/>
      <w:pPr>
        <w:ind w:left="1080" w:hanging="360"/>
      </w:pPr>
      <w:rPr>
        <w:rFonts w:ascii="Symbol" w:hAnsi="Symbol"/>
      </w:rPr>
    </w:lvl>
    <w:lvl w:ilvl="5" w:tplc="94F01FA8">
      <w:start w:val="1"/>
      <w:numFmt w:val="bullet"/>
      <w:lvlText w:val=""/>
      <w:lvlJc w:val="left"/>
      <w:pPr>
        <w:ind w:left="1080" w:hanging="360"/>
      </w:pPr>
      <w:rPr>
        <w:rFonts w:ascii="Symbol" w:hAnsi="Symbol"/>
      </w:rPr>
    </w:lvl>
    <w:lvl w:ilvl="6" w:tplc="C81E9B9A">
      <w:start w:val="1"/>
      <w:numFmt w:val="bullet"/>
      <w:lvlText w:val=""/>
      <w:lvlJc w:val="left"/>
      <w:pPr>
        <w:ind w:left="1080" w:hanging="360"/>
      </w:pPr>
      <w:rPr>
        <w:rFonts w:ascii="Symbol" w:hAnsi="Symbol"/>
      </w:rPr>
    </w:lvl>
    <w:lvl w:ilvl="7" w:tplc="0C1E1A80">
      <w:start w:val="1"/>
      <w:numFmt w:val="bullet"/>
      <w:lvlText w:val=""/>
      <w:lvlJc w:val="left"/>
      <w:pPr>
        <w:ind w:left="1080" w:hanging="360"/>
      </w:pPr>
      <w:rPr>
        <w:rFonts w:ascii="Symbol" w:hAnsi="Symbol"/>
      </w:rPr>
    </w:lvl>
    <w:lvl w:ilvl="8" w:tplc="F09C3758">
      <w:start w:val="1"/>
      <w:numFmt w:val="bullet"/>
      <w:lvlText w:val=""/>
      <w:lvlJc w:val="left"/>
      <w:pPr>
        <w:ind w:left="1080" w:hanging="360"/>
      </w:pPr>
      <w:rPr>
        <w:rFonts w:ascii="Symbol" w:hAnsi="Symbol"/>
      </w:rPr>
    </w:lvl>
  </w:abstractNum>
  <w:abstractNum w:abstractNumId="67" w15:restartNumberingAfterBreak="0">
    <w:nsid w:val="717B41BE"/>
    <w:multiLevelType w:val="hybridMultilevel"/>
    <w:tmpl w:val="CA3A8792"/>
    <w:lvl w:ilvl="0" w:tplc="5BA40C10">
      <w:start w:val="1"/>
      <w:numFmt w:val="bullet"/>
      <w:lvlText w:val=""/>
      <w:lvlJc w:val="left"/>
      <w:pPr>
        <w:ind w:left="1080" w:hanging="360"/>
      </w:pPr>
      <w:rPr>
        <w:rFonts w:ascii="Symbol" w:hAnsi="Symbol"/>
      </w:rPr>
    </w:lvl>
    <w:lvl w:ilvl="1" w:tplc="0200FAD0">
      <w:start w:val="1"/>
      <w:numFmt w:val="bullet"/>
      <w:lvlText w:val=""/>
      <w:lvlJc w:val="left"/>
      <w:pPr>
        <w:ind w:left="1080" w:hanging="360"/>
      </w:pPr>
      <w:rPr>
        <w:rFonts w:ascii="Symbol" w:hAnsi="Symbol"/>
      </w:rPr>
    </w:lvl>
    <w:lvl w:ilvl="2" w:tplc="C27EFFFA">
      <w:start w:val="1"/>
      <w:numFmt w:val="bullet"/>
      <w:lvlText w:val=""/>
      <w:lvlJc w:val="left"/>
      <w:pPr>
        <w:ind w:left="1080" w:hanging="360"/>
      </w:pPr>
      <w:rPr>
        <w:rFonts w:ascii="Symbol" w:hAnsi="Symbol"/>
      </w:rPr>
    </w:lvl>
    <w:lvl w:ilvl="3" w:tplc="9F52992C">
      <w:start w:val="1"/>
      <w:numFmt w:val="bullet"/>
      <w:lvlText w:val=""/>
      <w:lvlJc w:val="left"/>
      <w:pPr>
        <w:ind w:left="1080" w:hanging="360"/>
      </w:pPr>
      <w:rPr>
        <w:rFonts w:ascii="Symbol" w:hAnsi="Symbol"/>
      </w:rPr>
    </w:lvl>
    <w:lvl w:ilvl="4" w:tplc="9D1E0434">
      <w:start w:val="1"/>
      <w:numFmt w:val="bullet"/>
      <w:lvlText w:val=""/>
      <w:lvlJc w:val="left"/>
      <w:pPr>
        <w:ind w:left="1080" w:hanging="360"/>
      </w:pPr>
      <w:rPr>
        <w:rFonts w:ascii="Symbol" w:hAnsi="Symbol"/>
      </w:rPr>
    </w:lvl>
    <w:lvl w:ilvl="5" w:tplc="98B02F28">
      <w:start w:val="1"/>
      <w:numFmt w:val="bullet"/>
      <w:lvlText w:val=""/>
      <w:lvlJc w:val="left"/>
      <w:pPr>
        <w:ind w:left="1080" w:hanging="360"/>
      </w:pPr>
      <w:rPr>
        <w:rFonts w:ascii="Symbol" w:hAnsi="Symbol"/>
      </w:rPr>
    </w:lvl>
    <w:lvl w:ilvl="6" w:tplc="5952F7F2">
      <w:start w:val="1"/>
      <w:numFmt w:val="bullet"/>
      <w:lvlText w:val=""/>
      <w:lvlJc w:val="left"/>
      <w:pPr>
        <w:ind w:left="1080" w:hanging="360"/>
      </w:pPr>
      <w:rPr>
        <w:rFonts w:ascii="Symbol" w:hAnsi="Symbol"/>
      </w:rPr>
    </w:lvl>
    <w:lvl w:ilvl="7" w:tplc="A202CF82">
      <w:start w:val="1"/>
      <w:numFmt w:val="bullet"/>
      <w:lvlText w:val=""/>
      <w:lvlJc w:val="left"/>
      <w:pPr>
        <w:ind w:left="1080" w:hanging="360"/>
      </w:pPr>
      <w:rPr>
        <w:rFonts w:ascii="Symbol" w:hAnsi="Symbol"/>
      </w:rPr>
    </w:lvl>
    <w:lvl w:ilvl="8" w:tplc="64A48490">
      <w:start w:val="1"/>
      <w:numFmt w:val="bullet"/>
      <w:lvlText w:val=""/>
      <w:lvlJc w:val="left"/>
      <w:pPr>
        <w:ind w:left="1080" w:hanging="360"/>
      </w:pPr>
      <w:rPr>
        <w:rFonts w:ascii="Symbol" w:hAnsi="Symbol"/>
      </w:rPr>
    </w:lvl>
  </w:abstractNum>
  <w:abstractNum w:abstractNumId="68" w15:restartNumberingAfterBreak="0">
    <w:nsid w:val="72D81B47"/>
    <w:multiLevelType w:val="hybridMultilevel"/>
    <w:tmpl w:val="4F5629E4"/>
    <w:lvl w:ilvl="0" w:tplc="68B6884C">
      <w:start w:val="1"/>
      <w:numFmt w:val="bullet"/>
      <w:lvlText w:val=""/>
      <w:lvlJc w:val="left"/>
      <w:pPr>
        <w:ind w:left="1080" w:hanging="360"/>
      </w:pPr>
      <w:rPr>
        <w:rFonts w:ascii="Symbol" w:hAnsi="Symbol"/>
      </w:rPr>
    </w:lvl>
    <w:lvl w:ilvl="1" w:tplc="5DC84BA4">
      <w:start w:val="1"/>
      <w:numFmt w:val="bullet"/>
      <w:lvlText w:val=""/>
      <w:lvlJc w:val="left"/>
      <w:pPr>
        <w:ind w:left="1080" w:hanging="360"/>
      </w:pPr>
      <w:rPr>
        <w:rFonts w:ascii="Symbol" w:hAnsi="Symbol"/>
      </w:rPr>
    </w:lvl>
    <w:lvl w:ilvl="2" w:tplc="4B80DB0E">
      <w:start w:val="1"/>
      <w:numFmt w:val="bullet"/>
      <w:lvlText w:val=""/>
      <w:lvlJc w:val="left"/>
      <w:pPr>
        <w:ind w:left="1080" w:hanging="360"/>
      </w:pPr>
      <w:rPr>
        <w:rFonts w:ascii="Symbol" w:hAnsi="Symbol"/>
      </w:rPr>
    </w:lvl>
    <w:lvl w:ilvl="3" w:tplc="5EDEEBCC">
      <w:start w:val="1"/>
      <w:numFmt w:val="bullet"/>
      <w:lvlText w:val=""/>
      <w:lvlJc w:val="left"/>
      <w:pPr>
        <w:ind w:left="1080" w:hanging="360"/>
      </w:pPr>
      <w:rPr>
        <w:rFonts w:ascii="Symbol" w:hAnsi="Symbol"/>
      </w:rPr>
    </w:lvl>
    <w:lvl w:ilvl="4" w:tplc="9E9417DA">
      <w:start w:val="1"/>
      <w:numFmt w:val="bullet"/>
      <w:lvlText w:val=""/>
      <w:lvlJc w:val="left"/>
      <w:pPr>
        <w:ind w:left="1080" w:hanging="360"/>
      </w:pPr>
      <w:rPr>
        <w:rFonts w:ascii="Symbol" w:hAnsi="Symbol"/>
      </w:rPr>
    </w:lvl>
    <w:lvl w:ilvl="5" w:tplc="89228674">
      <w:start w:val="1"/>
      <w:numFmt w:val="bullet"/>
      <w:lvlText w:val=""/>
      <w:lvlJc w:val="left"/>
      <w:pPr>
        <w:ind w:left="1080" w:hanging="360"/>
      </w:pPr>
      <w:rPr>
        <w:rFonts w:ascii="Symbol" w:hAnsi="Symbol"/>
      </w:rPr>
    </w:lvl>
    <w:lvl w:ilvl="6" w:tplc="91F29AC2">
      <w:start w:val="1"/>
      <w:numFmt w:val="bullet"/>
      <w:lvlText w:val=""/>
      <w:lvlJc w:val="left"/>
      <w:pPr>
        <w:ind w:left="1080" w:hanging="360"/>
      </w:pPr>
      <w:rPr>
        <w:rFonts w:ascii="Symbol" w:hAnsi="Symbol"/>
      </w:rPr>
    </w:lvl>
    <w:lvl w:ilvl="7" w:tplc="867CDBB2">
      <w:start w:val="1"/>
      <w:numFmt w:val="bullet"/>
      <w:lvlText w:val=""/>
      <w:lvlJc w:val="left"/>
      <w:pPr>
        <w:ind w:left="1080" w:hanging="360"/>
      </w:pPr>
      <w:rPr>
        <w:rFonts w:ascii="Symbol" w:hAnsi="Symbol"/>
      </w:rPr>
    </w:lvl>
    <w:lvl w:ilvl="8" w:tplc="D1B0F61C">
      <w:start w:val="1"/>
      <w:numFmt w:val="bullet"/>
      <w:lvlText w:val=""/>
      <w:lvlJc w:val="left"/>
      <w:pPr>
        <w:ind w:left="1080" w:hanging="360"/>
      </w:pPr>
      <w:rPr>
        <w:rFonts w:ascii="Symbol" w:hAnsi="Symbol"/>
      </w:rPr>
    </w:lvl>
  </w:abstractNum>
  <w:abstractNum w:abstractNumId="69" w15:restartNumberingAfterBreak="0">
    <w:nsid w:val="739330A1"/>
    <w:multiLevelType w:val="multilevel"/>
    <w:tmpl w:val="905A5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4C44167"/>
    <w:multiLevelType w:val="multilevel"/>
    <w:tmpl w:val="B0FE8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56B4C2B"/>
    <w:multiLevelType w:val="multilevel"/>
    <w:tmpl w:val="8D7AF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8692178"/>
    <w:multiLevelType w:val="hybridMultilevel"/>
    <w:tmpl w:val="7B3049A2"/>
    <w:lvl w:ilvl="0" w:tplc="4EA69300">
      <w:start w:val="1"/>
      <w:numFmt w:val="bullet"/>
      <w:lvlText w:val=""/>
      <w:lvlJc w:val="left"/>
      <w:pPr>
        <w:ind w:left="1080" w:hanging="360"/>
      </w:pPr>
      <w:rPr>
        <w:rFonts w:ascii="Symbol" w:hAnsi="Symbol"/>
      </w:rPr>
    </w:lvl>
    <w:lvl w:ilvl="1" w:tplc="08667338">
      <w:start w:val="1"/>
      <w:numFmt w:val="bullet"/>
      <w:lvlText w:val=""/>
      <w:lvlJc w:val="left"/>
      <w:pPr>
        <w:ind w:left="1080" w:hanging="360"/>
      </w:pPr>
      <w:rPr>
        <w:rFonts w:ascii="Symbol" w:hAnsi="Symbol"/>
      </w:rPr>
    </w:lvl>
    <w:lvl w:ilvl="2" w:tplc="AFD4DDBA">
      <w:start w:val="1"/>
      <w:numFmt w:val="bullet"/>
      <w:lvlText w:val=""/>
      <w:lvlJc w:val="left"/>
      <w:pPr>
        <w:ind w:left="1080" w:hanging="360"/>
      </w:pPr>
      <w:rPr>
        <w:rFonts w:ascii="Symbol" w:hAnsi="Symbol"/>
      </w:rPr>
    </w:lvl>
    <w:lvl w:ilvl="3" w:tplc="B7BA0AD2">
      <w:start w:val="1"/>
      <w:numFmt w:val="bullet"/>
      <w:lvlText w:val=""/>
      <w:lvlJc w:val="left"/>
      <w:pPr>
        <w:ind w:left="1080" w:hanging="360"/>
      </w:pPr>
      <w:rPr>
        <w:rFonts w:ascii="Symbol" w:hAnsi="Symbol"/>
      </w:rPr>
    </w:lvl>
    <w:lvl w:ilvl="4" w:tplc="632AB22E">
      <w:start w:val="1"/>
      <w:numFmt w:val="bullet"/>
      <w:lvlText w:val=""/>
      <w:lvlJc w:val="left"/>
      <w:pPr>
        <w:ind w:left="1080" w:hanging="360"/>
      </w:pPr>
      <w:rPr>
        <w:rFonts w:ascii="Symbol" w:hAnsi="Symbol"/>
      </w:rPr>
    </w:lvl>
    <w:lvl w:ilvl="5" w:tplc="07965042">
      <w:start w:val="1"/>
      <w:numFmt w:val="bullet"/>
      <w:lvlText w:val=""/>
      <w:lvlJc w:val="left"/>
      <w:pPr>
        <w:ind w:left="1080" w:hanging="360"/>
      </w:pPr>
      <w:rPr>
        <w:rFonts w:ascii="Symbol" w:hAnsi="Symbol"/>
      </w:rPr>
    </w:lvl>
    <w:lvl w:ilvl="6" w:tplc="724408E8">
      <w:start w:val="1"/>
      <w:numFmt w:val="bullet"/>
      <w:lvlText w:val=""/>
      <w:lvlJc w:val="left"/>
      <w:pPr>
        <w:ind w:left="1080" w:hanging="360"/>
      </w:pPr>
      <w:rPr>
        <w:rFonts w:ascii="Symbol" w:hAnsi="Symbol"/>
      </w:rPr>
    </w:lvl>
    <w:lvl w:ilvl="7" w:tplc="1E26FF76">
      <w:start w:val="1"/>
      <w:numFmt w:val="bullet"/>
      <w:lvlText w:val=""/>
      <w:lvlJc w:val="left"/>
      <w:pPr>
        <w:ind w:left="1080" w:hanging="360"/>
      </w:pPr>
      <w:rPr>
        <w:rFonts w:ascii="Symbol" w:hAnsi="Symbol"/>
      </w:rPr>
    </w:lvl>
    <w:lvl w:ilvl="8" w:tplc="D55CCAA8">
      <w:start w:val="1"/>
      <w:numFmt w:val="bullet"/>
      <w:lvlText w:val=""/>
      <w:lvlJc w:val="left"/>
      <w:pPr>
        <w:ind w:left="1080" w:hanging="360"/>
      </w:pPr>
      <w:rPr>
        <w:rFonts w:ascii="Symbol" w:hAnsi="Symbol"/>
      </w:rPr>
    </w:lvl>
  </w:abstractNum>
  <w:abstractNum w:abstractNumId="73" w15:restartNumberingAfterBreak="0">
    <w:nsid w:val="78D96975"/>
    <w:multiLevelType w:val="hybridMultilevel"/>
    <w:tmpl w:val="FB8A6892"/>
    <w:lvl w:ilvl="0" w:tplc="025A8B70">
      <w:start w:val="1"/>
      <w:numFmt w:val="bullet"/>
      <w:lvlText w:val=""/>
      <w:lvlJc w:val="left"/>
      <w:pPr>
        <w:ind w:left="720" w:hanging="360"/>
      </w:pPr>
      <w:rPr>
        <w:rFonts w:ascii="Symbol" w:hAnsi="Symbol"/>
      </w:rPr>
    </w:lvl>
    <w:lvl w:ilvl="1" w:tplc="E6525D1C">
      <w:start w:val="1"/>
      <w:numFmt w:val="bullet"/>
      <w:lvlText w:val=""/>
      <w:lvlJc w:val="left"/>
      <w:pPr>
        <w:ind w:left="720" w:hanging="360"/>
      </w:pPr>
      <w:rPr>
        <w:rFonts w:ascii="Symbol" w:hAnsi="Symbol"/>
      </w:rPr>
    </w:lvl>
    <w:lvl w:ilvl="2" w:tplc="95A0C54E">
      <w:start w:val="1"/>
      <w:numFmt w:val="bullet"/>
      <w:lvlText w:val=""/>
      <w:lvlJc w:val="left"/>
      <w:pPr>
        <w:ind w:left="720" w:hanging="360"/>
      </w:pPr>
      <w:rPr>
        <w:rFonts w:ascii="Symbol" w:hAnsi="Symbol"/>
      </w:rPr>
    </w:lvl>
    <w:lvl w:ilvl="3" w:tplc="B802B6A4">
      <w:start w:val="1"/>
      <w:numFmt w:val="bullet"/>
      <w:lvlText w:val=""/>
      <w:lvlJc w:val="left"/>
      <w:pPr>
        <w:ind w:left="720" w:hanging="360"/>
      </w:pPr>
      <w:rPr>
        <w:rFonts w:ascii="Symbol" w:hAnsi="Symbol"/>
      </w:rPr>
    </w:lvl>
    <w:lvl w:ilvl="4" w:tplc="4372B7BA">
      <w:start w:val="1"/>
      <w:numFmt w:val="bullet"/>
      <w:lvlText w:val=""/>
      <w:lvlJc w:val="left"/>
      <w:pPr>
        <w:ind w:left="720" w:hanging="360"/>
      </w:pPr>
      <w:rPr>
        <w:rFonts w:ascii="Symbol" w:hAnsi="Symbol"/>
      </w:rPr>
    </w:lvl>
    <w:lvl w:ilvl="5" w:tplc="F7D2E360">
      <w:start w:val="1"/>
      <w:numFmt w:val="bullet"/>
      <w:lvlText w:val=""/>
      <w:lvlJc w:val="left"/>
      <w:pPr>
        <w:ind w:left="720" w:hanging="360"/>
      </w:pPr>
      <w:rPr>
        <w:rFonts w:ascii="Symbol" w:hAnsi="Symbol"/>
      </w:rPr>
    </w:lvl>
    <w:lvl w:ilvl="6" w:tplc="60B80766">
      <w:start w:val="1"/>
      <w:numFmt w:val="bullet"/>
      <w:lvlText w:val=""/>
      <w:lvlJc w:val="left"/>
      <w:pPr>
        <w:ind w:left="720" w:hanging="360"/>
      </w:pPr>
      <w:rPr>
        <w:rFonts w:ascii="Symbol" w:hAnsi="Symbol"/>
      </w:rPr>
    </w:lvl>
    <w:lvl w:ilvl="7" w:tplc="233AB288">
      <w:start w:val="1"/>
      <w:numFmt w:val="bullet"/>
      <w:lvlText w:val=""/>
      <w:lvlJc w:val="left"/>
      <w:pPr>
        <w:ind w:left="720" w:hanging="360"/>
      </w:pPr>
      <w:rPr>
        <w:rFonts w:ascii="Symbol" w:hAnsi="Symbol"/>
      </w:rPr>
    </w:lvl>
    <w:lvl w:ilvl="8" w:tplc="B93E13A4">
      <w:start w:val="1"/>
      <w:numFmt w:val="bullet"/>
      <w:lvlText w:val=""/>
      <w:lvlJc w:val="left"/>
      <w:pPr>
        <w:ind w:left="720" w:hanging="360"/>
      </w:pPr>
      <w:rPr>
        <w:rFonts w:ascii="Symbol" w:hAnsi="Symbol"/>
      </w:rPr>
    </w:lvl>
  </w:abstractNum>
  <w:abstractNum w:abstractNumId="74" w15:restartNumberingAfterBreak="0">
    <w:nsid w:val="79F50F04"/>
    <w:multiLevelType w:val="multilevel"/>
    <w:tmpl w:val="76DC7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AEE4B1B"/>
    <w:multiLevelType w:val="multilevel"/>
    <w:tmpl w:val="11289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C5814EC"/>
    <w:multiLevelType w:val="hybridMultilevel"/>
    <w:tmpl w:val="C762B828"/>
    <w:lvl w:ilvl="0" w:tplc="90EA02D8">
      <w:start w:val="1"/>
      <w:numFmt w:val="bullet"/>
      <w:lvlText w:val=""/>
      <w:lvlJc w:val="left"/>
      <w:pPr>
        <w:ind w:left="1080" w:hanging="360"/>
      </w:pPr>
      <w:rPr>
        <w:rFonts w:ascii="Symbol" w:hAnsi="Symbol"/>
      </w:rPr>
    </w:lvl>
    <w:lvl w:ilvl="1" w:tplc="6834023C">
      <w:start w:val="1"/>
      <w:numFmt w:val="bullet"/>
      <w:lvlText w:val=""/>
      <w:lvlJc w:val="left"/>
      <w:pPr>
        <w:ind w:left="1440" w:hanging="360"/>
      </w:pPr>
      <w:rPr>
        <w:rFonts w:ascii="Symbol" w:hAnsi="Symbol"/>
      </w:rPr>
    </w:lvl>
    <w:lvl w:ilvl="2" w:tplc="AA3C5476">
      <w:start w:val="1"/>
      <w:numFmt w:val="bullet"/>
      <w:lvlText w:val=""/>
      <w:lvlJc w:val="left"/>
      <w:pPr>
        <w:ind w:left="1080" w:hanging="360"/>
      </w:pPr>
      <w:rPr>
        <w:rFonts w:ascii="Symbol" w:hAnsi="Symbol"/>
      </w:rPr>
    </w:lvl>
    <w:lvl w:ilvl="3" w:tplc="AB705134">
      <w:start w:val="1"/>
      <w:numFmt w:val="bullet"/>
      <w:lvlText w:val=""/>
      <w:lvlJc w:val="left"/>
      <w:pPr>
        <w:ind w:left="1080" w:hanging="360"/>
      </w:pPr>
      <w:rPr>
        <w:rFonts w:ascii="Symbol" w:hAnsi="Symbol"/>
      </w:rPr>
    </w:lvl>
    <w:lvl w:ilvl="4" w:tplc="D2B87856">
      <w:start w:val="1"/>
      <w:numFmt w:val="bullet"/>
      <w:lvlText w:val=""/>
      <w:lvlJc w:val="left"/>
      <w:pPr>
        <w:ind w:left="1080" w:hanging="360"/>
      </w:pPr>
      <w:rPr>
        <w:rFonts w:ascii="Symbol" w:hAnsi="Symbol"/>
      </w:rPr>
    </w:lvl>
    <w:lvl w:ilvl="5" w:tplc="208868F0">
      <w:start w:val="1"/>
      <w:numFmt w:val="bullet"/>
      <w:lvlText w:val=""/>
      <w:lvlJc w:val="left"/>
      <w:pPr>
        <w:ind w:left="1080" w:hanging="360"/>
      </w:pPr>
      <w:rPr>
        <w:rFonts w:ascii="Symbol" w:hAnsi="Symbol"/>
      </w:rPr>
    </w:lvl>
    <w:lvl w:ilvl="6" w:tplc="55FC3F8C">
      <w:start w:val="1"/>
      <w:numFmt w:val="bullet"/>
      <w:lvlText w:val=""/>
      <w:lvlJc w:val="left"/>
      <w:pPr>
        <w:ind w:left="1080" w:hanging="360"/>
      </w:pPr>
      <w:rPr>
        <w:rFonts w:ascii="Symbol" w:hAnsi="Symbol"/>
      </w:rPr>
    </w:lvl>
    <w:lvl w:ilvl="7" w:tplc="40009438">
      <w:start w:val="1"/>
      <w:numFmt w:val="bullet"/>
      <w:lvlText w:val=""/>
      <w:lvlJc w:val="left"/>
      <w:pPr>
        <w:ind w:left="1080" w:hanging="360"/>
      </w:pPr>
      <w:rPr>
        <w:rFonts w:ascii="Symbol" w:hAnsi="Symbol"/>
      </w:rPr>
    </w:lvl>
    <w:lvl w:ilvl="8" w:tplc="B4BAB022">
      <w:start w:val="1"/>
      <w:numFmt w:val="bullet"/>
      <w:lvlText w:val=""/>
      <w:lvlJc w:val="left"/>
      <w:pPr>
        <w:ind w:left="1080" w:hanging="360"/>
      </w:pPr>
      <w:rPr>
        <w:rFonts w:ascii="Symbol" w:hAnsi="Symbol"/>
      </w:rPr>
    </w:lvl>
  </w:abstractNum>
  <w:abstractNum w:abstractNumId="77" w15:restartNumberingAfterBreak="0">
    <w:nsid w:val="7CFA66C6"/>
    <w:multiLevelType w:val="hybridMultilevel"/>
    <w:tmpl w:val="03C02D24"/>
    <w:lvl w:ilvl="0" w:tplc="269A4854">
      <w:start w:val="1"/>
      <w:numFmt w:val="bullet"/>
      <w:lvlText w:val=""/>
      <w:lvlJc w:val="left"/>
      <w:pPr>
        <w:ind w:left="1080" w:hanging="360"/>
      </w:pPr>
      <w:rPr>
        <w:rFonts w:ascii="Symbol" w:hAnsi="Symbol"/>
      </w:rPr>
    </w:lvl>
    <w:lvl w:ilvl="1" w:tplc="0B147DBE">
      <w:start w:val="1"/>
      <w:numFmt w:val="bullet"/>
      <w:lvlText w:val=""/>
      <w:lvlJc w:val="left"/>
      <w:pPr>
        <w:ind w:left="1080" w:hanging="360"/>
      </w:pPr>
      <w:rPr>
        <w:rFonts w:ascii="Symbol" w:hAnsi="Symbol"/>
      </w:rPr>
    </w:lvl>
    <w:lvl w:ilvl="2" w:tplc="59627BAA">
      <w:start w:val="1"/>
      <w:numFmt w:val="bullet"/>
      <w:lvlText w:val=""/>
      <w:lvlJc w:val="left"/>
      <w:pPr>
        <w:ind w:left="1080" w:hanging="360"/>
      </w:pPr>
      <w:rPr>
        <w:rFonts w:ascii="Symbol" w:hAnsi="Symbol"/>
      </w:rPr>
    </w:lvl>
    <w:lvl w:ilvl="3" w:tplc="9B467D7A">
      <w:start w:val="1"/>
      <w:numFmt w:val="bullet"/>
      <w:lvlText w:val=""/>
      <w:lvlJc w:val="left"/>
      <w:pPr>
        <w:ind w:left="1080" w:hanging="360"/>
      </w:pPr>
      <w:rPr>
        <w:rFonts w:ascii="Symbol" w:hAnsi="Symbol"/>
      </w:rPr>
    </w:lvl>
    <w:lvl w:ilvl="4" w:tplc="4F0285F0">
      <w:start w:val="1"/>
      <w:numFmt w:val="bullet"/>
      <w:lvlText w:val=""/>
      <w:lvlJc w:val="left"/>
      <w:pPr>
        <w:ind w:left="1080" w:hanging="360"/>
      </w:pPr>
      <w:rPr>
        <w:rFonts w:ascii="Symbol" w:hAnsi="Symbol"/>
      </w:rPr>
    </w:lvl>
    <w:lvl w:ilvl="5" w:tplc="DB668DAC">
      <w:start w:val="1"/>
      <w:numFmt w:val="bullet"/>
      <w:lvlText w:val=""/>
      <w:lvlJc w:val="left"/>
      <w:pPr>
        <w:ind w:left="1080" w:hanging="360"/>
      </w:pPr>
      <w:rPr>
        <w:rFonts w:ascii="Symbol" w:hAnsi="Symbol"/>
      </w:rPr>
    </w:lvl>
    <w:lvl w:ilvl="6" w:tplc="A55E6F58">
      <w:start w:val="1"/>
      <w:numFmt w:val="bullet"/>
      <w:lvlText w:val=""/>
      <w:lvlJc w:val="left"/>
      <w:pPr>
        <w:ind w:left="1080" w:hanging="360"/>
      </w:pPr>
      <w:rPr>
        <w:rFonts w:ascii="Symbol" w:hAnsi="Symbol"/>
      </w:rPr>
    </w:lvl>
    <w:lvl w:ilvl="7" w:tplc="EE6091E8">
      <w:start w:val="1"/>
      <w:numFmt w:val="bullet"/>
      <w:lvlText w:val=""/>
      <w:lvlJc w:val="left"/>
      <w:pPr>
        <w:ind w:left="1080" w:hanging="360"/>
      </w:pPr>
      <w:rPr>
        <w:rFonts w:ascii="Symbol" w:hAnsi="Symbol"/>
      </w:rPr>
    </w:lvl>
    <w:lvl w:ilvl="8" w:tplc="DD30292C">
      <w:start w:val="1"/>
      <w:numFmt w:val="bullet"/>
      <w:lvlText w:val=""/>
      <w:lvlJc w:val="left"/>
      <w:pPr>
        <w:ind w:left="1080" w:hanging="360"/>
      </w:pPr>
      <w:rPr>
        <w:rFonts w:ascii="Symbol" w:hAnsi="Symbol"/>
      </w:rPr>
    </w:lvl>
  </w:abstractNum>
  <w:abstractNum w:abstractNumId="78" w15:restartNumberingAfterBreak="0">
    <w:nsid w:val="7EA8585B"/>
    <w:multiLevelType w:val="multilevel"/>
    <w:tmpl w:val="BAB66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F140259"/>
    <w:multiLevelType w:val="multilevel"/>
    <w:tmpl w:val="6D7EF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1023130">
    <w:abstractNumId w:val="8"/>
  </w:num>
  <w:num w:numId="2" w16cid:durableId="1044448299">
    <w:abstractNumId w:val="6"/>
  </w:num>
  <w:num w:numId="3" w16cid:durableId="159005465">
    <w:abstractNumId w:val="5"/>
  </w:num>
  <w:num w:numId="4" w16cid:durableId="1535188201">
    <w:abstractNumId w:val="4"/>
  </w:num>
  <w:num w:numId="5" w16cid:durableId="2005624685">
    <w:abstractNumId w:val="7"/>
  </w:num>
  <w:num w:numId="6" w16cid:durableId="766344328">
    <w:abstractNumId w:val="3"/>
  </w:num>
  <w:num w:numId="7" w16cid:durableId="539325631">
    <w:abstractNumId w:val="2"/>
  </w:num>
  <w:num w:numId="8" w16cid:durableId="513961594">
    <w:abstractNumId w:val="1"/>
  </w:num>
  <w:num w:numId="9" w16cid:durableId="1936595668">
    <w:abstractNumId w:val="0"/>
  </w:num>
  <w:num w:numId="10" w16cid:durableId="727189843">
    <w:abstractNumId w:val="65"/>
  </w:num>
  <w:num w:numId="11" w16cid:durableId="1602955963">
    <w:abstractNumId w:val="59"/>
  </w:num>
  <w:num w:numId="12" w16cid:durableId="1818494852">
    <w:abstractNumId w:val="45"/>
  </w:num>
  <w:num w:numId="13" w16cid:durableId="725764023">
    <w:abstractNumId w:val="27"/>
  </w:num>
  <w:num w:numId="14" w16cid:durableId="1221018977">
    <w:abstractNumId w:val="42"/>
  </w:num>
  <w:num w:numId="15" w16cid:durableId="187958585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89436468">
    <w:abstractNumId w:val="37"/>
  </w:num>
  <w:num w:numId="17" w16cid:durableId="753094405">
    <w:abstractNumId w:val="63"/>
  </w:num>
  <w:num w:numId="18" w16cid:durableId="493882669">
    <w:abstractNumId w:val="46"/>
  </w:num>
  <w:num w:numId="19" w16cid:durableId="1447577528">
    <w:abstractNumId w:val="13"/>
  </w:num>
  <w:num w:numId="20" w16cid:durableId="1084062933">
    <w:abstractNumId w:val="76"/>
  </w:num>
  <w:num w:numId="21" w16cid:durableId="1829861516">
    <w:abstractNumId w:val="47"/>
  </w:num>
  <w:num w:numId="22" w16cid:durableId="1976791518">
    <w:abstractNumId w:val="17"/>
  </w:num>
  <w:num w:numId="23" w16cid:durableId="2084373160">
    <w:abstractNumId w:val="11"/>
  </w:num>
  <w:num w:numId="24" w16cid:durableId="712458544">
    <w:abstractNumId w:val="26"/>
  </w:num>
  <w:num w:numId="25" w16cid:durableId="1231043903">
    <w:abstractNumId w:val="21"/>
  </w:num>
  <w:num w:numId="26" w16cid:durableId="1533180175">
    <w:abstractNumId w:val="66"/>
  </w:num>
  <w:num w:numId="27" w16cid:durableId="605314288">
    <w:abstractNumId w:val="54"/>
  </w:num>
  <w:num w:numId="28" w16cid:durableId="621302703">
    <w:abstractNumId w:val="34"/>
  </w:num>
  <w:num w:numId="29" w16cid:durableId="1976718327">
    <w:abstractNumId w:val="73"/>
  </w:num>
  <w:num w:numId="30" w16cid:durableId="1157762778">
    <w:abstractNumId w:val="35"/>
  </w:num>
  <w:num w:numId="31" w16cid:durableId="383260040">
    <w:abstractNumId w:val="58"/>
  </w:num>
  <w:num w:numId="32" w16cid:durableId="562377182">
    <w:abstractNumId w:val="72"/>
  </w:num>
  <w:num w:numId="33" w16cid:durableId="1262563959">
    <w:abstractNumId w:val="25"/>
  </w:num>
  <w:num w:numId="34" w16cid:durableId="2126074551">
    <w:abstractNumId w:val="77"/>
  </w:num>
  <w:num w:numId="35" w16cid:durableId="2032560804">
    <w:abstractNumId w:val="67"/>
  </w:num>
  <w:num w:numId="36" w16cid:durableId="292053958">
    <w:abstractNumId w:val="16"/>
  </w:num>
  <w:num w:numId="37" w16cid:durableId="878468258">
    <w:abstractNumId w:val="39"/>
  </w:num>
  <w:num w:numId="38" w16cid:durableId="1861892937">
    <w:abstractNumId w:val="31"/>
  </w:num>
  <w:num w:numId="39" w16cid:durableId="751317512">
    <w:abstractNumId w:val="9"/>
  </w:num>
  <w:num w:numId="40" w16cid:durableId="1478304781">
    <w:abstractNumId w:val="61"/>
  </w:num>
  <w:num w:numId="41" w16cid:durableId="1456487681">
    <w:abstractNumId w:val="69"/>
  </w:num>
  <w:num w:numId="42" w16cid:durableId="66728757">
    <w:abstractNumId w:val="75"/>
  </w:num>
  <w:num w:numId="43" w16cid:durableId="1805779380">
    <w:abstractNumId w:val="41"/>
  </w:num>
  <w:num w:numId="44" w16cid:durableId="1582566781">
    <w:abstractNumId w:val="71"/>
  </w:num>
  <w:num w:numId="45" w16cid:durableId="1527400344">
    <w:abstractNumId w:val="51"/>
  </w:num>
  <w:num w:numId="46" w16cid:durableId="923224913">
    <w:abstractNumId w:val="53"/>
  </w:num>
  <w:num w:numId="47" w16cid:durableId="838500108">
    <w:abstractNumId w:val="28"/>
  </w:num>
  <w:num w:numId="48" w16cid:durableId="853610176">
    <w:abstractNumId w:val="14"/>
  </w:num>
  <w:num w:numId="49" w16cid:durableId="406151539">
    <w:abstractNumId w:val="49"/>
  </w:num>
  <w:num w:numId="50" w16cid:durableId="674770242">
    <w:abstractNumId w:val="38"/>
  </w:num>
  <w:num w:numId="51" w16cid:durableId="1506093123">
    <w:abstractNumId w:val="44"/>
  </w:num>
  <w:num w:numId="52" w16cid:durableId="1038318536">
    <w:abstractNumId w:val="43"/>
  </w:num>
  <w:num w:numId="53" w16cid:durableId="1925453725">
    <w:abstractNumId w:val="36"/>
  </w:num>
  <w:num w:numId="54" w16cid:durableId="1286808111">
    <w:abstractNumId w:val="10"/>
  </w:num>
  <w:num w:numId="55" w16cid:durableId="1518929940">
    <w:abstractNumId w:val="78"/>
  </w:num>
  <w:num w:numId="56" w16cid:durableId="1503280521">
    <w:abstractNumId w:val="20"/>
  </w:num>
  <w:num w:numId="57" w16cid:durableId="1806849103">
    <w:abstractNumId w:val="74"/>
  </w:num>
  <w:num w:numId="58" w16cid:durableId="968361213">
    <w:abstractNumId w:val="48"/>
  </w:num>
  <w:num w:numId="59" w16cid:durableId="974338847">
    <w:abstractNumId w:val="15"/>
  </w:num>
  <w:num w:numId="60" w16cid:durableId="655493228">
    <w:abstractNumId w:val="57"/>
  </w:num>
  <w:num w:numId="61" w16cid:durableId="211580097">
    <w:abstractNumId w:val="33"/>
  </w:num>
  <w:num w:numId="62" w16cid:durableId="1453549475">
    <w:abstractNumId w:val="56"/>
  </w:num>
  <w:num w:numId="63" w16cid:durableId="408308728">
    <w:abstractNumId w:val="29"/>
  </w:num>
  <w:num w:numId="64" w16cid:durableId="1616253114">
    <w:abstractNumId w:val="30"/>
  </w:num>
  <w:num w:numId="65" w16cid:durableId="1434278148">
    <w:abstractNumId w:val="62"/>
  </w:num>
  <w:num w:numId="66" w16cid:durableId="494033564">
    <w:abstractNumId w:val="40"/>
  </w:num>
  <w:num w:numId="67" w16cid:durableId="1431195193">
    <w:abstractNumId w:val="52"/>
  </w:num>
  <w:num w:numId="68" w16cid:durableId="2124840724">
    <w:abstractNumId w:val="22"/>
  </w:num>
  <w:num w:numId="69" w16cid:durableId="415708864">
    <w:abstractNumId w:val="70"/>
  </w:num>
  <w:num w:numId="70" w16cid:durableId="529682232">
    <w:abstractNumId w:val="79"/>
  </w:num>
  <w:num w:numId="71" w16cid:durableId="2003704562">
    <w:abstractNumId w:val="50"/>
  </w:num>
  <w:num w:numId="72" w16cid:durableId="1403604695">
    <w:abstractNumId w:val="60"/>
  </w:num>
  <w:num w:numId="73" w16cid:durableId="2007243965">
    <w:abstractNumId w:val="55"/>
  </w:num>
  <w:num w:numId="74" w16cid:durableId="563880850">
    <w:abstractNumId w:val="68"/>
  </w:num>
  <w:num w:numId="75" w16cid:durableId="1289312495">
    <w:abstractNumId w:val="19"/>
  </w:num>
  <w:num w:numId="76" w16cid:durableId="1972787961">
    <w:abstractNumId w:val="12"/>
  </w:num>
  <w:num w:numId="77" w16cid:durableId="2108116625">
    <w:abstractNumId w:val="32"/>
  </w:num>
  <w:num w:numId="78" w16cid:durableId="294338246">
    <w:abstractNumId w:val="64"/>
  </w:num>
  <w:num w:numId="79" w16cid:durableId="480776573">
    <w:abstractNumId w:val="24"/>
  </w:num>
  <w:num w:numId="80" w16cid:durableId="65567607">
    <w:abstractNumId w:val="23"/>
  </w:num>
  <w:num w:numId="81" w16cid:durableId="185692268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86E"/>
    <w:rsid w:val="00001CA8"/>
    <w:rsid w:val="00022E4B"/>
    <w:rsid w:val="00034616"/>
    <w:rsid w:val="00035F44"/>
    <w:rsid w:val="0005175C"/>
    <w:rsid w:val="00052778"/>
    <w:rsid w:val="00053364"/>
    <w:rsid w:val="0006063C"/>
    <w:rsid w:val="00080996"/>
    <w:rsid w:val="00083AAD"/>
    <w:rsid w:val="00091E61"/>
    <w:rsid w:val="00091F0D"/>
    <w:rsid w:val="00096D17"/>
    <w:rsid w:val="00097EFD"/>
    <w:rsid w:val="000A5AC5"/>
    <w:rsid w:val="000B5435"/>
    <w:rsid w:val="000B6B3D"/>
    <w:rsid w:val="000C305C"/>
    <w:rsid w:val="000C625B"/>
    <w:rsid w:val="000E7D57"/>
    <w:rsid w:val="00113547"/>
    <w:rsid w:val="001218B8"/>
    <w:rsid w:val="00122D95"/>
    <w:rsid w:val="0012635A"/>
    <w:rsid w:val="001355E3"/>
    <w:rsid w:val="00141878"/>
    <w:rsid w:val="001423F6"/>
    <w:rsid w:val="00143405"/>
    <w:rsid w:val="0015074B"/>
    <w:rsid w:val="00151A61"/>
    <w:rsid w:val="00154D99"/>
    <w:rsid w:val="0018178D"/>
    <w:rsid w:val="00184EFC"/>
    <w:rsid w:val="0018525D"/>
    <w:rsid w:val="001854A0"/>
    <w:rsid w:val="00193B8B"/>
    <w:rsid w:val="001B6049"/>
    <w:rsid w:val="001C59E7"/>
    <w:rsid w:val="001C6970"/>
    <w:rsid w:val="001C7857"/>
    <w:rsid w:val="001D215E"/>
    <w:rsid w:val="001E13E7"/>
    <w:rsid w:val="001E4DBA"/>
    <w:rsid w:val="001E6B13"/>
    <w:rsid w:val="001E7F1A"/>
    <w:rsid w:val="0020622F"/>
    <w:rsid w:val="00224FB8"/>
    <w:rsid w:val="002336D5"/>
    <w:rsid w:val="00233D57"/>
    <w:rsid w:val="002346EB"/>
    <w:rsid w:val="00241552"/>
    <w:rsid w:val="002435AC"/>
    <w:rsid w:val="00252B60"/>
    <w:rsid w:val="00255568"/>
    <w:rsid w:val="0026340C"/>
    <w:rsid w:val="00263BCF"/>
    <w:rsid w:val="00265DA8"/>
    <w:rsid w:val="0027513F"/>
    <w:rsid w:val="00276583"/>
    <w:rsid w:val="0028071C"/>
    <w:rsid w:val="00290C78"/>
    <w:rsid w:val="0029639D"/>
    <w:rsid w:val="002A62ED"/>
    <w:rsid w:val="002A7D0A"/>
    <w:rsid w:val="002B7C54"/>
    <w:rsid w:val="002C5208"/>
    <w:rsid w:val="002C781F"/>
    <w:rsid w:val="002F0DDD"/>
    <w:rsid w:val="002F0F25"/>
    <w:rsid w:val="002F734D"/>
    <w:rsid w:val="0030093E"/>
    <w:rsid w:val="00305928"/>
    <w:rsid w:val="0031473D"/>
    <w:rsid w:val="00315F96"/>
    <w:rsid w:val="00326F90"/>
    <w:rsid w:val="00340875"/>
    <w:rsid w:val="003418F3"/>
    <w:rsid w:val="00343049"/>
    <w:rsid w:val="00343527"/>
    <w:rsid w:val="003561E3"/>
    <w:rsid w:val="00360DF6"/>
    <w:rsid w:val="003775BA"/>
    <w:rsid w:val="003B237C"/>
    <w:rsid w:val="003D5019"/>
    <w:rsid w:val="003F0805"/>
    <w:rsid w:val="003F2E59"/>
    <w:rsid w:val="003F454C"/>
    <w:rsid w:val="003F6634"/>
    <w:rsid w:val="00404A91"/>
    <w:rsid w:val="0042219F"/>
    <w:rsid w:val="00424790"/>
    <w:rsid w:val="00463878"/>
    <w:rsid w:val="00465A31"/>
    <w:rsid w:val="00467D79"/>
    <w:rsid w:val="00473626"/>
    <w:rsid w:val="00475FED"/>
    <w:rsid w:val="004A0651"/>
    <w:rsid w:val="004A18FD"/>
    <w:rsid w:val="004B66A7"/>
    <w:rsid w:val="004C39BD"/>
    <w:rsid w:val="005075E2"/>
    <w:rsid w:val="005078C0"/>
    <w:rsid w:val="005129AE"/>
    <w:rsid w:val="00522A51"/>
    <w:rsid w:val="00523430"/>
    <w:rsid w:val="00524710"/>
    <w:rsid w:val="005272A6"/>
    <w:rsid w:val="00532991"/>
    <w:rsid w:val="00544002"/>
    <w:rsid w:val="0055733A"/>
    <w:rsid w:val="00557E95"/>
    <w:rsid w:val="00561FB2"/>
    <w:rsid w:val="005663E6"/>
    <w:rsid w:val="005764D6"/>
    <w:rsid w:val="005818B2"/>
    <w:rsid w:val="00582815"/>
    <w:rsid w:val="00583C1A"/>
    <w:rsid w:val="005A0006"/>
    <w:rsid w:val="005A027D"/>
    <w:rsid w:val="005A32F9"/>
    <w:rsid w:val="005C0ACF"/>
    <w:rsid w:val="005D43D1"/>
    <w:rsid w:val="005D5EFB"/>
    <w:rsid w:val="005D5F99"/>
    <w:rsid w:val="005F7001"/>
    <w:rsid w:val="005F7D82"/>
    <w:rsid w:val="006071AA"/>
    <w:rsid w:val="00630098"/>
    <w:rsid w:val="00631722"/>
    <w:rsid w:val="00632CDB"/>
    <w:rsid w:val="00654364"/>
    <w:rsid w:val="00655A5A"/>
    <w:rsid w:val="006758EB"/>
    <w:rsid w:val="006770C6"/>
    <w:rsid w:val="006916B7"/>
    <w:rsid w:val="006B4D8A"/>
    <w:rsid w:val="006B5D3F"/>
    <w:rsid w:val="006B664A"/>
    <w:rsid w:val="006B798E"/>
    <w:rsid w:val="006D2E73"/>
    <w:rsid w:val="006D663C"/>
    <w:rsid w:val="006E1DCA"/>
    <w:rsid w:val="006E6ED9"/>
    <w:rsid w:val="006F43B5"/>
    <w:rsid w:val="00715F7A"/>
    <w:rsid w:val="007161D7"/>
    <w:rsid w:val="00716D7E"/>
    <w:rsid w:val="00721E67"/>
    <w:rsid w:val="007335C5"/>
    <w:rsid w:val="0073669F"/>
    <w:rsid w:val="00742E0A"/>
    <w:rsid w:val="007518AE"/>
    <w:rsid w:val="00761BA5"/>
    <w:rsid w:val="00762363"/>
    <w:rsid w:val="00767C74"/>
    <w:rsid w:val="00770542"/>
    <w:rsid w:val="007824DA"/>
    <w:rsid w:val="00783865"/>
    <w:rsid w:val="0078670D"/>
    <w:rsid w:val="0079116E"/>
    <w:rsid w:val="007947EB"/>
    <w:rsid w:val="007A58CD"/>
    <w:rsid w:val="007B2277"/>
    <w:rsid w:val="007C7B26"/>
    <w:rsid w:val="007D103E"/>
    <w:rsid w:val="007F1101"/>
    <w:rsid w:val="007F38A2"/>
    <w:rsid w:val="007F55C3"/>
    <w:rsid w:val="00806249"/>
    <w:rsid w:val="00810E67"/>
    <w:rsid w:val="008120E3"/>
    <w:rsid w:val="0081599F"/>
    <w:rsid w:val="00817C92"/>
    <w:rsid w:val="0082406E"/>
    <w:rsid w:val="00835416"/>
    <w:rsid w:val="0084245F"/>
    <w:rsid w:val="00844902"/>
    <w:rsid w:val="0085515E"/>
    <w:rsid w:val="00860C5A"/>
    <w:rsid w:val="00863DEA"/>
    <w:rsid w:val="00865AE0"/>
    <w:rsid w:val="00870FCB"/>
    <w:rsid w:val="0087180D"/>
    <w:rsid w:val="00896E0F"/>
    <w:rsid w:val="008A7B85"/>
    <w:rsid w:val="008B5CCC"/>
    <w:rsid w:val="008B7ADC"/>
    <w:rsid w:val="008C08A1"/>
    <w:rsid w:val="008C2B98"/>
    <w:rsid w:val="008C4803"/>
    <w:rsid w:val="008D1A9A"/>
    <w:rsid w:val="008D5323"/>
    <w:rsid w:val="008D6EC6"/>
    <w:rsid w:val="008E4614"/>
    <w:rsid w:val="008E516D"/>
    <w:rsid w:val="00904247"/>
    <w:rsid w:val="00904F55"/>
    <w:rsid w:val="00920041"/>
    <w:rsid w:val="009256FF"/>
    <w:rsid w:val="009276F6"/>
    <w:rsid w:val="00931AE5"/>
    <w:rsid w:val="00937B4B"/>
    <w:rsid w:val="00951A04"/>
    <w:rsid w:val="00976613"/>
    <w:rsid w:val="009779A0"/>
    <w:rsid w:val="00981417"/>
    <w:rsid w:val="00983B0E"/>
    <w:rsid w:val="00993A65"/>
    <w:rsid w:val="009A063D"/>
    <w:rsid w:val="009B04EA"/>
    <w:rsid w:val="009B6E8C"/>
    <w:rsid w:val="009D7024"/>
    <w:rsid w:val="009E3BDD"/>
    <w:rsid w:val="009E5D4E"/>
    <w:rsid w:val="009F4FEA"/>
    <w:rsid w:val="00A05637"/>
    <w:rsid w:val="00A0705A"/>
    <w:rsid w:val="00A1663B"/>
    <w:rsid w:val="00A431F7"/>
    <w:rsid w:val="00A67383"/>
    <w:rsid w:val="00A67853"/>
    <w:rsid w:val="00A7187C"/>
    <w:rsid w:val="00A720A7"/>
    <w:rsid w:val="00A73DC9"/>
    <w:rsid w:val="00A75312"/>
    <w:rsid w:val="00A84DB1"/>
    <w:rsid w:val="00A97B2A"/>
    <w:rsid w:val="00AA1D8D"/>
    <w:rsid w:val="00AB1681"/>
    <w:rsid w:val="00AB6C2B"/>
    <w:rsid w:val="00AC4B5F"/>
    <w:rsid w:val="00AE0023"/>
    <w:rsid w:val="00AE1469"/>
    <w:rsid w:val="00AE52CF"/>
    <w:rsid w:val="00AF5296"/>
    <w:rsid w:val="00B01583"/>
    <w:rsid w:val="00B05CF2"/>
    <w:rsid w:val="00B138BF"/>
    <w:rsid w:val="00B2189C"/>
    <w:rsid w:val="00B24193"/>
    <w:rsid w:val="00B256EB"/>
    <w:rsid w:val="00B260EC"/>
    <w:rsid w:val="00B41DDC"/>
    <w:rsid w:val="00B47730"/>
    <w:rsid w:val="00B53887"/>
    <w:rsid w:val="00B80BB8"/>
    <w:rsid w:val="00B811E8"/>
    <w:rsid w:val="00B92BBE"/>
    <w:rsid w:val="00B94F8E"/>
    <w:rsid w:val="00BD786A"/>
    <w:rsid w:val="00BE215D"/>
    <w:rsid w:val="00BE2A46"/>
    <w:rsid w:val="00BE566C"/>
    <w:rsid w:val="00C21433"/>
    <w:rsid w:val="00C256D3"/>
    <w:rsid w:val="00C31FCB"/>
    <w:rsid w:val="00C321EB"/>
    <w:rsid w:val="00C34080"/>
    <w:rsid w:val="00C4561A"/>
    <w:rsid w:val="00C521B3"/>
    <w:rsid w:val="00C66D4B"/>
    <w:rsid w:val="00C8235E"/>
    <w:rsid w:val="00C85663"/>
    <w:rsid w:val="00C86E3B"/>
    <w:rsid w:val="00CA5C1B"/>
    <w:rsid w:val="00CB0664"/>
    <w:rsid w:val="00CE2C88"/>
    <w:rsid w:val="00D12263"/>
    <w:rsid w:val="00D16CA0"/>
    <w:rsid w:val="00D47E0A"/>
    <w:rsid w:val="00D64723"/>
    <w:rsid w:val="00D64F29"/>
    <w:rsid w:val="00D77144"/>
    <w:rsid w:val="00D8058E"/>
    <w:rsid w:val="00D80809"/>
    <w:rsid w:val="00D902B6"/>
    <w:rsid w:val="00D92910"/>
    <w:rsid w:val="00D9517C"/>
    <w:rsid w:val="00D9729C"/>
    <w:rsid w:val="00D97DCB"/>
    <w:rsid w:val="00DA0A9E"/>
    <w:rsid w:val="00DA2AF2"/>
    <w:rsid w:val="00DA2CAE"/>
    <w:rsid w:val="00DB0EC8"/>
    <w:rsid w:val="00DC0811"/>
    <w:rsid w:val="00DC2146"/>
    <w:rsid w:val="00DC589E"/>
    <w:rsid w:val="00DE41C7"/>
    <w:rsid w:val="00DE52AE"/>
    <w:rsid w:val="00DF542B"/>
    <w:rsid w:val="00E04241"/>
    <w:rsid w:val="00E1077C"/>
    <w:rsid w:val="00E11953"/>
    <w:rsid w:val="00E1201D"/>
    <w:rsid w:val="00E14846"/>
    <w:rsid w:val="00E154A1"/>
    <w:rsid w:val="00E240BD"/>
    <w:rsid w:val="00E53BE3"/>
    <w:rsid w:val="00E628CE"/>
    <w:rsid w:val="00E67D32"/>
    <w:rsid w:val="00E810C0"/>
    <w:rsid w:val="00E831DE"/>
    <w:rsid w:val="00E85008"/>
    <w:rsid w:val="00E9068F"/>
    <w:rsid w:val="00E90FE0"/>
    <w:rsid w:val="00E96821"/>
    <w:rsid w:val="00EA5C19"/>
    <w:rsid w:val="00EC2CF0"/>
    <w:rsid w:val="00ED15F5"/>
    <w:rsid w:val="00ED65E9"/>
    <w:rsid w:val="00EE597F"/>
    <w:rsid w:val="00EF3390"/>
    <w:rsid w:val="00EF3F95"/>
    <w:rsid w:val="00EF4A27"/>
    <w:rsid w:val="00F03D5E"/>
    <w:rsid w:val="00F05E98"/>
    <w:rsid w:val="00F11040"/>
    <w:rsid w:val="00F118DC"/>
    <w:rsid w:val="00F11C37"/>
    <w:rsid w:val="00F1359A"/>
    <w:rsid w:val="00F33545"/>
    <w:rsid w:val="00F4028F"/>
    <w:rsid w:val="00F411E2"/>
    <w:rsid w:val="00F41D8D"/>
    <w:rsid w:val="00F4762D"/>
    <w:rsid w:val="00F549E5"/>
    <w:rsid w:val="00F55273"/>
    <w:rsid w:val="00F74D6C"/>
    <w:rsid w:val="00F774CD"/>
    <w:rsid w:val="00F904CF"/>
    <w:rsid w:val="00F96052"/>
    <w:rsid w:val="00FA44A2"/>
    <w:rsid w:val="00FC67F2"/>
    <w:rsid w:val="00FC693F"/>
    <w:rsid w:val="00FE0C35"/>
    <w:rsid w:val="00FF1CF8"/>
    <w:rsid w:val="00FF2C76"/>
    <w:rsid w:val="00FF392E"/>
    <w:rsid w:val="00FF3C23"/>
    <w:rsid w:val="00FF52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1D916C"/>
  <w14:defaultImageDpi w14:val="300"/>
  <w15:docId w15:val="{64F6B95E-0EF8-48E7-BCA6-2F8C93878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Ria">
    <w:name w:val="TitleRia"/>
    <w:pPr>
      <w:spacing w:after="80"/>
    </w:pPr>
    <w:rPr>
      <w:rFonts w:ascii="Times New Roman" w:eastAsia="Times New Roman" w:hAnsi="Times New Roman"/>
      <w:b/>
      <w:sz w:val="25"/>
    </w:rPr>
  </w:style>
  <w:style w:type="paragraph" w:customStyle="1" w:styleId="HeadingRia">
    <w:name w:val="HeadingRia"/>
    <w:pPr>
      <w:spacing w:before="160" w:after="60"/>
    </w:pPr>
    <w:rPr>
      <w:rFonts w:ascii="Times New Roman" w:eastAsia="Times New Roman" w:hAnsi="Times New Roman"/>
      <w:b/>
      <w:sz w:val="24"/>
    </w:rPr>
  </w:style>
  <w:style w:type="paragraph" w:customStyle="1" w:styleId="SubtlePrompt">
    <w:name w:val="SubtlePrompt"/>
    <w:pPr>
      <w:spacing w:after="40"/>
    </w:pPr>
    <w:rPr>
      <w:rFonts w:ascii="Times New Roman" w:eastAsia="Times New Roman" w:hAnsi="Times New Roman"/>
      <w:i/>
      <w:sz w:val="20"/>
    </w:rPr>
  </w:style>
  <w:style w:type="character" w:styleId="Hyperlink">
    <w:name w:val="Hyperlink"/>
    <w:basedOn w:val="DefaultParagraphFont"/>
    <w:uiPriority w:val="99"/>
    <w:unhideWhenUsed/>
    <w:rsid w:val="00D9729C"/>
    <w:rPr>
      <w:color w:val="0000FF" w:themeColor="hyperlink"/>
      <w:u w:val="single"/>
    </w:rPr>
  </w:style>
  <w:style w:type="character" w:styleId="UnresolvedMention">
    <w:name w:val="Unresolved Mention"/>
    <w:basedOn w:val="DefaultParagraphFont"/>
    <w:uiPriority w:val="99"/>
    <w:semiHidden/>
    <w:unhideWhenUsed/>
    <w:rsid w:val="00D9729C"/>
    <w:rPr>
      <w:color w:val="605E5C"/>
      <w:shd w:val="clear" w:color="auto" w:fill="E1DFDD"/>
    </w:rPr>
  </w:style>
  <w:style w:type="paragraph" w:styleId="NormalWeb">
    <w:name w:val="Normal (Web)"/>
    <w:basedOn w:val="Normal"/>
    <w:uiPriority w:val="99"/>
    <w:unhideWhenUsed/>
    <w:rsid w:val="00193B8B"/>
    <w:pPr>
      <w:spacing w:before="100" w:beforeAutospacing="1" w:after="100" w:afterAutospacing="1"/>
    </w:pPr>
    <w:rPr>
      <w:rFonts w:cs="Times New Roman"/>
      <w:sz w:val="24"/>
      <w:szCs w:val="24"/>
    </w:rPr>
  </w:style>
  <w:style w:type="paragraph" w:customStyle="1" w:styleId="IACOE">
    <w:name w:val="IACOE"/>
    <w:basedOn w:val="Normal"/>
    <w:link w:val="IACOEChar"/>
    <w:autoRedefine/>
    <w:rsid w:val="006B798E"/>
    <w:pPr>
      <w:spacing w:after="0"/>
    </w:pPr>
    <w:rPr>
      <w:rFonts w:eastAsia="SimSun" w:cs="Times New Roman"/>
      <w:spacing w:val="-5"/>
      <w:sz w:val="20"/>
      <w:szCs w:val="20"/>
      <w:lang w:val="en-GB" w:eastAsia="zh-CN"/>
    </w:rPr>
  </w:style>
  <w:style w:type="character" w:customStyle="1" w:styleId="IACOEChar">
    <w:name w:val="IACOE Char"/>
    <w:link w:val="IACOE"/>
    <w:locked/>
    <w:rsid w:val="006B798E"/>
    <w:rPr>
      <w:rFonts w:ascii="Times New Roman" w:eastAsia="SimSun" w:hAnsi="Times New Roman" w:cs="Times New Roman"/>
      <w:spacing w:val="-5"/>
      <w:sz w:val="20"/>
      <w:szCs w:val="20"/>
      <w:lang w:val="en-GB" w:eastAsia="zh-CN"/>
    </w:rPr>
  </w:style>
  <w:style w:type="character" w:styleId="CommentReference">
    <w:name w:val="annotation reference"/>
    <w:basedOn w:val="DefaultParagraphFont"/>
    <w:uiPriority w:val="99"/>
    <w:unhideWhenUsed/>
    <w:rsid w:val="006B798E"/>
    <w:rPr>
      <w:sz w:val="16"/>
      <w:szCs w:val="16"/>
    </w:rPr>
  </w:style>
  <w:style w:type="paragraph" w:styleId="CommentText">
    <w:name w:val="annotation text"/>
    <w:basedOn w:val="Normal"/>
    <w:link w:val="CommentTextChar"/>
    <w:uiPriority w:val="99"/>
    <w:unhideWhenUsed/>
    <w:rsid w:val="006B798E"/>
    <w:pPr>
      <w:spacing w:after="0"/>
    </w:pPr>
    <w:rPr>
      <w:rFonts w:cs="Times New Roman"/>
      <w:sz w:val="20"/>
      <w:szCs w:val="20"/>
      <w:lang w:val="en-GB" w:eastAsia="en-GB"/>
    </w:rPr>
  </w:style>
  <w:style w:type="character" w:customStyle="1" w:styleId="CommentTextChar">
    <w:name w:val="Comment Text Char"/>
    <w:basedOn w:val="DefaultParagraphFont"/>
    <w:link w:val="CommentText"/>
    <w:uiPriority w:val="99"/>
    <w:rsid w:val="006B798E"/>
    <w:rPr>
      <w:rFonts w:ascii="Times New Roman" w:eastAsia="Times New Roman" w:hAnsi="Times New Roman" w:cs="Times New Roman"/>
      <w:sz w:val="20"/>
      <w:szCs w:val="20"/>
      <w:lang w:val="en-GB" w:eastAsia="en-GB"/>
    </w:rPr>
  </w:style>
  <w:style w:type="paragraph" w:customStyle="1" w:styleId="Style1-BodyText">
    <w:name w:val="Style1- Body Text"/>
    <w:basedOn w:val="Normal"/>
    <w:link w:val="Style1-BodyTextChar"/>
    <w:qFormat/>
    <w:rsid w:val="00E96821"/>
    <w:pPr>
      <w:spacing w:after="120"/>
      <w:jc w:val="both"/>
    </w:pPr>
    <w:rPr>
      <w:rFonts w:cs="Arial"/>
      <w:szCs w:val="20"/>
      <w:lang w:val="en-GB" w:eastAsia="en-GB"/>
    </w:rPr>
  </w:style>
  <w:style w:type="character" w:customStyle="1" w:styleId="Style1-BodyTextChar">
    <w:name w:val="Style1- Body Text Char"/>
    <w:basedOn w:val="DefaultParagraphFont"/>
    <w:link w:val="Style1-BodyText"/>
    <w:rsid w:val="00E96821"/>
    <w:rPr>
      <w:rFonts w:ascii="Times New Roman" w:eastAsia="Times New Roman" w:hAnsi="Times New Roman" w:cs="Arial"/>
      <w:szCs w:val="20"/>
      <w:lang w:val="en-GB" w:eastAsia="en-GB"/>
    </w:rPr>
  </w:style>
  <w:style w:type="paragraph" w:styleId="CommentSubject">
    <w:name w:val="annotation subject"/>
    <w:basedOn w:val="CommentText"/>
    <w:next w:val="CommentText"/>
    <w:link w:val="CommentSubjectChar"/>
    <w:uiPriority w:val="99"/>
    <w:semiHidden/>
    <w:unhideWhenUsed/>
    <w:rsid w:val="00B260EC"/>
    <w:pPr>
      <w:spacing w:after="80"/>
    </w:pPr>
    <w:rPr>
      <w:rFonts w:cstheme="minorBidi"/>
      <w:b/>
      <w:bCs/>
      <w:lang w:val="en-US" w:eastAsia="en-US"/>
    </w:rPr>
  </w:style>
  <w:style w:type="character" w:customStyle="1" w:styleId="CommentSubjectChar">
    <w:name w:val="Comment Subject Char"/>
    <w:basedOn w:val="CommentTextChar"/>
    <w:link w:val="CommentSubject"/>
    <w:uiPriority w:val="99"/>
    <w:semiHidden/>
    <w:rsid w:val="00B260EC"/>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B260EC"/>
    <w:pPr>
      <w:spacing w:after="0" w:line="240" w:lineRule="auto"/>
    </w:pPr>
    <w:rPr>
      <w:rFonts w:ascii="Times New Roman" w:eastAsia="Times New Roman" w:hAnsi="Times New Roman"/>
    </w:rPr>
  </w:style>
  <w:style w:type="character" w:customStyle="1" w:styleId="whitespace-normal">
    <w:name w:val="whitespace-normal"/>
    <w:basedOn w:val="DefaultParagraphFont"/>
    <w:rsid w:val="00863DEA"/>
  </w:style>
  <w:style w:type="paragraph" w:customStyle="1" w:styleId="isselectedend">
    <w:name w:val="isselectedend"/>
    <w:basedOn w:val="Normal"/>
    <w:rsid w:val="00F03D5E"/>
    <w:pPr>
      <w:spacing w:before="100" w:beforeAutospacing="1" w:after="100" w:afterAutospacing="1"/>
    </w:pPr>
    <w:rPr>
      <w:rFonts w:cs="Times New Roman"/>
      <w:sz w:val="24"/>
      <w:szCs w:val="24"/>
    </w:rPr>
  </w:style>
  <w:style w:type="character" w:customStyle="1" w:styleId="cf01">
    <w:name w:val="cf01"/>
    <w:basedOn w:val="DefaultParagraphFont"/>
    <w:rsid w:val="00544002"/>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34</TotalTime>
  <Pages>24</Pages>
  <Words>16800</Words>
  <Characters>101506</Characters>
  <Application>Microsoft Office Word</Application>
  <DocSecurity>0</DocSecurity>
  <Lines>1469</Lines>
  <Paragraphs>673</Paragraphs>
  <ScaleCrop>false</ScaleCrop>
  <HeadingPairs>
    <vt:vector size="2" baseType="variant">
      <vt:variant>
        <vt:lpstr>Title</vt:lpstr>
      </vt:variant>
      <vt:variant>
        <vt:i4>1</vt:i4>
      </vt:variant>
    </vt:vector>
  </HeadingPairs>
  <TitlesOfParts>
    <vt:vector size="1" baseType="lpstr">
      <vt:lpstr>RIA – Projektligji për emetimin e obligacioneve të mbuluara dhe mbikëqyrjen e tyre</vt:lpstr>
    </vt:vector>
  </TitlesOfParts>
  <Manager/>
  <Company/>
  <LinksUpToDate>false</LinksUpToDate>
  <CharactersWithSpaces>117759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RIA – Projektligji për emetimin e obligacioneve të mbuluara dhe mbikëqyrjen e tyre</dc:title>
  <dc:subject>Raport i Vlerësimit të Ndikimit</dc:subject>
  <dc:creator>Patris.Poshnjari@amf.gov.al</dc:creator>
  <cp:keywords>RIA; obligacione të mbuluara; covered bonds; AMF; Banka e Shqipërisë</cp:keywords>
  <dc:description>generated by python-docx</dc:description>
  <cp:lastModifiedBy>Patris Poshnjari</cp:lastModifiedBy>
  <cp:revision>34</cp:revision>
  <dcterms:created xsi:type="dcterms:W3CDTF">2026-07-29T06:51:00Z</dcterms:created>
  <dcterms:modified xsi:type="dcterms:W3CDTF">2026-07-29T11:44:00Z</dcterms:modified>
  <cp:category/>
</cp:coreProperties>
</file>