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571" w:type="dxa"/>
        <w:tblInd w:w="-1265" w:type="dxa"/>
        <w:tblLayout w:type="fixed"/>
        <w:tblLook w:val="04A0" w:firstRow="1" w:lastRow="0" w:firstColumn="1" w:lastColumn="0" w:noHBand="0" w:noVBand="1"/>
      </w:tblPr>
      <w:tblGrid>
        <w:gridCol w:w="800"/>
        <w:gridCol w:w="5220"/>
        <w:gridCol w:w="624"/>
        <w:gridCol w:w="906"/>
        <w:gridCol w:w="5130"/>
        <w:gridCol w:w="1440"/>
        <w:gridCol w:w="1437"/>
        <w:gridCol w:w="14"/>
      </w:tblGrid>
      <w:tr w:rsidR="00CB4071" w:rsidRPr="00735452" w14:paraId="57BBFB62" w14:textId="77777777" w:rsidTr="001A1B6A">
        <w:tc>
          <w:tcPr>
            <w:tcW w:w="6020" w:type="dxa"/>
            <w:gridSpan w:val="2"/>
            <w:tcBorders>
              <w:top w:val="single" w:sz="12" w:space="0" w:color="auto"/>
              <w:left w:val="single" w:sz="12" w:space="0" w:color="auto"/>
              <w:bottom w:val="single" w:sz="12" w:space="0" w:color="auto"/>
              <w:right w:val="single" w:sz="12" w:space="0" w:color="auto"/>
            </w:tcBorders>
          </w:tcPr>
          <w:p w14:paraId="0FD3E350" w14:textId="18D09784" w:rsidR="00470A14" w:rsidRPr="00470A14" w:rsidRDefault="00470A14" w:rsidP="00470A14">
            <w:pPr>
              <w:spacing w:after="0" w:line="240" w:lineRule="auto"/>
              <w:jc w:val="both"/>
              <w:rPr>
                <w:rFonts w:ascii="Times New Roman Bold" w:hAnsi="Times New Roman Bold"/>
                <w:b/>
                <w:bCs/>
                <w:sz w:val="18"/>
                <w:szCs w:val="18"/>
                <w:lang w:val="sq-AL"/>
              </w:rPr>
            </w:pPr>
            <w:r>
              <w:rPr>
                <w:rFonts w:ascii="Times New Roman Bold" w:hAnsi="Times New Roman Bold"/>
                <w:b/>
                <w:bCs/>
                <w:sz w:val="18"/>
                <w:szCs w:val="18"/>
                <w:lang w:val="sq-AL"/>
              </w:rPr>
              <w:t xml:space="preserve">                                                   </w:t>
            </w:r>
            <w:proofErr w:type="spellStart"/>
            <w:r w:rsidRPr="00470A14">
              <w:rPr>
                <w:rFonts w:ascii="Times New Roman Bold" w:hAnsi="Times New Roman Bold"/>
                <w:b/>
                <w:bCs/>
                <w:sz w:val="18"/>
                <w:szCs w:val="18"/>
                <w:lang w:val="sq-AL"/>
              </w:rPr>
              <w:t>Acquis</w:t>
            </w:r>
            <w:proofErr w:type="spellEnd"/>
            <w:r w:rsidRPr="00470A14">
              <w:rPr>
                <w:rFonts w:ascii="Times New Roman Bold" w:hAnsi="Times New Roman Bold"/>
                <w:b/>
                <w:bCs/>
                <w:sz w:val="18"/>
                <w:szCs w:val="18"/>
                <w:lang w:val="sq-AL"/>
              </w:rPr>
              <w:t xml:space="preserve"> e BE-së</w:t>
            </w:r>
          </w:p>
          <w:p w14:paraId="4EC428E3" w14:textId="77777777" w:rsidR="00470A14" w:rsidRPr="00470A14" w:rsidRDefault="00470A14" w:rsidP="00470A14">
            <w:pPr>
              <w:spacing w:after="0" w:line="240" w:lineRule="auto"/>
              <w:jc w:val="both"/>
              <w:rPr>
                <w:rFonts w:ascii="Times New Roman Bold" w:hAnsi="Times New Roman Bold"/>
                <w:b/>
                <w:bCs/>
                <w:sz w:val="18"/>
                <w:szCs w:val="18"/>
                <w:lang w:val="sq-AL"/>
              </w:rPr>
            </w:pPr>
            <w:r w:rsidRPr="00470A14">
              <w:rPr>
                <w:rFonts w:ascii="Times New Roman Bold" w:hAnsi="Times New Roman Bold"/>
                <w:b/>
                <w:bCs/>
                <w:sz w:val="18"/>
                <w:szCs w:val="18"/>
                <w:lang w:val="sq-AL"/>
              </w:rPr>
              <w:t>Numri CELEX:   32019L2162</w:t>
            </w:r>
          </w:p>
          <w:p w14:paraId="5661687A" w14:textId="77777777" w:rsidR="00470A14" w:rsidRPr="00470A14" w:rsidRDefault="00470A14" w:rsidP="00470A14">
            <w:pPr>
              <w:spacing w:after="0" w:line="240" w:lineRule="auto"/>
              <w:jc w:val="both"/>
              <w:rPr>
                <w:rFonts w:ascii="Times New Roman Bold" w:hAnsi="Times New Roman Bold"/>
                <w:b/>
                <w:bCs/>
                <w:sz w:val="18"/>
                <w:szCs w:val="18"/>
                <w:lang w:val="sq-AL"/>
              </w:rPr>
            </w:pPr>
            <w:r w:rsidRPr="00470A14">
              <w:rPr>
                <w:rFonts w:ascii="Times New Roman Bold" w:hAnsi="Times New Roman Bold"/>
                <w:b/>
                <w:bCs/>
                <w:sz w:val="18"/>
                <w:szCs w:val="18"/>
                <w:lang w:val="sq-AL"/>
              </w:rPr>
              <w:t>►B Direktiva (BE) 2019/2162 e Parlamentit Evropian dhe e Këshillit, datë 27 nëntor 2019, mbi emetimin e obligacioneve të mbuluara dhe mbikëqyrjen publike të obligacioneve të mbuluara, si dhe për ndryshimin e Direktivave 2009/65/KE dhe 2014/59/BE</w:t>
            </w:r>
          </w:p>
          <w:p w14:paraId="71F1EC41" w14:textId="77777777" w:rsidR="00470A14" w:rsidRPr="00470A14" w:rsidRDefault="00470A14" w:rsidP="00470A14">
            <w:pPr>
              <w:spacing w:after="0" w:line="240" w:lineRule="auto"/>
              <w:jc w:val="both"/>
              <w:rPr>
                <w:rFonts w:ascii="Times New Roman Bold" w:hAnsi="Times New Roman Bold"/>
                <w:b/>
                <w:bCs/>
                <w:sz w:val="18"/>
                <w:szCs w:val="18"/>
                <w:lang w:val="sq-AL"/>
              </w:rPr>
            </w:pPr>
            <w:r w:rsidRPr="00470A14">
              <w:rPr>
                <w:rFonts w:ascii="Times New Roman Bold" w:hAnsi="Times New Roman Bold"/>
                <w:b/>
                <w:bCs/>
                <w:sz w:val="18"/>
                <w:szCs w:val="18"/>
                <w:lang w:val="sq-AL"/>
              </w:rPr>
              <w:t xml:space="preserve">Fletorja Zyrtare e Bashkimit Evropian, seria L nr. 328, datë 18.12.2019, </w:t>
            </w:r>
            <w:proofErr w:type="spellStart"/>
            <w:r w:rsidRPr="00470A14">
              <w:rPr>
                <w:rFonts w:ascii="Times New Roman Bold" w:hAnsi="Times New Roman Bold"/>
                <w:b/>
                <w:bCs/>
                <w:sz w:val="18"/>
                <w:szCs w:val="18"/>
                <w:lang w:val="sq-AL"/>
              </w:rPr>
              <w:t>fq</w:t>
            </w:r>
            <w:proofErr w:type="spellEnd"/>
            <w:r w:rsidRPr="00470A14">
              <w:rPr>
                <w:rFonts w:ascii="Times New Roman Bold" w:hAnsi="Times New Roman Bold"/>
                <w:b/>
                <w:bCs/>
                <w:sz w:val="18"/>
                <w:szCs w:val="18"/>
                <w:lang w:val="sq-AL"/>
              </w:rPr>
              <w:t>. 29-57).</w:t>
            </w:r>
          </w:p>
          <w:p w14:paraId="690174F1" w14:textId="77777777" w:rsidR="00470A14" w:rsidRPr="00470A14" w:rsidRDefault="00470A14" w:rsidP="00470A14">
            <w:pPr>
              <w:spacing w:after="0" w:line="240" w:lineRule="auto"/>
              <w:jc w:val="both"/>
              <w:rPr>
                <w:rFonts w:ascii="Times New Roman Bold" w:hAnsi="Times New Roman Bold"/>
                <w:b/>
                <w:bCs/>
                <w:sz w:val="18"/>
                <w:szCs w:val="18"/>
                <w:lang w:val="sq-AL"/>
              </w:rPr>
            </w:pPr>
            <w:r w:rsidRPr="00470A14">
              <w:rPr>
                <w:rFonts w:ascii="Times New Roman Bold" w:hAnsi="Times New Roman Bold"/>
                <w:b/>
                <w:bCs/>
                <w:sz w:val="18"/>
                <w:szCs w:val="18"/>
                <w:lang w:val="sq-AL"/>
              </w:rPr>
              <w:t>Numri CELEX:   32023L2864</w:t>
            </w:r>
          </w:p>
          <w:p w14:paraId="77F04127" w14:textId="77777777" w:rsidR="00470A14" w:rsidRPr="00470A14" w:rsidRDefault="00470A14" w:rsidP="00470A14">
            <w:pPr>
              <w:spacing w:after="0" w:line="240" w:lineRule="auto"/>
              <w:jc w:val="both"/>
              <w:rPr>
                <w:rFonts w:ascii="Times New Roman Bold" w:hAnsi="Times New Roman Bold"/>
                <w:b/>
                <w:bCs/>
                <w:sz w:val="18"/>
                <w:szCs w:val="18"/>
                <w:lang w:val="sq-AL"/>
              </w:rPr>
            </w:pPr>
            <w:r w:rsidRPr="00470A14">
              <w:rPr>
                <w:rFonts w:ascii="Times New Roman Bold" w:hAnsi="Times New Roman Bold"/>
                <w:b/>
                <w:bCs/>
                <w:sz w:val="18"/>
                <w:szCs w:val="18"/>
                <w:lang w:val="sq-AL"/>
              </w:rPr>
              <w:t xml:space="preserve">►M1 Direktiva (BE) 2023/2864 e Parlamentit Evropian dhe e Këshillit, datë 13 dhjetor që ndryshon disa direktiva në lidhje me krijimin dhe funksionimin e pikës së vetme evropiane të </w:t>
            </w:r>
            <w:proofErr w:type="spellStart"/>
            <w:r w:rsidRPr="00470A14">
              <w:rPr>
                <w:rFonts w:ascii="Times New Roman Bold" w:hAnsi="Times New Roman Bold"/>
                <w:b/>
                <w:bCs/>
                <w:sz w:val="18"/>
                <w:szCs w:val="18"/>
                <w:lang w:val="sq-AL"/>
              </w:rPr>
              <w:t>aksesit</w:t>
            </w:r>
            <w:proofErr w:type="spellEnd"/>
          </w:p>
          <w:p w14:paraId="04E78770" w14:textId="57005BD2" w:rsidR="003E7E51" w:rsidRPr="00735452" w:rsidRDefault="00470A14" w:rsidP="00470A14">
            <w:pPr>
              <w:spacing w:after="0" w:line="240" w:lineRule="auto"/>
              <w:jc w:val="both"/>
              <w:rPr>
                <w:rFonts w:ascii="Times New Roman" w:hAnsi="Times New Roman" w:cs="Times New Roman"/>
                <w:bCs/>
                <w:sz w:val="20"/>
                <w:szCs w:val="20"/>
                <w:lang w:val="sq-AL"/>
              </w:rPr>
            </w:pPr>
            <w:r w:rsidRPr="00470A14">
              <w:rPr>
                <w:rFonts w:ascii="Times New Roman Bold" w:hAnsi="Times New Roman Bold"/>
                <w:b/>
                <w:bCs/>
                <w:sz w:val="18"/>
                <w:szCs w:val="18"/>
                <w:lang w:val="sq-AL"/>
              </w:rPr>
              <w:t>Fletorja Zyrtare e Bashkimit Evropian, seria L nr. 2023/2864, datë 20.12.2023, p. 1</w:t>
            </w:r>
          </w:p>
        </w:tc>
        <w:tc>
          <w:tcPr>
            <w:tcW w:w="9551" w:type="dxa"/>
            <w:gridSpan w:val="6"/>
            <w:tcBorders>
              <w:top w:val="single" w:sz="12" w:space="0" w:color="auto"/>
              <w:left w:val="single" w:sz="12" w:space="0" w:color="auto"/>
              <w:bottom w:val="single" w:sz="12" w:space="0" w:color="auto"/>
              <w:right w:val="single" w:sz="12" w:space="0" w:color="auto"/>
            </w:tcBorders>
          </w:tcPr>
          <w:p w14:paraId="00271BDD" w14:textId="77777777" w:rsidR="00095F38" w:rsidRPr="00735452" w:rsidRDefault="00095F38" w:rsidP="00095F38">
            <w:pPr>
              <w:spacing w:after="0" w:line="240" w:lineRule="auto"/>
              <w:jc w:val="center"/>
              <w:rPr>
                <w:rFonts w:ascii="Times New Roman Bold" w:hAnsi="Times New Roman Bold"/>
                <w:b/>
                <w:bCs/>
                <w:sz w:val="18"/>
                <w:szCs w:val="18"/>
                <w:lang w:val="sq-AL"/>
              </w:rPr>
            </w:pPr>
            <w:r w:rsidRPr="00735452">
              <w:rPr>
                <w:rFonts w:ascii="Times New Roman Bold" w:hAnsi="Times New Roman Bold"/>
                <w:b/>
                <w:bCs/>
                <w:sz w:val="18"/>
                <w:szCs w:val="18"/>
                <w:lang w:val="sq-AL"/>
              </w:rPr>
              <w:t>Legjislacioni Shqiptar</w:t>
            </w:r>
          </w:p>
          <w:p w14:paraId="77649BBD" w14:textId="77777777" w:rsidR="00095F38" w:rsidRPr="00C5777C" w:rsidRDefault="00095F38" w:rsidP="00095F38">
            <w:pPr>
              <w:pStyle w:val="ListParagraph"/>
              <w:numPr>
                <w:ilvl w:val="1"/>
                <w:numId w:val="41"/>
              </w:numPr>
              <w:spacing w:after="0" w:line="240" w:lineRule="auto"/>
              <w:jc w:val="both"/>
              <w:rPr>
                <w:rFonts w:ascii="Times New Roman" w:hAnsi="Times New Roman" w:cs="Times New Roman"/>
                <w:b/>
                <w:sz w:val="20"/>
                <w:szCs w:val="20"/>
                <w:lang w:val="sq-AL"/>
              </w:rPr>
            </w:pPr>
            <w:r w:rsidRPr="00C5777C">
              <w:rPr>
                <w:rFonts w:ascii="Times New Roman" w:eastAsia="Times New Roman" w:hAnsi="Times New Roman" w:cs="Times New Roman"/>
                <w:b/>
                <w:sz w:val="20"/>
                <w:szCs w:val="20"/>
                <w:lang w:val="sq-AL"/>
              </w:rPr>
              <w:t>Projektligji “Për emetimin e obligacioneve të mbuluara dhe mbikëqyrjen e tyre”</w:t>
            </w:r>
          </w:p>
          <w:p w14:paraId="69B7932D" w14:textId="77777777" w:rsidR="00095F38" w:rsidRPr="00C5777C" w:rsidRDefault="00095F38" w:rsidP="00095F38">
            <w:pPr>
              <w:spacing w:after="0" w:line="240" w:lineRule="auto"/>
              <w:jc w:val="both"/>
              <w:rPr>
                <w:rFonts w:ascii="Times New Roman" w:hAnsi="Times New Roman" w:cs="Times New Roman"/>
                <w:b/>
                <w:sz w:val="20"/>
                <w:szCs w:val="20"/>
                <w:lang w:val="sq-AL"/>
              </w:rPr>
            </w:pPr>
          </w:p>
          <w:p w14:paraId="429614C4" w14:textId="77777777" w:rsidR="00095F38" w:rsidRPr="00095F38" w:rsidRDefault="00095F38" w:rsidP="00095F38">
            <w:pPr>
              <w:spacing w:after="0" w:line="240" w:lineRule="auto"/>
              <w:rPr>
                <w:rFonts w:ascii="Times New Roman" w:hAnsi="Times New Roman" w:cs="Times New Roman"/>
                <w:b/>
                <w:sz w:val="20"/>
                <w:szCs w:val="20"/>
                <w:lang w:val="sq-AL"/>
              </w:rPr>
            </w:pPr>
            <w:r w:rsidRPr="00095F38">
              <w:rPr>
                <w:rFonts w:ascii="Times New Roman" w:hAnsi="Times New Roman" w:cs="Times New Roman"/>
                <w:b/>
                <w:sz w:val="20"/>
                <w:szCs w:val="20"/>
                <w:lang w:val="sq-AL"/>
              </w:rPr>
              <w:t>P - Përputhje e plotë</w:t>
            </w:r>
            <w:r w:rsidRPr="00095F38">
              <w:rPr>
                <w:rFonts w:ascii="Times New Roman" w:hAnsi="Times New Roman" w:cs="Times New Roman"/>
                <w:b/>
                <w:sz w:val="20"/>
                <w:szCs w:val="20"/>
                <w:lang w:val="sq-AL"/>
              </w:rPr>
              <w:br/>
            </w:r>
            <w:proofErr w:type="spellStart"/>
            <w:r w:rsidRPr="00095F38">
              <w:rPr>
                <w:rFonts w:ascii="Times New Roman" w:hAnsi="Times New Roman" w:cs="Times New Roman"/>
                <w:b/>
                <w:sz w:val="20"/>
                <w:szCs w:val="20"/>
                <w:lang w:val="sq-AL"/>
              </w:rPr>
              <w:t>Pj</w:t>
            </w:r>
            <w:proofErr w:type="spellEnd"/>
            <w:r w:rsidRPr="00095F38">
              <w:rPr>
                <w:rFonts w:ascii="Times New Roman" w:hAnsi="Times New Roman" w:cs="Times New Roman"/>
                <w:b/>
                <w:sz w:val="20"/>
                <w:szCs w:val="20"/>
                <w:lang w:val="sq-AL"/>
              </w:rPr>
              <w:t xml:space="preserve"> - Përputhje e pjesshme</w:t>
            </w:r>
            <w:r w:rsidRPr="00095F38">
              <w:rPr>
                <w:rFonts w:ascii="Times New Roman" w:hAnsi="Times New Roman" w:cs="Times New Roman"/>
                <w:b/>
                <w:sz w:val="20"/>
                <w:szCs w:val="20"/>
                <w:lang w:val="sq-AL"/>
              </w:rPr>
              <w:br/>
              <w:t>P - I papërputhur</w:t>
            </w:r>
          </w:p>
          <w:p w14:paraId="41438E6E" w14:textId="12A780DE" w:rsidR="00045676" w:rsidRPr="00735452" w:rsidRDefault="00095F38" w:rsidP="00095F38">
            <w:pPr>
              <w:spacing w:after="0" w:line="240" w:lineRule="auto"/>
              <w:jc w:val="both"/>
              <w:rPr>
                <w:rFonts w:ascii="Times New Roman" w:hAnsi="Times New Roman" w:cs="Times New Roman"/>
                <w:bCs/>
                <w:sz w:val="20"/>
                <w:szCs w:val="20"/>
                <w:lang w:val="sq-AL"/>
              </w:rPr>
            </w:pPr>
            <w:r w:rsidRPr="00095F38">
              <w:rPr>
                <w:rFonts w:ascii="Times New Roman" w:eastAsia="Times New Roman" w:hAnsi="Times New Roman" w:cs="Times New Roman"/>
                <w:b/>
                <w:sz w:val="20"/>
                <w:szCs w:val="20"/>
                <w:lang w:val="sq-AL" w:eastAsia="en-GB"/>
              </w:rPr>
              <w:t xml:space="preserve">N/A- – jo relevante për </w:t>
            </w:r>
            <w:proofErr w:type="spellStart"/>
            <w:r w:rsidRPr="00095F38">
              <w:rPr>
                <w:rFonts w:ascii="Times New Roman" w:eastAsia="Times New Roman" w:hAnsi="Times New Roman" w:cs="Times New Roman"/>
                <w:b/>
                <w:sz w:val="20"/>
                <w:szCs w:val="20"/>
                <w:lang w:val="sq-AL" w:eastAsia="en-GB"/>
              </w:rPr>
              <w:t>transpozim</w:t>
            </w:r>
            <w:proofErr w:type="spellEnd"/>
          </w:p>
        </w:tc>
      </w:tr>
      <w:tr w:rsidR="00717DF1" w:rsidRPr="00735452" w14:paraId="2B040792" w14:textId="77777777" w:rsidTr="004D61BC">
        <w:trPr>
          <w:gridAfter w:val="1"/>
          <w:wAfter w:w="14" w:type="dxa"/>
          <w:tblHeader/>
        </w:trPr>
        <w:tc>
          <w:tcPr>
            <w:tcW w:w="800" w:type="dxa"/>
            <w:tcBorders>
              <w:top w:val="single" w:sz="12" w:space="0" w:color="auto"/>
              <w:left w:val="single" w:sz="12" w:space="0" w:color="auto"/>
            </w:tcBorders>
            <w:vAlign w:val="center"/>
          </w:tcPr>
          <w:p w14:paraId="61A7CE3E"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b/>
                <w:sz w:val="20"/>
                <w:szCs w:val="20"/>
                <w:lang w:val="sq-AL"/>
              </w:rPr>
              <w:t>Neni</w:t>
            </w:r>
          </w:p>
        </w:tc>
        <w:tc>
          <w:tcPr>
            <w:tcW w:w="5220" w:type="dxa"/>
            <w:tcBorders>
              <w:top w:val="single" w:sz="12" w:space="0" w:color="auto"/>
              <w:right w:val="single" w:sz="12" w:space="0" w:color="auto"/>
            </w:tcBorders>
            <w:vAlign w:val="center"/>
          </w:tcPr>
          <w:p w14:paraId="7DA0131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b/>
                <w:sz w:val="20"/>
                <w:szCs w:val="20"/>
                <w:lang w:val="sq-AL"/>
              </w:rPr>
              <w:t>Teksti i Direktivës</w:t>
            </w:r>
          </w:p>
        </w:tc>
        <w:tc>
          <w:tcPr>
            <w:tcW w:w="624" w:type="dxa"/>
            <w:tcBorders>
              <w:top w:val="single" w:sz="12" w:space="0" w:color="auto"/>
              <w:left w:val="single" w:sz="12" w:space="0" w:color="auto"/>
            </w:tcBorders>
            <w:vAlign w:val="center"/>
          </w:tcPr>
          <w:p w14:paraId="010928C9" w14:textId="77777777" w:rsidR="003E7E51" w:rsidRPr="00735452" w:rsidRDefault="00B82C36">
            <w:pPr>
              <w:spacing w:after="0" w:line="240" w:lineRule="auto"/>
              <w:jc w:val="center"/>
              <w:rPr>
                <w:rFonts w:ascii="Times New Roman" w:hAnsi="Times New Roman" w:cs="Times New Roman"/>
                <w:sz w:val="20"/>
                <w:szCs w:val="20"/>
                <w:lang w:val="sq-AL"/>
              </w:rPr>
            </w:pPr>
            <w:proofErr w:type="spellStart"/>
            <w:r w:rsidRPr="00735452">
              <w:rPr>
                <w:rFonts w:ascii="Times New Roman" w:eastAsia="Times New Roman" w:hAnsi="Times New Roman" w:cs="Times New Roman"/>
                <w:b/>
                <w:sz w:val="20"/>
                <w:szCs w:val="20"/>
                <w:lang w:val="sq-AL"/>
              </w:rPr>
              <w:t>Ref</w:t>
            </w:r>
            <w:proofErr w:type="spellEnd"/>
            <w:r w:rsidRPr="00735452">
              <w:rPr>
                <w:rFonts w:ascii="Times New Roman" w:eastAsia="Times New Roman" w:hAnsi="Times New Roman" w:cs="Times New Roman"/>
                <w:b/>
                <w:sz w:val="20"/>
                <w:szCs w:val="20"/>
                <w:lang w:val="sq-AL"/>
              </w:rPr>
              <w:t>.</w:t>
            </w:r>
          </w:p>
        </w:tc>
        <w:tc>
          <w:tcPr>
            <w:tcW w:w="906" w:type="dxa"/>
            <w:tcBorders>
              <w:top w:val="single" w:sz="12" w:space="0" w:color="auto"/>
            </w:tcBorders>
            <w:vAlign w:val="center"/>
          </w:tcPr>
          <w:p w14:paraId="576E48D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b/>
                <w:sz w:val="20"/>
                <w:szCs w:val="20"/>
                <w:lang w:val="sq-AL"/>
              </w:rPr>
              <w:t>Neni</w:t>
            </w:r>
          </w:p>
        </w:tc>
        <w:tc>
          <w:tcPr>
            <w:tcW w:w="5130" w:type="dxa"/>
            <w:tcBorders>
              <w:top w:val="single" w:sz="12" w:space="0" w:color="auto"/>
            </w:tcBorders>
            <w:vAlign w:val="center"/>
          </w:tcPr>
          <w:p w14:paraId="3CEC2A5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b/>
                <w:sz w:val="20"/>
                <w:szCs w:val="20"/>
                <w:lang w:val="sq-AL"/>
              </w:rPr>
              <w:t>Teksti i projektligjit</w:t>
            </w:r>
          </w:p>
        </w:tc>
        <w:tc>
          <w:tcPr>
            <w:tcW w:w="1440" w:type="dxa"/>
            <w:tcBorders>
              <w:top w:val="single" w:sz="12" w:space="0" w:color="auto"/>
            </w:tcBorders>
            <w:vAlign w:val="center"/>
          </w:tcPr>
          <w:p w14:paraId="4B20CAD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b/>
                <w:sz w:val="20"/>
                <w:szCs w:val="20"/>
                <w:lang w:val="sq-AL"/>
              </w:rPr>
              <w:t>Përputhshmëria</w:t>
            </w:r>
          </w:p>
        </w:tc>
        <w:tc>
          <w:tcPr>
            <w:tcW w:w="1437" w:type="dxa"/>
            <w:tcBorders>
              <w:top w:val="single" w:sz="12" w:space="0" w:color="auto"/>
              <w:right w:val="single" w:sz="12" w:space="0" w:color="auto"/>
            </w:tcBorders>
            <w:vAlign w:val="center"/>
          </w:tcPr>
          <w:p w14:paraId="44131471"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b/>
                <w:sz w:val="20"/>
                <w:szCs w:val="20"/>
                <w:lang w:val="sq-AL"/>
              </w:rPr>
              <w:t>Komente</w:t>
            </w:r>
          </w:p>
        </w:tc>
      </w:tr>
      <w:tr w:rsidR="00717DF1" w:rsidRPr="00735452" w14:paraId="3625E593" w14:textId="77777777" w:rsidTr="004D61BC">
        <w:trPr>
          <w:gridAfter w:val="1"/>
          <w:wAfter w:w="14" w:type="dxa"/>
        </w:trPr>
        <w:tc>
          <w:tcPr>
            <w:tcW w:w="800" w:type="dxa"/>
            <w:tcBorders>
              <w:left w:val="single" w:sz="12" w:space="0" w:color="auto"/>
            </w:tcBorders>
          </w:tcPr>
          <w:p w14:paraId="54A341AE" w14:textId="77777777" w:rsidR="00717DF1" w:rsidRPr="00735452" w:rsidRDefault="00717DF1" w:rsidP="001A1B6A">
            <w:pPr>
              <w:spacing w:after="0" w:line="240" w:lineRule="auto"/>
              <w:jc w:val="both"/>
              <w:rPr>
                <w:rFonts w:ascii="Times New Roman" w:hAnsi="Times New Roman" w:cs="Times New Roman"/>
                <w:sz w:val="20"/>
                <w:szCs w:val="20"/>
                <w:lang w:val="sq-AL"/>
              </w:rPr>
            </w:pPr>
          </w:p>
          <w:p w14:paraId="161BA1A8"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w:t>
            </w:r>
          </w:p>
          <w:p w14:paraId="3D155DA8" w14:textId="77777777" w:rsidR="00717DF1" w:rsidRPr="00735452" w:rsidRDefault="00717DF1" w:rsidP="001A1B6A">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77B6D5A3"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Kjo Direktivë përcakton rregullat e mëposhtme për mbrojtjen e investitorëve në lidhje me:</w:t>
            </w:r>
          </w:p>
          <w:p w14:paraId="3C2EC5BA"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kërkesat për emetimin e obligacioneve të mbuluara;</w:t>
            </w:r>
          </w:p>
          <w:p w14:paraId="69643F9E"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tiparet strukturore të obligacioneve të mbuluara;</w:t>
            </w:r>
          </w:p>
          <w:p w14:paraId="45E98270"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mbikëqyrjen publike të obligacioneve të mbuluara;</w:t>
            </w:r>
          </w:p>
          <w:p w14:paraId="2A3DEE10"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kërkesat për publikim në lidhje me obligacionet e mbuluara.</w:t>
            </w:r>
          </w:p>
        </w:tc>
        <w:tc>
          <w:tcPr>
            <w:tcW w:w="624" w:type="dxa"/>
            <w:tcBorders>
              <w:left w:val="single" w:sz="12" w:space="0" w:color="auto"/>
            </w:tcBorders>
          </w:tcPr>
          <w:p w14:paraId="24E29A74" w14:textId="59674A1A" w:rsidR="00717DF1" w:rsidRPr="00735452" w:rsidRDefault="007262FB"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44C284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w:t>
            </w:r>
          </w:p>
        </w:tc>
        <w:tc>
          <w:tcPr>
            <w:tcW w:w="5130" w:type="dxa"/>
          </w:tcPr>
          <w:p w14:paraId="18B251B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Objekti i këtij ligji është përcaktimi i rregullave për mbrojtjen e investitorëve në lidhje me obligacionet e mbuluara, duke rregulluar:</w:t>
            </w:r>
            <w:r w:rsidRPr="00735452">
              <w:rPr>
                <w:rFonts w:ascii="Times New Roman" w:eastAsia="Times New Roman" w:hAnsi="Times New Roman" w:cs="Times New Roman"/>
                <w:sz w:val="20"/>
                <w:szCs w:val="20"/>
                <w:lang w:val="sq-AL"/>
              </w:rPr>
              <w:br/>
              <w:t xml:space="preserve">    a) kërkesat për emetimin e obligacioneve të mbuluara;</w:t>
            </w:r>
            <w:r w:rsidRPr="00735452">
              <w:rPr>
                <w:rFonts w:ascii="Times New Roman" w:eastAsia="Times New Roman" w:hAnsi="Times New Roman" w:cs="Times New Roman"/>
                <w:sz w:val="20"/>
                <w:szCs w:val="20"/>
                <w:lang w:val="sq-AL"/>
              </w:rPr>
              <w:br/>
              <w:t xml:space="preserve">    b) karakteristikat strukturore të obligacioneve të mbuluara;</w:t>
            </w:r>
            <w:r w:rsidRPr="00735452">
              <w:rPr>
                <w:rFonts w:ascii="Times New Roman" w:eastAsia="Times New Roman" w:hAnsi="Times New Roman" w:cs="Times New Roman"/>
                <w:sz w:val="20"/>
                <w:szCs w:val="20"/>
                <w:lang w:val="sq-AL"/>
              </w:rPr>
              <w:br/>
              <w:t xml:space="preserve">    c) mbikëqyrjen publike të obligacioneve të mbuluara;</w:t>
            </w:r>
            <w:r w:rsidRPr="00735452">
              <w:rPr>
                <w:rFonts w:ascii="Times New Roman" w:eastAsia="Times New Roman" w:hAnsi="Times New Roman" w:cs="Times New Roman"/>
                <w:sz w:val="20"/>
                <w:szCs w:val="20"/>
                <w:lang w:val="sq-AL"/>
              </w:rPr>
              <w:br/>
              <w:t xml:space="preserve">  ç)   kërkesat për publikimin e informacionit në lidhje me obligacionet e mbuluara.</w:t>
            </w:r>
          </w:p>
        </w:tc>
        <w:tc>
          <w:tcPr>
            <w:tcW w:w="1440" w:type="dxa"/>
          </w:tcPr>
          <w:p w14:paraId="0BF48643" w14:textId="1817DE60" w:rsidR="003E7E51" w:rsidRPr="00735452" w:rsidRDefault="00E42B02">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ECF6A18"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6888E76A" w14:textId="77777777" w:rsidTr="004D61BC">
        <w:trPr>
          <w:gridAfter w:val="1"/>
          <w:wAfter w:w="14" w:type="dxa"/>
        </w:trPr>
        <w:tc>
          <w:tcPr>
            <w:tcW w:w="800" w:type="dxa"/>
            <w:tcBorders>
              <w:left w:val="single" w:sz="12" w:space="0" w:color="auto"/>
            </w:tcBorders>
          </w:tcPr>
          <w:p w14:paraId="66E4FD7C"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w:t>
            </w:r>
          </w:p>
          <w:p w14:paraId="79DD6A04" w14:textId="77777777" w:rsidR="00717DF1" w:rsidRPr="00735452" w:rsidRDefault="00717DF1" w:rsidP="001A1B6A">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3E3911D7"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Kjo Direktivë zbatohet për obligacionet e mbuluara të emetuara nga institucionet e kreditit të themeluara në Bashkim.</w:t>
            </w:r>
          </w:p>
        </w:tc>
        <w:tc>
          <w:tcPr>
            <w:tcW w:w="624" w:type="dxa"/>
            <w:tcBorders>
              <w:left w:val="single" w:sz="12" w:space="0" w:color="auto"/>
            </w:tcBorders>
          </w:tcPr>
          <w:p w14:paraId="2E6E3EA5" w14:textId="3EE1B9B4"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6661C1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w:t>
            </w:r>
          </w:p>
        </w:tc>
        <w:tc>
          <w:tcPr>
            <w:tcW w:w="5130" w:type="dxa"/>
          </w:tcPr>
          <w:p w14:paraId="2650FB52"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Ky ligj zbatohet për obligacionet e mbuluara të emetuara nga institucionet e kreditit të themeluara në Republikën e Shqipërisë.</w:t>
            </w:r>
          </w:p>
        </w:tc>
        <w:tc>
          <w:tcPr>
            <w:tcW w:w="1440" w:type="dxa"/>
          </w:tcPr>
          <w:p w14:paraId="0BC64585" w14:textId="248DDDBB" w:rsidR="003E7E51" w:rsidRPr="00735452" w:rsidRDefault="00E42B02">
            <w:pPr>
              <w:spacing w:after="0" w:line="240" w:lineRule="auto"/>
              <w:jc w:val="center"/>
              <w:rPr>
                <w:rFonts w:ascii="Times New Roman" w:hAnsi="Times New Roman" w:cs="Times New Roman"/>
                <w:sz w:val="20"/>
                <w:szCs w:val="20"/>
                <w:lang w:val="sq-AL"/>
              </w:rPr>
            </w:pPr>
            <w:r>
              <w:rPr>
                <w:rFonts w:ascii="Times New Roman" w:hAnsi="Times New Roman" w:cs="Times New Roman"/>
                <w:sz w:val="20"/>
                <w:szCs w:val="20"/>
                <w:lang w:val="sq-AL"/>
              </w:rPr>
              <w:t>P</w:t>
            </w:r>
          </w:p>
        </w:tc>
        <w:tc>
          <w:tcPr>
            <w:tcW w:w="1437" w:type="dxa"/>
            <w:tcBorders>
              <w:right w:val="single" w:sz="12" w:space="0" w:color="auto"/>
            </w:tcBorders>
          </w:tcPr>
          <w:p w14:paraId="5065B2CB"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7C32D6C1" w14:textId="77777777" w:rsidTr="004D61BC">
        <w:trPr>
          <w:gridAfter w:val="1"/>
          <w:wAfter w:w="14" w:type="dxa"/>
        </w:trPr>
        <w:tc>
          <w:tcPr>
            <w:tcW w:w="800" w:type="dxa"/>
            <w:tcBorders>
              <w:left w:val="single" w:sz="12" w:space="0" w:color="auto"/>
            </w:tcBorders>
          </w:tcPr>
          <w:p w14:paraId="6722CD42"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w:t>
            </w:r>
          </w:p>
          <w:p w14:paraId="3D295191" w14:textId="77777777" w:rsidR="00234F50" w:rsidRPr="00735452" w:rsidRDefault="00234F50"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p w14:paraId="752AF36D" w14:textId="77777777" w:rsidR="00717DF1" w:rsidRPr="00735452" w:rsidRDefault="00717DF1" w:rsidP="001A1B6A">
            <w:pPr>
              <w:spacing w:after="0" w:line="240" w:lineRule="auto"/>
              <w:jc w:val="both"/>
              <w:rPr>
                <w:rFonts w:ascii="Times New Roman" w:hAnsi="Times New Roman" w:cs="Times New Roman"/>
                <w:sz w:val="20"/>
                <w:szCs w:val="20"/>
                <w:lang w:val="sq-AL"/>
              </w:rPr>
            </w:pPr>
          </w:p>
          <w:p w14:paraId="0BC98EF1" w14:textId="77777777" w:rsidR="00717DF1" w:rsidRPr="00735452" w:rsidRDefault="00717DF1" w:rsidP="001A1B6A">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4E7D6E38"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“obligacion i mbuluar” nënkupton një detyrim borxhi që emetohet nga një institucion krediti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kërkesat e detyrueshme të kësaj Direktive dhe që garantohet me aktive mbuluese, ndaj të cilave investitorët në obligacione të mbuluara kanë të drejtë regresi të drejtpërdrejtë si kreditorë të privilegjuar;</w:t>
            </w:r>
          </w:p>
        </w:tc>
        <w:tc>
          <w:tcPr>
            <w:tcW w:w="624" w:type="dxa"/>
            <w:tcBorders>
              <w:left w:val="single" w:sz="12" w:space="0" w:color="auto"/>
            </w:tcBorders>
          </w:tcPr>
          <w:p w14:paraId="3CFA3CCD" w14:textId="1A465949"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6FB51D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22</w:t>
            </w:r>
          </w:p>
        </w:tc>
        <w:tc>
          <w:tcPr>
            <w:tcW w:w="5130" w:type="dxa"/>
          </w:tcPr>
          <w:p w14:paraId="5280CA34"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22. “Obligacion i mbuluar” është titull borxhi i emetuar nga një institucion krediti në përputhje me këtë ligj dhe i siguruar me aktive për mbulim, mbi të cilat investitorët në obligacionet e mbuluara kanë të drejtë përparësie për përmbushjen e kërkesave të tyre.</w:t>
            </w:r>
          </w:p>
        </w:tc>
        <w:tc>
          <w:tcPr>
            <w:tcW w:w="1440" w:type="dxa"/>
          </w:tcPr>
          <w:p w14:paraId="31D9FFD6" w14:textId="5B671416" w:rsidR="003E7E51" w:rsidRPr="00735452" w:rsidRDefault="00E42B02">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3389182"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5907921F" w14:textId="77777777" w:rsidTr="004D61BC">
        <w:trPr>
          <w:gridAfter w:val="1"/>
          <w:wAfter w:w="14" w:type="dxa"/>
        </w:trPr>
        <w:tc>
          <w:tcPr>
            <w:tcW w:w="800" w:type="dxa"/>
            <w:tcBorders>
              <w:left w:val="single" w:sz="12" w:space="0" w:color="auto"/>
            </w:tcBorders>
          </w:tcPr>
          <w:p w14:paraId="4565A299" w14:textId="77777777" w:rsidR="00717DF1" w:rsidRPr="00735452" w:rsidRDefault="00234F50"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671BA46B"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(2)“program i obligacioneve të mbuluara” nënkupton tiparet strukturore të një emetimi obligacionesh të mbuluara, të përcaktuara nga rregullat ligjore dhe nga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në përputhje me lejen e dhënë institucionit të kreditit që emeton obligacionet e mbuluara;</w:t>
            </w:r>
          </w:p>
        </w:tc>
        <w:tc>
          <w:tcPr>
            <w:tcW w:w="624" w:type="dxa"/>
            <w:tcBorders>
              <w:left w:val="single" w:sz="12" w:space="0" w:color="auto"/>
            </w:tcBorders>
          </w:tcPr>
          <w:p w14:paraId="2A7F78BC" w14:textId="3ED887DA"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747924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23</w:t>
            </w:r>
          </w:p>
        </w:tc>
        <w:tc>
          <w:tcPr>
            <w:tcW w:w="5130" w:type="dxa"/>
          </w:tcPr>
          <w:p w14:paraId="0FC44AD3" w14:textId="5964F7E5"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23. “Program i obligacioneve të mbuluara”  është tërësia e karakteristikave strukturore të emetimit të obligacioneve të mbuluara të përcaktuara në rregullat </w:t>
            </w:r>
            <w:proofErr w:type="spellStart"/>
            <w:r w:rsidRPr="00735452">
              <w:rPr>
                <w:rFonts w:ascii="Times New Roman" w:eastAsia="Times New Roman" w:hAnsi="Times New Roman" w:cs="Times New Roman"/>
                <w:sz w:val="20"/>
                <w:szCs w:val="20"/>
                <w:lang w:val="sq-AL"/>
              </w:rPr>
              <w:t>statutore</w:t>
            </w:r>
            <w:proofErr w:type="spellEnd"/>
            <w:r w:rsidRPr="00735452">
              <w:rPr>
                <w:rFonts w:ascii="Times New Roman" w:eastAsia="Times New Roman" w:hAnsi="Times New Roman" w:cs="Times New Roman"/>
                <w:sz w:val="20"/>
                <w:szCs w:val="20"/>
                <w:lang w:val="sq-AL"/>
              </w:rPr>
              <w:t xml:space="preserve"> dhe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tyre, në përputhje me </w:t>
            </w:r>
            <w:r w:rsidR="008E3699">
              <w:rPr>
                <w:rFonts w:ascii="Times New Roman" w:eastAsia="Times New Roman" w:hAnsi="Times New Roman" w:cs="Times New Roman"/>
                <w:sz w:val="20"/>
                <w:szCs w:val="20"/>
                <w:lang w:val="sq-AL"/>
              </w:rPr>
              <w:t>lejen/miratimin</w:t>
            </w:r>
            <w:r w:rsidRPr="00735452">
              <w:rPr>
                <w:rFonts w:ascii="Times New Roman" w:eastAsia="Times New Roman" w:hAnsi="Times New Roman" w:cs="Times New Roman"/>
                <w:sz w:val="20"/>
                <w:szCs w:val="20"/>
                <w:lang w:val="sq-AL"/>
              </w:rPr>
              <w:t xml:space="preserve"> e dhënë institucionit të kreditit që i emeton.</w:t>
            </w:r>
          </w:p>
        </w:tc>
        <w:tc>
          <w:tcPr>
            <w:tcW w:w="1440" w:type="dxa"/>
          </w:tcPr>
          <w:p w14:paraId="787732A0" w14:textId="3185EC8A"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FDE2A40"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1751D6D9" w14:textId="77777777" w:rsidTr="004D61BC">
        <w:trPr>
          <w:gridAfter w:val="1"/>
          <w:wAfter w:w="14" w:type="dxa"/>
        </w:trPr>
        <w:tc>
          <w:tcPr>
            <w:tcW w:w="800" w:type="dxa"/>
            <w:tcBorders>
              <w:left w:val="single" w:sz="12" w:space="0" w:color="auto"/>
            </w:tcBorders>
          </w:tcPr>
          <w:p w14:paraId="127D83EF" w14:textId="77777777" w:rsidR="00717DF1" w:rsidRPr="00735452" w:rsidRDefault="002C6CEA"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743B250A"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(3) “portofol i mbulimit” nënkupton një grup aktivesh të përcaktuara qartë, të cilat sigurojnë detyrimet e pagesës të lidhura me obligacionet e mbuluara dhe që janë të ndara nga </w:t>
            </w:r>
            <w:r w:rsidRPr="00735452">
              <w:rPr>
                <w:rFonts w:ascii="Times New Roman" w:eastAsia="Times New Roman" w:hAnsi="Times New Roman" w:cs="Times New Roman"/>
                <w:sz w:val="20"/>
                <w:szCs w:val="20"/>
                <w:lang w:val="sq-AL"/>
              </w:rPr>
              <w:lastRenderedPageBreak/>
              <w:t>aktivet e tjera të mbajtura nga institucioni i kreditit që emeton obligacionet e mbuluara;</w:t>
            </w:r>
          </w:p>
        </w:tc>
        <w:tc>
          <w:tcPr>
            <w:tcW w:w="624" w:type="dxa"/>
            <w:tcBorders>
              <w:left w:val="single" w:sz="12" w:space="0" w:color="auto"/>
            </w:tcBorders>
          </w:tcPr>
          <w:p w14:paraId="1C08D9D6" w14:textId="7C755489"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1A999B1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11</w:t>
            </w:r>
          </w:p>
        </w:tc>
        <w:tc>
          <w:tcPr>
            <w:tcW w:w="5130" w:type="dxa"/>
          </w:tcPr>
          <w:p w14:paraId="11E0A67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11.  “Grup i mbulimit” është një grup aktivesh i përcaktuar qartë dhe i  ndarë nga aktivet e tjera të emetuesit që siguron </w:t>
            </w:r>
            <w:r w:rsidRPr="00735452">
              <w:rPr>
                <w:rFonts w:ascii="Times New Roman" w:eastAsia="Times New Roman" w:hAnsi="Times New Roman" w:cs="Times New Roman"/>
                <w:sz w:val="20"/>
                <w:szCs w:val="20"/>
                <w:lang w:val="sq-AL"/>
              </w:rPr>
              <w:lastRenderedPageBreak/>
              <w:t>përmbushjen/pagesën e detyrimeve të lidhura me obligacionet e mbuluara.</w:t>
            </w:r>
          </w:p>
        </w:tc>
        <w:tc>
          <w:tcPr>
            <w:tcW w:w="1440" w:type="dxa"/>
          </w:tcPr>
          <w:p w14:paraId="725EF187" w14:textId="45BB39E8"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3F64C121"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7B9DA246" w14:textId="77777777" w:rsidTr="004D61BC">
        <w:trPr>
          <w:gridAfter w:val="1"/>
          <w:wAfter w:w="14" w:type="dxa"/>
        </w:trPr>
        <w:tc>
          <w:tcPr>
            <w:tcW w:w="800" w:type="dxa"/>
            <w:tcBorders>
              <w:left w:val="single" w:sz="12" w:space="0" w:color="auto"/>
            </w:tcBorders>
          </w:tcPr>
          <w:p w14:paraId="39ABFDBA" w14:textId="77777777" w:rsidR="00717DF1" w:rsidRPr="00735452" w:rsidRDefault="00565A50"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16319992"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“aktive mbuluese” nënkupton aktivet e përfshira në një portofol mbulimi;</w:t>
            </w:r>
          </w:p>
        </w:tc>
        <w:tc>
          <w:tcPr>
            <w:tcW w:w="624" w:type="dxa"/>
            <w:tcBorders>
              <w:left w:val="single" w:sz="12" w:space="0" w:color="auto"/>
            </w:tcBorders>
          </w:tcPr>
          <w:p w14:paraId="07DD3715" w14:textId="64BB5D45"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C96C73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w:t>
            </w:r>
          </w:p>
        </w:tc>
        <w:tc>
          <w:tcPr>
            <w:tcW w:w="5130" w:type="dxa"/>
          </w:tcPr>
          <w:p w14:paraId="4F6577B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“Aktive për mbulim” janë aktivet e përfshira në grupin e mbulimit.</w:t>
            </w:r>
          </w:p>
        </w:tc>
        <w:tc>
          <w:tcPr>
            <w:tcW w:w="1440" w:type="dxa"/>
          </w:tcPr>
          <w:p w14:paraId="02AEDFE2" w14:textId="0ACA3640"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9CF9541"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581F5318" w14:textId="77777777" w:rsidTr="004D61BC">
        <w:trPr>
          <w:gridAfter w:val="1"/>
          <w:wAfter w:w="14" w:type="dxa"/>
        </w:trPr>
        <w:tc>
          <w:tcPr>
            <w:tcW w:w="800" w:type="dxa"/>
            <w:tcBorders>
              <w:left w:val="single" w:sz="12" w:space="0" w:color="auto"/>
            </w:tcBorders>
          </w:tcPr>
          <w:p w14:paraId="69674916" w14:textId="77777777" w:rsidR="00717DF1" w:rsidRPr="00735452" w:rsidRDefault="00F87277"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565A91" w:rsidRPr="00735452">
              <w:rPr>
                <w:rFonts w:ascii="Times New Roman" w:eastAsia="Times New Roman" w:hAnsi="Times New Roman" w:cs="Times New Roman"/>
                <w:sz w:val="20"/>
                <w:szCs w:val="20"/>
                <w:lang w:val="sq-AL"/>
              </w:rPr>
              <w:t xml:space="preserve"> 5</w:t>
            </w:r>
          </w:p>
        </w:tc>
        <w:tc>
          <w:tcPr>
            <w:tcW w:w="5220" w:type="dxa"/>
            <w:tcBorders>
              <w:right w:val="single" w:sz="12" w:space="0" w:color="auto"/>
            </w:tcBorders>
          </w:tcPr>
          <w:p w14:paraId="3A6BB0AD"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“aktive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nënkupton aktivet fizike dhe aktivet në formën e ekspozimeve që garantojnë aktivet mbuluese;</w:t>
            </w:r>
          </w:p>
        </w:tc>
        <w:tc>
          <w:tcPr>
            <w:tcW w:w="624" w:type="dxa"/>
            <w:tcBorders>
              <w:left w:val="single" w:sz="12" w:space="0" w:color="auto"/>
            </w:tcBorders>
          </w:tcPr>
          <w:p w14:paraId="5065B4F6" w14:textId="5F5FA58B"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8DC329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14</w:t>
            </w:r>
          </w:p>
        </w:tc>
        <w:tc>
          <w:tcPr>
            <w:tcW w:w="5130" w:type="dxa"/>
          </w:tcPr>
          <w:p w14:paraId="628D6993"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14.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janë aktivet fizike dhe aktivet në formën e ekspozimeve që sigurojnë  aktivet për mbulim.</w:t>
            </w:r>
          </w:p>
        </w:tc>
        <w:tc>
          <w:tcPr>
            <w:tcW w:w="1440" w:type="dxa"/>
          </w:tcPr>
          <w:p w14:paraId="6618185F" w14:textId="4EEE2D16"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56BEAE6"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231127F5" w14:textId="77777777" w:rsidTr="004D61BC">
        <w:trPr>
          <w:gridAfter w:val="1"/>
          <w:wAfter w:w="14" w:type="dxa"/>
        </w:trPr>
        <w:tc>
          <w:tcPr>
            <w:tcW w:w="800" w:type="dxa"/>
            <w:tcBorders>
              <w:left w:val="single" w:sz="12" w:space="0" w:color="auto"/>
            </w:tcBorders>
          </w:tcPr>
          <w:p w14:paraId="44C39BE1" w14:textId="77777777" w:rsidR="00717DF1" w:rsidRPr="00735452" w:rsidRDefault="00F87277"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565A91" w:rsidRPr="00735452">
              <w:rPr>
                <w:rFonts w:ascii="Times New Roman" w:eastAsia="Times New Roman" w:hAnsi="Times New Roman" w:cs="Times New Roman"/>
                <w:sz w:val="20"/>
                <w:szCs w:val="20"/>
                <w:lang w:val="sq-AL"/>
              </w:rPr>
              <w:t xml:space="preserve"> 6</w:t>
            </w:r>
          </w:p>
        </w:tc>
        <w:tc>
          <w:tcPr>
            <w:tcW w:w="5220" w:type="dxa"/>
            <w:tcBorders>
              <w:right w:val="single" w:sz="12" w:space="0" w:color="auto"/>
            </w:tcBorders>
          </w:tcPr>
          <w:p w14:paraId="1F3FF09D"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(6) “ndarje” nënkupton veprimet e kryera nga një institucion krediti që emeton obligacione të mbuluara për të identifikuar aktivet mbuluese dhe për t’i vendosur ato ligjërisht përtej mundësisë së ekzekutimit nga kreditorë të tjerë, përveç investitorëve në obligacione të mbuluara dhe palëve </w:t>
            </w:r>
            <w:proofErr w:type="spellStart"/>
            <w:r w:rsidRPr="00735452">
              <w:rPr>
                <w:rFonts w:ascii="Times New Roman" w:eastAsia="Times New Roman" w:hAnsi="Times New Roman" w:cs="Times New Roman"/>
                <w:sz w:val="20"/>
                <w:szCs w:val="20"/>
                <w:lang w:val="sq-AL"/>
              </w:rPr>
              <w:t>kundërpalë</w:t>
            </w:r>
            <w:proofErr w:type="spellEnd"/>
            <w:r w:rsidRPr="00735452">
              <w:rPr>
                <w:rFonts w:ascii="Times New Roman" w:eastAsia="Times New Roman" w:hAnsi="Times New Roman" w:cs="Times New Roman"/>
                <w:sz w:val="20"/>
                <w:szCs w:val="20"/>
                <w:lang w:val="sq-AL"/>
              </w:rPr>
              <w:t xml:space="preserve"> në kontrata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72FE83C2" w14:textId="4D57AC70" w:rsidR="00717DF1" w:rsidRPr="00735452" w:rsidRDefault="00223E7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911A9AE" w14:textId="0081F781"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Neni 3, pika 20; </w:t>
            </w:r>
          </w:p>
        </w:tc>
        <w:tc>
          <w:tcPr>
            <w:tcW w:w="5130" w:type="dxa"/>
          </w:tcPr>
          <w:p w14:paraId="25A749F6" w14:textId="5EC6824F"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20. “Ndarje/veçim/</w:t>
            </w:r>
            <w:proofErr w:type="spellStart"/>
            <w:r w:rsidRPr="00735452">
              <w:rPr>
                <w:rFonts w:ascii="Times New Roman" w:eastAsia="Times New Roman" w:hAnsi="Times New Roman" w:cs="Times New Roman"/>
                <w:sz w:val="20"/>
                <w:szCs w:val="20"/>
                <w:lang w:val="sq-AL"/>
              </w:rPr>
              <w:t>segregim</w:t>
            </w:r>
            <w:proofErr w:type="spellEnd"/>
            <w:r w:rsidRPr="00735452">
              <w:rPr>
                <w:rFonts w:ascii="Times New Roman" w:eastAsia="Times New Roman" w:hAnsi="Times New Roman" w:cs="Times New Roman"/>
                <w:sz w:val="20"/>
                <w:szCs w:val="20"/>
                <w:lang w:val="sq-AL"/>
              </w:rPr>
              <w:t xml:space="preserve">” janë veprimet e  ndërmarra nga institucioni i kreditit për të identifikuar  aktivet për mbulim dhe për të siguruar që ato të jenë ligjërisht të mbrojtura nga pretendimet e çdo kreditori tjetër, përveç investitorëve të obligacioneve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në kontrata </w:t>
            </w:r>
            <w:proofErr w:type="spellStart"/>
            <w:r w:rsidRPr="00735452">
              <w:rPr>
                <w:rFonts w:ascii="Times New Roman" w:eastAsia="Times New Roman" w:hAnsi="Times New Roman" w:cs="Times New Roman"/>
                <w:sz w:val="20"/>
                <w:szCs w:val="20"/>
                <w:lang w:val="sq-AL"/>
              </w:rPr>
              <w:t>derivativësh</w:t>
            </w:r>
            <w:proofErr w:type="spellEnd"/>
            <w:r w:rsidRPr="00735452">
              <w:rPr>
                <w:rFonts w:ascii="Times New Roman" w:eastAsia="Times New Roman" w:hAnsi="Times New Roman" w:cs="Times New Roman"/>
                <w:sz w:val="20"/>
                <w:szCs w:val="20"/>
                <w:lang w:val="sq-AL"/>
              </w:rPr>
              <w:t>.</w:t>
            </w:r>
          </w:p>
        </w:tc>
        <w:tc>
          <w:tcPr>
            <w:tcW w:w="1440" w:type="dxa"/>
          </w:tcPr>
          <w:p w14:paraId="1DCD1C5D" w14:textId="38218A4B"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0C5E5E3"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743087F6" w14:textId="77777777" w:rsidTr="004D61BC">
        <w:trPr>
          <w:gridAfter w:val="1"/>
          <w:wAfter w:w="14" w:type="dxa"/>
        </w:trPr>
        <w:tc>
          <w:tcPr>
            <w:tcW w:w="800" w:type="dxa"/>
            <w:tcBorders>
              <w:left w:val="single" w:sz="12" w:space="0" w:color="auto"/>
            </w:tcBorders>
          </w:tcPr>
          <w:p w14:paraId="6436AA75" w14:textId="77777777" w:rsidR="00717DF1" w:rsidRPr="00735452" w:rsidRDefault="00F87277"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3A508D" w:rsidRPr="00735452">
              <w:rPr>
                <w:rFonts w:ascii="Times New Roman" w:eastAsia="Times New Roman" w:hAnsi="Times New Roman" w:cs="Times New Roman"/>
                <w:sz w:val="20"/>
                <w:szCs w:val="20"/>
                <w:lang w:val="sq-AL"/>
              </w:rPr>
              <w:t xml:space="preserve"> 7</w:t>
            </w:r>
          </w:p>
        </w:tc>
        <w:tc>
          <w:tcPr>
            <w:tcW w:w="5220" w:type="dxa"/>
            <w:tcBorders>
              <w:right w:val="single" w:sz="12" w:space="0" w:color="auto"/>
            </w:tcBorders>
          </w:tcPr>
          <w:p w14:paraId="20363D25"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(7) “institucion krediti” nënkupton një institucion krediti sipas përkufizimit në nenin 4, paragrafi 1, pika 1, të Rregullores (BE) nr. 575/2013;</w:t>
            </w:r>
          </w:p>
        </w:tc>
        <w:tc>
          <w:tcPr>
            <w:tcW w:w="624" w:type="dxa"/>
            <w:tcBorders>
              <w:left w:val="single" w:sz="12" w:space="0" w:color="auto"/>
            </w:tcBorders>
          </w:tcPr>
          <w:p w14:paraId="5BD48AD5" w14:textId="4316FA88" w:rsidR="00717DF1" w:rsidRPr="00735452" w:rsidRDefault="00EC710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03DEF7C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12</w:t>
            </w:r>
          </w:p>
        </w:tc>
        <w:tc>
          <w:tcPr>
            <w:tcW w:w="5130" w:type="dxa"/>
          </w:tcPr>
          <w:p w14:paraId="1BD4647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12. “Institucion krediti” është institucioni i kreditit siç përkufizohet në legjislacionin që rregullon veprimtarinë e institucioneve të kreditit në Republikën e Shqipërisë.</w:t>
            </w:r>
          </w:p>
        </w:tc>
        <w:tc>
          <w:tcPr>
            <w:tcW w:w="1440" w:type="dxa"/>
          </w:tcPr>
          <w:p w14:paraId="3E1DD9AE" w14:textId="51779268"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A34BC82"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2FF37200" w14:textId="77777777" w:rsidTr="004D61BC">
        <w:trPr>
          <w:gridAfter w:val="1"/>
          <w:wAfter w:w="14" w:type="dxa"/>
        </w:trPr>
        <w:tc>
          <w:tcPr>
            <w:tcW w:w="800" w:type="dxa"/>
            <w:tcBorders>
              <w:left w:val="single" w:sz="12" w:space="0" w:color="auto"/>
            </w:tcBorders>
          </w:tcPr>
          <w:p w14:paraId="04DCE62D" w14:textId="77777777" w:rsidR="00717DF1" w:rsidRPr="00735452" w:rsidRDefault="00F87277"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3A508D" w:rsidRPr="00735452">
              <w:rPr>
                <w:rFonts w:ascii="Times New Roman" w:eastAsia="Times New Roman" w:hAnsi="Times New Roman" w:cs="Times New Roman"/>
                <w:sz w:val="20"/>
                <w:szCs w:val="20"/>
                <w:lang w:val="sq-AL"/>
              </w:rPr>
              <w:t xml:space="preserve"> 8</w:t>
            </w:r>
          </w:p>
        </w:tc>
        <w:tc>
          <w:tcPr>
            <w:tcW w:w="5220" w:type="dxa"/>
            <w:tcBorders>
              <w:right w:val="single" w:sz="12" w:space="0" w:color="auto"/>
            </w:tcBorders>
          </w:tcPr>
          <w:p w14:paraId="2976FEED"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(8) “institucion krediti i specializuar për kreditim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nënkupton një institucion krediti që financon kreditë vetëm ose kryesisht përmes emetimit të obligacioneve të mbuluara, që lejohet nga ligji të ushtrojë vetëm kreditim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dhe kreditim të sektorit publik, dhe që nuk lejohet të marrë depozita, por që merr nga publiku mjete të tjera të kthyeshme;</w:t>
            </w:r>
          </w:p>
        </w:tc>
        <w:tc>
          <w:tcPr>
            <w:tcW w:w="624" w:type="dxa"/>
            <w:tcBorders>
              <w:left w:val="single" w:sz="12" w:space="0" w:color="auto"/>
            </w:tcBorders>
          </w:tcPr>
          <w:p w14:paraId="551E94E0" w14:textId="286E8C53" w:rsidR="00717DF1" w:rsidRPr="00735452" w:rsidRDefault="00EC710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14239D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13</w:t>
            </w:r>
          </w:p>
        </w:tc>
        <w:tc>
          <w:tcPr>
            <w:tcW w:w="5130" w:type="dxa"/>
          </w:tcPr>
          <w:p w14:paraId="34B2504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13. “Institucion krediti i specializuar në kredi </w:t>
            </w:r>
            <w:proofErr w:type="spellStart"/>
            <w:r w:rsidRPr="00735452">
              <w:rPr>
                <w:rFonts w:ascii="Times New Roman" w:eastAsia="Times New Roman" w:hAnsi="Times New Roman" w:cs="Times New Roman"/>
                <w:sz w:val="20"/>
                <w:szCs w:val="20"/>
                <w:lang w:val="sq-AL"/>
              </w:rPr>
              <w:t>hipotekore</w:t>
            </w:r>
            <w:proofErr w:type="spellEnd"/>
            <w:r w:rsidRPr="00735452">
              <w:rPr>
                <w:rFonts w:ascii="Times New Roman" w:eastAsia="Times New Roman" w:hAnsi="Times New Roman" w:cs="Times New Roman"/>
                <w:sz w:val="20"/>
                <w:szCs w:val="20"/>
                <w:lang w:val="sq-AL"/>
              </w:rPr>
              <w:t xml:space="preserve">” është një institucion krediti që financon </w:t>
            </w:r>
            <w:proofErr w:type="spellStart"/>
            <w:r w:rsidRPr="00735452">
              <w:rPr>
                <w:rFonts w:ascii="Times New Roman" w:eastAsia="Times New Roman" w:hAnsi="Times New Roman" w:cs="Times New Roman"/>
                <w:sz w:val="20"/>
                <w:szCs w:val="20"/>
                <w:lang w:val="sq-AL"/>
              </w:rPr>
              <w:t>huatë</w:t>
            </w:r>
            <w:proofErr w:type="spellEnd"/>
            <w:r w:rsidRPr="00735452">
              <w:rPr>
                <w:rFonts w:ascii="Times New Roman" w:eastAsia="Times New Roman" w:hAnsi="Times New Roman" w:cs="Times New Roman"/>
                <w:sz w:val="20"/>
                <w:szCs w:val="20"/>
                <w:lang w:val="sq-AL"/>
              </w:rPr>
              <w:t xml:space="preserve"> vetëm ose kryesisht përmes emetimit të obligacioneve të mbuluara, i cili ushtron vetëm veprimtari kreditimi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dhe kreditimi ndaj sektorit publik, dhe nuk lejohet të marrë depozita, por mund të marrë fonde të tjera të kthyeshme nga publiku.</w:t>
            </w:r>
          </w:p>
        </w:tc>
        <w:tc>
          <w:tcPr>
            <w:tcW w:w="1440" w:type="dxa"/>
          </w:tcPr>
          <w:p w14:paraId="37BEF688" w14:textId="5751296F"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4049C78"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613DC8C0" w14:textId="77777777" w:rsidTr="004D61BC">
        <w:trPr>
          <w:gridAfter w:val="1"/>
          <w:wAfter w:w="14" w:type="dxa"/>
        </w:trPr>
        <w:tc>
          <w:tcPr>
            <w:tcW w:w="800" w:type="dxa"/>
            <w:tcBorders>
              <w:left w:val="single" w:sz="12" w:space="0" w:color="auto"/>
            </w:tcBorders>
          </w:tcPr>
          <w:p w14:paraId="29692BA4" w14:textId="77777777" w:rsidR="00717DF1" w:rsidRPr="00735452" w:rsidRDefault="00F87277"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3A508D" w:rsidRPr="00735452">
              <w:rPr>
                <w:rFonts w:ascii="Times New Roman" w:eastAsia="Times New Roman" w:hAnsi="Times New Roman" w:cs="Times New Roman"/>
                <w:sz w:val="20"/>
                <w:szCs w:val="20"/>
                <w:lang w:val="sq-AL"/>
              </w:rPr>
              <w:t xml:space="preserve"> 9</w:t>
            </w:r>
          </w:p>
        </w:tc>
        <w:tc>
          <w:tcPr>
            <w:tcW w:w="5220" w:type="dxa"/>
            <w:tcBorders>
              <w:right w:val="single" w:sz="12" w:space="0" w:color="auto"/>
            </w:tcBorders>
          </w:tcPr>
          <w:p w14:paraId="42BBEA8D"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(9) “përshpejtim automatik” nënkupton një situatë në të cilën një obligacion i mbuluar bëhet automatikisht menjëherë i pagueshëm në rast falimentimi ose zgjidhjeje të emetuesit, dhe për të cilën investitorët në obligacione të mbuluara kanë një pretendim të ekzekutueshëm për shlyerje në një kohë më të hershme se data fillestare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3E21F100" w14:textId="795C7C97" w:rsidR="00717DF1" w:rsidRPr="00735452" w:rsidRDefault="00EC7109"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727554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24</w:t>
            </w:r>
          </w:p>
        </w:tc>
        <w:tc>
          <w:tcPr>
            <w:tcW w:w="5130" w:type="dxa"/>
          </w:tcPr>
          <w:p w14:paraId="7B00760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24. “Përshpejtim automatik” është situata, në të cilën një obligacion i mbuluar bëhet automatikisht menjëherë i </w:t>
            </w:r>
            <w:proofErr w:type="spellStart"/>
            <w:r w:rsidRPr="00735452">
              <w:rPr>
                <w:rFonts w:ascii="Times New Roman" w:eastAsia="Times New Roman" w:hAnsi="Times New Roman" w:cs="Times New Roman"/>
                <w:sz w:val="20"/>
                <w:szCs w:val="20"/>
                <w:lang w:val="sq-AL"/>
              </w:rPr>
              <w:t>maturuar</w:t>
            </w:r>
            <w:proofErr w:type="spellEnd"/>
            <w:r w:rsidRPr="00735452">
              <w:rPr>
                <w:rFonts w:ascii="Times New Roman" w:eastAsia="Times New Roman" w:hAnsi="Times New Roman" w:cs="Times New Roman"/>
                <w:sz w:val="20"/>
                <w:szCs w:val="20"/>
                <w:lang w:val="sq-AL"/>
              </w:rPr>
              <w:t xml:space="preserve"> dhe i pagueshëm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të emetuesit, dhe për të cilin investitorët e obligacioneve të mbuluara kanë një pretendim të ekzekutueshëm për shlyerje në një kohë më të hershme se data fillestare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p>
        </w:tc>
        <w:tc>
          <w:tcPr>
            <w:tcW w:w="1440" w:type="dxa"/>
          </w:tcPr>
          <w:p w14:paraId="5BBD3C44" w14:textId="68CA3BED"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5BDE66E" w14:textId="77777777" w:rsidR="003E7E51" w:rsidRPr="00735452" w:rsidRDefault="003E7E51">
            <w:pPr>
              <w:spacing w:after="0" w:line="240" w:lineRule="auto"/>
              <w:rPr>
                <w:rFonts w:ascii="Times New Roman" w:hAnsi="Times New Roman" w:cs="Times New Roman"/>
                <w:sz w:val="20"/>
                <w:szCs w:val="20"/>
                <w:lang w:val="sq-AL"/>
              </w:rPr>
            </w:pPr>
          </w:p>
        </w:tc>
      </w:tr>
      <w:tr w:rsidR="00717DF1" w:rsidRPr="00735452" w14:paraId="7870F355" w14:textId="77777777" w:rsidTr="004D61BC">
        <w:trPr>
          <w:gridAfter w:val="1"/>
          <w:wAfter w:w="14" w:type="dxa"/>
        </w:trPr>
        <w:tc>
          <w:tcPr>
            <w:tcW w:w="800" w:type="dxa"/>
            <w:tcBorders>
              <w:left w:val="single" w:sz="12" w:space="0" w:color="auto"/>
            </w:tcBorders>
          </w:tcPr>
          <w:p w14:paraId="1A4B4FD5" w14:textId="7E059794" w:rsidR="00717DF1" w:rsidRPr="00735452" w:rsidRDefault="00F87277"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10</w:t>
            </w:r>
          </w:p>
        </w:tc>
        <w:tc>
          <w:tcPr>
            <w:tcW w:w="5220" w:type="dxa"/>
            <w:tcBorders>
              <w:right w:val="single" w:sz="12" w:space="0" w:color="auto"/>
            </w:tcBorders>
          </w:tcPr>
          <w:p w14:paraId="56426F4D" w14:textId="77777777" w:rsidR="00717DF1" w:rsidRPr="00735452" w:rsidRDefault="00717DF1" w:rsidP="001A1B6A">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(10) “vlerë tregu” nënkupton, për qëllimet e pasurisë së paluajtshme, vlerën e tregut sipas përkufizimit në nenin 4, paragrafi 1, pika 76, të Rregullores (BE) nr. 575/2013;</w:t>
            </w:r>
          </w:p>
        </w:tc>
        <w:tc>
          <w:tcPr>
            <w:tcW w:w="624" w:type="dxa"/>
            <w:tcBorders>
              <w:left w:val="single" w:sz="12" w:space="0" w:color="auto"/>
            </w:tcBorders>
          </w:tcPr>
          <w:p w14:paraId="4DB4BD68" w14:textId="0F59732C" w:rsidR="00717DF1" w:rsidRPr="00735452" w:rsidRDefault="00CF6E4A" w:rsidP="001A1B6A">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9D30FD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27</w:t>
            </w:r>
          </w:p>
        </w:tc>
        <w:tc>
          <w:tcPr>
            <w:tcW w:w="5130" w:type="dxa"/>
          </w:tcPr>
          <w:p w14:paraId="21140C91"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27. “Vlera e tregut” është vlera e tregut siç përcaktohet në kuadrin rregullator në fuqi dhe kur Shqipëria të bëhet vend anëtar në nenin 4, pika 1, pika 76 të Rregullores (BE) nr. 575/2013.</w:t>
            </w:r>
          </w:p>
        </w:tc>
        <w:tc>
          <w:tcPr>
            <w:tcW w:w="1440" w:type="dxa"/>
          </w:tcPr>
          <w:p w14:paraId="1932DF82" w14:textId="4349A076"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FB546FB"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4C51C464" w14:textId="77777777" w:rsidTr="004D61BC">
        <w:trPr>
          <w:gridAfter w:val="1"/>
          <w:wAfter w:w="14" w:type="dxa"/>
        </w:trPr>
        <w:tc>
          <w:tcPr>
            <w:tcW w:w="800" w:type="dxa"/>
            <w:tcBorders>
              <w:left w:val="single" w:sz="12" w:space="0" w:color="auto"/>
            </w:tcBorders>
          </w:tcPr>
          <w:p w14:paraId="2033F027" w14:textId="085D7130"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11</w:t>
            </w:r>
          </w:p>
        </w:tc>
        <w:tc>
          <w:tcPr>
            <w:tcW w:w="5220" w:type="dxa"/>
            <w:tcBorders>
              <w:right w:val="single" w:sz="12" w:space="0" w:color="auto"/>
            </w:tcBorders>
          </w:tcPr>
          <w:p w14:paraId="0390CDC8"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(11) “vlerë kreditimi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nënkupton, për qëllimet e pasurisë së paluajtshme, vlerën e kreditimit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sipas përkufizimit në nenin 4, paragrafi 1, pika 74, të Rregullores (BE) nr. 575/2013;</w:t>
            </w:r>
          </w:p>
        </w:tc>
        <w:tc>
          <w:tcPr>
            <w:tcW w:w="624" w:type="dxa"/>
            <w:tcBorders>
              <w:left w:val="single" w:sz="12" w:space="0" w:color="auto"/>
            </w:tcBorders>
          </w:tcPr>
          <w:p w14:paraId="65331B50" w14:textId="5CE1188D" w:rsidR="00751469" w:rsidRPr="00735452" w:rsidRDefault="00CF6E4A"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4ABCBF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28</w:t>
            </w:r>
          </w:p>
        </w:tc>
        <w:tc>
          <w:tcPr>
            <w:tcW w:w="5130" w:type="dxa"/>
          </w:tcPr>
          <w:p w14:paraId="7DBC9EE4"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28. “Vlera e kredisë </w:t>
            </w:r>
            <w:proofErr w:type="spellStart"/>
            <w:r w:rsidRPr="00735452">
              <w:rPr>
                <w:rFonts w:ascii="Times New Roman" w:eastAsia="Times New Roman" w:hAnsi="Times New Roman" w:cs="Times New Roman"/>
                <w:sz w:val="20"/>
                <w:szCs w:val="20"/>
                <w:lang w:val="sq-AL"/>
              </w:rPr>
              <w:t>hipotekore</w:t>
            </w:r>
            <w:proofErr w:type="spellEnd"/>
            <w:r w:rsidRPr="00735452">
              <w:rPr>
                <w:rFonts w:ascii="Times New Roman" w:eastAsia="Times New Roman" w:hAnsi="Times New Roman" w:cs="Times New Roman"/>
                <w:sz w:val="20"/>
                <w:szCs w:val="20"/>
                <w:lang w:val="sq-AL"/>
              </w:rPr>
              <w:t xml:space="preserve">” nënkupton, për qëllimet e pasurisë së paluajtshme, vlerën e kreditimit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siç përcaktohet në pikën (74) të nenit 4, paragrafi 1, të Rregullores (BE) nr. 575/2013.</w:t>
            </w:r>
          </w:p>
        </w:tc>
        <w:tc>
          <w:tcPr>
            <w:tcW w:w="1440" w:type="dxa"/>
          </w:tcPr>
          <w:p w14:paraId="48287ADA" w14:textId="0F4C632F"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3FDD7EF"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1C2E41C7" w14:textId="77777777" w:rsidTr="00D700E4">
        <w:trPr>
          <w:gridAfter w:val="1"/>
          <w:wAfter w:w="14" w:type="dxa"/>
          <w:trHeight w:val="377"/>
        </w:trPr>
        <w:tc>
          <w:tcPr>
            <w:tcW w:w="800" w:type="dxa"/>
            <w:tcBorders>
              <w:left w:val="single" w:sz="12" w:space="0" w:color="auto"/>
            </w:tcBorders>
          </w:tcPr>
          <w:p w14:paraId="77E7FEA0" w14:textId="71A8CB2C"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12</w:t>
            </w:r>
          </w:p>
        </w:tc>
        <w:tc>
          <w:tcPr>
            <w:tcW w:w="5220" w:type="dxa"/>
            <w:tcBorders>
              <w:right w:val="single" w:sz="12" w:space="0" w:color="auto"/>
            </w:tcBorders>
          </w:tcPr>
          <w:p w14:paraId="1A203936"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(12) “aktive primare” nënkupton aktivet mbuluese mbizotëruese që përcaktojnë natyrën e portofolit të mbulimit;</w:t>
            </w:r>
          </w:p>
        </w:tc>
        <w:tc>
          <w:tcPr>
            <w:tcW w:w="624" w:type="dxa"/>
            <w:tcBorders>
              <w:left w:val="single" w:sz="12" w:space="0" w:color="auto"/>
            </w:tcBorders>
          </w:tcPr>
          <w:p w14:paraId="613F9479" w14:textId="5F1660AC" w:rsidR="00751469" w:rsidRPr="00735452" w:rsidRDefault="00CF6E4A"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F2FC73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3</w:t>
            </w:r>
          </w:p>
        </w:tc>
        <w:tc>
          <w:tcPr>
            <w:tcW w:w="5130" w:type="dxa"/>
          </w:tcPr>
          <w:p w14:paraId="46FA59F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“Aktive primare” janë aktivet dominuese për mbulim që përcaktojnë natyrën e grupit të mbulimit.</w:t>
            </w:r>
          </w:p>
        </w:tc>
        <w:tc>
          <w:tcPr>
            <w:tcW w:w="1440" w:type="dxa"/>
          </w:tcPr>
          <w:p w14:paraId="0D5AB33A" w14:textId="278991C1"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B9A5EA8"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5ADBAFDA" w14:textId="77777777" w:rsidTr="004D61BC">
        <w:trPr>
          <w:gridAfter w:val="1"/>
          <w:wAfter w:w="14" w:type="dxa"/>
        </w:trPr>
        <w:tc>
          <w:tcPr>
            <w:tcW w:w="800" w:type="dxa"/>
            <w:tcBorders>
              <w:left w:val="single" w:sz="12" w:space="0" w:color="auto"/>
            </w:tcBorders>
          </w:tcPr>
          <w:p w14:paraId="359E34C1" w14:textId="05BAB664"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w:t>
            </w:r>
            <w:r w:rsidR="00D15FBC" w:rsidRPr="00735452">
              <w:rPr>
                <w:rFonts w:ascii="Times New Roman" w:eastAsia="Times New Roman" w:hAnsi="Times New Roman" w:cs="Times New Roman"/>
                <w:sz w:val="20"/>
                <w:szCs w:val="20"/>
                <w:lang w:val="sq-AL"/>
              </w:rPr>
              <w:t xml:space="preserve"> 13</w:t>
            </w:r>
          </w:p>
        </w:tc>
        <w:tc>
          <w:tcPr>
            <w:tcW w:w="5220" w:type="dxa"/>
            <w:tcBorders>
              <w:right w:val="single" w:sz="12" w:space="0" w:color="auto"/>
            </w:tcBorders>
          </w:tcPr>
          <w:p w14:paraId="115A9234"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(13) “aktive zëvendësuese” nënkupton aktive mbuluese që kontribuojnë në përmbushjen e kërkesave të mbulimit, përveç aktiveve primare</w:t>
            </w:r>
          </w:p>
        </w:tc>
        <w:tc>
          <w:tcPr>
            <w:tcW w:w="624" w:type="dxa"/>
            <w:tcBorders>
              <w:left w:val="single" w:sz="12" w:space="0" w:color="auto"/>
            </w:tcBorders>
          </w:tcPr>
          <w:p w14:paraId="5AA7904F" w14:textId="136DBACD" w:rsidR="00751469" w:rsidRPr="00735452" w:rsidRDefault="00CF6E4A"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958021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4</w:t>
            </w:r>
          </w:p>
        </w:tc>
        <w:tc>
          <w:tcPr>
            <w:tcW w:w="5130" w:type="dxa"/>
          </w:tcPr>
          <w:p w14:paraId="7055DD1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“Aktive zëvendësuese” janë aktivet për mbulim që kontribuojnë në përmbushjen e kërkesave për mbulim, por nuk janë aktive primare.</w:t>
            </w:r>
          </w:p>
        </w:tc>
        <w:tc>
          <w:tcPr>
            <w:tcW w:w="1440" w:type="dxa"/>
          </w:tcPr>
          <w:p w14:paraId="290F8AEE" w14:textId="7489B062" w:rsidR="003E7E51" w:rsidRPr="00735452" w:rsidRDefault="00B86A3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451A2B4"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1F92E975" w14:textId="77777777" w:rsidTr="004D61BC">
        <w:trPr>
          <w:gridAfter w:val="1"/>
          <w:wAfter w:w="14" w:type="dxa"/>
        </w:trPr>
        <w:tc>
          <w:tcPr>
            <w:tcW w:w="800" w:type="dxa"/>
            <w:tcBorders>
              <w:left w:val="single" w:sz="12" w:space="0" w:color="auto"/>
            </w:tcBorders>
          </w:tcPr>
          <w:p w14:paraId="38F61D94" w14:textId="176B0C3B"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14</w:t>
            </w:r>
          </w:p>
        </w:tc>
        <w:tc>
          <w:tcPr>
            <w:tcW w:w="5220" w:type="dxa"/>
            <w:tcBorders>
              <w:right w:val="single" w:sz="12" w:space="0" w:color="auto"/>
            </w:tcBorders>
          </w:tcPr>
          <w:p w14:paraId="54D9995F"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(14) “</w:t>
            </w:r>
            <w:proofErr w:type="spellStart"/>
            <w:r w:rsidRPr="00735452">
              <w:rPr>
                <w:rFonts w:ascii="Times New Roman" w:eastAsia="Times New Roman" w:hAnsi="Times New Roman" w:cs="Times New Roman"/>
                <w:sz w:val="20"/>
                <w:szCs w:val="20"/>
                <w:lang w:val="sq-AL"/>
              </w:rPr>
              <w:t>mbikolateralizim</w:t>
            </w:r>
            <w:proofErr w:type="spellEnd"/>
            <w:r w:rsidRPr="00735452">
              <w:rPr>
                <w:rFonts w:ascii="Times New Roman" w:eastAsia="Times New Roman" w:hAnsi="Times New Roman" w:cs="Times New Roman"/>
                <w:sz w:val="20"/>
                <w:szCs w:val="20"/>
                <w:lang w:val="sq-AL"/>
              </w:rPr>
              <w:t xml:space="preserve">” nënkupton tërësinë e nivelit ligjor, </w:t>
            </w:r>
            <w:proofErr w:type="spellStart"/>
            <w:r w:rsidRPr="00735452">
              <w:rPr>
                <w:rFonts w:ascii="Times New Roman" w:eastAsia="Times New Roman" w:hAnsi="Times New Roman" w:cs="Times New Roman"/>
                <w:sz w:val="20"/>
                <w:szCs w:val="20"/>
                <w:lang w:val="sq-AL"/>
              </w:rPr>
              <w:t>kontraktor</w:t>
            </w:r>
            <w:proofErr w:type="spellEnd"/>
            <w:r w:rsidRPr="00735452">
              <w:rPr>
                <w:rFonts w:ascii="Times New Roman" w:eastAsia="Times New Roman" w:hAnsi="Times New Roman" w:cs="Times New Roman"/>
                <w:sz w:val="20"/>
                <w:szCs w:val="20"/>
                <w:lang w:val="sq-AL"/>
              </w:rPr>
              <w:t xml:space="preserve"> ose vullnetar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që tejkalon kërkesën për mbulim të parashikuar në nenin 15;</w:t>
            </w:r>
          </w:p>
        </w:tc>
        <w:tc>
          <w:tcPr>
            <w:tcW w:w="624" w:type="dxa"/>
            <w:tcBorders>
              <w:left w:val="single" w:sz="12" w:space="0" w:color="auto"/>
            </w:tcBorders>
          </w:tcPr>
          <w:p w14:paraId="3ADDACDA" w14:textId="51687C00" w:rsidR="00751469" w:rsidRPr="00735452" w:rsidRDefault="00CF6E4A"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53CEAC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18</w:t>
            </w:r>
          </w:p>
        </w:tc>
        <w:tc>
          <w:tcPr>
            <w:tcW w:w="5130" w:type="dxa"/>
          </w:tcPr>
          <w:p w14:paraId="6D07CE5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18. “</w:t>
            </w:r>
            <w:proofErr w:type="spellStart"/>
            <w:r w:rsidRPr="00735452">
              <w:rPr>
                <w:rFonts w:ascii="Times New Roman" w:eastAsia="Times New Roman" w:hAnsi="Times New Roman" w:cs="Times New Roman"/>
                <w:sz w:val="20"/>
                <w:szCs w:val="20"/>
                <w:lang w:val="sq-AL"/>
              </w:rPr>
              <w:t>Mbikolateralizim</w:t>
            </w:r>
            <w:proofErr w:type="spellEnd"/>
            <w:r w:rsidRPr="00735452">
              <w:rPr>
                <w:rFonts w:ascii="Times New Roman" w:eastAsia="Times New Roman" w:hAnsi="Times New Roman" w:cs="Times New Roman"/>
                <w:sz w:val="20"/>
                <w:szCs w:val="20"/>
                <w:lang w:val="sq-AL"/>
              </w:rPr>
              <w:t xml:space="preserve">” është gjithë niveli i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të përcaktuar me statut, kontratë ose në mënyrë vullnetare, i cili tejkalon kërkesën e mbulimit sipas nenit 16, të këtij ligji.</w:t>
            </w:r>
          </w:p>
        </w:tc>
        <w:tc>
          <w:tcPr>
            <w:tcW w:w="1440" w:type="dxa"/>
          </w:tcPr>
          <w:p w14:paraId="5F842869" w14:textId="2E5264DE" w:rsidR="003E7E51" w:rsidRPr="00735452" w:rsidRDefault="00D4678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C0F3C8D"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0A8ED49D" w14:textId="77777777" w:rsidTr="004D61BC">
        <w:trPr>
          <w:gridAfter w:val="1"/>
          <w:wAfter w:w="14" w:type="dxa"/>
        </w:trPr>
        <w:tc>
          <w:tcPr>
            <w:tcW w:w="800" w:type="dxa"/>
            <w:tcBorders>
              <w:left w:val="single" w:sz="12" w:space="0" w:color="auto"/>
            </w:tcBorders>
          </w:tcPr>
          <w:p w14:paraId="6212E746" w14:textId="2C9ADED1"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15</w:t>
            </w:r>
          </w:p>
        </w:tc>
        <w:tc>
          <w:tcPr>
            <w:tcW w:w="5220" w:type="dxa"/>
            <w:tcBorders>
              <w:right w:val="single" w:sz="12" w:space="0" w:color="auto"/>
            </w:tcBorders>
          </w:tcPr>
          <w:p w14:paraId="0A3F43FF"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(15) “kërkesa për përputhjen e financimit” nënkupton rregulla që kërkojnë përputhjen e flukseve monetare ndërmjet detyrimeve dhe aktiveve që </w:t>
            </w:r>
            <w:proofErr w:type="spellStart"/>
            <w:r w:rsidRPr="00735452">
              <w:rPr>
                <w:rFonts w:ascii="Times New Roman" w:eastAsia="Times New Roman" w:hAnsi="Times New Roman" w:cs="Times New Roman"/>
                <w:sz w:val="20"/>
                <w:szCs w:val="20"/>
                <w:lang w:val="sq-AL"/>
              </w:rPr>
              <w:t>maturohen</w:t>
            </w:r>
            <w:proofErr w:type="spellEnd"/>
            <w:r w:rsidRPr="00735452">
              <w:rPr>
                <w:rFonts w:ascii="Times New Roman" w:eastAsia="Times New Roman" w:hAnsi="Times New Roman" w:cs="Times New Roman"/>
                <w:sz w:val="20"/>
                <w:szCs w:val="20"/>
                <w:lang w:val="sq-AL"/>
              </w:rPr>
              <w:t xml:space="preserve">, duke siguruar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që pagesat nga huamarrësit dhe nga </w:t>
            </w:r>
            <w:proofErr w:type="spellStart"/>
            <w:r w:rsidRPr="00735452">
              <w:rPr>
                <w:rFonts w:ascii="Times New Roman" w:eastAsia="Times New Roman" w:hAnsi="Times New Roman" w:cs="Times New Roman"/>
                <w:sz w:val="20"/>
                <w:szCs w:val="20"/>
                <w:lang w:val="sq-AL"/>
              </w:rPr>
              <w:t>kundërpalët</w:t>
            </w:r>
            <w:proofErr w:type="spellEnd"/>
            <w:r w:rsidRPr="00735452">
              <w:rPr>
                <w:rFonts w:ascii="Times New Roman" w:eastAsia="Times New Roman" w:hAnsi="Times New Roman" w:cs="Times New Roman"/>
                <w:sz w:val="20"/>
                <w:szCs w:val="20"/>
                <w:lang w:val="sq-AL"/>
              </w:rPr>
              <w:t xml:space="preserve">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bëhen të detyrueshme përpara se të kryhen pagesat ndaj investitorëve në obligacione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shumat e marra të jenë së paku të barabarta në vlerë me pagesat që duhet të kryhen ndaj investitorëve në obligacione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si dhe që shumat e marra nga huamarrësit dhe </w:t>
            </w:r>
            <w:proofErr w:type="spellStart"/>
            <w:r w:rsidRPr="00735452">
              <w:rPr>
                <w:rFonts w:ascii="Times New Roman" w:eastAsia="Times New Roman" w:hAnsi="Times New Roman" w:cs="Times New Roman"/>
                <w:sz w:val="20"/>
                <w:szCs w:val="20"/>
                <w:lang w:val="sq-AL"/>
              </w:rPr>
              <w:t>kundërpalët</w:t>
            </w:r>
            <w:proofErr w:type="spellEnd"/>
            <w:r w:rsidRPr="00735452">
              <w:rPr>
                <w:rFonts w:ascii="Times New Roman" w:eastAsia="Times New Roman" w:hAnsi="Times New Roman" w:cs="Times New Roman"/>
                <w:sz w:val="20"/>
                <w:szCs w:val="20"/>
                <w:lang w:val="sq-AL"/>
              </w:rPr>
              <w:t xml:space="preserve">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përfshihen në portofolin e mbulimit në përputhje me nenin 16, paragrafi 3, deri sa pagesat të bëhen të detyrueshme ndaj investitorëve në obligacione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p>
        </w:tc>
        <w:tc>
          <w:tcPr>
            <w:tcW w:w="624" w:type="dxa"/>
            <w:tcBorders>
              <w:left w:val="single" w:sz="12" w:space="0" w:color="auto"/>
            </w:tcBorders>
          </w:tcPr>
          <w:p w14:paraId="38203FC4" w14:textId="1186EAE7" w:rsidR="00751469" w:rsidRPr="00735452" w:rsidRDefault="00CF6E4A"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83B0989"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15</w:t>
            </w:r>
          </w:p>
        </w:tc>
        <w:tc>
          <w:tcPr>
            <w:tcW w:w="5130" w:type="dxa"/>
          </w:tcPr>
          <w:p w14:paraId="1BE9A39D"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15. “Kërkesat për përputhjen e financimit” janë rregullat përcaktuese sipas të cilave:</w:t>
            </w:r>
            <w:r w:rsidRPr="00735452">
              <w:rPr>
                <w:rFonts w:ascii="Times New Roman" w:eastAsia="Times New Roman" w:hAnsi="Times New Roman" w:cs="Times New Roman"/>
                <w:sz w:val="20"/>
                <w:szCs w:val="20"/>
                <w:lang w:val="sq-AL"/>
              </w:rPr>
              <w:br/>
              <w:t xml:space="preserve">        a) flukset monetare ndërmjet detyrimeve dhe aktiveve që bëhen të pagueshme të përputhen, duke siguruar në kushtet dhe termat </w:t>
            </w:r>
            <w:proofErr w:type="spellStart"/>
            <w:r w:rsidRPr="00735452">
              <w:rPr>
                <w:rFonts w:ascii="Times New Roman" w:eastAsia="Times New Roman" w:hAnsi="Times New Roman" w:cs="Times New Roman"/>
                <w:sz w:val="20"/>
                <w:szCs w:val="20"/>
                <w:lang w:val="sq-AL"/>
              </w:rPr>
              <w:t>kontraktualë</w:t>
            </w:r>
            <w:proofErr w:type="spellEnd"/>
            <w:r w:rsidRPr="00735452">
              <w:rPr>
                <w:rFonts w:ascii="Times New Roman" w:eastAsia="Times New Roman" w:hAnsi="Times New Roman" w:cs="Times New Roman"/>
                <w:sz w:val="20"/>
                <w:szCs w:val="20"/>
                <w:lang w:val="sq-AL"/>
              </w:rPr>
              <w:t xml:space="preserve"> që pagesat nga huamarrësit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në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bëhen të pagueshme përpara se të kryhen pagesat ndaj investitorëve të obligacioneve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në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        b)  shumat e marra të jenë të paktën të barabarta në vlerë me pagesat që duhet t'u bëhen investitorëve të obligacioneve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në kontratat </w:t>
            </w:r>
            <w:proofErr w:type="spellStart"/>
            <w:r w:rsidRPr="00735452">
              <w:rPr>
                <w:rFonts w:ascii="Times New Roman" w:eastAsia="Times New Roman" w:hAnsi="Times New Roman" w:cs="Times New Roman"/>
                <w:sz w:val="20"/>
                <w:szCs w:val="20"/>
                <w:lang w:val="sq-AL"/>
              </w:rPr>
              <w:t>derivativë</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        c) që shumat e marra nga huamarrësit dhe </w:t>
            </w:r>
            <w:proofErr w:type="spellStart"/>
            <w:r w:rsidRPr="00735452">
              <w:rPr>
                <w:rFonts w:ascii="Times New Roman" w:eastAsia="Times New Roman" w:hAnsi="Times New Roman" w:cs="Times New Roman"/>
                <w:sz w:val="20"/>
                <w:szCs w:val="20"/>
                <w:lang w:val="sq-AL"/>
              </w:rPr>
              <w:t>kundërpalët</w:t>
            </w:r>
            <w:proofErr w:type="spellEnd"/>
            <w:r w:rsidRPr="00735452">
              <w:rPr>
                <w:rFonts w:ascii="Times New Roman" w:eastAsia="Times New Roman" w:hAnsi="Times New Roman" w:cs="Times New Roman"/>
                <w:sz w:val="20"/>
                <w:szCs w:val="20"/>
                <w:lang w:val="sq-AL"/>
              </w:rPr>
              <w:t xml:space="preserve"> në kontratat </w:t>
            </w:r>
            <w:proofErr w:type="spellStart"/>
            <w:r w:rsidRPr="00735452">
              <w:rPr>
                <w:rFonts w:ascii="Times New Roman" w:eastAsia="Times New Roman" w:hAnsi="Times New Roman" w:cs="Times New Roman"/>
                <w:sz w:val="20"/>
                <w:szCs w:val="20"/>
                <w:lang w:val="sq-AL"/>
              </w:rPr>
              <w:t>derivativë</w:t>
            </w:r>
            <w:proofErr w:type="spellEnd"/>
            <w:r w:rsidRPr="00735452">
              <w:rPr>
                <w:rFonts w:ascii="Times New Roman" w:eastAsia="Times New Roman" w:hAnsi="Times New Roman" w:cs="Times New Roman"/>
                <w:sz w:val="20"/>
                <w:szCs w:val="20"/>
                <w:lang w:val="sq-AL"/>
              </w:rPr>
              <w:t xml:space="preserve"> të përfshihen në grupin e mbulimit  në përputhje me nenin 17, pika 3, deri në momentin kur pagesat bëhen të pagueshme ndaj investitorëve të obligacioneve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në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1440" w:type="dxa"/>
          </w:tcPr>
          <w:p w14:paraId="6D368584" w14:textId="1DC58608" w:rsidR="003E7E51" w:rsidRPr="00735452" w:rsidRDefault="00D4678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FACFDBB" w14:textId="64AC6A84"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5B69ED01" w14:textId="77777777" w:rsidTr="004D61BC">
        <w:trPr>
          <w:gridAfter w:val="1"/>
          <w:wAfter w:w="14" w:type="dxa"/>
        </w:trPr>
        <w:tc>
          <w:tcPr>
            <w:tcW w:w="800" w:type="dxa"/>
            <w:tcBorders>
              <w:left w:val="single" w:sz="12" w:space="0" w:color="auto"/>
            </w:tcBorders>
          </w:tcPr>
          <w:p w14:paraId="247F512C" w14:textId="6D36645F"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16</w:t>
            </w:r>
          </w:p>
        </w:tc>
        <w:tc>
          <w:tcPr>
            <w:tcW w:w="5220" w:type="dxa"/>
            <w:tcBorders>
              <w:right w:val="single" w:sz="12" w:space="0" w:color="auto"/>
            </w:tcBorders>
          </w:tcPr>
          <w:p w14:paraId="4359B90F"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(16) “dalje neto e likuiditetit” nënkupton të gjitha daljet e pagesave që bëhen të detyrueshme në një ditë, përfshirë pagesat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dhe interesit, si dhe pagesat sipas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programit të obligacioneve të mbuluara, neto nga të gjitha hyrjet e pagesave që bëhen të detyrueshme në të njëjtën ditë për pretendimet që lidhen me aktivet mbuluese;</w:t>
            </w:r>
          </w:p>
        </w:tc>
        <w:tc>
          <w:tcPr>
            <w:tcW w:w="624" w:type="dxa"/>
            <w:tcBorders>
              <w:left w:val="single" w:sz="12" w:space="0" w:color="auto"/>
            </w:tcBorders>
          </w:tcPr>
          <w:p w14:paraId="641D5781" w14:textId="5665EA24" w:rsidR="00751469" w:rsidRPr="00735452" w:rsidRDefault="00CF6E4A"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4B2CEA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9</w:t>
            </w:r>
          </w:p>
        </w:tc>
        <w:tc>
          <w:tcPr>
            <w:tcW w:w="5130" w:type="dxa"/>
          </w:tcPr>
          <w:p w14:paraId="6AAE8786" w14:textId="651E0B8E"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9. “Flukset dalëse neto të likuiditetit” është shuma e të gjitha daljeve të pagesave të pagueshme në një ditë të caktuar, duke përfshirë pagesat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dhe të interesit, si dhe pagesat sipas kontratave </w:t>
            </w:r>
            <w:proofErr w:type="spellStart"/>
            <w:r w:rsidRPr="00735452">
              <w:rPr>
                <w:rFonts w:ascii="Times New Roman" w:eastAsia="Times New Roman" w:hAnsi="Times New Roman" w:cs="Times New Roman"/>
                <w:sz w:val="20"/>
                <w:szCs w:val="20"/>
                <w:lang w:val="sq-AL"/>
              </w:rPr>
              <w:t>derivativ</w:t>
            </w:r>
            <w:r w:rsidR="00D00B7B">
              <w:rPr>
                <w:rFonts w:ascii="Times New Roman" w:eastAsia="Times New Roman" w:hAnsi="Times New Roman" w:cs="Times New Roman"/>
                <w:sz w:val="20"/>
                <w:szCs w:val="20"/>
                <w:lang w:val="sq-AL"/>
              </w:rPr>
              <w:t>e</w:t>
            </w:r>
            <w:proofErr w:type="spellEnd"/>
            <w:r w:rsidRPr="00735452">
              <w:rPr>
                <w:rFonts w:ascii="Times New Roman" w:eastAsia="Times New Roman" w:hAnsi="Times New Roman" w:cs="Times New Roman"/>
                <w:sz w:val="20"/>
                <w:szCs w:val="20"/>
                <w:lang w:val="sq-AL"/>
              </w:rPr>
              <w:t xml:space="preserve"> të programit të obligacioneve të mbuluara, pasi i është zbritur shuma e të gjitha hyrjeve e pagesave të pagueshme në të njëjtën ditë për pretendimet që lidhen me aktivet e mbulimit.</w:t>
            </w:r>
          </w:p>
        </w:tc>
        <w:tc>
          <w:tcPr>
            <w:tcW w:w="1440" w:type="dxa"/>
          </w:tcPr>
          <w:p w14:paraId="44921BFC" w14:textId="2D366670" w:rsidR="003E7E51" w:rsidRPr="00735452" w:rsidRDefault="00D4678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4487980"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1EAD197C" w14:textId="77777777" w:rsidTr="004D61BC">
        <w:trPr>
          <w:gridAfter w:val="1"/>
          <w:wAfter w:w="14" w:type="dxa"/>
        </w:trPr>
        <w:tc>
          <w:tcPr>
            <w:tcW w:w="800" w:type="dxa"/>
            <w:tcBorders>
              <w:left w:val="single" w:sz="12" w:space="0" w:color="auto"/>
            </w:tcBorders>
          </w:tcPr>
          <w:p w14:paraId="09B62079" w14:textId="6D672E81"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17</w:t>
            </w:r>
          </w:p>
        </w:tc>
        <w:tc>
          <w:tcPr>
            <w:tcW w:w="5220" w:type="dxa"/>
            <w:tcBorders>
              <w:right w:val="single" w:sz="12" w:space="0" w:color="auto"/>
            </w:tcBorders>
          </w:tcPr>
          <w:p w14:paraId="2B088505"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(17) “strukturë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nënkupton një mekanizëm që parashikon mundësinë e zgjatjes së maturitetit të planifikuar të obligacioneve të mbuluara për një periudhë kohe të paracaktuar dhe në rast se ndodh një shkas specifik;</w:t>
            </w:r>
          </w:p>
        </w:tc>
        <w:tc>
          <w:tcPr>
            <w:tcW w:w="624" w:type="dxa"/>
            <w:tcBorders>
              <w:left w:val="single" w:sz="12" w:space="0" w:color="auto"/>
            </w:tcBorders>
          </w:tcPr>
          <w:p w14:paraId="00E3DA1A" w14:textId="47CBB91F"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032BD49"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pikat 7 dhe 26</w:t>
            </w:r>
          </w:p>
        </w:tc>
        <w:tc>
          <w:tcPr>
            <w:tcW w:w="5130" w:type="dxa"/>
          </w:tcPr>
          <w:p w14:paraId="759468F1"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7. “Data përfundimtare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është data deri në të cilën mund të zgjatet </w:t>
            </w:r>
            <w:proofErr w:type="spellStart"/>
            <w:r w:rsidRPr="00735452">
              <w:rPr>
                <w:rFonts w:ascii="Times New Roman" w:eastAsia="Times New Roman" w:hAnsi="Times New Roman" w:cs="Times New Roman"/>
                <w:sz w:val="20"/>
                <w:szCs w:val="20"/>
                <w:lang w:val="sq-AL"/>
              </w:rPr>
              <w:t>maturimi</w:t>
            </w:r>
            <w:proofErr w:type="spellEnd"/>
            <w:r w:rsidRPr="00735452">
              <w:rPr>
                <w:rFonts w:ascii="Times New Roman" w:eastAsia="Times New Roman" w:hAnsi="Times New Roman" w:cs="Times New Roman"/>
                <w:sz w:val="20"/>
                <w:szCs w:val="20"/>
                <w:lang w:val="sq-AL"/>
              </w:rPr>
              <w:t xml:space="preserve"> i obligacioneve të mbuluara sipas strukturës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26. “Strukturë e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është mekanizmi që parashikon mundësinë e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planifikuar të obligacioneve të mbuluara për një periudhë kohe të paracaktuar dhe në rast se ndodh një ngjarje e caktuar.</w:t>
            </w:r>
          </w:p>
        </w:tc>
        <w:tc>
          <w:tcPr>
            <w:tcW w:w="1440" w:type="dxa"/>
          </w:tcPr>
          <w:p w14:paraId="598ADF88" w14:textId="1DB2DFB1" w:rsidR="003E7E51" w:rsidRPr="00735452" w:rsidRDefault="00D4678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FAE5985"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213C95E6" w14:textId="77777777" w:rsidTr="004D61BC">
        <w:trPr>
          <w:gridAfter w:val="1"/>
          <w:wAfter w:w="14" w:type="dxa"/>
        </w:trPr>
        <w:tc>
          <w:tcPr>
            <w:tcW w:w="800" w:type="dxa"/>
            <w:tcBorders>
              <w:left w:val="single" w:sz="12" w:space="0" w:color="auto"/>
            </w:tcBorders>
          </w:tcPr>
          <w:p w14:paraId="71B77F8A" w14:textId="1A5C108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18</w:t>
            </w:r>
          </w:p>
        </w:tc>
        <w:tc>
          <w:tcPr>
            <w:tcW w:w="5220" w:type="dxa"/>
            <w:tcBorders>
              <w:right w:val="single" w:sz="12" w:space="0" w:color="auto"/>
            </w:tcBorders>
          </w:tcPr>
          <w:p w14:paraId="27A4B4A4"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(18) “mbikëqyrje publike e obligacioneve të mbuluara” nënkupton mbikëqyrjen e programeve të obligacioneve të </w:t>
            </w:r>
            <w:r w:rsidRPr="00735452">
              <w:rPr>
                <w:rFonts w:ascii="Times New Roman" w:eastAsia="Times New Roman" w:hAnsi="Times New Roman" w:cs="Times New Roman"/>
                <w:sz w:val="20"/>
                <w:szCs w:val="20"/>
                <w:lang w:val="sq-AL"/>
              </w:rPr>
              <w:lastRenderedPageBreak/>
              <w:t>mbuluara që siguron pajtueshmërinë me kërkesat e zbatueshme për emetimin e obligacioneve të mbuluara dhe zbatimin e tyre;</w:t>
            </w:r>
          </w:p>
        </w:tc>
        <w:tc>
          <w:tcPr>
            <w:tcW w:w="624" w:type="dxa"/>
            <w:tcBorders>
              <w:left w:val="single" w:sz="12" w:space="0" w:color="auto"/>
            </w:tcBorders>
          </w:tcPr>
          <w:p w14:paraId="74B2B371" w14:textId="690BACFA"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069AFB4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16</w:t>
            </w:r>
          </w:p>
        </w:tc>
        <w:tc>
          <w:tcPr>
            <w:tcW w:w="5130" w:type="dxa"/>
          </w:tcPr>
          <w:p w14:paraId="02A684C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16. “Mbikëqyrja publike e obligacioneve të mbuluara” është mbikëqyrja e programeve të obligacioneve të mbuluara me </w:t>
            </w:r>
            <w:r w:rsidRPr="00735452">
              <w:rPr>
                <w:rFonts w:ascii="Times New Roman" w:eastAsia="Times New Roman" w:hAnsi="Times New Roman" w:cs="Times New Roman"/>
                <w:sz w:val="20"/>
                <w:szCs w:val="20"/>
                <w:lang w:val="sq-AL"/>
              </w:rPr>
              <w:lastRenderedPageBreak/>
              <w:t>qëllim sigurimin e përputhshmërisë me kërkesat e zbatueshme për emetimin e obligacioneve dhe zbatimin e tyre.</w:t>
            </w:r>
          </w:p>
        </w:tc>
        <w:tc>
          <w:tcPr>
            <w:tcW w:w="1440" w:type="dxa"/>
          </w:tcPr>
          <w:p w14:paraId="49405953" w14:textId="0E97F194" w:rsidR="003E7E51" w:rsidRPr="00735452" w:rsidRDefault="00D4678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44AFA43D"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253143EA" w14:textId="77777777" w:rsidTr="004D61BC">
        <w:trPr>
          <w:gridAfter w:val="1"/>
          <w:wAfter w:w="14" w:type="dxa"/>
        </w:trPr>
        <w:tc>
          <w:tcPr>
            <w:tcW w:w="800" w:type="dxa"/>
            <w:tcBorders>
              <w:left w:val="single" w:sz="12" w:space="0" w:color="auto"/>
            </w:tcBorders>
          </w:tcPr>
          <w:p w14:paraId="2C4F54F3" w14:textId="77AB0775"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19</w:t>
            </w:r>
          </w:p>
        </w:tc>
        <w:tc>
          <w:tcPr>
            <w:tcW w:w="5220" w:type="dxa"/>
            <w:tcBorders>
              <w:right w:val="single" w:sz="12" w:space="0" w:color="auto"/>
            </w:tcBorders>
          </w:tcPr>
          <w:p w14:paraId="7A7AB12F"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(19) “administrator i posaçëm” nënkupton personin ose entitetin e caktuar për të administruar një program obligacionesh të mbuluara në rast falimentimi të një institucioni krediti që emeton obligacione të mbuluara sipas atij programi, ose kur një institucion i tillë është konstatuar se ka dështuar ose ka gjasa të dështojë në përputhje me nenin 32, paragrafi 1, të Direktivës 2014/59/BE, ose, në rrethana të jashtëzakonshme, kur autoriteti kompetent përkatës përcakton se funksionimi i rregullt i atij institucioni krediti është në rrezik serioz;</w:t>
            </w:r>
          </w:p>
        </w:tc>
        <w:tc>
          <w:tcPr>
            <w:tcW w:w="624" w:type="dxa"/>
            <w:tcBorders>
              <w:left w:val="single" w:sz="12" w:space="0" w:color="auto"/>
            </w:tcBorders>
          </w:tcPr>
          <w:p w14:paraId="4FEC6025" w14:textId="7A9CDF32"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A313FE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5</w:t>
            </w:r>
          </w:p>
        </w:tc>
        <w:tc>
          <w:tcPr>
            <w:tcW w:w="5130" w:type="dxa"/>
          </w:tcPr>
          <w:p w14:paraId="0E6CB625"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5. “Administratori i posaçëm” është personi fizik ose juridik  i caktuar për administrimin e një programi të obligacioneve të mbuluara në rastet:</w:t>
            </w:r>
            <w:r w:rsidRPr="00735452">
              <w:rPr>
                <w:rFonts w:ascii="Times New Roman" w:eastAsia="Times New Roman" w:hAnsi="Times New Roman" w:cs="Times New Roman"/>
                <w:sz w:val="20"/>
                <w:szCs w:val="20"/>
                <w:lang w:val="sq-AL"/>
              </w:rPr>
              <w:br/>
              <w:t xml:space="preserve">        a) e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të institucionit të kreditit që i ka emetuar ato;</w:t>
            </w:r>
            <w:r w:rsidRPr="00735452">
              <w:rPr>
                <w:rFonts w:ascii="Times New Roman" w:eastAsia="Times New Roman" w:hAnsi="Times New Roman" w:cs="Times New Roman"/>
                <w:sz w:val="20"/>
                <w:szCs w:val="20"/>
                <w:lang w:val="sq-AL"/>
              </w:rPr>
              <w:br/>
              <w:t xml:space="preserve">        b) kur ky institucion konsiderohet se po dështon apo ka gjasa të dështojë sipas legjislacionit në fuqi për rimëkëmbjen dhe ndërhyrjen e jashtëzakonshme në institucionet e kreditit;</w:t>
            </w:r>
            <w:r w:rsidRPr="00735452">
              <w:rPr>
                <w:rFonts w:ascii="Times New Roman" w:eastAsia="Times New Roman" w:hAnsi="Times New Roman" w:cs="Times New Roman"/>
                <w:sz w:val="20"/>
                <w:szCs w:val="20"/>
                <w:lang w:val="sq-AL"/>
              </w:rPr>
              <w:br/>
              <w:t xml:space="preserve">        c) e rrethanave të jashtëzakonshme, kur autoriteti përgjegjës vlerëson se funksionimi i tij i rregullt i atij institucioni krediti është seriozisht i rrezikuar;</w:t>
            </w:r>
          </w:p>
        </w:tc>
        <w:tc>
          <w:tcPr>
            <w:tcW w:w="1440" w:type="dxa"/>
          </w:tcPr>
          <w:p w14:paraId="7B945246" w14:textId="3EDDEA60" w:rsidR="003E7E51" w:rsidRPr="00735452" w:rsidRDefault="00E80AB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4254769"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13235C43" w14:textId="77777777" w:rsidTr="004D61BC">
        <w:trPr>
          <w:gridAfter w:val="1"/>
          <w:wAfter w:w="14" w:type="dxa"/>
        </w:trPr>
        <w:tc>
          <w:tcPr>
            <w:tcW w:w="800" w:type="dxa"/>
            <w:tcBorders>
              <w:left w:val="single" w:sz="12" w:space="0" w:color="auto"/>
            </w:tcBorders>
          </w:tcPr>
          <w:p w14:paraId="6E072765" w14:textId="39338B90"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20</w:t>
            </w:r>
          </w:p>
        </w:tc>
        <w:tc>
          <w:tcPr>
            <w:tcW w:w="5220" w:type="dxa"/>
            <w:tcBorders>
              <w:right w:val="single" w:sz="12" w:space="0" w:color="auto"/>
            </w:tcBorders>
          </w:tcPr>
          <w:p w14:paraId="237F4128"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(20) “zgjidhje” nënkupton zgjidhjen sipas përkufizimit në nenin 2, paragrafi 1, pika 1, të Direktivës 2014/59/BE;</w:t>
            </w:r>
          </w:p>
        </w:tc>
        <w:tc>
          <w:tcPr>
            <w:tcW w:w="624" w:type="dxa"/>
            <w:tcBorders>
              <w:left w:val="single" w:sz="12" w:space="0" w:color="auto"/>
            </w:tcBorders>
          </w:tcPr>
          <w:p w14:paraId="63F371EC" w14:textId="21C279A0"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0D66552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21</w:t>
            </w:r>
          </w:p>
        </w:tc>
        <w:tc>
          <w:tcPr>
            <w:tcW w:w="5130" w:type="dxa"/>
          </w:tcPr>
          <w:p w14:paraId="29DCD07F"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21. “Ndërhyrje e jashtëzakonshme” është procesi sipas përkufizimit në legjislacionin në fuqi për rimëkëmbjen dhe ndërhyrjen e jashtëzakonshme në institucionet e kreditit në Republikën e Shqipërisë.</w:t>
            </w:r>
          </w:p>
        </w:tc>
        <w:tc>
          <w:tcPr>
            <w:tcW w:w="1440" w:type="dxa"/>
          </w:tcPr>
          <w:p w14:paraId="17375522" w14:textId="46B766DE" w:rsidR="003E7E51" w:rsidRPr="00735452" w:rsidRDefault="00E80AB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0C9A748"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71C89403" w14:textId="77777777" w:rsidTr="004D61BC">
        <w:trPr>
          <w:gridAfter w:val="1"/>
          <w:wAfter w:w="14" w:type="dxa"/>
        </w:trPr>
        <w:tc>
          <w:tcPr>
            <w:tcW w:w="800" w:type="dxa"/>
            <w:tcBorders>
              <w:left w:val="single" w:sz="12" w:space="0" w:color="auto"/>
            </w:tcBorders>
          </w:tcPr>
          <w:p w14:paraId="4E97276B" w14:textId="6F2DDF4D"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w:t>
            </w:r>
            <w:r w:rsidR="00D15FBC" w:rsidRPr="00735452">
              <w:rPr>
                <w:rFonts w:ascii="Times New Roman" w:eastAsia="Times New Roman" w:hAnsi="Times New Roman" w:cs="Times New Roman"/>
                <w:sz w:val="20"/>
                <w:szCs w:val="20"/>
                <w:lang w:val="sq-AL"/>
              </w:rPr>
              <w:t xml:space="preserve"> 21</w:t>
            </w:r>
          </w:p>
        </w:tc>
        <w:tc>
          <w:tcPr>
            <w:tcW w:w="5220" w:type="dxa"/>
            <w:tcBorders>
              <w:right w:val="single" w:sz="12" w:space="0" w:color="auto"/>
            </w:tcBorders>
          </w:tcPr>
          <w:p w14:paraId="17D00CBD"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(21) “grup” nënkupton një grup sipas përkufizimit në nenin 4, paragrafi 1, pika 138, të Rregullores (BE) nr. 575/2013;</w:t>
            </w:r>
          </w:p>
        </w:tc>
        <w:tc>
          <w:tcPr>
            <w:tcW w:w="624" w:type="dxa"/>
            <w:tcBorders>
              <w:left w:val="single" w:sz="12" w:space="0" w:color="auto"/>
            </w:tcBorders>
          </w:tcPr>
          <w:p w14:paraId="23857279" w14:textId="55B90D63"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1854E31"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10</w:t>
            </w:r>
          </w:p>
        </w:tc>
        <w:tc>
          <w:tcPr>
            <w:tcW w:w="5130" w:type="dxa"/>
          </w:tcPr>
          <w:p w14:paraId="02159D8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10. “Grup” nënkupton grupin siç përcaktohet në legjislacionin për institucionet e kreditit  dhe kur Shqipëria të bëhet vend anëtar sipas përkufizimit të dhënë në pikën 138, të nenit 4, pika 1, të Rregullores (BE) nr. 575/2013.</w:t>
            </w:r>
          </w:p>
        </w:tc>
        <w:tc>
          <w:tcPr>
            <w:tcW w:w="1440" w:type="dxa"/>
          </w:tcPr>
          <w:p w14:paraId="1248CA7D" w14:textId="5B08D8EA" w:rsidR="003E7E51" w:rsidRPr="00735452" w:rsidRDefault="00E80AB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D8CE8B8"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4F812EF0" w14:textId="77777777" w:rsidTr="004D61BC">
        <w:trPr>
          <w:gridAfter w:val="1"/>
          <w:wAfter w:w="14" w:type="dxa"/>
        </w:trPr>
        <w:tc>
          <w:tcPr>
            <w:tcW w:w="800" w:type="dxa"/>
            <w:tcBorders>
              <w:left w:val="single" w:sz="12" w:space="0" w:color="auto"/>
            </w:tcBorders>
          </w:tcPr>
          <w:p w14:paraId="36E327A2"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22</w:t>
            </w:r>
          </w:p>
        </w:tc>
        <w:tc>
          <w:tcPr>
            <w:tcW w:w="5220" w:type="dxa"/>
            <w:tcBorders>
              <w:right w:val="single" w:sz="12" w:space="0" w:color="auto"/>
            </w:tcBorders>
          </w:tcPr>
          <w:p w14:paraId="43744519"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(22) “ndërmarrje publike” nënkupton ndërmarrjet publike sipas përkufizimit në nenin 2, pika (b), të Direktivës 2006/111/KE të Komisionit.</w:t>
            </w:r>
          </w:p>
        </w:tc>
        <w:tc>
          <w:tcPr>
            <w:tcW w:w="624" w:type="dxa"/>
            <w:tcBorders>
              <w:left w:val="single" w:sz="12" w:space="0" w:color="auto"/>
            </w:tcBorders>
          </w:tcPr>
          <w:p w14:paraId="5E8BA25A" w14:textId="319D0560"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DE0417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 pika 19</w:t>
            </w:r>
          </w:p>
        </w:tc>
        <w:tc>
          <w:tcPr>
            <w:tcW w:w="5130" w:type="dxa"/>
          </w:tcPr>
          <w:p w14:paraId="0F3C6C3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19. “Ndërmarrje Publike” nënkupton çdo ndërmarrje mbi të cilën autoritetet publike ushtrojnë, drejtpërdrejt ose tërthorazi, ndikim dominues nëpërmjet pronësisë, pjesëmarrjes financiare ose rregullave që e qeverisin atë. Ndikimi dominues i autoriteteve publike </w:t>
            </w:r>
            <w:proofErr w:type="spellStart"/>
            <w:r w:rsidRPr="00735452">
              <w:rPr>
                <w:rFonts w:ascii="Times New Roman" w:eastAsia="Times New Roman" w:hAnsi="Times New Roman" w:cs="Times New Roman"/>
                <w:sz w:val="20"/>
                <w:szCs w:val="20"/>
                <w:lang w:val="sq-AL"/>
              </w:rPr>
              <w:t>prezumohet</w:t>
            </w:r>
            <w:proofErr w:type="spellEnd"/>
            <w:r w:rsidRPr="00735452">
              <w:rPr>
                <w:rFonts w:ascii="Times New Roman" w:eastAsia="Times New Roman" w:hAnsi="Times New Roman" w:cs="Times New Roman"/>
                <w:sz w:val="20"/>
                <w:szCs w:val="20"/>
                <w:lang w:val="sq-AL"/>
              </w:rPr>
              <w:t xml:space="preserve"> kur këto autoritete, drejtpërdrejt ose tërthorazi:</w:t>
            </w:r>
            <w:r w:rsidRPr="00735452">
              <w:rPr>
                <w:rFonts w:ascii="Times New Roman" w:eastAsia="Times New Roman" w:hAnsi="Times New Roman" w:cs="Times New Roman"/>
                <w:sz w:val="20"/>
                <w:szCs w:val="20"/>
                <w:lang w:val="sq-AL"/>
              </w:rPr>
              <w:br/>
              <w:t xml:space="preserve">    a) zotërojnë pjesën më të madhe të kapitalit të nënshkruar të ndërmarrjes; ose</w:t>
            </w:r>
            <w:r w:rsidRPr="00735452">
              <w:rPr>
                <w:rFonts w:ascii="Times New Roman" w:eastAsia="Times New Roman" w:hAnsi="Times New Roman" w:cs="Times New Roman"/>
                <w:sz w:val="20"/>
                <w:szCs w:val="20"/>
                <w:lang w:val="sq-AL"/>
              </w:rPr>
              <w:br/>
              <w:t xml:space="preserve">    b) kontrollojnë shumicën e të drejtave të votës të lidhura me aksionet e emetuara nga ndërmarrja; ose</w:t>
            </w:r>
            <w:r w:rsidRPr="00735452">
              <w:rPr>
                <w:rFonts w:ascii="Times New Roman" w:eastAsia="Times New Roman" w:hAnsi="Times New Roman" w:cs="Times New Roman"/>
                <w:sz w:val="20"/>
                <w:szCs w:val="20"/>
                <w:lang w:val="sq-AL"/>
              </w:rPr>
              <w:br/>
              <w:t xml:space="preserve">    c) kanë të drejtën të emërojnë më shumë se gjysmën e anëtarëve të organit administrativ, drejtues ose mbikëqyrës të ndërmarrjes.</w:t>
            </w:r>
          </w:p>
        </w:tc>
        <w:tc>
          <w:tcPr>
            <w:tcW w:w="1440" w:type="dxa"/>
          </w:tcPr>
          <w:p w14:paraId="1C1048BC" w14:textId="44F3EB63" w:rsidR="003E7E51" w:rsidRPr="00735452" w:rsidRDefault="00E80AB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7C3041A"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5AE7C062" w14:textId="77777777" w:rsidTr="004D61BC">
        <w:trPr>
          <w:gridAfter w:val="1"/>
          <w:wAfter w:w="14" w:type="dxa"/>
        </w:trPr>
        <w:tc>
          <w:tcPr>
            <w:tcW w:w="800" w:type="dxa"/>
            <w:tcBorders>
              <w:left w:val="single" w:sz="12" w:space="0" w:color="auto"/>
            </w:tcBorders>
          </w:tcPr>
          <w:p w14:paraId="29F290B2"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w:t>
            </w:r>
          </w:p>
          <w:p w14:paraId="59A5B888"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45A51844" w14:textId="77777777" w:rsidR="00751469" w:rsidRPr="00735452" w:rsidRDefault="00751469" w:rsidP="00751469">
            <w:pPr>
              <w:pStyle w:val="Heading3"/>
              <w:spacing w:before="0" w:after="0" w:line="240" w:lineRule="auto"/>
              <w:jc w:val="both"/>
              <w:rPr>
                <w:rFonts w:ascii="Times New Roman" w:eastAsiaTheme="minorEastAsia" w:hAnsi="Times New Roman" w:cs="Times New Roman"/>
                <w:color w:val="auto"/>
                <w:sz w:val="20"/>
                <w:szCs w:val="20"/>
                <w:lang w:val="sq-AL"/>
              </w:rPr>
            </w:pPr>
            <w:r w:rsidRPr="00735452">
              <w:rPr>
                <w:rFonts w:ascii="Times New Roman" w:eastAsiaTheme="minorEastAsia" w:hAnsi="Times New Roman" w:cs="Times New Roman"/>
                <w:color w:val="auto"/>
                <w:sz w:val="20"/>
                <w:szCs w:val="20"/>
                <w:lang w:val="sq-AL"/>
              </w:rPr>
              <w:t>Regresi i dyfishtë</w:t>
            </w:r>
          </w:p>
          <w:p w14:paraId="69A0C0E4"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përcaktojnë rregulla që u japin investitorëve në obligacione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përmbushin nenin 11, të drejtën për pretendimet e mëposhtme:</w:t>
            </w:r>
          </w:p>
          <w:p w14:paraId="5714E303"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(a) një pretendim ndaj institucionit të kreditit që emeton obligacionet e mbuluara;</w:t>
            </w:r>
          </w:p>
          <w:p w14:paraId="5755D16A"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në rast falimentimi ose zgjidhjeje të institucionit të kreditit që emeton obligacionet e mbuluara, një pretendim me përparësi ndaj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dhe çdo interesi të përllogaritur ose të ardhshëm mbi aktivet mbuluese;</w:t>
            </w:r>
          </w:p>
          <w:p w14:paraId="124FBBDB"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në rast falimentimi të institucionit të kreditit që emeton obligacionet e mbuluara dhe kur pretendimi me përparësi i përmendur në shkronjën (b) nuk mund të përmbushet plotësisht, një pretendim ndaj masës së falimentimit të atij institucioni krediti, i cili renditet pari </w:t>
            </w:r>
            <w:proofErr w:type="spellStart"/>
            <w:r w:rsidRPr="00735452">
              <w:rPr>
                <w:rFonts w:ascii="Times New Roman" w:eastAsia="Times New Roman" w:hAnsi="Times New Roman" w:cs="Times New Roman"/>
                <w:sz w:val="20"/>
                <w:szCs w:val="20"/>
                <w:lang w:val="sq-AL"/>
              </w:rPr>
              <w:t>passu</w:t>
            </w:r>
            <w:proofErr w:type="spellEnd"/>
            <w:r w:rsidRPr="00735452">
              <w:rPr>
                <w:rFonts w:ascii="Times New Roman" w:eastAsia="Times New Roman" w:hAnsi="Times New Roman" w:cs="Times New Roman"/>
                <w:sz w:val="20"/>
                <w:szCs w:val="20"/>
                <w:lang w:val="sq-AL"/>
              </w:rPr>
              <w:t xml:space="preserve"> me pretendimet e kreditorëve të zakonshëm të pasiguruar të institucionit të kreditit, të përcaktuara sipas ligjeve kombëtare që rregullojnë renditjen në procedurat e zakonshme të falimentimit</w:t>
            </w:r>
          </w:p>
        </w:tc>
        <w:tc>
          <w:tcPr>
            <w:tcW w:w="624" w:type="dxa"/>
            <w:tcBorders>
              <w:left w:val="single" w:sz="12" w:space="0" w:color="auto"/>
            </w:tcBorders>
          </w:tcPr>
          <w:p w14:paraId="17E68D10" w14:textId="7C31D0A5"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02BE63C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 pika 1</w:t>
            </w:r>
          </w:p>
        </w:tc>
        <w:tc>
          <w:tcPr>
            <w:tcW w:w="5130" w:type="dxa"/>
          </w:tcPr>
          <w:p w14:paraId="5D05746C"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Investitorët e obligacioneve të mbuluara dhe </w:t>
            </w:r>
            <w:proofErr w:type="spellStart"/>
            <w:r w:rsidRPr="00735452">
              <w:rPr>
                <w:rFonts w:ascii="Times New Roman" w:eastAsia="Times New Roman" w:hAnsi="Times New Roman" w:cs="Times New Roman"/>
                <w:sz w:val="20"/>
                <w:szCs w:val="20"/>
                <w:lang w:val="sq-AL"/>
              </w:rPr>
              <w:t>kundërpalët</w:t>
            </w:r>
            <w:proofErr w:type="spellEnd"/>
            <w:r w:rsidRPr="00735452">
              <w:rPr>
                <w:rFonts w:ascii="Times New Roman" w:eastAsia="Times New Roman" w:hAnsi="Times New Roman" w:cs="Times New Roman"/>
                <w:sz w:val="20"/>
                <w:szCs w:val="20"/>
                <w:lang w:val="sq-AL"/>
              </w:rPr>
              <w:t xml:space="preserve">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përmbushin kushtet e përcaktuara në nenin 10, të këtij ligji gëzojnë të drejtat e mëposhtme:</w:t>
            </w:r>
            <w:r w:rsidRPr="00735452">
              <w:rPr>
                <w:rFonts w:ascii="Times New Roman" w:eastAsia="Times New Roman" w:hAnsi="Times New Roman" w:cs="Times New Roman"/>
                <w:sz w:val="20"/>
                <w:szCs w:val="20"/>
                <w:lang w:val="sq-AL"/>
              </w:rPr>
              <w:br/>
              <w:t>a) një pretendim ndaj institucionit të kreditit që emeton obligacionet e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b) një pretendim me përparësi ndaj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dhe çdo interesi të akumuluar dhe të ardhshëm mbi aktivet e mbulimit,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të ndërhyrjes së jashtëzakonshme të institucionit të kreditit që emeton obligacionet e mbuluara;</w:t>
            </w:r>
            <w:r w:rsidRPr="00735452">
              <w:rPr>
                <w:rFonts w:ascii="Times New Roman" w:eastAsia="Times New Roman" w:hAnsi="Times New Roman" w:cs="Times New Roman"/>
                <w:sz w:val="20"/>
                <w:szCs w:val="20"/>
                <w:lang w:val="sq-AL"/>
              </w:rPr>
              <w:br/>
              <w:t xml:space="preserve">c)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të institucionit të kreditit që emeton obligacionet e mbuluara dhe  kur aktivet e grupit të mbulimit nuk janë të mjaftueshme për të përmbushur plotësisht pretendimet me përparësi sipas shkronjës “b” të këtij neni, të drejtën e pretendimit ndaj masës së likuidimit të këtij institucioni krediti, i cili renditet në mënyrë të barabartë me pretendimet e kreditorëve të zakonshëm të pasiguruar, në përputhje me legjislacionin në fuqi që rregullon radhën e shlyerjes së kreditorëve gjatë procesit të likuidimit;</w:t>
            </w:r>
          </w:p>
        </w:tc>
        <w:tc>
          <w:tcPr>
            <w:tcW w:w="1440" w:type="dxa"/>
          </w:tcPr>
          <w:p w14:paraId="35502B81" w14:textId="20CEA77D" w:rsidR="003E7E51" w:rsidRPr="00735452" w:rsidRDefault="003C36A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5FA1BD4B"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76F99952" w14:textId="77777777" w:rsidTr="004D61BC">
        <w:trPr>
          <w:gridAfter w:val="1"/>
          <w:wAfter w:w="14" w:type="dxa"/>
        </w:trPr>
        <w:tc>
          <w:tcPr>
            <w:tcW w:w="800" w:type="dxa"/>
            <w:tcBorders>
              <w:left w:val="single" w:sz="12" w:space="0" w:color="auto"/>
            </w:tcBorders>
          </w:tcPr>
          <w:p w14:paraId="07CC5D27"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461E43B6"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Pretendimet e përmendura në paragrafin 1 kufizohen në detyrimet e plota të pagesës që lidhen me obligacionet e mbuluara.</w:t>
            </w:r>
          </w:p>
        </w:tc>
        <w:tc>
          <w:tcPr>
            <w:tcW w:w="624" w:type="dxa"/>
            <w:tcBorders>
              <w:left w:val="single" w:sz="12" w:space="0" w:color="auto"/>
            </w:tcBorders>
          </w:tcPr>
          <w:p w14:paraId="12186CD8" w14:textId="66716A83" w:rsidR="00751469" w:rsidRPr="00735452" w:rsidRDefault="00D15FBC" w:rsidP="00751469">
            <w:pPr>
              <w:spacing w:after="0" w:line="240" w:lineRule="auto"/>
              <w:jc w:val="both"/>
              <w:rPr>
                <w:rFonts w:ascii="Times New Roman" w:eastAsia="Calibri" w:hAnsi="Times New Roman" w:cs="Times New Roman"/>
                <w:sz w:val="20"/>
                <w:szCs w:val="20"/>
                <w:lang w:val="sq-AL"/>
              </w:rPr>
            </w:pPr>
            <w:r w:rsidRPr="00735452">
              <w:rPr>
                <w:rFonts w:ascii="Times New Roman" w:eastAsia="Calibri" w:hAnsi="Times New Roman" w:cs="Times New Roman"/>
                <w:sz w:val="20"/>
                <w:szCs w:val="20"/>
                <w:lang w:val="sq-AL"/>
              </w:rPr>
              <w:t>0.1</w:t>
            </w:r>
          </w:p>
        </w:tc>
        <w:tc>
          <w:tcPr>
            <w:tcW w:w="906" w:type="dxa"/>
          </w:tcPr>
          <w:p w14:paraId="4E14582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 pika 2</w:t>
            </w:r>
          </w:p>
        </w:tc>
        <w:tc>
          <w:tcPr>
            <w:tcW w:w="5130" w:type="dxa"/>
          </w:tcPr>
          <w:p w14:paraId="7D85FCFF"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Pretendimet e përcaktuara në pikën 1, të këtij neni, kufizohen me përmbushjen e plotë të detyrimeve të pagesës që lidhen me obligacionet e mbuluara.</w:t>
            </w:r>
          </w:p>
        </w:tc>
        <w:tc>
          <w:tcPr>
            <w:tcW w:w="1440" w:type="dxa"/>
          </w:tcPr>
          <w:p w14:paraId="1847AB04" w14:textId="4BFAF939" w:rsidR="003E7E51" w:rsidRPr="00735452" w:rsidRDefault="00CC3FBE">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0786CFB"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3DD446B3" w14:textId="77777777" w:rsidTr="004D61BC">
        <w:trPr>
          <w:gridAfter w:val="1"/>
          <w:wAfter w:w="14" w:type="dxa"/>
        </w:trPr>
        <w:tc>
          <w:tcPr>
            <w:tcW w:w="800" w:type="dxa"/>
            <w:tcBorders>
              <w:left w:val="single" w:sz="12" w:space="0" w:color="auto"/>
            </w:tcBorders>
          </w:tcPr>
          <w:p w14:paraId="607BCB35"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082FAA2A"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shkronjës (c) të paragrafit 1 të këtij neni, në rast falimentimi të një institucioni krediti të specializuar për kreditim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xml:space="preserve">, shtetet anëtare mund të përcaktojnë rregulla që u japin investitorëve në obligacione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përmbushin nenin 11, një pretendim që renditet përpara pretendimit të kreditorëve të zakonshëm të pasiguruar të atij institucioni krediti të specializuar për kreditim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të përcaktuar sipas ligjeve kombëtare që rregullojnë renditjen e kreditorëve në procedurat e zakonshme të falimentimit, por pas çdo kreditori tjetër të privilegjuar.</w:t>
            </w:r>
          </w:p>
        </w:tc>
        <w:tc>
          <w:tcPr>
            <w:tcW w:w="624" w:type="dxa"/>
            <w:tcBorders>
              <w:left w:val="single" w:sz="12" w:space="0" w:color="auto"/>
            </w:tcBorders>
          </w:tcPr>
          <w:p w14:paraId="279FD50A" w14:textId="45D5EA28"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9BCBAE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 pika 3</w:t>
            </w:r>
          </w:p>
        </w:tc>
        <w:tc>
          <w:tcPr>
            <w:tcW w:w="5130" w:type="dxa"/>
          </w:tcPr>
          <w:p w14:paraId="185BC4DB"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3. Për qëllimet e shkronjës “c” të pikës 1, të këtij neni,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të një institucioni krediti të specializuar për kredi </w:t>
            </w:r>
            <w:proofErr w:type="spellStart"/>
            <w:r w:rsidRPr="00735452">
              <w:rPr>
                <w:rFonts w:ascii="Times New Roman" w:eastAsia="Times New Roman" w:hAnsi="Times New Roman" w:cs="Times New Roman"/>
                <w:sz w:val="20"/>
                <w:szCs w:val="20"/>
                <w:lang w:val="sq-AL"/>
              </w:rPr>
              <w:t>hipotekore</w:t>
            </w:r>
            <w:proofErr w:type="spellEnd"/>
            <w:r w:rsidRPr="00735452">
              <w:rPr>
                <w:rFonts w:ascii="Times New Roman" w:eastAsia="Times New Roman" w:hAnsi="Times New Roman" w:cs="Times New Roman"/>
                <w:sz w:val="20"/>
                <w:szCs w:val="20"/>
                <w:lang w:val="sq-AL"/>
              </w:rPr>
              <w:t xml:space="preserve">, mund të përcaktohen rregulla që u japin investitorëve të obligacioneve të mbuluara dhe </w:t>
            </w:r>
            <w:proofErr w:type="spellStart"/>
            <w:r w:rsidRPr="00735452">
              <w:rPr>
                <w:rFonts w:ascii="Times New Roman" w:eastAsia="Times New Roman" w:hAnsi="Times New Roman" w:cs="Times New Roman"/>
                <w:sz w:val="20"/>
                <w:szCs w:val="20"/>
                <w:lang w:val="sq-AL"/>
              </w:rPr>
              <w:t>kundërpalëve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që përmbushin kushtet sipas nenit 10 të këtij ligji, një të drejtë pretendim që:</w:t>
            </w:r>
            <w:r w:rsidRPr="00735452">
              <w:rPr>
                <w:rFonts w:ascii="Times New Roman" w:eastAsia="Times New Roman" w:hAnsi="Times New Roman" w:cs="Times New Roman"/>
                <w:sz w:val="20"/>
                <w:szCs w:val="20"/>
                <w:lang w:val="sq-AL"/>
              </w:rPr>
              <w:br/>
              <w:t xml:space="preserve">a) renditet mbi pretendimet e kreditorëve të zakonshëm të pasiguruar të këtij institucioni krediti, në përputhje me legjislacionit shqiptar që rregullon radhën e kreditorëve në procedurat e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dhe</w:t>
            </w:r>
            <w:r w:rsidRPr="00735452">
              <w:rPr>
                <w:rFonts w:ascii="Times New Roman" w:eastAsia="Times New Roman" w:hAnsi="Times New Roman" w:cs="Times New Roman"/>
                <w:sz w:val="20"/>
                <w:szCs w:val="20"/>
                <w:lang w:val="sq-AL"/>
              </w:rPr>
              <w:br/>
              <w:t>b)  renditet pas pretendimeve të çdo kreditori tjetër që ka përparësi.</w:t>
            </w:r>
          </w:p>
        </w:tc>
        <w:tc>
          <w:tcPr>
            <w:tcW w:w="1440" w:type="dxa"/>
          </w:tcPr>
          <w:p w14:paraId="139BC63A" w14:textId="59762C73" w:rsidR="003E7E51" w:rsidRPr="00735452" w:rsidRDefault="00CC3FBE">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A10492E"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09F670EE" w14:textId="77777777" w:rsidTr="00CC3FBE">
        <w:trPr>
          <w:gridAfter w:val="1"/>
          <w:wAfter w:w="14" w:type="dxa"/>
          <w:trHeight w:val="1250"/>
        </w:trPr>
        <w:tc>
          <w:tcPr>
            <w:tcW w:w="800" w:type="dxa"/>
            <w:tcBorders>
              <w:left w:val="single" w:sz="12" w:space="0" w:color="auto"/>
            </w:tcBorders>
          </w:tcPr>
          <w:p w14:paraId="13A90477"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5</w:t>
            </w:r>
          </w:p>
          <w:p w14:paraId="561D0EFD" w14:textId="77777777" w:rsidR="00751469" w:rsidRPr="00735452" w:rsidRDefault="00751469" w:rsidP="00751469">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33D4DDDF" w14:textId="77777777" w:rsidR="00751469" w:rsidRPr="00735452" w:rsidRDefault="00751469" w:rsidP="00751469">
            <w:pPr>
              <w:pStyle w:val="Heading3"/>
              <w:spacing w:before="0" w:after="0" w:line="240" w:lineRule="auto"/>
              <w:jc w:val="both"/>
              <w:rPr>
                <w:rFonts w:ascii="Times New Roman" w:eastAsiaTheme="minorEastAsia" w:hAnsi="Times New Roman" w:cs="Times New Roman"/>
                <w:color w:val="auto"/>
                <w:sz w:val="20"/>
                <w:szCs w:val="20"/>
                <w:lang w:val="sq-AL"/>
              </w:rPr>
            </w:pPr>
            <w:r w:rsidRPr="00735452">
              <w:rPr>
                <w:rFonts w:ascii="Times New Roman" w:eastAsiaTheme="minorEastAsia" w:hAnsi="Times New Roman" w:cs="Times New Roman"/>
                <w:color w:val="auto"/>
                <w:sz w:val="20"/>
                <w:szCs w:val="20"/>
                <w:lang w:val="sq-AL"/>
              </w:rPr>
              <w:t>Izolimi nga falimentimi i obligacioneve të mbuluara.</w:t>
            </w:r>
          </w:p>
          <w:p w14:paraId="08508550"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detyrimet e pagesës të lidhura me obligacionet e mbuluara të mos i nënshtrohen përshpejtimit automatik në rast falimentimi ose zgjidhjeje të institucionit të kreditit që emeton obligacionet e mbuluara.</w:t>
            </w:r>
          </w:p>
        </w:tc>
        <w:tc>
          <w:tcPr>
            <w:tcW w:w="624" w:type="dxa"/>
            <w:tcBorders>
              <w:left w:val="single" w:sz="12" w:space="0" w:color="auto"/>
            </w:tcBorders>
          </w:tcPr>
          <w:p w14:paraId="1417049D" w14:textId="10F34DE2"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218B78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5, pikat 1-2</w:t>
            </w:r>
          </w:p>
        </w:tc>
        <w:tc>
          <w:tcPr>
            <w:tcW w:w="5130" w:type="dxa"/>
          </w:tcPr>
          <w:p w14:paraId="194499BF"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likuidimit të detyruar ose ndërhyrjes së jashtëzakonshme ndaj institucionit të kreditit emetues, detyrimet e pagesës të lidhura me obligacionet e mbuluara nuk i nënshtrohen përshpejtimit automatik dhe as të deklarohen menjëherë të pagueshme nga investitorët vetëm për shkak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likuidimit të detyruar ose ndërhyrjes së jashtëzakonshme të institucionit të kreditit emetues.</w:t>
            </w:r>
            <w:r w:rsidRPr="00735452">
              <w:rPr>
                <w:rFonts w:ascii="Times New Roman" w:eastAsia="Times New Roman" w:hAnsi="Times New Roman" w:cs="Times New Roman"/>
                <w:sz w:val="20"/>
                <w:szCs w:val="20"/>
                <w:lang w:val="sq-AL"/>
              </w:rPr>
              <w:br/>
              <w:t xml:space="preserve">2.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likuidimit të detyruar ndaj institucionit të kreditit emetues, pretendimet e investitorëve nga obligacionet e  mbuluara dhe të palëve të </w:t>
            </w:r>
            <w:r w:rsidRPr="00735452">
              <w:rPr>
                <w:rFonts w:ascii="Times New Roman" w:eastAsia="Times New Roman" w:hAnsi="Times New Roman" w:cs="Times New Roman"/>
                <w:sz w:val="20"/>
                <w:szCs w:val="20"/>
                <w:lang w:val="sq-AL"/>
              </w:rPr>
              <w:lastRenderedPageBreak/>
              <w:t xml:space="preserve">tjera </w:t>
            </w:r>
            <w:proofErr w:type="spellStart"/>
            <w:r w:rsidRPr="00735452">
              <w:rPr>
                <w:rFonts w:ascii="Times New Roman" w:eastAsia="Times New Roman" w:hAnsi="Times New Roman" w:cs="Times New Roman"/>
                <w:sz w:val="20"/>
                <w:szCs w:val="20"/>
                <w:lang w:val="sq-AL"/>
              </w:rPr>
              <w:t>kontraktuale</w:t>
            </w:r>
            <w:proofErr w:type="spellEnd"/>
            <w:r w:rsidRPr="00735452">
              <w:rPr>
                <w:rFonts w:ascii="Times New Roman" w:eastAsia="Times New Roman" w:hAnsi="Times New Roman" w:cs="Times New Roman"/>
                <w:sz w:val="20"/>
                <w:szCs w:val="20"/>
                <w:lang w:val="sq-AL"/>
              </w:rPr>
              <w:t xml:space="preserve"> nga kontratat e derivateve, </w:t>
            </w:r>
            <w:proofErr w:type="spellStart"/>
            <w:r w:rsidRPr="00735452">
              <w:rPr>
                <w:rFonts w:ascii="Times New Roman" w:eastAsia="Times New Roman" w:hAnsi="Times New Roman" w:cs="Times New Roman"/>
                <w:sz w:val="20"/>
                <w:szCs w:val="20"/>
                <w:lang w:val="sq-AL"/>
              </w:rPr>
              <w:t>maturohen</w:t>
            </w:r>
            <w:proofErr w:type="spellEnd"/>
            <w:r w:rsidRPr="00735452">
              <w:rPr>
                <w:rFonts w:ascii="Times New Roman" w:eastAsia="Times New Roman" w:hAnsi="Times New Roman" w:cs="Times New Roman"/>
                <w:sz w:val="20"/>
                <w:szCs w:val="20"/>
                <w:lang w:val="sq-AL"/>
              </w:rPr>
              <w:t xml:space="preserve"> në përputhje me afatet e </w:t>
            </w:r>
            <w:proofErr w:type="spellStart"/>
            <w:r w:rsidRPr="00735452">
              <w:rPr>
                <w:rFonts w:ascii="Times New Roman" w:eastAsia="Times New Roman" w:hAnsi="Times New Roman" w:cs="Times New Roman"/>
                <w:sz w:val="20"/>
                <w:szCs w:val="20"/>
                <w:lang w:val="sq-AL"/>
              </w:rPr>
              <w:t>dakordësuara</w:t>
            </w:r>
            <w:proofErr w:type="spellEnd"/>
            <w:r w:rsidRPr="00735452">
              <w:rPr>
                <w:rFonts w:ascii="Times New Roman" w:eastAsia="Times New Roman" w:hAnsi="Times New Roman" w:cs="Times New Roman"/>
                <w:sz w:val="20"/>
                <w:szCs w:val="20"/>
                <w:lang w:val="sq-AL"/>
              </w:rPr>
              <w:t xml:space="preserve"> dhe paguhen nga grupi i mbulimit në përputhje me këtë ligj. Grupi i mbulimit nuk përfshihet në masën e likuidimit të institucionit të kreditit emetues, me përjashtim të rasteve të parashikuara nga ky ligj.</w:t>
            </w:r>
          </w:p>
        </w:tc>
        <w:tc>
          <w:tcPr>
            <w:tcW w:w="1440" w:type="dxa"/>
          </w:tcPr>
          <w:p w14:paraId="77CAEB9B" w14:textId="3F37CC42" w:rsidR="003E7E51" w:rsidRPr="00735452" w:rsidRDefault="00CC3FBE">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3EBD947E"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101DF51A" w14:textId="77777777" w:rsidTr="004D61BC">
        <w:trPr>
          <w:gridAfter w:val="1"/>
          <w:wAfter w:w="14" w:type="dxa"/>
        </w:trPr>
        <w:tc>
          <w:tcPr>
            <w:tcW w:w="800" w:type="dxa"/>
            <w:tcBorders>
              <w:left w:val="single" w:sz="12" w:space="0" w:color="auto"/>
            </w:tcBorders>
          </w:tcPr>
          <w:p w14:paraId="4E57150E"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w:t>
            </w:r>
          </w:p>
          <w:p w14:paraId="7DCF9592"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1FA9F9ED" w14:textId="77777777" w:rsidR="00751469" w:rsidRPr="00735452" w:rsidRDefault="00751469" w:rsidP="00751469">
            <w:pPr>
              <w:pStyle w:val="Heading3"/>
              <w:spacing w:before="0" w:after="0" w:line="240" w:lineRule="auto"/>
              <w:jc w:val="both"/>
              <w:rPr>
                <w:rFonts w:ascii="Times New Roman" w:eastAsiaTheme="minorEastAsia" w:hAnsi="Times New Roman" w:cs="Times New Roman"/>
                <w:color w:val="auto"/>
                <w:sz w:val="20"/>
                <w:szCs w:val="20"/>
                <w:lang w:val="sq-AL"/>
              </w:rPr>
            </w:pPr>
            <w:r w:rsidRPr="00735452">
              <w:rPr>
                <w:rFonts w:ascii="Times New Roman" w:eastAsiaTheme="minorEastAsia" w:hAnsi="Times New Roman" w:cs="Times New Roman"/>
                <w:color w:val="auto"/>
                <w:sz w:val="20"/>
                <w:szCs w:val="20"/>
                <w:lang w:val="sq-AL"/>
              </w:rPr>
              <w:t>Aktivet mbuluese të pranueshme</w:t>
            </w:r>
          </w:p>
          <w:p w14:paraId="56E5C48D"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Shtetet anëtare kërkojnë që obligacionet e mbuluara të garantohen në çdo kohë nga:</w:t>
            </w:r>
          </w:p>
          <w:p w14:paraId="47B22BB1"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aktive që janë të pranueshme sipas nenit 129, paragrafi 1, të Rregullores (BE) nr. 575/2013, me kusht që institucioni i kreditit që emeton obligacionet e mbuluara të përmbushë kërkesat e paragrafëve 1a deri në 3 të nenit 129 të asaj rregulloreje;</w:t>
            </w:r>
          </w:p>
          <w:p w14:paraId="1942F04F"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aktive mbuluese me cilësi të lartë që sigurojnë se institucioni i kreditit që emeton obligacionet e mbuluara ka një pretendim për pagesë, siç përcaktohet në paragrafin 2, dhe që garantohen me aktive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siç përcaktohet në paragrafin 3; ose</w:t>
            </w:r>
          </w:p>
          <w:p w14:paraId="3809B35B"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aktive në formën e huave të dhëna ndërmarrjeve publike ose të garantuara prej tyre, subjekt i paragrafit 4 të këtij neni.</w:t>
            </w:r>
          </w:p>
          <w:p w14:paraId="67328DC9" w14:textId="77777777" w:rsidR="00751469" w:rsidRPr="00735452" w:rsidRDefault="00751469" w:rsidP="00751469">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19764F28" w14:textId="575CC074"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AC7840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 1</w:t>
            </w:r>
          </w:p>
        </w:tc>
        <w:tc>
          <w:tcPr>
            <w:tcW w:w="5130" w:type="dxa"/>
          </w:tcPr>
          <w:p w14:paraId="0320D9DD"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Institucionet e kreditit që emetojnë obligacione të mbuluara sigurojnë që këto obligacione, në çdo kohë, të jenë të garantuara dhe të siguruara me:</w:t>
            </w:r>
            <w:r w:rsidRPr="00735452">
              <w:rPr>
                <w:rFonts w:ascii="Times New Roman" w:eastAsia="Times New Roman" w:hAnsi="Times New Roman" w:cs="Times New Roman"/>
                <w:sz w:val="20"/>
                <w:szCs w:val="20"/>
                <w:lang w:val="sq-AL"/>
              </w:rPr>
              <w:br/>
              <w:t>a) aktive që janë të pranueshme në përputhje me kuadrin rregullator mbikëqyrës për kërkesat për kapital dhe kur Republika e Shqipërisë të jetë shtet anëtar në Bashkimin Evropian, sipas nenit 129, pika 1,  i Rregullores (BE) nr. 575/2013  ndërsa emetuesi është i detyruar të përmbushë kërkesat në përputhje me kuadrin rregullator mbikëqyrës për kërkesat për kapital dhe kur Republika e Shqipërisë të jetë shtet anëtar në Bashkimin Evropian sipas nenit 129, pikat 1 deri në 3 të Rregullores (BE) nr. 575/2013;</w:t>
            </w:r>
            <w:r w:rsidRPr="00735452">
              <w:rPr>
                <w:rFonts w:ascii="Times New Roman" w:eastAsia="Times New Roman" w:hAnsi="Times New Roman" w:cs="Times New Roman"/>
                <w:sz w:val="20"/>
                <w:szCs w:val="20"/>
                <w:lang w:val="sq-AL"/>
              </w:rPr>
              <w:br/>
              <w:t xml:space="preserve">b) aktive në mbulim me cilësi të lartë që sigurojnë që institucioni i kreditit që emeton obligacionet e mbuluara ka një pretendim për pagesë në përputhje me pikën 2 dhe që janë të siguruara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në përputhje me pikën 3 të këtij neni;</w:t>
            </w:r>
            <w:r w:rsidRPr="00735452">
              <w:rPr>
                <w:rFonts w:ascii="Times New Roman" w:eastAsia="Times New Roman" w:hAnsi="Times New Roman" w:cs="Times New Roman"/>
                <w:sz w:val="20"/>
                <w:szCs w:val="20"/>
                <w:lang w:val="sq-AL"/>
              </w:rPr>
              <w:br/>
              <w:t>c) aktive në formën e kredive ndaj ndërmarrjeve publike ose të garantuara prej tyre, në përputhje me pikën 4, të këtij neni.</w:t>
            </w:r>
          </w:p>
        </w:tc>
        <w:tc>
          <w:tcPr>
            <w:tcW w:w="1440" w:type="dxa"/>
          </w:tcPr>
          <w:p w14:paraId="1E52942E" w14:textId="21747DA4" w:rsidR="003E7E51" w:rsidRPr="00735452" w:rsidRDefault="00CC3FBE">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10B7896"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295F3B92" w14:textId="77777777" w:rsidTr="004D61BC">
        <w:trPr>
          <w:gridAfter w:val="1"/>
          <w:wAfter w:w="14" w:type="dxa"/>
        </w:trPr>
        <w:tc>
          <w:tcPr>
            <w:tcW w:w="800" w:type="dxa"/>
            <w:tcBorders>
              <w:left w:val="single" w:sz="12" w:space="0" w:color="auto"/>
            </w:tcBorders>
          </w:tcPr>
          <w:p w14:paraId="68509B6B"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776741D1"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Pretendimi për pagesë i përmendur në shkronjën (b) të paragrafit 1 i nënshtrohet kërkesave ligjore të mëposhtme:</w:t>
            </w:r>
          </w:p>
          <w:p w14:paraId="4F54E8FC"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aktivi përfaqëson një pretendim për pagesë të shumave monetare që ka një vlerë minimale të përcaktueshme në çdo kohë, që është ligjërisht i vlefshëm dhe i ekzekutueshëm, që nuk i nënshtrohet kushteve të tjera veç kushtit që pretendimi </w:t>
            </w:r>
            <w:proofErr w:type="spellStart"/>
            <w:r w:rsidRPr="00735452">
              <w:rPr>
                <w:rFonts w:ascii="Times New Roman" w:eastAsia="Times New Roman" w:hAnsi="Times New Roman" w:cs="Times New Roman"/>
                <w:sz w:val="20"/>
                <w:szCs w:val="20"/>
                <w:lang w:val="sq-AL"/>
              </w:rPr>
              <w:t>maturohet</w:t>
            </w:r>
            <w:proofErr w:type="spellEnd"/>
            <w:r w:rsidRPr="00735452">
              <w:rPr>
                <w:rFonts w:ascii="Times New Roman" w:eastAsia="Times New Roman" w:hAnsi="Times New Roman" w:cs="Times New Roman"/>
                <w:sz w:val="20"/>
                <w:szCs w:val="20"/>
                <w:lang w:val="sq-AL"/>
              </w:rPr>
              <w:t xml:space="preserve"> në një datë të ardhshme, dhe që është i siguruar me hipotekë, barrë, peng ose garanci tjetër;</w:t>
            </w:r>
          </w:p>
          <w:p w14:paraId="077AE158"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hipoteka, barra, pengu ose garancia tjetër që siguron pretendimin për pagesë është e ekzekutueshme;</w:t>
            </w:r>
          </w:p>
          <w:p w14:paraId="10239FA0"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të gjitha kërkesat ligjore për krijimin e hipotekës, barrës, pengut ose garancisë që siguron pretendimin për pagesë janë përmbushur;</w:t>
            </w:r>
          </w:p>
          <w:p w14:paraId="41AF6882"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hipoteka, barra, pengu ose garancia që siguron pretendimin për pagesë i mundëson institucionit të kreditit që emeton </w:t>
            </w:r>
            <w:r w:rsidRPr="00735452">
              <w:rPr>
                <w:rFonts w:ascii="Times New Roman" w:eastAsia="Times New Roman" w:hAnsi="Times New Roman" w:cs="Times New Roman"/>
                <w:sz w:val="20"/>
                <w:szCs w:val="20"/>
                <w:lang w:val="sq-AL"/>
              </w:rPr>
              <w:lastRenderedPageBreak/>
              <w:t>obligacionet e mbuluara të rikuperojë vlerën e pretendimit pa vonesa të panevojshme.</w:t>
            </w:r>
          </w:p>
          <w:p w14:paraId="01492397"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kërkojnë që institucionet e kreditit që emetojnë obligacione të mbuluara të vlerësojnë </w:t>
            </w:r>
            <w:proofErr w:type="spellStart"/>
            <w:r w:rsidRPr="00735452">
              <w:rPr>
                <w:rFonts w:ascii="Times New Roman" w:eastAsia="Times New Roman" w:hAnsi="Times New Roman" w:cs="Times New Roman"/>
                <w:sz w:val="20"/>
                <w:szCs w:val="20"/>
                <w:lang w:val="sq-AL"/>
              </w:rPr>
              <w:t>ekzekutueshmërinë</w:t>
            </w:r>
            <w:proofErr w:type="spellEnd"/>
            <w:r w:rsidRPr="00735452">
              <w:rPr>
                <w:rFonts w:ascii="Times New Roman" w:eastAsia="Times New Roman" w:hAnsi="Times New Roman" w:cs="Times New Roman"/>
                <w:sz w:val="20"/>
                <w:szCs w:val="20"/>
                <w:lang w:val="sq-AL"/>
              </w:rPr>
              <w:t xml:space="preserve"> e pretendimeve për pagesë dhe aftësinë për të realizuar aktivet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përpara përfshirjes së tyre në portofolin e mbulimit</w:t>
            </w:r>
          </w:p>
        </w:tc>
        <w:tc>
          <w:tcPr>
            <w:tcW w:w="624" w:type="dxa"/>
            <w:tcBorders>
              <w:left w:val="single" w:sz="12" w:space="0" w:color="auto"/>
            </w:tcBorders>
          </w:tcPr>
          <w:p w14:paraId="6DE6FB98" w14:textId="68C6E8AD"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514EE8B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pikat 2-3</w:t>
            </w:r>
          </w:p>
        </w:tc>
        <w:tc>
          <w:tcPr>
            <w:tcW w:w="5130" w:type="dxa"/>
          </w:tcPr>
          <w:p w14:paraId="5B42621C"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Pretendimi për pagesë sipas pikës 1, shkronja “b” të këtij neni, duhet:</w:t>
            </w:r>
            <w:r w:rsidRPr="00735452">
              <w:rPr>
                <w:rFonts w:ascii="Times New Roman" w:eastAsia="Times New Roman" w:hAnsi="Times New Roman" w:cs="Times New Roman"/>
                <w:sz w:val="20"/>
                <w:szCs w:val="20"/>
                <w:lang w:val="sq-AL"/>
              </w:rPr>
              <w:br/>
              <w:t xml:space="preserve">a) të përfaqësojë një pretendim për pagesë të shumave monetare me vlerë minimale të përcaktueshme në çdo kohë, i vlefshëm dhe i zbatueshëm juridikisht, që nuk i nënshtrohet kushteve të tjera përveç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në një datë të ardhshme;</w:t>
            </w:r>
            <w:r w:rsidRPr="00735452">
              <w:rPr>
                <w:rFonts w:ascii="Times New Roman" w:eastAsia="Times New Roman" w:hAnsi="Times New Roman" w:cs="Times New Roman"/>
                <w:sz w:val="20"/>
                <w:szCs w:val="20"/>
                <w:lang w:val="sq-AL"/>
              </w:rPr>
              <w:br/>
              <w:t>b) të jetë i siguruar me hipotekë, barrë, peng ose garanci;</w:t>
            </w:r>
            <w:r w:rsidRPr="00735452">
              <w:rPr>
                <w:rFonts w:ascii="Times New Roman" w:eastAsia="Times New Roman" w:hAnsi="Times New Roman" w:cs="Times New Roman"/>
                <w:sz w:val="20"/>
                <w:szCs w:val="20"/>
                <w:lang w:val="sq-AL"/>
              </w:rPr>
              <w:br/>
              <w:t>c) të përmbushë të gjitha kërkesat ligjore për krijimin e hipotekës, barrës, pengut ose garancisë;</w:t>
            </w:r>
            <w:r w:rsidRPr="00735452">
              <w:rPr>
                <w:rFonts w:ascii="Times New Roman" w:eastAsia="Times New Roman" w:hAnsi="Times New Roman" w:cs="Times New Roman"/>
                <w:sz w:val="20"/>
                <w:szCs w:val="20"/>
                <w:lang w:val="sq-AL"/>
              </w:rPr>
              <w:br/>
              <w:t>ç) që hipoteka, barra, pengu ose garancia që siguron pretendimin për pagesë t'i mundësojë institucionit të kreditit që emeton obligacionet e mbuluara të rikuperojë vlerën e këtij pretendimi pa vonesa të panevojshme.</w:t>
            </w:r>
            <w:r w:rsidRPr="00735452">
              <w:rPr>
                <w:rFonts w:ascii="Times New Roman" w:eastAsia="Times New Roman" w:hAnsi="Times New Roman" w:cs="Times New Roman"/>
                <w:sz w:val="20"/>
                <w:szCs w:val="20"/>
                <w:lang w:val="sq-AL"/>
              </w:rPr>
              <w:br/>
              <w:t xml:space="preserve">3. Institucionet e kreditit që emetojnë obligacione të mbuluara duhet  të vlerësojnë, përpara përfshirjes në </w:t>
            </w:r>
            <w:r w:rsidRPr="00735452">
              <w:rPr>
                <w:rFonts w:ascii="Times New Roman" w:eastAsia="Times New Roman" w:hAnsi="Times New Roman" w:cs="Times New Roman"/>
                <w:sz w:val="20"/>
                <w:szCs w:val="20"/>
                <w:lang w:val="sq-AL"/>
              </w:rPr>
              <w:lastRenderedPageBreak/>
              <w:t xml:space="preserve">portofolin e mbulimit, </w:t>
            </w:r>
            <w:proofErr w:type="spellStart"/>
            <w:r w:rsidRPr="00735452">
              <w:rPr>
                <w:rFonts w:ascii="Times New Roman" w:eastAsia="Times New Roman" w:hAnsi="Times New Roman" w:cs="Times New Roman"/>
                <w:sz w:val="20"/>
                <w:szCs w:val="20"/>
                <w:lang w:val="sq-AL"/>
              </w:rPr>
              <w:t>zbatueshmërinë</w:t>
            </w:r>
            <w:proofErr w:type="spellEnd"/>
            <w:r w:rsidRPr="00735452">
              <w:rPr>
                <w:rFonts w:ascii="Times New Roman" w:eastAsia="Times New Roman" w:hAnsi="Times New Roman" w:cs="Times New Roman"/>
                <w:sz w:val="20"/>
                <w:szCs w:val="20"/>
                <w:lang w:val="sq-AL"/>
              </w:rPr>
              <w:t xml:space="preserve"> e pretendimeve për pagesë dhe aftësinë për realizimin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w:t>
            </w:r>
          </w:p>
        </w:tc>
        <w:tc>
          <w:tcPr>
            <w:tcW w:w="1440" w:type="dxa"/>
          </w:tcPr>
          <w:p w14:paraId="1CBABDC4" w14:textId="5B307905" w:rsidR="003E7E51" w:rsidRPr="00735452" w:rsidRDefault="00087C9E">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430EC9C4"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6B203E09" w14:textId="77777777" w:rsidTr="004D61BC">
        <w:trPr>
          <w:gridAfter w:val="1"/>
          <w:wAfter w:w="14" w:type="dxa"/>
        </w:trPr>
        <w:tc>
          <w:tcPr>
            <w:tcW w:w="800" w:type="dxa"/>
            <w:tcBorders>
              <w:left w:val="single" w:sz="12" w:space="0" w:color="auto"/>
            </w:tcBorders>
          </w:tcPr>
          <w:p w14:paraId="457D21F0"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6C8BBC1E"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Aktivet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përmendura në shkronjën (b) të paragrafit 1 përmbushin një nga kërkesat e mëposhtme:</w:t>
            </w:r>
          </w:p>
          <w:p w14:paraId="47BCB320"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për aktivet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ekzistojnë standarde vlerësimi përgjithësisht të pranuara ndërmjet ekspertëve dhe të përshtatshme për aktivin fizik përkatës, si dhe ekziston një regjistër publik që regjistron pronësinë dhe pretendimet mbi këto aktive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ose</w:t>
            </w:r>
          </w:p>
          <w:p w14:paraId="2D309F94"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për aktivet në formën e ekspozimeve, siguria dhe qëndrueshmëria e </w:t>
            </w:r>
            <w:proofErr w:type="spellStart"/>
            <w:r w:rsidRPr="00735452">
              <w:rPr>
                <w:rFonts w:ascii="Times New Roman" w:eastAsia="Times New Roman" w:hAnsi="Times New Roman" w:cs="Times New Roman"/>
                <w:sz w:val="20"/>
                <w:szCs w:val="20"/>
                <w:lang w:val="sq-AL"/>
              </w:rPr>
              <w:t>kundërpalës</w:t>
            </w:r>
            <w:proofErr w:type="spellEnd"/>
            <w:r w:rsidRPr="00735452">
              <w:rPr>
                <w:rFonts w:ascii="Times New Roman" w:eastAsia="Times New Roman" w:hAnsi="Times New Roman" w:cs="Times New Roman"/>
                <w:sz w:val="20"/>
                <w:szCs w:val="20"/>
                <w:lang w:val="sq-AL"/>
              </w:rPr>
              <w:t xml:space="preserve"> së ekspozimit nënkuptohen nga fuqia për të mbledhur taksa ose nga fakti që ajo i nënshtrohet mbikëqyrjes së vazhdueshme publike mbi qëndrueshmërinë </w:t>
            </w:r>
            <w:proofErr w:type="spellStart"/>
            <w:r w:rsidRPr="00735452">
              <w:rPr>
                <w:rFonts w:ascii="Times New Roman" w:eastAsia="Times New Roman" w:hAnsi="Times New Roman" w:cs="Times New Roman"/>
                <w:sz w:val="20"/>
                <w:szCs w:val="20"/>
                <w:lang w:val="sq-AL"/>
              </w:rPr>
              <w:t>operacionale</w:t>
            </w:r>
            <w:proofErr w:type="spellEnd"/>
            <w:r w:rsidRPr="00735452">
              <w:rPr>
                <w:rFonts w:ascii="Times New Roman" w:eastAsia="Times New Roman" w:hAnsi="Times New Roman" w:cs="Times New Roman"/>
                <w:sz w:val="20"/>
                <w:szCs w:val="20"/>
                <w:lang w:val="sq-AL"/>
              </w:rPr>
              <w:t xml:space="preserve"> dhe aftësinë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financiare.</w:t>
            </w:r>
          </w:p>
          <w:p w14:paraId="3D66B926"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Aktivet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përmendura në shkronjën (a)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të këtij paragrafi kontribuojnë në mbulimin e detyrimeve të lidhura me obligacionin e mbuluar deri në shumën më të vogël ndërmjet shumës kryesore të barrëve që kombinohen me çdo barrë paraprake dhe 70% të vlerës së këtyre aktiveve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Aktivet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përmendura në shkronjën (a)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të këtij paragrafi, të cilat sigurojnë aktive të përmendura në shkronjën (a) të paragrafit 1, nuk kërkohet të përmbushin kufirin prej 70% ose kufijtë e nenit 129, paragrafi 1, të Rregullores (BE) nr. 575/2013.</w:t>
            </w:r>
          </w:p>
          <w:p w14:paraId="28D9AC1D"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Kur, për qëllimet e shkronjës (a)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të këtij paragrafi, nuk ekziston një regjistër publik për një aktiv fizik të caktuar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shtetet anëtare mund të parashikojnë një formë alternative të certifikimit të pronësisë dhe të pretendimeve mbi këtë aktiv fizik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për aq kohë sa kjo formë certifikimi ofron mbrojtje të krahasueshme me atë që ofron një regjistër publik, në kuptimin që u lejon palëve të treta të interesuara, në përputhje me ligjin e shtetit anëtar përkatës, të kenë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në informacion lidhur me identifikimin e aktivit fizik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ngarkuar, </w:t>
            </w:r>
            <w:proofErr w:type="spellStart"/>
            <w:r w:rsidRPr="00735452">
              <w:rPr>
                <w:rFonts w:ascii="Times New Roman" w:eastAsia="Times New Roman" w:hAnsi="Times New Roman" w:cs="Times New Roman"/>
                <w:sz w:val="20"/>
                <w:szCs w:val="20"/>
                <w:lang w:val="sq-AL"/>
              </w:rPr>
              <w:t>atribuimin</w:t>
            </w:r>
            <w:proofErr w:type="spellEnd"/>
            <w:r w:rsidRPr="00735452">
              <w:rPr>
                <w:rFonts w:ascii="Times New Roman" w:eastAsia="Times New Roman" w:hAnsi="Times New Roman" w:cs="Times New Roman"/>
                <w:sz w:val="20"/>
                <w:szCs w:val="20"/>
                <w:lang w:val="sq-AL"/>
              </w:rPr>
              <w:t xml:space="preserve"> e pronësisë, </w:t>
            </w:r>
            <w:r w:rsidRPr="00735452">
              <w:rPr>
                <w:rFonts w:ascii="Times New Roman" w:eastAsia="Times New Roman" w:hAnsi="Times New Roman" w:cs="Times New Roman"/>
                <w:sz w:val="20"/>
                <w:szCs w:val="20"/>
                <w:lang w:val="sq-AL"/>
              </w:rPr>
              <w:lastRenderedPageBreak/>
              <w:t xml:space="preserve">dokumentimin dhe </w:t>
            </w:r>
            <w:proofErr w:type="spellStart"/>
            <w:r w:rsidRPr="00735452">
              <w:rPr>
                <w:rFonts w:ascii="Times New Roman" w:eastAsia="Times New Roman" w:hAnsi="Times New Roman" w:cs="Times New Roman"/>
                <w:sz w:val="20"/>
                <w:szCs w:val="20"/>
                <w:lang w:val="sq-AL"/>
              </w:rPr>
              <w:t>atribuimin</w:t>
            </w:r>
            <w:proofErr w:type="spellEnd"/>
            <w:r w:rsidRPr="00735452">
              <w:rPr>
                <w:rFonts w:ascii="Times New Roman" w:eastAsia="Times New Roman" w:hAnsi="Times New Roman" w:cs="Times New Roman"/>
                <w:sz w:val="20"/>
                <w:szCs w:val="20"/>
                <w:lang w:val="sq-AL"/>
              </w:rPr>
              <w:t xml:space="preserve"> e barrëve, si dhe </w:t>
            </w:r>
            <w:proofErr w:type="spellStart"/>
            <w:r w:rsidRPr="00735452">
              <w:rPr>
                <w:rFonts w:ascii="Times New Roman" w:eastAsia="Times New Roman" w:hAnsi="Times New Roman" w:cs="Times New Roman"/>
                <w:sz w:val="20"/>
                <w:szCs w:val="20"/>
                <w:lang w:val="sq-AL"/>
              </w:rPr>
              <w:t>ekzekutueshmërinë</w:t>
            </w:r>
            <w:proofErr w:type="spellEnd"/>
            <w:r w:rsidRPr="00735452">
              <w:rPr>
                <w:rFonts w:ascii="Times New Roman" w:eastAsia="Times New Roman" w:hAnsi="Times New Roman" w:cs="Times New Roman"/>
                <w:sz w:val="20"/>
                <w:szCs w:val="20"/>
                <w:lang w:val="sq-AL"/>
              </w:rPr>
              <w:t xml:space="preserve"> e të drejtave të sigurisë.</w:t>
            </w:r>
          </w:p>
        </w:tc>
        <w:tc>
          <w:tcPr>
            <w:tcW w:w="624" w:type="dxa"/>
            <w:tcBorders>
              <w:left w:val="single" w:sz="12" w:space="0" w:color="auto"/>
            </w:tcBorders>
          </w:tcPr>
          <w:p w14:paraId="41ACAF0C" w14:textId="1F63C937" w:rsidR="00751469" w:rsidRPr="00735452" w:rsidRDefault="00D15FB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18C4496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pikat 4-8</w:t>
            </w:r>
          </w:p>
        </w:tc>
        <w:tc>
          <w:tcPr>
            <w:tcW w:w="5130" w:type="dxa"/>
          </w:tcPr>
          <w:p w14:paraId="3D400F44" w14:textId="22FFD6F8"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4. Aktivet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të përmendura në pikën 1, shkronja “a” , të këtij neni kontribuojnë në mbulimin e detyrimeve që lidhen me obligacionet e mbuluara deri në vlerën më të ulët ndërmjet:</w:t>
            </w:r>
            <w:r w:rsidRPr="00735452">
              <w:rPr>
                <w:rFonts w:ascii="Times New Roman" w:eastAsia="Times New Roman" w:hAnsi="Times New Roman" w:cs="Times New Roman"/>
                <w:sz w:val="20"/>
                <w:szCs w:val="20"/>
                <w:lang w:val="sq-AL"/>
              </w:rPr>
              <w:br/>
              <w:t xml:space="preserve">    a) shumës së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barrëve mbi këto aktive, të kombinuara me çdo barrë me përparësi; dhe</w:t>
            </w:r>
            <w:r w:rsidRPr="00735452">
              <w:rPr>
                <w:rFonts w:ascii="Times New Roman" w:eastAsia="Times New Roman" w:hAnsi="Times New Roman" w:cs="Times New Roman"/>
                <w:sz w:val="20"/>
                <w:szCs w:val="20"/>
                <w:lang w:val="sq-AL"/>
              </w:rPr>
              <w:br/>
              <w:t xml:space="preserve">    b) 70 % të vlerës së këtyre aktiveve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w:t>
            </w:r>
            <w:r w:rsidRPr="00735452">
              <w:rPr>
                <w:rFonts w:ascii="Times New Roman" w:eastAsia="Times New Roman" w:hAnsi="Times New Roman" w:cs="Times New Roman"/>
                <w:sz w:val="20"/>
                <w:szCs w:val="20"/>
                <w:lang w:val="sq-AL"/>
              </w:rPr>
              <w:br/>
              <w:t xml:space="preserve">5. Aktivet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të parashikuara në pikën 1,  shkronja “a”, të këtij neni, të cilat sigurojnë aktivet sipas të njëjtës pikë, nuk i nënshtrohen kufirit prej 70 %</w:t>
            </w:r>
            <w:r w:rsidR="00F3039D">
              <w:rPr>
                <w:rFonts w:ascii="Times New Roman" w:eastAsia="Times New Roman" w:hAnsi="Times New Roman" w:cs="Times New Roman"/>
                <w:sz w:val="20"/>
                <w:szCs w:val="20"/>
                <w:lang w:val="sq-AL"/>
              </w:rPr>
              <w:t xml:space="preserve"> të pikës 4 të këtij neni</w:t>
            </w:r>
            <w:r w:rsidRPr="00735452">
              <w:rPr>
                <w:rFonts w:ascii="Times New Roman" w:eastAsia="Times New Roman" w:hAnsi="Times New Roman" w:cs="Times New Roman"/>
                <w:sz w:val="20"/>
                <w:szCs w:val="20"/>
                <w:lang w:val="sq-AL"/>
              </w:rPr>
              <w:t>, dhe kur Republika e Shqipërisë të jetë shtet anëtar në Bashkimin Evropian kufijve të përcaktuar në nenin 129(1) të Rregullores (BE) nr. 575/2013.</w:t>
            </w:r>
            <w:r w:rsidRPr="00735452">
              <w:rPr>
                <w:rFonts w:ascii="Times New Roman" w:eastAsia="Times New Roman" w:hAnsi="Times New Roman" w:cs="Times New Roman"/>
                <w:sz w:val="20"/>
                <w:szCs w:val="20"/>
                <w:lang w:val="sq-AL"/>
              </w:rPr>
              <w:br/>
              <w:t xml:space="preserve">6.  Kur pronësia dhe të drejtat mbi një aktiv të caktuar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nuk mund të provohen përmes një regjistri publik, ato duhet të provohen me një formë alternative të provimit të pronësisë dhe të drejtave mbi këtë aktiv. Kjo formë alternative lejohet vetëm nëse siguron një nivel mbrojtjeje të krahasueshëm me atë të një regjistri publik, sipas parashikimeve për qëllimet e shkronjës “a”, të pikës 1, të këtij neni.</w:t>
            </w:r>
            <w:r w:rsidRPr="00735452">
              <w:rPr>
                <w:rFonts w:ascii="Times New Roman" w:eastAsia="Times New Roman" w:hAnsi="Times New Roman" w:cs="Times New Roman"/>
                <w:sz w:val="20"/>
                <w:szCs w:val="20"/>
                <w:lang w:val="sq-AL"/>
              </w:rPr>
              <w:br/>
              <w:t xml:space="preserve">7. Forma alternative e provimit të pronësisë, e parashikuar në pikën 6 të këtij neni, duhet të garantojë që palët e interesuara, në përputhje me legjislacionin në fuqi, të kenë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në informacionin që lidhet me:</w:t>
            </w:r>
            <w:r w:rsidRPr="00735452">
              <w:rPr>
                <w:rFonts w:ascii="Times New Roman" w:eastAsia="Times New Roman" w:hAnsi="Times New Roman" w:cs="Times New Roman"/>
                <w:sz w:val="20"/>
                <w:szCs w:val="20"/>
                <w:lang w:val="sq-AL"/>
              </w:rPr>
              <w:br/>
              <w:t xml:space="preserve">a) identifikimin e aktivit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të ngarkuar me barrë;</w:t>
            </w:r>
            <w:r w:rsidRPr="00735452">
              <w:rPr>
                <w:rFonts w:ascii="Times New Roman" w:eastAsia="Times New Roman" w:hAnsi="Times New Roman" w:cs="Times New Roman"/>
                <w:sz w:val="20"/>
                <w:szCs w:val="20"/>
                <w:lang w:val="sq-AL"/>
              </w:rPr>
              <w:br/>
              <w:t>b) përcaktimin e pronësisë mbi këtë aktiv;</w:t>
            </w:r>
            <w:r w:rsidRPr="00735452">
              <w:rPr>
                <w:rFonts w:ascii="Times New Roman" w:eastAsia="Times New Roman" w:hAnsi="Times New Roman" w:cs="Times New Roman"/>
                <w:sz w:val="20"/>
                <w:szCs w:val="20"/>
                <w:lang w:val="sq-AL"/>
              </w:rPr>
              <w:br/>
              <w:t>c) dokumentimin dhe regjistrimin e barrëve mbi këtë aktiv;</w:t>
            </w:r>
            <w:r w:rsidRPr="00735452">
              <w:rPr>
                <w:rFonts w:ascii="Times New Roman" w:eastAsia="Times New Roman" w:hAnsi="Times New Roman" w:cs="Times New Roman"/>
                <w:sz w:val="20"/>
                <w:szCs w:val="20"/>
                <w:lang w:val="sq-AL"/>
              </w:rPr>
              <w:br/>
              <w:t xml:space="preserve">ç) </w:t>
            </w:r>
            <w:proofErr w:type="spellStart"/>
            <w:r w:rsidRPr="00735452">
              <w:rPr>
                <w:rFonts w:ascii="Times New Roman" w:eastAsia="Times New Roman" w:hAnsi="Times New Roman" w:cs="Times New Roman"/>
                <w:sz w:val="20"/>
                <w:szCs w:val="20"/>
                <w:lang w:val="sq-AL"/>
              </w:rPr>
              <w:t>zbatueshmërinë</w:t>
            </w:r>
            <w:proofErr w:type="spellEnd"/>
            <w:r w:rsidRPr="00735452">
              <w:rPr>
                <w:rFonts w:ascii="Times New Roman" w:eastAsia="Times New Roman" w:hAnsi="Times New Roman" w:cs="Times New Roman"/>
                <w:sz w:val="20"/>
                <w:szCs w:val="20"/>
                <w:lang w:val="sq-AL"/>
              </w:rPr>
              <w:t xml:space="preserve"> e të drejtave të sigurimit ndaj palëve të treta.</w:t>
            </w:r>
            <w:r w:rsidRPr="00735452">
              <w:rPr>
                <w:rFonts w:ascii="Times New Roman" w:eastAsia="Times New Roman" w:hAnsi="Times New Roman" w:cs="Times New Roman"/>
                <w:sz w:val="20"/>
                <w:szCs w:val="20"/>
                <w:lang w:val="sq-AL"/>
              </w:rPr>
              <w:br/>
              <w:t xml:space="preserve">8.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që garanton aktivet sipas pikës 1, shkronja “b”,  të këtij neni, duhet të përmbushë të paktën një nga këto kërkesa: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a) për aktivet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të ekzistojnë standarde vlerësimi të përshtatshme dhe të pranuara nga ekspertët, si dhe të ekzistojë një regjistër publik në të cilin regjistrohet pronësia dhe të drejtat mbi këto aktive të këtij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ose</w:t>
            </w:r>
            <w:r w:rsidRPr="00735452">
              <w:rPr>
                <w:rFonts w:ascii="Times New Roman" w:eastAsia="Times New Roman" w:hAnsi="Times New Roman" w:cs="Times New Roman"/>
                <w:sz w:val="20"/>
                <w:szCs w:val="20"/>
                <w:lang w:val="sq-AL"/>
              </w:rPr>
              <w:br/>
              <w:t xml:space="preserve">b) për aktivet në formën e ekspozimeve, siguria dhe qëndrueshmëria e </w:t>
            </w:r>
            <w:proofErr w:type="spellStart"/>
            <w:r w:rsidRPr="00735452">
              <w:rPr>
                <w:rFonts w:ascii="Times New Roman" w:eastAsia="Times New Roman" w:hAnsi="Times New Roman" w:cs="Times New Roman"/>
                <w:sz w:val="20"/>
                <w:szCs w:val="20"/>
                <w:lang w:val="sq-AL"/>
              </w:rPr>
              <w:t>kundërpalës</w:t>
            </w:r>
            <w:proofErr w:type="spellEnd"/>
            <w:r w:rsidRPr="00735452">
              <w:rPr>
                <w:rFonts w:ascii="Times New Roman" w:eastAsia="Times New Roman" w:hAnsi="Times New Roman" w:cs="Times New Roman"/>
                <w:sz w:val="20"/>
                <w:szCs w:val="20"/>
                <w:lang w:val="sq-AL"/>
              </w:rPr>
              <w:t xml:space="preserve"> së ekspozimit të burojë nga kompetencat e saj për mbledhjen e të ardhurave tatimore ose nga fakti që ajo i nënshtrohet mbikëqyrjes së vazhdueshme publike lidhur me qëndrueshmërinë e saj </w:t>
            </w:r>
            <w:proofErr w:type="spellStart"/>
            <w:r w:rsidRPr="00735452">
              <w:rPr>
                <w:rFonts w:ascii="Times New Roman" w:eastAsia="Times New Roman" w:hAnsi="Times New Roman" w:cs="Times New Roman"/>
                <w:sz w:val="20"/>
                <w:szCs w:val="20"/>
                <w:lang w:val="sq-AL"/>
              </w:rPr>
              <w:t>operacionale</w:t>
            </w:r>
            <w:proofErr w:type="spellEnd"/>
            <w:r w:rsidRPr="00735452">
              <w:rPr>
                <w:rFonts w:ascii="Times New Roman" w:eastAsia="Times New Roman" w:hAnsi="Times New Roman" w:cs="Times New Roman"/>
                <w:sz w:val="20"/>
                <w:szCs w:val="20"/>
                <w:lang w:val="sq-AL"/>
              </w:rPr>
              <w:t xml:space="preserve"> dhe aftësinë për të përmbushur detyrimet financiare.</w:t>
            </w:r>
          </w:p>
        </w:tc>
        <w:tc>
          <w:tcPr>
            <w:tcW w:w="1440" w:type="dxa"/>
          </w:tcPr>
          <w:p w14:paraId="5D96754C" w14:textId="405C64D6"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701EDD64"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26F80367" w14:textId="77777777" w:rsidTr="004D61BC">
        <w:trPr>
          <w:gridAfter w:val="1"/>
          <w:wAfter w:w="14" w:type="dxa"/>
        </w:trPr>
        <w:tc>
          <w:tcPr>
            <w:tcW w:w="800" w:type="dxa"/>
            <w:tcBorders>
              <w:left w:val="single" w:sz="12" w:space="0" w:color="auto"/>
            </w:tcBorders>
          </w:tcPr>
          <w:p w14:paraId="4EF8D116" w14:textId="77777777" w:rsidR="00751469" w:rsidRPr="00735452" w:rsidRDefault="00751469" w:rsidP="00751469">
            <w:pPr>
              <w:tabs>
                <w:tab w:val="left" w:pos="720"/>
              </w:tabs>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3A7A0F89"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shkronjës (c) të paragrafit 1, obligacionet e mbuluara të garantuara me hua ndaj ndërmarrjeve publike ose të garantuara prej tyre si aktive primare i nënshtrohen një niveli minimal prej 10% të </w:t>
            </w:r>
            <w:proofErr w:type="spellStart"/>
            <w:r w:rsidRPr="00735452">
              <w:rPr>
                <w:rFonts w:ascii="Times New Roman" w:eastAsia="Times New Roman" w:hAnsi="Times New Roman" w:cs="Times New Roman"/>
                <w:sz w:val="20"/>
                <w:szCs w:val="20"/>
                <w:lang w:val="sq-AL"/>
              </w:rPr>
              <w:t>mbikolateralizimit</w:t>
            </w:r>
            <w:proofErr w:type="spellEnd"/>
            <w:r w:rsidRPr="00735452">
              <w:rPr>
                <w:rFonts w:ascii="Times New Roman" w:eastAsia="Times New Roman" w:hAnsi="Times New Roman" w:cs="Times New Roman"/>
                <w:sz w:val="20"/>
                <w:szCs w:val="20"/>
                <w:lang w:val="sq-AL"/>
              </w:rPr>
              <w:t xml:space="preserve"> dhe të gjitha kushteve të mëposhtme:</w:t>
            </w:r>
          </w:p>
          <w:p w14:paraId="77B2CCBD"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ndërmarrjet publike ofrojnë shërbime publike thelbësore mbi bazën e një licence, kontrate koncesioni ose forme tjetër ngarkimi të dhënë nga një autoritet publik;</w:t>
            </w:r>
          </w:p>
          <w:p w14:paraId="216563ED"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ndërmarrjet publike i nënshtrohen mbikëqyrjes publike;</w:t>
            </w:r>
          </w:p>
          <w:p w14:paraId="49B738EA"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ndërmarrjet publike kanë fuqi të mjaftueshme për të </w:t>
            </w:r>
            <w:proofErr w:type="spellStart"/>
            <w:r w:rsidRPr="00735452">
              <w:rPr>
                <w:rFonts w:ascii="Times New Roman" w:eastAsia="Times New Roman" w:hAnsi="Times New Roman" w:cs="Times New Roman"/>
                <w:sz w:val="20"/>
                <w:szCs w:val="20"/>
                <w:lang w:val="sq-AL"/>
              </w:rPr>
              <w:t>gjeneruar</w:t>
            </w:r>
            <w:proofErr w:type="spellEnd"/>
            <w:r w:rsidRPr="00735452">
              <w:rPr>
                <w:rFonts w:ascii="Times New Roman" w:eastAsia="Times New Roman" w:hAnsi="Times New Roman" w:cs="Times New Roman"/>
                <w:sz w:val="20"/>
                <w:szCs w:val="20"/>
                <w:lang w:val="sq-AL"/>
              </w:rPr>
              <w:t xml:space="preserve"> të ardhura, gjë që sigurohet nga fakti që këto ndërmarrje publike:</w:t>
            </w:r>
          </w:p>
          <w:p w14:paraId="150F3D3B"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(i) kanë fleksibilitet të mjaftueshëm për të mbledhur dhe për të rritur tarifat, pagesat dhe të </w:t>
            </w:r>
            <w:proofErr w:type="spellStart"/>
            <w:r w:rsidRPr="00735452">
              <w:rPr>
                <w:rFonts w:ascii="Times New Roman" w:eastAsia="Times New Roman" w:hAnsi="Times New Roman" w:cs="Times New Roman"/>
                <w:sz w:val="20"/>
                <w:szCs w:val="20"/>
                <w:lang w:val="sq-AL"/>
              </w:rPr>
              <w:t>arkëtueshmet</w:t>
            </w:r>
            <w:proofErr w:type="spellEnd"/>
            <w:r w:rsidRPr="00735452">
              <w:rPr>
                <w:rFonts w:ascii="Times New Roman" w:eastAsia="Times New Roman" w:hAnsi="Times New Roman" w:cs="Times New Roman"/>
                <w:sz w:val="20"/>
                <w:szCs w:val="20"/>
                <w:lang w:val="sq-AL"/>
              </w:rPr>
              <w:t xml:space="preserve"> për shërbimin e ofruar, me qëllim garantimin e qëndrueshmërisë financiare dhe 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të tyre;</w:t>
            </w:r>
          </w:p>
          <w:p w14:paraId="04ACBA35"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xml:space="preserve">) marrin </w:t>
            </w:r>
            <w:proofErr w:type="spellStart"/>
            <w:r w:rsidRPr="00735452">
              <w:rPr>
                <w:rFonts w:ascii="Times New Roman" w:eastAsia="Times New Roman" w:hAnsi="Times New Roman" w:cs="Times New Roman"/>
                <w:sz w:val="20"/>
                <w:szCs w:val="20"/>
                <w:lang w:val="sq-AL"/>
              </w:rPr>
              <w:t>grante</w:t>
            </w:r>
            <w:proofErr w:type="spellEnd"/>
            <w:r w:rsidRPr="00735452">
              <w:rPr>
                <w:rFonts w:ascii="Times New Roman" w:eastAsia="Times New Roman" w:hAnsi="Times New Roman" w:cs="Times New Roman"/>
                <w:sz w:val="20"/>
                <w:szCs w:val="20"/>
                <w:lang w:val="sq-AL"/>
              </w:rPr>
              <w:t xml:space="preserve"> të mjaftueshme mbi bazë ligjore, me qëllim garantimin e qëndrueshmërisë financiare dhe 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të tyre në këmbim të ofrimit të shërbimeve publike thelbësore; ose</w:t>
            </w:r>
          </w:p>
          <w:p w14:paraId="71703873"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kanë lidhur një marrëveshje për transferimin e fitimeve dhe humbjeve me një autoritet publik.</w:t>
            </w:r>
          </w:p>
          <w:p w14:paraId="793292A1" w14:textId="77777777" w:rsidR="00751469" w:rsidRPr="00735452" w:rsidRDefault="00751469" w:rsidP="00751469">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24301843" w14:textId="2736AF0B" w:rsidR="00751469" w:rsidRPr="00735452" w:rsidRDefault="00EE2B5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41F79D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 9</w:t>
            </w:r>
          </w:p>
        </w:tc>
        <w:tc>
          <w:tcPr>
            <w:tcW w:w="5130" w:type="dxa"/>
          </w:tcPr>
          <w:p w14:paraId="2692DD9E"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9. Për qëllimet të pikës 1, shkronja “c” , të këtij neni, obligacionet e mbuluara të garantuara me kredi ndaj ndërmarrjeve publike ose të garantuara prej tyre, si aktive primare, i nënshtrohen një niveli minimal mbulimi shtesë  prej 10 % dhe këto ndërmarrje publike duhet të plotësojnë të gjitha kushtet e mëposhtme:</w:t>
            </w:r>
            <w:r w:rsidRPr="00735452">
              <w:rPr>
                <w:rFonts w:ascii="Times New Roman" w:eastAsia="Times New Roman" w:hAnsi="Times New Roman" w:cs="Times New Roman"/>
                <w:sz w:val="20"/>
                <w:szCs w:val="20"/>
                <w:lang w:val="sq-AL"/>
              </w:rPr>
              <w:br/>
              <w:t>a) të ofrojnë shërbime publike thelbësore mbi bazën e një licence, kontrate koncesioni ose formë tjetër autorizimi të dhënë nga një autoritet publik;</w:t>
            </w:r>
            <w:r w:rsidRPr="00735452">
              <w:rPr>
                <w:rFonts w:ascii="Times New Roman" w:eastAsia="Times New Roman" w:hAnsi="Times New Roman" w:cs="Times New Roman"/>
                <w:sz w:val="20"/>
                <w:szCs w:val="20"/>
                <w:lang w:val="sq-AL"/>
              </w:rPr>
              <w:br/>
              <w:t>b) t'i nënshtrohen mbikëqyrjes publike;</w:t>
            </w:r>
            <w:r w:rsidRPr="00735452">
              <w:rPr>
                <w:rFonts w:ascii="Times New Roman" w:eastAsia="Times New Roman" w:hAnsi="Times New Roman" w:cs="Times New Roman"/>
                <w:sz w:val="20"/>
                <w:szCs w:val="20"/>
                <w:lang w:val="sq-AL"/>
              </w:rPr>
              <w:br/>
              <w:t>c) të kenë kapacitete të mjaftueshme për gjenerimin e të ardhurave, të cilat sigurohen nga fakti që ndërmarrjet publike:</w:t>
            </w:r>
            <w:r w:rsidRPr="00735452">
              <w:rPr>
                <w:rFonts w:ascii="Times New Roman" w:eastAsia="Times New Roman" w:hAnsi="Times New Roman" w:cs="Times New Roman"/>
                <w:sz w:val="20"/>
                <w:szCs w:val="20"/>
                <w:lang w:val="sq-AL"/>
              </w:rPr>
              <w:br/>
              <w:t>(i) kanë fleksibilitet të mjaftueshëm për të mbledhur dhe për të rritur tarifat, pagesat dhe të ardhurat nga shërbimet e ofruara, me qëllim garantimin e qëndrueshmërisë financiare dhe aftësisë për përmbushjen e detyrimeve;</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marrin subvencione të mjaftueshme në bazë ligjore për garantimin e qëndrueshmërisë  financiare dhe aftësinë për përmbushjen e detyrimeve, në këmbim të ofrimit të shërbimeve publike thelbësore; ose</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kanë lidhur një marrëveshje transferimi të fitimit dhe humbjes me një autoritet publik.</w:t>
            </w:r>
          </w:p>
        </w:tc>
        <w:tc>
          <w:tcPr>
            <w:tcW w:w="1440" w:type="dxa"/>
          </w:tcPr>
          <w:p w14:paraId="6B4CB111" w14:textId="7EEBD1DA"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7831BBA1"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06B642A3" w14:textId="77777777" w:rsidTr="004D61BC">
        <w:trPr>
          <w:gridAfter w:val="1"/>
          <w:wAfter w:w="14" w:type="dxa"/>
        </w:trPr>
        <w:tc>
          <w:tcPr>
            <w:tcW w:w="800" w:type="dxa"/>
            <w:tcBorders>
              <w:left w:val="single" w:sz="12" w:space="0" w:color="auto"/>
            </w:tcBorders>
          </w:tcPr>
          <w:p w14:paraId="13A76043"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172495A7"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përcaktojnë rregulla për metodologjinë dhe procesin e vlerësimit të aktiveve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që garantojnë aktivet e përmendura në shkronjat (a) dhe (b) të paragrafit 1. Këto rregulla garantojnë të paktën sa vijon:</w:t>
            </w:r>
          </w:p>
          <w:p w14:paraId="718DDAB1"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për secilin aktiv fizik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ekziston një vlerësim aktual, në ose nën vlerën e tregut ose vlerën e kreditimit </w:t>
            </w:r>
            <w:proofErr w:type="spellStart"/>
            <w:r w:rsidRPr="00735452">
              <w:rPr>
                <w:rFonts w:ascii="Times New Roman" w:eastAsia="Times New Roman" w:hAnsi="Times New Roman" w:cs="Times New Roman"/>
                <w:sz w:val="20"/>
                <w:szCs w:val="20"/>
                <w:lang w:val="sq-AL"/>
              </w:rPr>
              <w:lastRenderedPageBreak/>
              <w:t>hipotekor</w:t>
            </w:r>
            <w:proofErr w:type="spellEnd"/>
            <w:r w:rsidRPr="00735452">
              <w:rPr>
                <w:rFonts w:ascii="Times New Roman" w:eastAsia="Times New Roman" w:hAnsi="Times New Roman" w:cs="Times New Roman"/>
                <w:sz w:val="20"/>
                <w:szCs w:val="20"/>
                <w:lang w:val="sq-AL"/>
              </w:rPr>
              <w:t>, në momentin e përfshirjes së aktivit mbulues në portofolin e mbulimit;</w:t>
            </w:r>
          </w:p>
          <w:p w14:paraId="6A0BACE3"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vlerësimi kryhet nga një vlerësues që zotëron kualifikimet, aftësitë dhe përvojën e nevojshme; dhe</w:t>
            </w:r>
          </w:p>
          <w:p w14:paraId="5CF47294"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vlerësuesi është i pavarur nga procesi i vendimmarrjes për kredinë, nuk merr në konsideratë elemente spekulative në vlerësimin e vlerës së aktivit fizik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dhe dokumenton vlerën e aktivit fizik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në mënyrë transparente dhe të qartë.</w:t>
            </w:r>
          </w:p>
          <w:p w14:paraId="28DC8A1C" w14:textId="77777777" w:rsidR="00751469" w:rsidRPr="00735452" w:rsidRDefault="00751469" w:rsidP="00751469">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2FAB0EB1" w14:textId="322D9446" w:rsidR="00751469" w:rsidRPr="00735452" w:rsidRDefault="00EE2B5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505F70D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pikat 10 dhe 14</w:t>
            </w:r>
          </w:p>
        </w:tc>
        <w:tc>
          <w:tcPr>
            <w:tcW w:w="5130" w:type="dxa"/>
          </w:tcPr>
          <w:p w14:paraId="7877FDEE"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10. Për vlerësimin e aktiveve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që sigurojnë aktivet sipas pikës 1, shkronjat “a” dhe “b” të këtij neni, kërkohet që:</w:t>
            </w:r>
            <w:r w:rsidRPr="00735452">
              <w:rPr>
                <w:rFonts w:ascii="Times New Roman" w:eastAsia="Times New Roman" w:hAnsi="Times New Roman" w:cs="Times New Roman"/>
                <w:sz w:val="20"/>
                <w:szCs w:val="20"/>
                <w:lang w:val="sq-AL"/>
              </w:rPr>
              <w:br/>
              <w:t xml:space="preserve">a) për çdo aktiv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të ekzistojë, në momentin e përfshirjes së aktivit për mbulim në grupin e mbulimit, një vlerësim aktual në nivelin e vlerës së tregut ose të vlerës së kreditimit </w:t>
            </w:r>
            <w:proofErr w:type="spellStart"/>
            <w:r w:rsidRPr="00735452">
              <w:rPr>
                <w:rFonts w:ascii="Times New Roman" w:eastAsia="Times New Roman" w:hAnsi="Times New Roman" w:cs="Times New Roman"/>
                <w:sz w:val="20"/>
                <w:szCs w:val="20"/>
                <w:lang w:val="sq-AL"/>
              </w:rPr>
              <w:t>hipotekor</w:t>
            </w:r>
            <w:proofErr w:type="spellEnd"/>
            <w:r w:rsidRPr="00735452">
              <w:rPr>
                <w:rFonts w:ascii="Times New Roman" w:eastAsia="Times New Roman" w:hAnsi="Times New Roman" w:cs="Times New Roman"/>
                <w:sz w:val="20"/>
                <w:szCs w:val="20"/>
                <w:lang w:val="sq-AL"/>
              </w:rPr>
              <w:t>, ose në një nivel më i ulët se këto vlera;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b) vlerësimi të kryhet nga një vlerësues që zotëron kualifikimet, aftësitë dhe përvojën e nevojshme;</w:t>
            </w:r>
            <w:r w:rsidRPr="00735452">
              <w:rPr>
                <w:rFonts w:ascii="Times New Roman" w:eastAsia="Times New Roman" w:hAnsi="Times New Roman" w:cs="Times New Roman"/>
                <w:sz w:val="20"/>
                <w:szCs w:val="20"/>
                <w:lang w:val="sq-AL"/>
              </w:rPr>
              <w:br/>
              <w:t xml:space="preserve">c) vlerësuesi të jetë i pavarur nga procesi i vendimmarrjes për kreditim, të mos marrë në konsideratë elemente spekulative gjatë vlerësimit dhe të dokumentojë vlerën e aktivit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në mënyrë të qartë dhe transparente.</w:t>
            </w:r>
            <w:r w:rsidRPr="00735452">
              <w:rPr>
                <w:rFonts w:ascii="Times New Roman" w:eastAsia="Times New Roman" w:hAnsi="Times New Roman" w:cs="Times New Roman"/>
                <w:sz w:val="20"/>
                <w:szCs w:val="20"/>
                <w:lang w:val="sq-AL"/>
              </w:rPr>
              <w:br/>
              <w:t>14. Banka e Shqipërisë miraton rregulla për përcaktimin e kritereve të tjera shtesë.</w:t>
            </w:r>
          </w:p>
        </w:tc>
        <w:tc>
          <w:tcPr>
            <w:tcW w:w="1440" w:type="dxa"/>
          </w:tcPr>
          <w:p w14:paraId="2E5584E7" w14:textId="6EB4F364"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1D86C0F" w14:textId="77777777" w:rsidR="003E7E51" w:rsidRPr="00735452" w:rsidRDefault="003E7E51">
            <w:pPr>
              <w:spacing w:after="0" w:line="240" w:lineRule="auto"/>
              <w:rPr>
                <w:rFonts w:ascii="Times New Roman" w:hAnsi="Times New Roman" w:cs="Times New Roman"/>
                <w:sz w:val="20"/>
                <w:szCs w:val="20"/>
                <w:lang w:val="sq-AL"/>
              </w:rPr>
            </w:pPr>
          </w:p>
        </w:tc>
      </w:tr>
      <w:tr w:rsidR="00751469" w:rsidRPr="00735452" w14:paraId="7FEFB62A" w14:textId="77777777" w:rsidTr="004D61BC">
        <w:trPr>
          <w:gridAfter w:val="1"/>
          <w:wAfter w:w="14" w:type="dxa"/>
        </w:trPr>
        <w:tc>
          <w:tcPr>
            <w:tcW w:w="800" w:type="dxa"/>
            <w:tcBorders>
              <w:left w:val="single" w:sz="12" w:space="0" w:color="auto"/>
            </w:tcBorders>
          </w:tcPr>
          <w:p w14:paraId="192709C2"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6</w:t>
            </w:r>
          </w:p>
        </w:tc>
        <w:tc>
          <w:tcPr>
            <w:tcW w:w="5220" w:type="dxa"/>
            <w:tcBorders>
              <w:right w:val="single" w:sz="12" w:space="0" w:color="auto"/>
            </w:tcBorders>
          </w:tcPr>
          <w:p w14:paraId="09AE2734" w14:textId="77777777" w:rsidR="00751469" w:rsidRPr="00735452" w:rsidRDefault="00751469" w:rsidP="0075146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kërkojnë që institucionet e kreditit që emetojnë obligacione të mbuluara të kenë procedura për të monitoruar nëse aktivet fizike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që garantojnë aktivet e përmendura në shkronjat (a) dhe (b) të paragrafit 1 të këtij neni janë siguruar në mënyrë të përshtatshme kundër rrezikut të dëmtimit dhe nëse pretendimi nga sigurimi është ndarë në përputhje me nenin 12.</w:t>
            </w:r>
          </w:p>
          <w:p w14:paraId="7922B38E" w14:textId="77777777" w:rsidR="00751469" w:rsidRPr="00735452" w:rsidRDefault="00751469" w:rsidP="00751469">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434F3B3B" w14:textId="7556A50E" w:rsidR="00751469" w:rsidRPr="00735452" w:rsidRDefault="00EE2B5C" w:rsidP="0075146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1A02EF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 11</w:t>
            </w:r>
          </w:p>
        </w:tc>
        <w:tc>
          <w:tcPr>
            <w:tcW w:w="5130" w:type="dxa"/>
          </w:tcPr>
          <w:p w14:paraId="093655C2"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11. Institucionet e kreditit që emetojnë obligacione të mbuluara duhet të kenë procedura të përcaktuara qartë për të monitoruar që aktivet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fizik, të cilat sigurojnë aktivet e përmendura në pikën 1,  shkronjat “a” dhe “b” të këtij neni, janë të siguruara në mënyrë të përshtatshme ndaj rrezikut të dëmtimit dhe që e drejta nga sigurimi është e ndarë (</w:t>
            </w:r>
            <w:proofErr w:type="spellStart"/>
            <w:r w:rsidRPr="00735452">
              <w:rPr>
                <w:rFonts w:ascii="Times New Roman" w:eastAsia="Times New Roman" w:hAnsi="Times New Roman" w:cs="Times New Roman"/>
                <w:sz w:val="20"/>
                <w:szCs w:val="20"/>
                <w:lang w:val="sq-AL"/>
              </w:rPr>
              <w:t>segreguar</w:t>
            </w:r>
            <w:proofErr w:type="spellEnd"/>
            <w:r w:rsidRPr="00735452">
              <w:rPr>
                <w:rFonts w:ascii="Times New Roman" w:eastAsia="Times New Roman" w:hAnsi="Times New Roman" w:cs="Times New Roman"/>
                <w:sz w:val="20"/>
                <w:szCs w:val="20"/>
                <w:lang w:val="sq-AL"/>
              </w:rPr>
              <w:t>) në përputhje me nenin 11, të këtij ligji.</w:t>
            </w:r>
          </w:p>
        </w:tc>
        <w:tc>
          <w:tcPr>
            <w:tcW w:w="1440" w:type="dxa"/>
          </w:tcPr>
          <w:p w14:paraId="0484A469" w14:textId="67CF5C89"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FA3F4B5" w14:textId="77777777" w:rsidR="003E7E51" w:rsidRPr="00735452" w:rsidRDefault="003E7E51">
            <w:pPr>
              <w:spacing w:after="0" w:line="240" w:lineRule="auto"/>
              <w:rPr>
                <w:rFonts w:ascii="Times New Roman" w:hAnsi="Times New Roman" w:cs="Times New Roman"/>
                <w:sz w:val="20"/>
                <w:szCs w:val="20"/>
                <w:lang w:val="sq-AL"/>
              </w:rPr>
            </w:pPr>
          </w:p>
        </w:tc>
      </w:tr>
      <w:tr w:rsidR="00D15EC2" w:rsidRPr="00735452" w14:paraId="3FB7FBC9" w14:textId="77777777" w:rsidTr="004D61BC">
        <w:trPr>
          <w:gridAfter w:val="1"/>
          <w:wAfter w:w="14" w:type="dxa"/>
        </w:trPr>
        <w:tc>
          <w:tcPr>
            <w:tcW w:w="800" w:type="dxa"/>
            <w:tcBorders>
              <w:left w:val="single" w:sz="12" w:space="0" w:color="auto"/>
            </w:tcBorders>
          </w:tcPr>
          <w:p w14:paraId="2A2C778C"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7</w:t>
            </w:r>
          </w:p>
        </w:tc>
        <w:tc>
          <w:tcPr>
            <w:tcW w:w="5220" w:type="dxa"/>
            <w:tcBorders>
              <w:right w:val="single" w:sz="12" w:space="0" w:color="auto"/>
            </w:tcBorders>
          </w:tcPr>
          <w:p w14:paraId="06F30D4E"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Shtetet anëtare kërkojnë që institucionet e kreditit që emetojnë obligacione të mbuluara të dokumentojnë aktivet mbuluese të përmendura në shkronjat (a) dhe (b) të paragrafit 1, si dhe përputhshmërinë e politikave të tyre të kreditimit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nen.</w:t>
            </w:r>
          </w:p>
        </w:tc>
        <w:tc>
          <w:tcPr>
            <w:tcW w:w="624" w:type="dxa"/>
            <w:tcBorders>
              <w:left w:val="single" w:sz="12" w:space="0" w:color="auto"/>
            </w:tcBorders>
          </w:tcPr>
          <w:p w14:paraId="35521BD7" w14:textId="369B699B" w:rsidR="00D15EC2" w:rsidRPr="00735452" w:rsidRDefault="00EE2B5C" w:rsidP="00D15EC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A02CAE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 12</w:t>
            </w:r>
          </w:p>
        </w:tc>
        <w:tc>
          <w:tcPr>
            <w:tcW w:w="5130" w:type="dxa"/>
          </w:tcPr>
          <w:p w14:paraId="482F5B9C"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12. Institucionet e kreditit që emetojnë obligacione të mbuluara duhet t'i mbajnë ato në një regjistër dhe të dokumentojnë:</w:t>
            </w:r>
            <w:r w:rsidRPr="00735452">
              <w:rPr>
                <w:rFonts w:ascii="Times New Roman" w:eastAsia="Times New Roman" w:hAnsi="Times New Roman" w:cs="Times New Roman"/>
                <w:sz w:val="20"/>
                <w:szCs w:val="20"/>
                <w:lang w:val="sq-AL"/>
              </w:rPr>
              <w:br/>
              <w:t>a) aktivet e mbulimit të parashikuara në pikën 1,  në shkronjat “a” dhe “b” të këtij neni; dhe</w:t>
            </w:r>
            <w:r w:rsidRPr="00735452">
              <w:rPr>
                <w:rFonts w:ascii="Times New Roman" w:eastAsia="Times New Roman" w:hAnsi="Times New Roman" w:cs="Times New Roman"/>
                <w:sz w:val="20"/>
                <w:szCs w:val="20"/>
                <w:lang w:val="sq-AL"/>
              </w:rPr>
              <w:br/>
              <w:t>b) përputhshmërinë e politikave të tyre të kreditimit me dispozitat e këtij ligji.</w:t>
            </w:r>
          </w:p>
        </w:tc>
        <w:tc>
          <w:tcPr>
            <w:tcW w:w="1440" w:type="dxa"/>
          </w:tcPr>
          <w:p w14:paraId="5BDA3906" w14:textId="2831C22A"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DCA94B6" w14:textId="77777777" w:rsidR="003E7E51" w:rsidRPr="00735452" w:rsidRDefault="003E7E51">
            <w:pPr>
              <w:spacing w:after="0" w:line="240" w:lineRule="auto"/>
              <w:rPr>
                <w:rFonts w:ascii="Times New Roman" w:hAnsi="Times New Roman" w:cs="Times New Roman"/>
                <w:sz w:val="20"/>
                <w:szCs w:val="20"/>
                <w:lang w:val="sq-AL"/>
              </w:rPr>
            </w:pPr>
          </w:p>
        </w:tc>
      </w:tr>
      <w:tr w:rsidR="00D15EC2" w:rsidRPr="00735452" w14:paraId="54A40A30" w14:textId="77777777" w:rsidTr="004D61BC">
        <w:trPr>
          <w:gridAfter w:val="1"/>
          <w:wAfter w:w="14" w:type="dxa"/>
        </w:trPr>
        <w:tc>
          <w:tcPr>
            <w:tcW w:w="800" w:type="dxa"/>
            <w:tcBorders>
              <w:left w:val="single" w:sz="12" w:space="0" w:color="auto"/>
            </w:tcBorders>
          </w:tcPr>
          <w:p w14:paraId="1043168E"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8</w:t>
            </w:r>
          </w:p>
        </w:tc>
        <w:tc>
          <w:tcPr>
            <w:tcW w:w="5220" w:type="dxa"/>
            <w:tcBorders>
              <w:right w:val="single" w:sz="12" w:space="0" w:color="auto"/>
            </w:tcBorders>
          </w:tcPr>
          <w:p w14:paraId="78C4F277"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përcaktojnë rregulla që sigurojnë </w:t>
            </w:r>
            <w:proofErr w:type="spellStart"/>
            <w:r w:rsidRPr="00735452">
              <w:rPr>
                <w:rFonts w:ascii="Times New Roman" w:eastAsia="Times New Roman" w:hAnsi="Times New Roman" w:cs="Times New Roman"/>
                <w:sz w:val="20"/>
                <w:szCs w:val="20"/>
                <w:lang w:val="sq-AL"/>
              </w:rPr>
              <w:t>diversifikimin</w:t>
            </w:r>
            <w:proofErr w:type="spellEnd"/>
            <w:r w:rsidRPr="00735452">
              <w:rPr>
                <w:rFonts w:ascii="Times New Roman" w:eastAsia="Times New Roman" w:hAnsi="Times New Roman" w:cs="Times New Roman"/>
                <w:sz w:val="20"/>
                <w:szCs w:val="20"/>
                <w:lang w:val="sq-AL"/>
              </w:rPr>
              <w:t xml:space="preserve"> e rrezikut në portofolin e mbulimit në lidhje me </w:t>
            </w:r>
            <w:proofErr w:type="spellStart"/>
            <w:r w:rsidRPr="00735452">
              <w:rPr>
                <w:rFonts w:ascii="Times New Roman" w:eastAsia="Times New Roman" w:hAnsi="Times New Roman" w:cs="Times New Roman"/>
                <w:sz w:val="20"/>
                <w:szCs w:val="20"/>
                <w:lang w:val="sq-AL"/>
              </w:rPr>
              <w:t>granularitetin</w:t>
            </w:r>
            <w:proofErr w:type="spellEnd"/>
            <w:r w:rsidRPr="00735452">
              <w:rPr>
                <w:rFonts w:ascii="Times New Roman" w:eastAsia="Times New Roman" w:hAnsi="Times New Roman" w:cs="Times New Roman"/>
                <w:sz w:val="20"/>
                <w:szCs w:val="20"/>
                <w:lang w:val="sq-AL"/>
              </w:rPr>
              <w:t xml:space="preserve"> dhe përqendrimin material për aktivet që nuk janë të pranueshme sipas shkronjës (a) të paragrafit 1.</w:t>
            </w:r>
          </w:p>
          <w:p w14:paraId="3696B7DE" w14:textId="77777777" w:rsidR="00D15EC2" w:rsidRPr="00735452" w:rsidRDefault="00D15EC2" w:rsidP="00D15EC2">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4F188435" w14:textId="1CF15216" w:rsidR="00D15EC2" w:rsidRPr="00735452" w:rsidRDefault="00EE2B5C" w:rsidP="00D15EC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A94C6C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6, pikat 13-14</w:t>
            </w:r>
          </w:p>
        </w:tc>
        <w:tc>
          <w:tcPr>
            <w:tcW w:w="5130" w:type="dxa"/>
          </w:tcPr>
          <w:p w14:paraId="389BE012"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13. Aktivet e grupit te mbulimit, përveç kritereve të përcaktuara në pikat 1 deri në 5 të këtij neni, duhet të përmbushin, edhe kriteret e mëposhtme:</w:t>
            </w:r>
            <w:r w:rsidRPr="00735452">
              <w:rPr>
                <w:rFonts w:ascii="Times New Roman" w:eastAsia="Times New Roman" w:hAnsi="Times New Roman" w:cs="Times New Roman"/>
                <w:sz w:val="20"/>
                <w:szCs w:val="20"/>
                <w:lang w:val="sq-AL"/>
              </w:rPr>
              <w:br/>
              <w:t xml:space="preserve">    a) vlera e çdo ekspozimi individual kur ky përfaqëson një instrument financiar të   emetuar nga qeveria e Republikës së Shqipërisë nuk duhet të jetë më e madhe se 10% e totalit të grupit të mbulimit;</w:t>
            </w:r>
            <w:r w:rsidRPr="00735452">
              <w:rPr>
                <w:rFonts w:ascii="Times New Roman" w:eastAsia="Times New Roman" w:hAnsi="Times New Roman" w:cs="Times New Roman"/>
                <w:sz w:val="20"/>
                <w:szCs w:val="20"/>
                <w:lang w:val="sq-AL"/>
              </w:rPr>
              <w:br/>
              <w:t xml:space="preserve">    b) vlera e çdo ekspozimi individual të ndryshëm nga ai i përcaktuar në shkronjën  “a” të kësaj pike, të përllogaritur si pjesë e grupit të mbulimit, nuk duhet të jetë më e madhe se 5% e totalit të grupit të mbulimit;</w:t>
            </w:r>
            <w:r w:rsidRPr="00735452">
              <w:rPr>
                <w:rFonts w:ascii="Times New Roman" w:eastAsia="Times New Roman" w:hAnsi="Times New Roman" w:cs="Times New Roman"/>
                <w:sz w:val="20"/>
                <w:szCs w:val="20"/>
                <w:lang w:val="sq-AL"/>
              </w:rPr>
              <w:br/>
              <w:t xml:space="preserve">    c) çdo ekspozim i grupit të mbulimit që ka karakteristikat e një huaje duhet të jetë i garantuar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pasuri e paluajtshme. Në këtë rast vlera e </w:t>
            </w:r>
            <w:proofErr w:type="spellStart"/>
            <w:r w:rsidRPr="00735452">
              <w:rPr>
                <w:rFonts w:ascii="Times New Roman" w:eastAsia="Times New Roman" w:hAnsi="Times New Roman" w:cs="Times New Roman"/>
                <w:sz w:val="20"/>
                <w:szCs w:val="20"/>
                <w:lang w:val="sq-AL"/>
              </w:rPr>
              <w:t>huasë</w:t>
            </w:r>
            <w:proofErr w:type="spellEnd"/>
            <w:r w:rsidRPr="00735452">
              <w:rPr>
                <w:rFonts w:ascii="Times New Roman" w:eastAsia="Times New Roman" w:hAnsi="Times New Roman" w:cs="Times New Roman"/>
                <w:sz w:val="20"/>
                <w:szCs w:val="20"/>
                <w:lang w:val="sq-AL"/>
              </w:rPr>
              <w:t xml:space="preserve"> që do të përllogaritet si pjesë e grupit të mbulimit nuk duhet të jetë më e madhe se </w:t>
            </w:r>
            <w:r w:rsidRPr="00735452">
              <w:rPr>
                <w:rFonts w:ascii="Times New Roman" w:eastAsia="Times New Roman" w:hAnsi="Times New Roman" w:cs="Times New Roman"/>
                <w:sz w:val="20"/>
                <w:szCs w:val="20"/>
                <w:lang w:val="sq-AL"/>
              </w:rPr>
              <w:lastRenderedPageBreak/>
              <w:t xml:space="preserve">60% e vlerës së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pasuri e paluajtshme që është pranuar si garanci nga institucioni financiar emetues;</w:t>
            </w:r>
            <w:r w:rsidRPr="00735452">
              <w:rPr>
                <w:rFonts w:ascii="Times New Roman" w:eastAsia="Times New Roman" w:hAnsi="Times New Roman" w:cs="Times New Roman"/>
                <w:sz w:val="20"/>
                <w:szCs w:val="20"/>
                <w:lang w:val="sq-AL"/>
              </w:rPr>
              <w:br/>
              <w:t xml:space="preserve">ç) vlera e kredive jo </w:t>
            </w:r>
            <w:proofErr w:type="spellStart"/>
            <w:r w:rsidRPr="00735452">
              <w:rPr>
                <w:rFonts w:ascii="Times New Roman" w:eastAsia="Times New Roman" w:hAnsi="Times New Roman" w:cs="Times New Roman"/>
                <w:sz w:val="20"/>
                <w:szCs w:val="20"/>
                <w:lang w:val="sq-AL"/>
              </w:rPr>
              <w:t>hipotekore</w:t>
            </w:r>
            <w:proofErr w:type="spellEnd"/>
            <w:r w:rsidRPr="00735452">
              <w:rPr>
                <w:rFonts w:ascii="Times New Roman" w:eastAsia="Times New Roman" w:hAnsi="Times New Roman" w:cs="Times New Roman"/>
                <w:sz w:val="20"/>
                <w:szCs w:val="20"/>
                <w:lang w:val="sq-AL"/>
              </w:rPr>
              <w:t xml:space="preserve"> që janë pjesë e grupit të mbulimit, nuk duhet të kalojë nivelin prej 20% të vlerës së grupit të mbulimit;</w:t>
            </w:r>
            <w:r w:rsidRPr="00735452">
              <w:rPr>
                <w:rFonts w:ascii="Times New Roman" w:eastAsia="Times New Roman" w:hAnsi="Times New Roman" w:cs="Times New Roman"/>
                <w:sz w:val="20"/>
                <w:szCs w:val="20"/>
                <w:lang w:val="sq-AL"/>
              </w:rPr>
              <w:br/>
              <w:t xml:space="preserve">    d) </w:t>
            </w:r>
            <w:proofErr w:type="spellStart"/>
            <w:r w:rsidRPr="00735452">
              <w:rPr>
                <w:rFonts w:ascii="Times New Roman" w:eastAsia="Times New Roman" w:hAnsi="Times New Roman" w:cs="Times New Roman"/>
                <w:sz w:val="20"/>
                <w:szCs w:val="20"/>
                <w:lang w:val="sq-AL"/>
              </w:rPr>
              <w:t>kolateralet</w:t>
            </w:r>
            <w:proofErr w:type="spellEnd"/>
            <w:r w:rsidRPr="00735452">
              <w:rPr>
                <w:rFonts w:ascii="Times New Roman" w:eastAsia="Times New Roman" w:hAnsi="Times New Roman" w:cs="Times New Roman"/>
                <w:sz w:val="20"/>
                <w:szCs w:val="20"/>
                <w:lang w:val="sq-AL"/>
              </w:rPr>
              <w:t xml:space="preserve"> e pranuara si garanci për aktivet e grupit të mbulimit duhet të ndodhen në Republikën e Shqipërisë ose në një nga shtetet anëtare të Bashkimit Evropian.</w:t>
            </w:r>
            <w:r w:rsidRPr="00735452">
              <w:rPr>
                <w:rFonts w:ascii="Times New Roman" w:eastAsia="Times New Roman" w:hAnsi="Times New Roman" w:cs="Times New Roman"/>
                <w:sz w:val="20"/>
                <w:szCs w:val="20"/>
                <w:lang w:val="sq-AL"/>
              </w:rPr>
              <w:br/>
              <w:t>14. Banka e Shqipërisë miraton rregulla për përcaktimin e kritereve të tjera shtesë.</w:t>
            </w:r>
          </w:p>
        </w:tc>
        <w:tc>
          <w:tcPr>
            <w:tcW w:w="1440" w:type="dxa"/>
          </w:tcPr>
          <w:p w14:paraId="4EEFE988" w14:textId="4E225E0B"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64DEDBD3" w14:textId="77777777" w:rsidR="003E7E51" w:rsidRPr="00735452" w:rsidRDefault="003E7E51">
            <w:pPr>
              <w:spacing w:after="0" w:line="240" w:lineRule="auto"/>
              <w:rPr>
                <w:rFonts w:ascii="Times New Roman" w:hAnsi="Times New Roman" w:cs="Times New Roman"/>
                <w:sz w:val="20"/>
                <w:szCs w:val="20"/>
                <w:lang w:val="sq-AL"/>
              </w:rPr>
            </w:pPr>
          </w:p>
        </w:tc>
      </w:tr>
      <w:tr w:rsidR="00D15EC2" w:rsidRPr="00735452" w14:paraId="5EC1F834" w14:textId="77777777" w:rsidTr="004D61BC">
        <w:trPr>
          <w:gridAfter w:val="1"/>
          <w:wAfter w:w="14" w:type="dxa"/>
        </w:trPr>
        <w:tc>
          <w:tcPr>
            <w:tcW w:w="800" w:type="dxa"/>
            <w:tcBorders>
              <w:left w:val="single" w:sz="12" w:space="0" w:color="auto"/>
            </w:tcBorders>
          </w:tcPr>
          <w:p w14:paraId="3427B9CA"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7</w:t>
            </w:r>
          </w:p>
          <w:p w14:paraId="730F58DD"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2ED1185D"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Pa cenuar paragrafin 2, shtetet anëtare mund t’u lejojnë institucioneve të kreditit që emetojnë obligacione të mbuluara të përfshijnë në portofolin e mbulimit aktive që sigurohen me aktive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vendosura jashtë Bashkimit.</w:t>
            </w:r>
          </w:p>
        </w:tc>
        <w:tc>
          <w:tcPr>
            <w:tcW w:w="624" w:type="dxa"/>
            <w:tcBorders>
              <w:left w:val="single" w:sz="12" w:space="0" w:color="auto"/>
            </w:tcBorders>
          </w:tcPr>
          <w:p w14:paraId="26A067DA" w14:textId="1A9C2FA2" w:rsidR="00D15EC2" w:rsidRPr="00735452" w:rsidRDefault="00D15EC2" w:rsidP="00D15EC2">
            <w:pPr>
              <w:spacing w:after="0" w:line="240" w:lineRule="auto"/>
              <w:jc w:val="both"/>
              <w:rPr>
                <w:rFonts w:ascii="Times New Roman" w:hAnsi="Times New Roman" w:cs="Times New Roman"/>
                <w:sz w:val="20"/>
                <w:szCs w:val="20"/>
                <w:lang w:val="sq-AL"/>
              </w:rPr>
            </w:pPr>
          </w:p>
        </w:tc>
        <w:tc>
          <w:tcPr>
            <w:tcW w:w="906" w:type="dxa"/>
          </w:tcPr>
          <w:p w14:paraId="72BCD548" w14:textId="64D1CB35"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514F291C" w14:textId="0FC61F08" w:rsidR="003E7E51" w:rsidRPr="00735452" w:rsidRDefault="00EE2B5C">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N/A</w:t>
            </w:r>
          </w:p>
        </w:tc>
        <w:tc>
          <w:tcPr>
            <w:tcW w:w="1440" w:type="dxa"/>
          </w:tcPr>
          <w:p w14:paraId="64E8FE0C" w14:textId="0489FC12"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5966FB42" w14:textId="6FC981DC"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Neni 7 i Direktivës është dispozitë </w:t>
            </w:r>
            <w:proofErr w:type="spellStart"/>
            <w:r w:rsidRPr="00735452">
              <w:rPr>
                <w:rFonts w:ascii="Times New Roman" w:eastAsia="Times New Roman" w:hAnsi="Times New Roman" w:cs="Times New Roman"/>
                <w:sz w:val="20"/>
                <w:szCs w:val="20"/>
                <w:lang w:val="sq-AL"/>
              </w:rPr>
              <w:t>opsionale</w:t>
            </w:r>
            <w:proofErr w:type="spellEnd"/>
            <w:r w:rsidRPr="00735452">
              <w:rPr>
                <w:rFonts w:ascii="Times New Roman" w:eastAsia="Times New Roman" w:hAnsi="Times New Roman" w:cs="Times New Roman"/>
                <w:sz w:val="20"/>
                <w:szCs w:val="20"/>
                <w:lang w:val="sq-AL"/>
              </w:rPr>
              <w:t xml:space="preserve">. Projektligji </w:t>
            </w:r>
            <w:r w:rsidR="00EE2B5C" w:rsidRPr="00735452">
              <w:rPr>
                <w:rFonts w:ascii="Times New Roman" w:eastAsia="Times New Roman" w:hAnsi="Times New Roman" w:cs="Times New Roman"/>
                <w:sz w:val="20"/>
                <w:szCs w:val="20"/>
                <w:lang w:val="sq-AL"/>
              </w:rPr>
              <w:t xml:space="preserve">në nenin 6, pika 13, shkronja “d” </w:t>
            </w:r>
            <w:r w:rsidRPr="00735452">
              <w:rPr>
                <w:rFonts w:ascii="Times New Roman" w:eastAsia="Times New Roman" w:hAnsi="Times New Roman" w:cs="Times New Roman"/>
                <w:sz w:val="20"/>
                <w:szCs w:val="20"/>
                <w:lang w:val="sq-AL"/>
              </w:rPr>
              <w:t xml:space="preserve">nuk lejon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jashtë Shqipërisë ose Bashkimit Evropian; </w:t>
            </w:r>
          </w:p>
        </w:tc>
      </w:tr>
      <w:tr w:rsidR="00D15EC2" w:rsidRPr="00735452" w14:paraId="178CA87F" w14:textId="77777777" w:rsidTr="004D61BC">
        <w:trPr>
          <w:gridAfter w:val="1"/>
          <w:wAfter w:w="14" w:type="dxa"/>
        </w:trPr>
        <w:tc>
          <w:tcPr>
            <w:tcW w:w="800" w:type="dxa"/>
            <w:tcBorders>
              <w:left w:val="single" w:sz="12" w:space="0" w:color="auto"/>
            </w:tcBorders>
          </w:tcPr>
          <w:p w14:paraId="525BCBF0" w14:textId="77777777" w:rsidR="00D15EC2" w:rsidRPr="00735452" w:rsidRDefault="00D15EC2" w:rsidP="00D15EC2">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228CC281" w14:textId="0ABDAA56"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Kur shtetet anëtare lejojnë përfshirjen e aktiveve të përmendura në paragrafin 1, ato sigurojnë mbrojtjen e investitorëve duke kërkuar që institucionet e kreditit të verifikojnë se këto aktive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përmbushin të gjitha kërkesat e përcaktuara në nenin 6. Shtetet anëtare sigurojnë që këto aktive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ofrojnë një nivel sigurie të ngjashëm me atë të aktiveve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vendosura në Bashkim dhe garantojnë që realizimi i këtyre aktiveve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është ligjërisht i ekzekutueshëm në një mënyrë me efekt të barasvlershëm me realizimin e aktiveve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të vendosura në Bashkim.</w:t>
            </w:r>
          </w:p>
          <w:p w14:paraId="0D0E9C6B" w14:textId="77777777" w:rsidR="00D15EC2" w:rsidRPr="00735452" w:rsidRDefault="00D15EC2" w:rsidP="00D15EC2">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04936847" w14:textId="77777777" w:rsidR="00D15EC2" w:rsidRPr="00735452" w:rsidRDefault="00D15EC2" w:rsidP="00D15EC2">
            <w:pPr>
              <w:spacing w:after="0" w:line="240" w:lineRule="auto"/>
              <w:jc w:val="both"/>
              <w:rPr>
                <w:rFonts w:ascii="Times New Roman" w:hAnsi="Times New Roman" w:cs="Times New Roman"/>
                <w:sz w:val="20"/>
                <w:szCs w:val="20"/>
                <w:lang w:val="sq-AL"/>
              </w:rPr>
            </w:pPr>
          </w:p>
        </w:tc>
        <w:tc>
          <w:tcPr>
            <w:tcW w:w="906" w:type="dxa"/>
          </w:tcPr>
          <w:p w14:paraId="26141023" w14:textId="3C97F72F"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6ABBC5DC" w14:textId="269A8C80" w:rsidR="003E7E51" w:rsidRPr="00735452" w:rsidRDefault="00EE2B5C">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N/A</w:t>
            </w:r>
          </w:p>
        </w:tc>
        <w:tc>
          <w:tcPr>
            <w:tcW w:w="1440" w:type="dxa"/>
          </w:tcPr>
          <w:p w14:paraId="40A27D23" w14:textId="517159AC"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34A776FD" w14:textId="2A2A1AB7" w:rsidR="003E7E51" w:rsidRPr="00735452" w:rsidRDefault="00EE2B5C">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Neni 7 i Direktivës është dispozitë </w:t>
            </w:r>
            <w:proofErr w:type="spellStart"/>
            <w:r w:rsidRPr="00735452">
              <w:rPr>
                <w:rFonts w:ascii="Times New Roman" w:eastAsia="Times New Roman" w:hAnsi="Times New Roman" w:cs="Times New Roman"/>
                <w:sz w:val="20"/>
                <w:szCs w:val="20"/>
                <w:lang w:val="sq-AL"/>
              </w:rPr>
              <w:t>opsionale</w:t>
            </w:r>
            <w:proofErr w:type="spellEnd"/>
            <w:r w:rsidRPr="00735452">
              <w:rPr>
                <w:rFonts w:ascii="Times New Roman" w:eastAsia="Times New Roman" w:hAnsi="Times New Roman" w:cs="Times New Roman"/>
                <w:sz w:val="20"/>
                <w:szCs w:val="20"/>
                <w:lang w:val="sq-AL"/>
              </w:rPr>
              <w:t xml:space="preserve">. Projektligji në nenin 6, pika 13, shkronja “d” nuk lejon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jashtë Shqipërisë ose Bashkimit Evropian;</w:t>
            </w:r>
          </w:p>
        </w:tc>
      </w:tr>
      <w:tr w:rsidR="00D15EC2" w:rsidRPr="00735452" w14:paraId="4932FA3E" w14:textId="77777777" w:rsidTr="004D61BC">
        <w:trPr>
          <w:gridAfter w:val="1"/>
          <w:wAfter w:w="14" w:type="dxa"/>
        </w:trPr>
        <w:tc>
          <w:tcPr>
            <w:tcW w:w="800" w:type="dxa"/>
            <w:tcBorders>
              <w:left w:val="single" w:sz="12" w:space="0" w:color="auto"/>
            </w:tcBorders>
          </w:tcPr>
          <w:p w14:paraId="0A28C8C9"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8</w:t>
            </w:r>
          </w:p>
        </w:tc>
        <w:tc>
          <w:tcPr>
            <w:tcW w:w="5220" w:type="dxa"/>
            <w:tcBorders>
              <w:right w:val="single" w:sz="12" w:space="0" w:color="auto"/>
            </w:tcBorders>
          </w:tcPr>
          <w:p w14:paraId="59AB86C8"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mund të përcaktojnë rregulla për përdorimin e strukturave të bashkuara brenda grupit për obligacione të mbuluara, sipas të cilave obligacionet e mbuluara të emetuara nga një institucion krediti që i përket një grupi (“obligacione të mbuluara të emetuara në mënyrë të brendshme”) përdoren si aktive mbuluese për emetimin e jashtëm të obligacioneve të </w:t>
            </w:r>
            <w:r w:rsidRPr="00735452">
              <w:rPr>
                <w:rFonts w:ascii="Times New Roman" w:eastAsia="Times New Roman" w:hAnsi="Times New Roman" w:cs="Times New Roman"/>
                <w:sz w:val="20"/>
                <w:szCs w:val="20"/>
                <w:lang w:val="sq-AL"/>
              </w:rPr>
              <w:lastRenderedPageBreak/>
              <w:t>mbuluara nga një institucion tjetër krediti që i përket të njëjtit grup (“obligacione të mbuluara të emetuara në mënyrë të jashtme”). Këto rregulla përfshijnë të paktën kërkesat e mëposhtme:</w:t>
            </w:r>
          </w:p>
          <w:p w14:paraId="245E969A"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obligacionet e mbuluara të emetuara në mënyrë të brendshme shiten te institucioni i kreditit që emeton obligacionet e mbuluara të emetuara në mënyrë të jashtme;</w:t>
            </w:r>
          </w:p>
          <w:p w14:paraId="5BC453A8"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obligacionet e mbuluara të emetuara në mënyrë të brendshme përdoren si aktive mbuluese në portofolin e mbulimit për obligacionet e mbuluara të emetuara në mënyrë të jashtme dhe regjistrohen në bilancin e institucionit të kreditit që emeton obligacionet e mbuluara të emetuara në mënyrë të jashtme;</w:t>
            </w:r>
          </w:p>
          <w:p w14:paraId="15CA3956"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portofoli i mbulimit për obligacionet e mbuluara të emetuara në mënyrë të jashtme përmban vetëm obligacione të mbuluara të emetuara në mënyrë të brendshme nga një institucion i vetëm krediti brenda grupit;</w:t>
            </w:r>
          </w:p>
          <w:p w14:paraId="0A0661E6"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institucioni i kreditit që emeton obligacionet e mbuluara të emetuara në mënyrë të jashtme synon t’i shesë ato investitorëve në obligacione të mbuluara jashtë grupit;</w:t>
            </w:r>
          </w:p>
          <w:p w14:paraId="31E67D3C"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(e) si obligacionet e mbuluara të emetuara në mënyrë të brendshme, ashtu edhe ato të emetuara në mënyrë të jashtme, kualifikohen për shkallën 1 të cilësisë së kredisë, siç parashikohet në Pjesën e Tretë, Titulli II, Kreu 2, të Rregullores (BE) nr. 575/2013, në momentin e emetimit, dhe janë të siguruara me aktive mbuluese të pranueshme sipas nenit 6 të kësaj Direktive;</w:t>
            </w:r>
          </w:p>
          <w:p w14:paraId="725F47FA"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(f) në rastin e strukturave ndërkufitare të bashkuara brenda grupit për obligacione të mbuluara, aktivet mbuluese të obligacioneve të mbuluara të emetuara në mënyrë të brendshme përmbushin kërkesat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dhe të mbulimit të obligacioneve të mbuluara të emetuara në mënyrë të jashtme.</w:t>
            </w:r>
          </w:p>
          <w:p w14:paraId="4C593236" w14:textId="77777777" w:rsidR="00D15EC2" w:rsidRPr="00735452" w:rsidRDefault="00D15EC2" w:rsidP="00D15EC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shkronjës (e)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të këtij neni, autoritetet kompetente të përcaktuara sipas nenit 18, paragrafi 2, mund të lejojnë që obligacionet e mbuluara që kualifikohen për shkallën 2 të cilësisë së kredisë pas një ndryshimi që sjell një shkallë më të ulët të cilësisë së kredisë të vazhdojnë të jenë pjesë e një strukture të bashkuar brenda grupit për obligacione të mbuluara, me kusht që këto autoritete </w:t>
            </w:r>
            <w:r w:rsidRPr="00735452">
              <w:rPr>
                <w:rFonts w:ascii="Times New Roman" w:eastAsia="Times New Roman" w:hAnsi="Times New Roman" w:cs="Times New Roman"/>
                <w:sz w:val="20"/>
                <w:szCs w:val="20"/>
                <w:lang w:val="sq-AL"/>
              </w:rPr>
              <w:lastRenderedPageBreak/>
              <w:t xml:space="preserve">kompetente të arrijnë në përfundimin se ndryshimi në shkallën e cilësisë së kredisë nuk vjen si pasojë e shkeljes së kërkesave për leje, siç parashikohen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19, paragrafi 2. Autoritetet kompetente të përcaktuara sipas nenit 18, paragrafi 2, njoftojnë më pas EBA-n për çdo vendim të marrë sipas këtij </w:t>
            </w:r>
            <w:proofErr w:type="spellStart"/>
            <w:r w:rsidRPr="00735452">
              <w:rPr>
                <w:rFonts w:ascii="Times New Roman" w:eastAsia="Times New Roman" w:hAnsi="Times New Roman" w:cs="Times New Roman"/>
                <w:sz w:val="20"/>
                <w:szCs w:val="20"/>
                <w:lang w:val="sq-AL"/>
              </w:rPr>
              <w:t>nënparagrafi</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14E82D24" w14:textId="6FFAC39E" w:rsidR="00D15EC2" w:rsidRPr="00735452" w:rsidRDefault="00BA7AD7" w:rsidP="00D15EC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2A188AA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7, pikat 1-3</w:t>
            </w:r>
          </w:p>
        </w:tc>
        <w:tc>
          <w:tcPr>
            <w:tcW w:w="5130" w:type="dxa"/>
          </w:tcPr>
          <w:p w14:paraId="0B8B0EAF" w14:textId="0A26F8C0" w:rsidR="00E22B97" w:rsidRPr="00E22B97" w:rsidRDefault="00B82C36" w:rsidP="00E22B97">
            <w:pPr>
              <w:rPr>
                <w:rFonts w:eastAsiaTheme="minorHAnsi"/>
                <w:sz w:val="20"/>
                <w:szCs w:val="20"/>
              </w:rPr>
            </w:pPr>
            <w:r w:rsidRPr="00735452">
              <w:rPr>
                <w:rFonts w:ascii="Times New Roman" w:eastAsia="Times New Roman" w:hAnsi="Times New Roman" w:cs="Times New Roman"/>
                <w:sz w:val="20"/>
                <w:szCs w:val="20"/>
                <w:lang w:val="sq-AL"/>
              </w:rPr>
              <w:t xml:space="preserve">1. Institucioni i kreditit emetues mund të përdorë struktura të bashkuara të obligacioneve të mbuluara brenda grupit, sipas të cilave obligacionet e mbuluara të emetuara nga një institucion krediti brenda grupit “obligacione të mbuluara të emetuara brenda grupit” përdoren si aktive mbuluese për </w:t>
            </w:r>
            <w:r w:rsidRPr="00735452">
              <w:rPr>
                <w:rFonts w:ascii="Times New Roman" w:eastAsia="Times New Roman" w:hAnsi="Times New Roman" w:cs="Times New Roman"/>
                <w:sz w:val="20"/>
                <w:szCs w:val="20"/>
                <w:lang w:val="sq-AL"/>
              </w:rPr>
              <w:lastRenderedPageBreak/>
              <w:t>emetimin e obligacioneve të mbuluara nga një institucion tjetër krediti brenda të njëjtit grup “obligacione të mbuluara të emetuara jashtë grupit”. Këto struktura duhet të përmbushin kërkesat e mëposhtme:</w:t>
            </w:r>
            <w:r w:rsidRPr="00735452">
              <w:rPr>
                <w:rFonts w:ascii="Times New Roman" w:eastAsia="Times New Roman" w:hAnsi="Times New Roman" w:cs="Times New Roman"/>
                <w:sz w:val="20"/>
                <w:szCs w:val="20"/>
                <w:lang w:val="sq-AL"/>
              </w:rPr>
              <w:br/>
              <w:t>a) obligacionet e mbuluara të emetuara brenda grupit shiten tek institucioni i kreditit që emeton obligacionet e mbuluara të emetuara jashtë grupit;</w:t>
            </w:r>
            <w:r w:rsidRPr="00735452">
              <w:rPr>
                <w:rFonts w:ascii="Times New Roman" w:eastAsia="Times New Roman" w:hAnsi="Times New Roman" w:cs="Times New Roman"/>
                <w:sz w:val="20"/>
                <w:szCs w:val="20"/>
                <w:lang w:val="sq-AL"/>
              </w:rPr>
              <w:br/>
              <w:t>b) obligacionet e mbuluara të emetuara brenda grupit përdoren si aktive në mbulim në grupin e mbulimit për obligacionet e mbuluara të emetuara jashtë grupit dhe regjistrohen në bilancin e institucionit të kreditit që emeton obligacionet e mbuluara të emetuara jashtë grupit;</w:t>
            </w:r>
            <w:r w:rsidRPr="00735452">
              <w:rPr>
                <w:rFonts w:ascii="Times New Roman" w:eastAsia="Times New Roman" w:hAnsi="Times New Roman" w:cs="Times New Roman"/>
                <w:sz w:val="20"/>
                <w:szCs w:val="20"/>
                <w:lang w:val="sq-AL"/>
              </w:rPr>
              <w:br/>
              <w:t>c) grupi i mbulimit për obligacionet e mbuluara të emetuara jashtë grupit përmban vetëm obligacione të mbuluara të emetuara brenda grupit nga një institucion i vetëm krediti brenda grupit;</w:t>
            </w:r>
            <w:r w:rsidRPr="00735452">
              <w:rPr>
                <w:rFonts w:ascii="Times New Roman" w:eastAsia="Times New Roman" w:hAnsi="Times New Roman" w:cs="Times New Roman"/>
                <w:sz w:val="20"/>
                <w:szCs w:val="20"/>
                <w:lang w:val="sq-AL"/>
              </w:rPr>
              <w:br/>
              <w:t>ç) institucioni i kreditit që emeton obligacionet e mbuluara të emetuara jashtë grupit synon t'i shesë ato investitorëve të obligacioneve të mbuluara jashtë grupit;</w:t>
            </w:r>
            <w:r w:rsidRPr="00735452">
              <w:rPr>
                <w:rFonts w:ascii="Times New Roman" w:eastAsia="Times New Roman" w:hAnsi="Times New Roman" w:cs="Times New Roman"/>
                <w:sz w:val="20"/>
                <w:szCs w:val="20"/>
                <w:lang w:val="sq-AL"/>
              </w:rPr>
              <w:br/>
              <w:t>d) si obligacionet e mbuluara të emetuara brenda grupit ashtu edhe ato të emetuara jashtë grupit kualifikohen për shkallën e cilësisë së kredisë 1, në përputhje me kuadrin rregullator mbikëqyrës për kërkesat për kapital dhe kur Republika e Shqipërisë të jetë vend anëtar në Bashkimin Evropian me Pjesën e Tretë, Titulli II, Kapitulli 2 të Rregullorja (BE) nr. 575/2013, në momentin e emetimit dhe janë të siguruara me aktive në mbulim të pranueshme sipas nenit 6;</w:t>
            </w:r>
            <w:r w:rsidRPr="00735452">
              <w:rPr>
                <w:rFonts w:ascii="Times New Roman" w:eastAsia="Times New Roman" w:hAnsi="Times New Roman" w:cs="Times New Roman"/>
                <w:sz w:val="20"/>
                <w:szCs w:val="20"/>
                <w:lang w:val="sq-AL"/>
              </w:rPr>
              <w:br/>
              <w:t xml:space="preserve">dh) në rastin e strukturave ndërkufitare të bashkuara brenda grupit, aktivet në mbulim të obligacioneve të mbuluara të emetuara brenda grupit përmbushin kërkesat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dhe mbulimit të zbatueshme për obligacionet e mbuluara të emetuara jashtë grupit.</w:t>
            </w:r>
            <w:r w:rsidRPr="00735452">
              <w:rPr>
                <w:rFonts w:ascii="Times New Roman" w:eastAsia="Times New Roman" w:hAnsi="Times New Roman" w:cs="Times New Roman"/>
                <w:sz w:val="20"/>
                <w:szCs w:val="20"/>
                <w:lang w:val="sq-AL"/>
              </w:rPr>
              <w:br/>
              <w:t xml:space="preserve">2. </w:t>
            </w:r>
            <w:r w:rsidR="00E22B97" w:rsidRPr="00E22B97">
              <w:rPr>
                <w:rFonts w:ascii="Times New Roman" w:hAnsi="Times New Roman" w:cs="Times New Roman"/>
                <w:color w:val="242424"/>
                <w:sz w:val="20"/>
                <w:szCs w:val="20"/>
                <w:lang w:val="sq-AL"/>
              </w:rPr>
              <w:t xml:space="preserve">Për qëllimet e shkronjës “d” të pikës 1 të këtij neni, Banka e Shqipërisë mund të lejojë që obligacionet e mbuluara, </w:t>
            </w:r>
            <w:r w:rsidR="00E22B97" w:rsidRPr="00E22B97">
              <w:rPr>
                <w:rFonts w:ascii="Times New Roman" w:hAnsi="Times New Roman" w:cs="Times New Roman"/>
                <w:sz w:val="20"/>
                <w:szCs w:val="20"/>
                <w:lang w:val="sq-AL"/>
              </w:rPr>
              <w:t> </w:t>
            </w:r>
            <w:proofErr w:type="spellStart"/>
            <w:r w:rsidR="00E22B97" w:rsidRPr="00E22B97">
              <w:rPr>
                <w:rFonts w:ascii="Times New Roman" w:hAnsi="Times New Roman" w:cs="Times New Roman"/>
                <w:sz w:val="20"/>
                <w:szCs w:val="20"/>
              </w:rPr>
              <w:t>të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cilat</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kualifikohen</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në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nivelin</w:t>
            </w:r>
            <w:proofErr w:type="spellEnd"/>
            <w:r w:rsidR="00E22B97" w:rsidRPr="00E22B97">
              <w:rPr>
                <w:rFonts w:ascii="Times New Roman" w:hAnsi="Times New Roman" w:cs="Times New Roman"/>
                <w:sz w:val="20"/>
                <w:szCs w:val="20"/>
              </w:rPr>
              <w:t xml:space="preserve"> 2 </w:t>
            </w:r>
            <w:proofErr w:type="spellStart"/>
            <w:r w:rsidR="00E22B97" w:rsidRPr="00E22B97">
              <w:rPr>
                <w:rFonts w:ascii="Times New Roman" w:hAnsi="Times New Roman" w:cs="Times New Roman"/>
                <w:sz w:val="20"/>
                <w:szCs w:val="20"/>
              </w:rPr>
              <w:t>të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cilësisë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së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kreditit</w:t>
            </w:r>
            <w:proofErr w:type="spellEnd"/>
            <w:r w:rsidR="00E22B97" w:rsidRPr="00E22B97">
              <w:rPr>
                <w:rFonts w:ascii="Times New Roman" w:hAnsi="Times New Roman" w:cs="Times New Roman"/>
                <w:sz w:val="20"/>
                <w:szCs w:val="20"/>
              </w:rPr>
              <w:t xml:space="preserve">, pas </w:t>
            </w:r>
            <w:proofErr w:type="spellStart"/>
            <w:r w:rsidR="00E22B97" w:rsidRPr="00E22B97">
              <w:rPr>
                <w:rFonts w:ascii="Times New Roman" w:hAnsi="Times New Roman" w:cs="Times New Roman"/>
                <w:sz w:val="20"/>
                <w:szCs w:val="20"/>
              </w:rPr>
              <w:t>një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lastRenderedPageBreak/>
              <w:t>ndryshimi</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që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rezulton</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në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uljen</w:t>
            </w:r>
            <w:proofErr w:type="spellEnd"/>
            <w:r w:rsidR="00E22B97" w:rsidRPr="00E22B97">
              <w:rPr>
                <w:rFonts w:ascii="Times New Roman" w:hAnsi="Times New Roman" w:cs="Times New Roman"/>
                <w:sz w:val="20"/>
                <w:szCs w:val="20"/>
              </w:rPr>
              <w:t xml:space="preserve"> e </w:t>
            </w:r>
            <w:proofErr w:type="spellStart"/>
            <w:r w:rsidR="00E22B97" w:rsidRPr="00E22B97">
              <w:rPr>
                <w:rFonts w:ascii="Times New Roman" w:hAnsi="Times New Roman" w:cs="Times New Roman"/>
                <w:sz w:val="20"/>
                <w:szCs w:val="20"/>
              </w:rPr>
              <w:t>nivelit</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të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cilësisë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së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kreditit</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të</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këtyre</w:t>
            </w:r>
            <w:proofErr w:type="spellEnd"/>
            <w:r w:rsidR="00E22B97" w:rsidRPr="00E22B97">
              <w:rPr>
                <w:rFonts w:ascii="Times New Roman" w:hAnsi="Times New Roman" w:cs="Times New Roman"/>
                <w:sz w:val="20"/>
                <w:szCs w:val="20"/>
              </w:rPr>
              <w:t xml:space="preserve"> </w:t>
            </w:r>
            <w:proofErr w:type="spellStart"/>
            <w:r w:rsidR="00E22B97" w:rsidRPr="00E22B97">
              <w:rPr>
                <w:rFonts w:ascii="Times New Roman" w:hAnsi="Times New Roman" w:cs="Times New Roman"/>
                <w:sz w:val="20"/>
                <w:szCs w:val="20"/>
              </w:rPr>
              <w:t>obligacioneve</w:t>
            </w:r>
            <w:proofErr w:type="spellEnd"/>
            <w:r w:rsidR="00E22B97" w:rsidRPr="00E22B97">
              <w:rPr>
                <w:rFonts w:ascii="Times New Roman" w:hAnsi="Times New Roman" w:cs="Times New Roman"/>
                <w:sz w:val="20"/>
                <w:szCs w:val="20"/>
              </w:rPr>
              <w:t>,</w:t>
            </w:r>
            <w:r w:rsidR="00E22B97" w:rsidRPr="00E22B97">
              <w:rPr>
                <w:rFonts w:ascii="Times New Roman" w:hAnsi="Times New Roman" w:cs="Times New Roman"/>
                <w:color w:val="242424"/>
                <w:sz w:val="20"/>
                <w:szCs w:val="20"/>
                <w:lang w:val="sq-AL"/>
              </w:rPr>
              <w:t>të vazhdojnë të jenë pjesë e një strukture të bashkuar të obligacioneve të mbuluara brenda grupit, me kusht që ky autoritet të vlerësojë se ky ndryshim nuk është rezultat i shkeljes së kërkesave për miratim/leje sipas nenit 21, pika 2 të këtij ligji.</w:t>
            </w:r>
          </w:p>
          <w:p w14:paraId="0A8C1AF0" w14:textId="70BEFF00"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Autoriteti njofton Autoritetin Bankar Evropian për çdo vendim të marrë sipas pikës 2 të këtij neni.</w:t>
            </w:r>
          </w:p>
        </w:tc>
        <w:tc>
          <w:tcPr>
            <w:tcW w:w="1440" w:type="dxa"/>
          </w:tcPr>
          <w:p w14:paraId="3BF21CBD" w14:textId="71566CC8"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5245574D" w14:textId="77777777" w:rsidR="003E7E51" w:rsidRPr="00735452" w:rsidRDefault="003E7E51">
            <w:pPr>
              <w:spacing w:after="0" w:line="240" w:lineRule="auto"/>
              <w:rPr>
                <w:rFonts w:ascii="Times New Roman" w:hAnsi="Times New Roman" w:cs="Times New Roman"/>
                <w:sz w:val="20"/>
                <w:szCs w:val="20"/>
                <w:lang w:val="sq-AL"/>
              </w:rPr>
            </w:pPr>
          </w:p>
        </w:tc>
      </w:tr>
      <w:tr w:rsidR="00E31FD2" w:rsidRPr="00735452" w14:paraId="6EB6C897" w14:textId="77777777" w:rsidTr="004D61BC">
        <w:trPr>
          <w:gridAfter w:val="1"/>
          <w:wAfter w:w="14" w:type="dxa"/>
        </w:trPr>
        <w:tc>
          <w:tcPr>
            <w:tcW w:w="800" w:type="dxa"/>
            <w:tcBorders>
              <w:left w:val="single" w:sz="12" w:space="0" w:color="auto"/>
            </w:tcBorders>
          </w:tcPr>
          <w:p w14:paraId="43B6EB20"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Neni 9</w:t>
            </w:r>
          </w:p>
          <w:p w14:paraId="5B66F2DB"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177F994C"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lejojnë që aktive mbuluese të pranueshme, të krijuara fillimisht nga një institucion krediti dhe të blera nga një institucion krediti që emeton obligacione të mbuluara, të përdoren si aktive mbuluese për emetimin e obligacioneve të mbuluara.</w:t>
            </w:r>
          </w:p>
          <w:p w14:paraId="1528B501"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rregullojnë këto blerje me qëllim sigurimin e përmbushjes së kërkesave të përcaktuara në nenet 6 dhe 12.</w:t>
            </w:r>
          </w:p>
        </w:tc>
        <w:tc>
          <w:tcPr>
            <w:tcW w:w="624" w:type="dxa"/>
            <w:tcBorders>
              <w:left w:val="single" w:sz="12" w:space="0" w:color="auto"/>
            </w:tcBorders>
          </w:tcPr>
          <w:p w14:paraId="55B4AA46" w14:textId="7F123F5C" w:rsidR="00E31FD2" w:rsidRPr="00735452" w:rsidRDefault="00BA7AD7" w:rsidP="00E31FD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0EF5212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8, pika 1</w:t>
            </w:r>
          </w:p>
        </w:tc>
        <w:tc>
          <w:tcPr>
            <w:tcW w:w="5130" w:type="dxa"/>
          </w:tcPr>
          <w:p w14:paraId="6D05102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Aktivet e pranueshme për mbulim, të krijuara nga një institucion krediti dhe të blera nga një institucion krediti që emeton obligacione të mbuluara, mund të përdoren si aktive në mbulim për emetimin e obligacioneve të mbuluara.</w:t>
            </w:r>
            <w:r w:rsidRPr="00735452">
              <w:rPr>
                <w:rFonts w:ascii="Times New Roman" w:eastAsia="Times New Roman" w:hAnsi="Times New Roman" w:cs="Times New Roman"/>
                <w:sz w:val="20"/>
                <w:szCs w:val="20"/>
                <w:lang w:val="sq-AL"/>
              </w:rPr>
              <w:br/>
              <w:t>Blerja e këtyre aktiveve rregullohet në mënyrë që të sigurohet përmbushja e kërkesave të përcaktuara në nenet 6 dhe 11 të këtij ligji.</w:t>
            </w:r>
          </w:p>
        </w:tc>
        <w:tc>
          <w:tcPr>
            <w:tcW w:w="1440" w:type="dxa"/>
          </w:tcPr>
          <w:p w14:paraId="7649C391" w14:textId="372E24BE"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6E08764" w14:textId="77777777" w:rsidR="003E7E51" w:rsidRPr="00735452" w:rsidRDefault="003E7E51">
            <w:pPr>
              <w:spacing w:after="0" w:line="240" w:lineRule="auto"/>
              <w:rPr>
                <w:rFonts w:ascii="Times New Roman" w:hAnsi="Times New Roman" w:cs="Times New Roman"/>
                <w:sz w:val="20"/>
                <w:szCs w:val="20"/>
                <w:lang w:val="sq-AL"/>
              </w:rPr>
            </w:pPr>
          </w:p>
        </w:tc>
      </w:tr>
      <w:tr w:rsidR="00E31FD2" w:rsidRPr="00735452" w14:paraId="6186FDFE" w14:textId="77777777" w:rsidTr="004D61BC">
        <w:trPr>
          <w:gridAfter w:val="1"/>
          <w:wAfter w:w="14" w:type="dxa"/>
        </w:trPr>
        <w:tc>
          <w:tcPr>
            <w:tcW w:w="800" w:type="dxa"/>
            <w:tcBorders>
              <w:left w:val="single" w:sz="12" w:space="0" w:color="auto"/>
            </w:tcBorders>
          </w:tcPr>
          <w:p w14:paraId="753A2AB5"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53856AA6"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Pa cenuar kërkesën e përcaktuar në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dytë të paragrafit 1 të këtij neni, shtetet anëtare mund të lejojnë transferimet në formën e marrëveshjeve për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financiar sipas Direktivës 2002/47/KE.</w:t>
            </w:r>
          </w:p>
        </w:tc>
        <w:tc>
          <w:tcPr>
            <w:tcW w:w="624" w:type="dxa"/>
            <w:tcBorders>
              <w:left w:val="single" w:sz="12" w:space="0" w:color="auto"/>
            </w:tcBorders>
          </w:tcPr>
          <w:p w14:paraId="405936C0" w14:textId="084F45FC" w:rsidR="00E31FD2" w:rsidRPr="00735452" w:rsidRDefault="00BA7AD7" w:rsidP="00E31FD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996326D"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8, pika 2</w:t>
            </w:r>
          </w:p>
        </w:tc>
        <w:tc>
          <w:tcPr>
            <w:tcW w:w="5130" w:type="dxa"/>
          </w:tcPr>
          <w:p w14:paraId="52194ECC"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 Pa </w:t>
            </w:r>
            <w:proofErr w:type="spellStart"/>
            <w:r w:rsidRPr="00735452">
              <w:rPr>
                <w:rFonts w:ascii="Times New Roman" w:eastAsia="Times New Roman" w:hAnsi="Times New Roman" w:cs="Times New Roman"/>
                <w:sz w:val="20"/>
                <w:szCs w:val="20"/>
                <w:lang w:val="sq-AL"/>
              </w:rPr>
              <w:t>cënuar</w:t>
            </w:r>
            <w:proofErr w:type="spellEnd"/>
            <w:r w:rsidRPr="00735452">
              <w:rPr>
                <w:rFonts w:ascii="Times New Roman" w:eastAsia="Times New Roman" w:hAnsi="Times New Roman" w:cs="Times New Roman"/>
                <w:sz w:val="20"/>
                <w:szCs w:val="20"/>
                <w:lang w:val="sq-AL"/>
              </w:rPr>
              <w:t xml:space="preserve"> kërkesën e përcaktuar në paragrafin e dytë, të pikës 1, të këtij neni, lejohet transferimi i këtyre aktiveve nëpërmjet marrëveshjeve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financiar, në përputhje me legjislacionin në fuqi për marrëveshjet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financiar.</w:t>
            </w:r>
          </w:p>
        </w:tc>
        <w:tc>
          <w:tcPr>
            <w:tcW w:w="1440" w:type="dxa"/>
          </w:tcPr>
          <w:p w14:paraId="2FF0C1BA" w14:textId="5C6A0F9A"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244B956" w14:textId="77777777" w:rsidR="003E7E51" w:rsidRPr="00735452" w:rsidRDefault="003E7E51">
            <w:pPr>
              <w:spacing w:after="0" w:line="240" w:lineRule="auto"/>
              <w:rPr>
                <w:rFonts w:ascii="Times New Roman" w:hAnsi="Times New Roman" w:cs="Times New Roman"/>
                <w:sz w:val="20"/>
                <w:szCs w:val="20"/>
                <w:lang w:val="sq-AL"/>
              </w:rPr>
            </w:pPr>
          </w:p>
        </w:tc>
      </w:tr>
      <w:tr w:rsidR="00E31FD2" w:rsidRPr="00735452" w14:paraId="7A839033" w14:textId="77777777" w:rsidTr="004D61BC">
        <w:trPr>
          <w:gridAfter w:val="1"/>
          <w:wAfter w:w="14" w:type="dxa"/>
        </w:trPr>
        <w:tc>
          <w:tcPr>
            <w:tcW w:w="800" w:type="dxa"/>
            <w:tcBorders>
              <w:left w:val="single" w:sz="12" w:space="0" w:color="auto"/>
            </w:tcBorders>
          </w:tcPr>
          <w:p w14:paraId="12CAECBE"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p w14:paraId="0DE8E4FB" w14:textId="77777777" w:rsidR="00E31FD2" w:rsidRPr="00735452" w:rsidRDefault="00E31FD2" w:rsidP="00E31FD2">
            <w:pPr>
              <w:spacing w:after="0" w:line="240" w:lineRule="auto"/>
              <w:jc w:val="both"/>
              <w:rPr>
                <w:rFonts w:ascii="Times New Roman" w:hAnsi="Times New Roman" w:cs="Times New Roman"/>
                <w:sz w:val="20"/>
                <w:szCs w:val="20"/>
                <w:lang w:val="sq-AL"/>
              </w:rPr>
            </w:pPr>
          </w:p>
          <w:p w14:paraId="3AA52E40" w14:textId="77777777" w:rsidR="00E31FD2" w:rsidRPr="00735452" w:rsidRDefault="00E31FD2" w:rsidP="00E31FD2">
            <w:pPr>
              <w:spacing w:after="0" w:line="240" w:lineRule="auto"/>
              <w:jc w:val="both"/>
              <w:rPr>
                <w:rFonts w:ascii="Times New Roman" w:hAnsi="Times New Roman" w:cs="Times New Roman"/>
                <w:sz w:val="20"/>
                <w:szCs w:val="20"/>
                <w:lang w:val="sq-AL"/>
              </w:rPr>
            </w:pPr>
          </w:p>
          <w:p w14:paraId="6DEC2883" w14:textId="77777777" w:rsidR="00E31FD2" w:rsidRPr="00735452" w:rsidRDefault="00E31FD2" w:rsidP="00E31FD2">
            <w:pPr>
              <w:spacing w:after="0" w:line="240" w:lineRule="auto"/>
              <w:jc w:val="both"/>
              <w:rPr>
                <w:rFonts w:ascii="Times New Roman" w:hAnsi="Times New Roman" w:cs="Times New Roman"/>
                <w:sz w:val="20"/>
                <w:szCs w:val="20"/>
                <w:lang w:val="sq-AL"/>
              </w:rPr>
            </w:pPr>
          </w:p>
          <w:p w14:paraId="17DB0C93" w14:textId="77777777" w:rsidR="00E31FD2" w:rsidRPr="00735452" w:rsidRDefault="00E31FD2" w:rsidP="00E31FD2">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497E14EE"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Pa cenuar kërkesën e përcaktuar në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dytë të paragrafit 1, shtetet anëtare mund të lejojnë gjithashtu që aktive të krijuara nga një ndërmarrje që nuk është institucion krediti të përdoren si aktive mbuluese. Kur shtetet anëtare ushtrojnë këtë mundësi, ato kërkojnë që institucioni i kreditit që emeton obligacionet e mbuluara ose të vlerësojë standardet e dhënies së kredisë të ndërmarrjes që ka krijuar aktivet mbuluese, ose të kryejë vetë një vlerësim të plotë të 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të huamarrësit.</w:t>
            </w:r>
          </w:p>
        </w:tc>
        <w:tc>
          <w:tcPr>
            <w:tcW w:w="624" w:type="dxa"/>
            <w:tcBorders>
              <w:left w:val="single" w:sz="12" w:space="0" w:color="auto"/>
            </w:tcBorders>
          </w:tcPr>
          <w:p w14:paraId="04F5CAC7" w14:textId="68F16E7F" w:rsidR="00E31FD2" w:rsidRPr="00735452" w:rsidRDefault="00BA7AD7" w:rsidP="00E31FD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470DF6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8, pika 3</w:t>
            </w:r>
          </w:p>
        </w:tc>
        <w:tc>
          <w:tcPr>
            <w:tcW w:w="5130" w:type="dxa"/>
          </w:tcPr>
          <w:p w14:paraId="593650B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3. Pa </w:t>
            </w:r>
            <w:proofErr w:type="spellStart"/>
            <w:r w:rsidRPr="00735452">
              <w:rPr>
                <w:rFonts w:ascii="Times New Roman" w:eastAsia="Times New Roman" w:hAnsi="Times New Roman" w:cs="Times New Roman"/>
                <w:sz w:val="20"/>
                <w:szCs w:val="20"/>
                <w:lang w:val="sq-AL"/>
              </w:rPr>
              <w:t>cënuar</w:t>
            </w:r>
            <w:proofErr w:type="spellEnd"/>
            <w:r w:rsidRPr="00735452">
              <w:rPr>
                <w:rFonts w:ascii="Times New Roman" w:eastAsia="Times New Roman" w:hAnsi="Times New Roman" w:cs="Times New Roman"/>
                <w:sz w:val="20"/>
                <w:szCs w:val="20"/>
                <w:lang w:val="sq-AL"/>
              </w:rPr>
              <w:t xml:space="preserve"> kërkesën e përcaktuar në paragrafin e dytë, të pikës 1 të këtij neni, aktivet e krijuara nga një ndërmarrje që nuk është institucion krediti mund të përdoren si aktive mbuluese. Në këtë rast, institucioni i kreditit që emeton obligacionet e mbuluara është i detyruar:</w:t>
            </w:r>
            <w:r w:rsidRPr="00735452">
              <w:rPr>
                <w:rFonts w:ascii="Times New Roman" w:eastAsia="Times New Roman" w:hAnsi="Times New Roman" w:cs="Times New Roman"/>
                <w:sz w:val="20"/>
                <w:szCs w:val="20"/>
                <w:lang w:val="sq-AL"/>
              </w:rPr>
              <w:br/>
              <w:t>a) të vlerësojë standardet e dhënies së kredisë të ndërmarrjes që ka krijuar këto aktive; ose</w:t>
            </w:r>
            <w:r w:rsidRPr="00735452">
              <w:rPr>
                <w:rFonts w:ascii="Times New Roman" w:eastAsia="Times New Roman" w:hAnsi="Times New Roman" w:cs="Times New Roman"/>
                <w:sz w:val="20"/>
                <w:szCs w:val="20"/>
                <w:lang w:val="sq-AL"/>
              </w:rPr>
              <w:br/>
              <w:t>b) të kryejë vetë një vlerësim të plotë të aftësisë kreditore të huamarrësit.</w:t>
            </w:r>
          </w:p>
        </w:tc>
        <w:tc>
          <w:tcPr>
            <w:tcW w:w="1440" w:type="dxa"/>
          </w:tcPr>
          <w:p w14:paraId="13C3A3CC" w14:textId="5A1DBACF"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36F93BD" w14:textId="77777777" w:rsidR="003E7E51" w:rsidRPr="00735452" w:rsidRDefault="003E7E51">
            <w:pPr>
              <w:spacing w:after="0" w:line="240" w:lineRule="auto"/>
              <w:rPr>
                <w:rFonts w:ascii="Times New Roman" w:hAnsi="Times New Roman" w:cs="Times New Roman"/>
                <w:sz w:val="20"/>
                <w:szCs w:val="20"/>
                <w:lang w:val="sq-AL"/>
              </w:rPr>
            </w:pPr>
          </w:p>
        </w:tc>
      </w:tr>
      <w:tr w:rsidR="00E31FD2" w:rsidRPr="00735452" w14:paraId="0CF08922" w14:textId="77777777" w:rsidTr="004D61BC">
        <w:trPr>
          <w:gridAfter w:val="1"/>
          <w:wAfter w:w="14" w:type="dxa"/>
        </w:trPr>
        <w:tc>
          <w:tcPr>
            <w:tcW w:w="800" w:type="dxa"/>
            <w:tcBorders>
              <w:left w:val="single" w:sz="12" w:space="0" w:color="auto"/>
            </w:tcBorders>
          </w:tcPr>
          <w:p w14:paraId="243FECDD"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10</w:t>
            </w:r>
          </w:p>
        </w:tc>
        <w:tc>
          <w:tcPr>
            <w:tcW w:w="5220" w:type="dxa"/>
            <w:tcBorders>
              <w:right w:val="single" w:sz="12" w:space="0" w:color="auto"/>
            </w:tcBorders>
          </w:tcPr>
          <w:p w14:paraId="436EA956" w14:textId="77777777" w:rsidR="00E31FD2" w:rsidRPr="00735452" w:rsidRDefault="00E31FD2" w:rsidP="00E31FD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mbrojtjen e investitorëve duke përcaktuar rregulla për përbërjen e portofolave të mbulimit. Këto rregulla, kur është e nevojshme, përcaktojnë kushtet për përfshirjen nga institucionet e kreditit që emetojnë obligacione të mbuluara, në portofolin e mbulimit, të aktiveve primare që kanë karakteristika të ndryshme për sa u përket tipareve strukturore, kohëzgjatjes ose profilit të rrezikut.</w:t>
            </w:r>
          </w:p>
        </w:tc>
        <w:tc>
          <w:tcPr>
            <w:tcW w:w="624" w:type="dxa"/>
            <w:tcBorders>
              <w:left w:val="single" w:sz="12" w:space="0" w:color="auto"/>
            </w:tcBorders>
          </w:tcPr>
          <w:p w14:paraId="076313EC" w14:textId="6F3F36B5" w:rsidR="00E31FD2" w:rsidRPr="00735452" w:rsidRDefault="00BA7AD7" w:rsidP="00E31FD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F0009BD"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9, pikat 1-3</w:t>
            </w:r>
          </w:p>
        </w:tc>
        <w:tc>
          <w:tcPr>
            <w:tcW w:w="5130" w:type="dxa"/>
          </w:tcPr>
          <w:p w14:paraId="3F82A307"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Grupi i mbulimit përbëhet nga aktive për mbulim të pranueshëm dhe i nënshtrohet rregullave që sigurojnë përbërjen e tij të përshtatshme, si dhe përfshin sipas rastit:</w:t>
            </w:r>
            <w:r w:rsidRPr="00735452">
              <w:rPr>
                <w:rFonts w:ascii="Times New Roman" w:eastAsia="Times New Roman" w:hAnsi="Times New Roman" w:cs="Times New Roman"/>
                <w:sz w:val="20"/>
                <w:szCs w:val="20"/>
                <w:lang w:val="sq-AL"/>
              </w:rPr>
              <w:br/>
              <w:t>a) aktive primare për mbulim sipas nenit 6, pika 1, e këtij ligji;</w:t>
            </w:r>
            <w:r w:rsidRPr="00735452">
              <w:rPr>
                <w:rFonts w:ascii="Times New Roman" w:eastAsia="Times New Roman" w:hAnsi="Times New Roman" w:cs="Times New Roman"/>
                <w:sz w:val="20"/>
                <w:szCs w:val="20"/>
                <w:lang w:val="sq-AL"/>
              </w:rPr>
              <w:br/>
              <w:t>b) aktive likuide që përbëjnë rezervën e likuiditetit, në përputhje me aktet nënligjore të Bankës së Shqipërisë;</w:t>
            </w:r>
            <w:r w:rsidRPr="00735452">
              <w:rPr>
                <w:rFonts w:ascii="Times New Roman" w:eastAsia="Times New Roman" w:hAnsi="Times New Roman" w:cs="Times New Roman"/>
                <w:sz w:val="20"/>
                <w:szCs w:val="20"/>
                <w:lang w:val="sq-AL"/>
              </w:rPr>
              <w:br/>
              <w:t xml:space="preserve">c) kontrata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përmbushin kërkesat e përcaktuara në nenin 10, të këtij ligj.</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2. Paratë dhe flukset monetare që rrjedhin nga aktivet e përfshira në grupin e mbulimit sipas pikës 1 të këtij neni, janë pjesë përbërëse e grupit të mbulimit dhe i nënshtrohen të gjitha rregullave për ndarjen dhe mbrojtjen e tij, sipas këtij ligji.</w:t>
            </w:r>
            <w:r w:rsidRPr="00735452">
              <w:rPr>
                <w:rFonts w:ascii="Times New Roman" w:eastAsia="Times New Roman" w:hAnsi="Times New Roman" w:cs="Times New Roman"/>
                <w:sz w:val="20"/>
                <w:szCs w:val="20"/>
                <w:lang w:val="sq-AL"/>
              </w:rPr>
              <w:br/>
              <w:t>3. Autoriteti miraton rregulla për përcaktimin e kushteve sipas të cilave institucionet e kreditit që emetojnë obligacione të mbuluara mund të përfshijnë në grupin e mbulimit aktive primare me karakteristika të ndryshme në lidhje me strukturën, afatin kohor ose profilin e rrezikut.</w:t>
            </w:r>
          </w:p>
        </w:tc>
        <w:tc>
          <w:tcPr>
            <w:tcW w:w="1440" w:type="dxa"/>
          </w:tcPr>
          <w:p w14:paraId="11B517B1" w14:textId="7898C918"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6B5A941A"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06CF9221" w14:textId="77777777" w:rsidTr="004D61BC">
        <w:trPr>
          <w:gridAfter w:val="1"/>
          <w:wAfter w:w="14" w:type="dxa"/>
        </w:trPr>
        <w:tc>
          <w:tcPr>
            <w:tcW w:w="800" w:type="dxa"/>
            <w:tcBorders>
              <w:left w:val="single" w:sz="12" w:space="0" w:color="auto"/>
            </w:tcBorders>
          </w:tcPr>
          <w:p w14:paraId="02C98F2F"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11</w:t>
            </w:r>
          </w:p>
          <w:p w14:paraId="0986A98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p w14:paraId="0E22ADBD"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636FE246"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564871FB"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3449848C"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036ECAF3"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4C6C88D2"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7AC9B122"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269D652E"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7F3F6B0D"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3EFACDA8"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36B06A4B"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28EA84EE"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47FA7574" w14:textId="77777777" w:rsidR="00972280" w:rsidRPr="00735452" w:rsidRDefault="00972280" w:rsidP="00972280">
            <w:pPr>
              <w:spacing w:after="0" w:line="240" w:lineRule="auto"/>
              <w:jc w:val="both"/>
              <w:rPr>
                <w:rFonts w:ascii="Times New Roman" w:hAnsi="Times New Roman" w:cs="Times New Roman"/>
                <w:sz w:val="20"/>
                <w:szCs w:val="20"/>
                <w:lang w:val="sq-AL"/>
              </w:rPr>
            </w:pPr>
          </w:p>
          <w:p w14:paraId="6E78B88E" w14:textId="77777777" w:rsidR="00972280" w:rsidRPr="00735452" w:rsidRDefault="00972280" w:rsidP="00972280">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284D227D"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mbrojtjen e investitorëve duke lejuar përfshirjen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në portofolin e mbulimit vetëm kur përmbushen të paktën kërkesat e mëposhtme:</w:t>
            </w:r>
          </w:p>
          <w:p w14:paraId="3230D57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përfshihen në portofolin e mbulimit ekskluzivisht për qëllime të mbrojtjes nga rreziku, vëllimi i tyre përshtatet në rast të reduktimit të rrezikut të mbuluar dhe ato hiqen kur rreziku i mbuluar pushon së ekzistuari;</w:t>
            </w:r>
          </w:p>
          <w:p w14:paraId="167A686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janë të dokumentuara në mënyrë të mjaftueshme;</w:t>
            </w:r>
          </w:p>
          <w:p w14:paraId="71045BB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ndahen në përputhje me nenin 12;</w:t>
            </w:r>
          </w:p>
          <w:p w14:paraId="4F40221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nuk mund të zgjidhen në rast falimentimi ose zgjidhjeje të institucionit të kreditit që ka emetuar obligacionet e mbuluara;</w:t>
            </w:r>
          </w:p>
          <w:p w14:paraId="6A68FB0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janë në përputhje me rregullat e përcaktuara sipas paragrafit 2.</w:t>
            </w:r>
          </w:p>
        </w:tc>
        <w:tc>
          <w:tcPr>
            <w:tcW w:w="624" w:type="dxa"/>
            <w:tcBorders>
              <w:left w:val="single" w:sz="12" w:space="0" w:color="auto"/>
            </w:tcBorders>
          </w:tcPr>
          <w:p w14:paraId="58728B70" w14:textId="64269975" w:rsidR="00972280" w:rsidRPr="00735452" w:rsidRDefault="006433BD"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D5C305D"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10, pikat 1-4</w:t>
            </w:r>
          </w:p>
        </w:tc>
        <w:tc>
          <w:tcPr>
            <w:tcW w:w="5130" w:type="dxa"/>
          </w:tcPr>
          <w:p w14:paraId="14B8301C"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Institucioni i kreditit emetues mund të përfshijë një kontratë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në grupin e mbulimit vetëm nëse plotësohen kushtet e mëposhtme:</w:t>
            </w:r>
            <w:r w:rsidRPr="00735452">
              <w:rPr>
                <w:rFonts w:ascii="Times New Roman" w:eastAsia="Times New Roman" w:hAnsi="Times New Roman" w:cs="Times New Roman"/>
                <w:sz w:val="20"/>
                <w:szCs w:val="20"/>
                <w:lang w:val="sq-AL"/>
              </w:rPr>
              <w:br/>
              <w:t xml:space="preserve">a)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përfshihen në grupin e mbulimit ekskluzivisht për qëllime të mbrojtjes nga rreziku. Vëllimi i tyre përshtatet në rast të zvogëlimit të rrezikut për të cilin ofrohet mbrojtja dhe hiqen nëse rreziku i mbrojtur pushon së ekzistuari;</w:t>
            </w:r>
            <w:r w:rsidRPr="00735452">
              <w:rPr>
                <w:rFonts w:ascii="Times New Roman" w:eastAsia="Times New Roman" w:hAnsi="Times New Roman" w:cs="Times New Roman"/>
                <w:sz w:val="20"/>
                <w:szCs w:val="20"/>
                <w:lang w:val="sq-AL"/>
              </w:rPr>
              <w:br/>
              <w:t xml:space="preserve">b)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janë të dokumentuara në mënyrë të mjaftueshme;</w:t>
            </w:r>
            <w:r w:rsidRPr="00735452">
              <w:rPr>
                <w:rFonts w:ascii="Times New Roman" w:eastAsia="Times New Roman" w:hAnsi="Times New Roman" w:cs="Times New Roman"/>
                <w:sz w:val="20"/>
                <w:szCs w:val="20"/>
                <w:lang w:val="sq-AL"/>
              </w:rPr>
              <w:br/>
              <w:t xml:space="preserve">c)  kontratat </w:t>
            </w:r>
            <w:proofErr w:type="spellStart"/>
            <w:r w:rsidRPr="00735452">
              <w:rPr>
                <w:rFonts w:ascii="Times New Roman" w:eastAsia="Times New Roman" w:hAnsi="Times New Roman" w:cs="Times New Roman"/>
                <w:sz w:val="20"/>
                <w:szCs w:val="20"/>
                <w:lang w:val="sq-AL"/>
              </w:rPr>
              <w:t>derivativë</w:t>
            </w:r>
            <w:proofErr w:type="spellEnd"/>
            <w:r w:rsidRPr="00735452">
              <w:rPr>
                <w:rFonts w:ascii="Times New Roman" w:eastAsia="Times New Roman" w:hAnsi="Times New Roman" w:cs="Times New Roman"/>
                <w:sz w:val="20"/>
                <w:szCs w:val="20"/>
                <w:lang w:val="sq-AL"/>
              </w:rPr>
              <w:t xml:space="preserve"> janë të ndara/</w:t>
            </w:r>
            <w:proofErr w:type="spellStart"/>
            <w:r w:rsidRPr="00735452">
              <w:rPr>
                <w:rFonts w:ascii="Times New Roman" w:eastAsia="Times New Roman" w:hAnsi="Times New Roman" w:cs="Times New Roman"/>
                <w:sz w:val="20"/>
                <w:szCs w:val="20"/>
                <w:lang w:val="sq-AL"/>
              </w:rPr>
              <w:t>segreguara</w:t>
            </w:r>
            <w:proofErr w:type="spellEnd"/>
            <w:r w:rsidRPr="00735452">
              <w:rPr>
                <w:rFonts w:ascii="Times New Roman" w:eastAsia="Times New Roman" w:hAnsi="Times New Roman" w:cs="Times New Roman"/>
                <w:sz w:val="20"/>
                <w:szCs w:val="20"/>
                <w:lang w:val="sq-AL"/>
              </w:rPr>
              <w:t xml:space="preserve"> në përputhje me nenin 11, të këtij ligji;</w:t>
            </w:r>
            <w:r w:rsidRPr="00735452">
              <w:rPr>
                <w:rFonts w:ascii="Times New Roman" w:eastAsia="Times New Roman" w:hAnsi="Times New Roman" w:cs="Times New Roman"/>
                <w:sz w:val="20"/>
                <w:szCs w:val="20"/>
                <w:lang w:val="sq-AL"/>
              </w:rPr>
              <w:br/>
              <w:t xml:space="preserve">ç)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nuk mund të ndërpriten për shkak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apo ndërhyrjes së jashtëzakonshme të institucionit të kreditit që ka emetuar obligacionet e mbuluara;</w:t>
            </w:r>
            <w:r w:rsidRPr="00735452">
              <w:rPr>
                <w:rFonts w:ascii="Times New Roman" w:eastAsia="Times New Roman" w:hAnsi="Times New Roman" w:cs="Times New Roman"/>
                <w:sz w:val="20"/>
                <w:szCs w:val="20"/>
                <w:lang w:val="sq-AL"/>
              </w:rPr>
              <w:br/>
              <w:t xml:space="preserve">d)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janë në përputhje me pikën 2, të këtij neni.</w:t>
            </w:r>
            <w:r w:rsidRPr="00735452">
              <w:rPr>
                <w:rFonts w:ascii="Times New Roman" w:eastAsia="Times New Roman" w:hAnsi="Times New Roman" w:cs="Times New Roman"/>
                <w:sz w:val="20"/>
                <w:szCs w:val="20"/>
                <w:lang w:val="sq-AL"/>
              </w:rPr>
              <w:br/>
              <w:t xml:space="preserve">2.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me të njëjtën palë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që shërbejnë për mbrojtjen nga rreziku i grupit të mbulimit nuk duhet të përfshihen në të njëjtin grup </w:t>
            </w:r>
            <w:proofErr w:type="spellStart"/>
            <w:r w:rsidRPr="00735452">
              <w:rPr>
                <w:rFonts w:ascii="Times New Roman" w:eastAsia="Times New Roman" w:hAnsi="Times New Roman" w:cs="Times New Roman"/>
                <w:sz w:val="20"/>
                <w:szCs w:val="20"/>
                <w:lang w:val="sq-AL"/>
              </w:rPr>
              <w:t>netimi</w:t>
            </w:r>
            <w:proofErr w:type="spellEnd"/>
            <w:r w:rsidRPr="00735452">
              <w:rPr>
                <w:rFonts w:ascii="Times New Roman" w:eastAsia="Times New Roman" w:hAnsi="Times New Roman" w:cs="Times New Roman"/>
                <w:sz w:val="20"/>
                <w:szCs w:val="20"/>
                <w:lang w:val="sq-AL"/>
              </w:rPr>
              <w:t xml:space="preserve"> me kontrata të tjera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emetuesi i obligacioneve të mbuluara ka lidhur me të njëjtën palë dhe që nuk shërbejnë për mbulimin e rrezikut të grupit të mbulimit.</w:t>
            </w:r>
            <w:r w:rsidRPr="00735452">
              <w:rPr>
                <w:rFonts w:ascii="Times New Roman" w:eastAsia="Times New Roman" w:hAnsi="Times New Roman" w:cs="Times New Roman"/>
                <w:sz w:val="20"/>
                <w:szCs w:val="20"/>
                <w:lang w:val="sq-AL"/>
              </w:rPr>
              <w:br/>
              <w:t xml:space="preserve">3.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me të njëjtën palë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që shërbejnë për mbulimin e rrezikut të grupit të mbulimit të një programi obligacionesh të mbuluara nuk duhet  të përfshihen në të njëjtin grup </w:t>
            </w:r>
            <w:proofErr w:type="spellStart"/>
            <w:r w:rsidRPr="00735452">
              <w:rPr>
                <w:rFonts w:ascii="Times New Roman" w:eastAsia="Times New Roman" w:hAnsi="Times New Roman" w:cs="Times New Roman"/>
                <w:sz w:val="20"/>
                <w:szCs w:val="20"/>
                <w:lang w:val="sq-AL"/>
              </w:rPr>
              <w:t>netimi</w:t>
            </w:r>
            <w:proofErr w:type="spellEnd"/>
            <w:r w:rsidRPr="00735452">
              <w:rPr>
                <w:rFonts w:ascii="Times New Roman" w:eastAsia="Times New Roman" w:hAnsi="Times New Roman" w:cs="Times New Roman"/>
                <w:sz w:val="20"/>
                <w:szCs w:val="20"/>
                <w:lang w:val="sq-AL"/>
              </w:rPr>
              <w:t xml:space="preserve"> me kontrata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që lidhen me grupin e mbulimit të një programi tjetër obligacionesh të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4.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regjistrohen në regjistrin e grupit të mbulimit me miratimin paraprak të monitoruesit të grupit të mbulimit si dhe me miratimin paraprak të palës tjetër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në këto kontrata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Nëse regjistrimi kryhet pa këto miratime paraprake, ai konsiderohet i pavlefshëm.</w:t>
            </w:r>
          </w:p>
        </w:tc>
        <w:tc>
          <w:tcPr>
            <w:tcW w:w="1440" w:type="dxa"/>
          </w:tcPr>
          <w:p w14:paraId="791A7138" w14:textId="5684A21F"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06766363"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49141773" w14:textId="77777777" w:rsidTr="004D61BC">
        <w:trPr>
          <w:gridAfter w:val="1"/>
          <w:wAfter w:w="14" w:type="dxa"/>
        </w:trPr>
        <w:tc>
          <w:tcPr>
            <w:tcW w:w="800" w:type="dxa"/>
            <w:tcBorders>
              <w:left w:val="single" w:sz="12" w:space="0" w:color="auto"/>
            </w:tcBorders>
          </w:tcPr>
          <w:p w14:paraId="6425A23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p w14:paraId="12CC70CC" w14:textId="77777777" w:rsidR="00972280" w:rsidRPr="00735452" w:rsidRDefault="00972280" w:rsidP="00972280">
            <w:pPr>
              <w:spacing w:after="0" w:line="240" w:lineRule="auto"/>
              <w:jc w:val="both"/>
              <w:rPr>
                <w:rFonts w:ascii="Times New Roman" w:hAnsi="Times New Roman" w:cs="Times New Roman"/>
                <w:sz w:val="20"/>
                <w:szCs w:val="20"/>
                <w:lang w:val="sq-AL"/>
              </w:rPr>
            </w:pPr>
          </w:p>
        </w:tc>
        <w:tc>
          <w:tcPr>
            <w:tcW w:w="5220" w:type="dxa"/>
            <w:tcBorders>
              <w:right w:val="single" w:sz="12" w:space="0" w:color="auto"/>
            </w:tcBorders>
          </w:tcPr>
          <w:p w14:paraId="480FF5A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sigurimit të pajtueshmërisë me kërkesat e renditura në paragrafin 1, shtetet anëtare përcaktojnë rregulla për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në portofolin e mbulimit. Këto rregulla specifikojnë:</w:t>
            </w:r>
          </w:p>
          <w:p w14:paraId="27502D0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kriteret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për </w:t>
            </w:r>
            <w:proofErr w:type="spellStart"/>
            <w:r w:rsidRPr="00735452">
              <w:rPr>
                <w:rFonts w:ascii="Times New Roman" w:eastAsia="Times New Roman" w:hAnsi="Times New Roman" w:cs="Times New Roman"/>
                <w:sz w:val="20"/>
                <w:szCs w:val="20"/>
                <w:lang w:val="sq-AL"/>
              </w:rPr>
              <w:t>kundërpalët</w:t>
            </w:r>
            <w:proofErr w:type="spellEnd"/>
            <w:r w:rsidRPr="00735452">
              <w:rPr>
                <w:rFonts w:ascii="Times New Roman" w:eastAsia="Times New Roman" w:hAnsi="Times New Roman" w:cs="Times New Roman"/>
                <w:sz w:val="20"/>
                <w:szCs w:val="20"/>
                <w:lang w:val="sq-AL"/>
              </w:rPr>
              <w:t xml:space="preserve"> e mbrojtjes nga rreziku;</w:t>
            </w:r>
          </w:p>
          <w:p w14:paraId="49DC878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dokumentacionin e nevojshëm që duhet të paraqitet në lidhje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2C4887BC" w14:textId="6EF4431A" w:rsidR="00972280" w:rsidRPr="00735452" w:rsidRDefault="00126C13"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58BFF8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10, pika 5</w:t>
            </w:r>
          </w:p>
        </w:tc>
        <w:tc>
          <w:tcPr>
            <w:tcW w:w="5130" w:type="dxa"/>
          </w:tcPr>
          <w:p w14:paraId="16D6BBC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Për qëllim të sigurimit të përputhshmërisë me kërkesat e përcaktuara në pikën 1 të këtij neni, Autoriteti miraton rregulla për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përfshira në grupin e mbulimit, në të cilat duhet të përcaktohen, të paktën:</w:t>
            </w:r>
            <w:r w:rsidRPr="00735452">
              <w:rPr>
                <w:rFonts w:ascii="Times New Roman" w:eastAsia="Times New Roman" w:hAnsi="Times New Roman" w:cs="Times New Roman"/>
                <w:sz w:val="20"/>
                <w:szCs w:val="20"/>
                <w:lang w:val="sq-AL"/>
              </w:rPr>
              <w:br/>
              <w:t xml:space="preserve">a) kriteret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për </w:t>
            </w:r>
            <w:proofErr w:type="spellStart"/>
            <w:r w:rsidRPr="00735452">
              <w:rPr>
                <w:rFonts w:ascii="Times New Roman" w:eastAsia="Times New Roman" w:hAnsi="Times New Roman" w:cs="Times New Roman"/>
                <w:sz w:val="20"/>
                <w:szCs w:val="20"/>
                <w:lang w:val="sq-AL"/>
              </w:rPr>
              <w:t>kundërpalët</w:t>
            </w:r>
            <w:proofErr w:type="spellEnd"/>
            <w:r w:rsidRPr="00735452">
              <w:rPr>
                <w:rFonts w:ascii="Times New Roman" w:eastAsia="Times New Roman" w:hAnsi="Times New Roman" w:cs="Times New Roman"/>
                <w:sz w:val="20"/>
                <w:szCs w:val="20"/>
                <w:lang w:val="sq-AL"/>
              </w:rPr>
              <w:t xml:space="preserve"> e kontratave të </w:t>
            </w:r>
            <w:proofErr w:type="spellStart"/>
            <w:r w:rsidRPr="00735452">
              <w:rPr>
                <w:rFonts w:ascii="Times New Roman" w:eastAsia="Times New Roman" w:hAnsi="Times New Roman" w:cs="Times New Roman"/>
                <w:sz w:val="20"/>
                <w:szCs w:val="20"/>
                <w:lang w:val="sq-AL"/>
              </w:rPr>
              <w:t>derivativëve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b) kërkesat për dokumentacionin që duhet të paraqitet në lidhje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1440" w:type="dxa"/>
          </w:tcPr>
          <w:p w14:paraId="46EEA420" w14:textId="456139CF"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C1B2981"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6B0282CC" w14:textId="77777777" w:rsidTr="004D61BC">
        <w:trPr>
          <w:gridAfter w:val="1"/>
          <w:wAfter w:w="14" w:type="dxa"/>
        </w:trPr>
        <w:tc>
          <w:tcPr>
            <w:tcW w:w="800" w:type="dxa"/>
            <w:tcBorders>
              <w:left w:val="single" w:sz="12" w:space="0" w:color="auto"/>
            </w:tcBorders>
          </w:tcPr>
          <w:p w14:paraId="22D46B9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12</w:t>
            </w:r>
          </w:p>
          <w:p w14:paraId="4A3097B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4539E841"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përcaktojnë rregulla që rregullojnë ndarjen e aktiveve mbuluese. Këto rregulla përfshijnë të paktën kërkesat e mëposhtme:</w:t>
            </w:r>
          </w:p>
          <w:p w14:paraId="598FE11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të gjitha aktivet mbuluese janë të identifikueshme nga institucioni i kreditit që emeton obligacionet e mbuluara në çdo kohë;</w:t>
            </w:r>
          </w:p>
          <w:p w14:paraId="7FBB73F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të gjitha aktivet mbuluese i nënshtrohen ndarjes ligjërisht detyruese dhe të ekzekutueshme nga institucioni i kreditit që emeton obligacionet e mbuluara;</w:t>
            </w:r>
          </w:p>
          <w:p w14:paraId="555CBC8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të gjitha aktivet mbuluese mbrohen nga çdo pretendim i palëve të treta dhe asnjë aktiv mbulues nuk bën pjesë në masën e falimentimit të institucionit të kreditit që emeton obligacionet e mbuluara derisa të jetë përmbushur pretendimi me përparësi i përmendur në nenin 4, paragrafi 1, shkronja (b).</w:t>
            </w:r>
          </w:p>
          <w:p w14:paraId="61BA1D66"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aktivet mbuluese përfshijnë çdo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të marrë në lidhje me pozicionet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3C06CA64" w14:textId="1E7FBAA9" w:rsidR="00972280" w:rsidRPr="00735452" w:rsidRDefault="00126C13"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B8F2D3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11, pikat 1-4; Neni 12</w:t>
            </w:r>
          </w:p>
        </w:tc>
        <w:tc>
          <w:tcPr>
            <w:tcW w:w="5130" w:type="dxa"/>
          </w:tcPr>
          <w:p w14:paraId="6EC6EE2C" w14:textId="047FBAFD"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11</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Institucioni i kreditit emetues siguron që të gjitha aktivet në mbulim të jenë të identifikueshme në çdo kohë. Ai është i detyruar të krijojë një regjistër të grupit të mbulimit në të cilin regjistron të gjitha aktivet që përbëjnë grupin e mbulimit.</w:t>
            </w:r>
            <w:r w:rsidRPr="00735452">
              <w:rPr>
                <w:rFonts w:ascii="Times New Roman" w:eastAsia="Times New Roman" w:hAnsi="Times New Roman" w:cs="Times New Roman"/>
                <w:sz w:val="20"/>
                <w:szCs w:val="20"/>
                <w:lang w:val="sq-AL"/>
              </w:rPr>
              <w:br/>
              <w:t>2. Me regjistrimin në regjistrin e grupit të mbulimit, aktivet në mbulim i nënshtrohen ndarjes juridike në mënyrë të detyrueshme dhe të zbatueshme nga të gjitha aktivet e tjera të institucionit të kreditit emetues, me këtë ndarje, aktivet për mbulim mbrohen nga të gjitha pretendimet,</w:t>
            </w:r>
            <w:r w:rsidRPr="00735452">
              <w:rPr>
                <w:rFonts w:ascii="Times New Roman" w:eastAsia="Times New Roman" w:hAnsi="Times New Roman" w:cs="Times New Roman"/>
                <w:sz w:val="20"/>
                <w:szCs w:val="20"/>
                <w:lang w:val="sq-AL"/>
              </w:rPr>
              <w:br/>
              <w:t>3. Aktivet në mbulim mbrohen nga çdo pretendim i palëve të treta dhe nuk përbëjnë pjesë të masës së aktiveve për likuidim të institucionit të kreditit emetues të obligacioneve të mbuluara, deri në përmbushjen e plotë të pretendimeve me përparësi sipas nenit 4, pika 1, shkronja “b”, të këtij ligji.</w:t>
            </w:r>
            <w:r w:rsidRPr="00735452">
              <w:rPr>
                <w:rFonts w:ascii="Times New Roman" w:eastAsia="Times New Roman" w:hAnsi="Times New Roman" w:cs="Times New Roman"/>
                <w:sz w:val="20"/>
                <w:szCs w:val="20"/>
                <w:lang w:val="sq-AL"/>
              </w:rPr>
              <w:br/>
              <w:t xml:space="preserve">4. Për qëllimet e këtij neni, aktivet në mbulim përfshijnë edhe çdo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të marrë në lidhje me pozicionet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12</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Institucioni i kreditit emetues i obligacioneve të mbuluara krijon dhe mirëmban një regjistër të vetëm të grupit të mbulimit për të gjitha emetimet e obligacioneve të mbuluara </w:t>
            </w:r>
            <w:r w:rsidRPr="00735452">
              <w:rPr>
                <w:rFonts w:ascii="Times New Roman" w:eastAsia="Times New Roman" w:hAnsi="Times New Roman" w:cs="Times New Roman"/>
                <w:sz w:val="20"/>
                <w:szCs w:val="20"/>
                <w:lang w:val="sq-AL"/>
              </w:rPr>
              <w:lastRenderedPageBreak/>
              <w:t>të realizuara në kuadër të një programi të vetëm.</w:t>
            </w:r>
            <w:r w:rsidRPr="00735452">
              <w:rPr>
                <w:rFonts w:ascii="Times New Roman" w:eastAsia="Times New Roman" w:hAnsi="Times New Roman" w:cs="Times New Roman"/>
                <w:sz w:val="20"/>
                <w:szCs w:val="20"/>
                <w:lang w:val="sq-AL"/>
              </w:rPr>
              <w:br/>
              <w:t xml:space="preserve">2. Regjistri i grupit të mbulimit përmban informacion mbi aktivet që mundëson identifikimin e tyre në çdo kohë, si dhe përcaktimin e vlerës së tyre dhe të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xml:space="preserve"> me të cilin janë të garantuara.</w:t>
            </w:r>
            <w:r w:rsidRPr="00735452">
              <w:rPr>
                <w:rFonts w:ascii="Times New Roman" w:eastAsia="Times New Roman" w:hAnsi="Times New Roman" w:cs="Times New Roman"/>
                <w:sz w:val="20"/>
                <w:szCs w:val="20"/>
                <w:lang w:val="sq-AL"/>
              </w:rPr>
              <w:br/>
              <w:t>3. Aktivet e regjistruara në regjistrin e grupit të mbulimit konsiderohen pjesë e grupit të mbulimit, për sa kohë që ato janë të identifikueshme.</w:t>
            </w:r>
            <w:r w:rsidRPr="00735452">
              <w:rPr>
                <w:rFonts w:ascii="Times New Roman" w:eastAsia="Times New Roman" w:hAnsi="Times New Roman" w:cs="Times New Roman"/>
                <w:sz w:val="20"/>
                <w:szCs w:val="20"/>
                <w:lang w:val="sq-AL"/>
              </w:rPr>
              <w:br/>
              <w:t>4. Institucioni i kreditit emetues regjistron në regjistrin e grupit të mbulimit të gjitha aktivet përpara emetimit të obligacioneve të mbuluara.</w:t>
            </w:r>
            <w:r w:rsidRPr="00735452">
              <w:rPr>
                <w:rFonts w:ascii="Times New Roman" w:eastAsia="Times New Roman" w:hAnsi="Times New Roman" w:cs="Times New Roman"/>
                <w:sz w:val="20"/>
                <w:szCs w:val="20"/>
                <w:lang w:val="sq-AL"/>
              </w:rPr>
              <w:br/>
              <w:t>5. Institucioni i kreditit emetues regjistron pa vonesë çdo aktiv që bëhet pjesë e grupit të mbulimit pas emetimit, me miratimin paraprak të monitoruesit të grupit të mbulimit.</w:t>
            </w:r>
            <w:r w:rsidRPr="00735452">
              <w:rPr>
                <w:rFonts w:ascii="Times New Roman" w:eastAsia="Times New Roman" w:hAnsi="Times New Roman" w:cs="Times New Roman"/>
                <w:sz w:val="20"/>
                <w:szCs w:val="20"/>
                <w:lang w:val="sq-AL"/>
              </w:rPr>
              <w:br/>
              <w:t>6. Institucioni i kreditit emetues fshin pa vonesë çdo aktiv që pushon së qeni pjesë e grupit të mbulimit, me miratimin paraprak të monitoruesit të grupit të mbulimit.</w:t>
            </w:r>
            <w:r w:rsidRPr="00735452">
              <w:rPr>
                <w:rFonts w:ascii="Times New Roman" w:eastAsia="Times New Roman" w:hAnsi="Times New Roman" w:cs="Times New Roman"/>
                <w:sz w:val="20"/>
                <w:szCs w:val="20"/>
                <w:lang w:val="sq-AL"/>
              </w:rPr>
              <w:br/>
              <w:t xml:space="preserve">7. Monitoruesi i grupit të mbulimit refuzon të japë miratimin paraprak për regjistrimin ose fshirjen në regjistër nëse një veprim i tillë do të çonte në mosrespektimin e kushteve të përcaktuara në këtë ligj, në aktet nënligjore, në </w:t>
            </w:r>
            <w:r w:rsidR="00FD6F45">
              <w:rPr>
                <w:rFonts w:ascii="Times New Roman" w:eastAsia="Times New Roman" w:hAnsi="Times New Roman" w:cs="Times New Roman"/>
                <w:sz w:val="20"/>
                <w:szCs w:val="20"/>
                <w:lang w:val="sq-AL"/>
              </w:rPr>
              <w:t>miratimin</w:t>
            </w:r>
            <w:r w:rsidRPr="00735452">
              <w:rPr>
                <w:rFonts w:ascii="Times New Roman" w:eastAsia="Times New Roman" w:hAnsi="Times New Roman" w:cs="Times New Roman"/>
                <w:sz w:val="20"/>
                <w:szCs w:val="20"/>
                <w:lang w:val="sq-AL"/>
              </w:rPr>
              <w:t xml:space="preserve"> për emetimin e obligacioneve të mbuluara ose në prospektin e emetimit. Në veçanti, monitoruesi i grupit të mbulimit refuzon miratimin paraprak për regjistrim nëse aktivi i propozuar si aktiv për mbulim nuk plotëson kushtet e përcaktuara për aktivet për mbulim.</w:t>
            </w:r>
            <w:r w:rsidRPr="00735452">
              <w:rPr>
                <w:rFonts w:ascii="Times New Roman" w:eastAsia="Times New Roman" w:hAnsi="Times New Roman" w:cs="Times New Roman"/>
                <w:sz w:val="20"/>
                <w:szCs w:val="20"/>
                <w:lang w:val="sq-AL"/>
              </w:rPr>
              <w:br/>
              <w:t>8. Regjistrimi ose fshirja nga regjistri i grupit të mbulimit pa miratimin paraprak të monitoruesit të grupit të mbulimit, nuk ka efekt juridik dhe nuk krijon asnjë pasojë.</w:t>
            </w:r>
            <w:r w:rsidRPr="00735452">
              <w:rPr>
                <w:rFonts w:ascii="Times New Roman" w:eastAsia="Times New Roman" w:hAnsi="Times New Roman" w:cs="Times New Roman"/>
                <w:sz w:val="20"/>
                <w:szCs w:val="20"/>
                <w:lang w:val="sq-AL"/>
              </w:rPr>
              <w:br/>
              <w:t>9. Ekstrakti nga regjistri i grupit të mbulimit si dhe çdo ndryshimi në aktivet e grupit të mbulimit gjatë emetimit të obligacioneve të mbuluara i dërgohen në formë elektronike, pa vonesë dhe sa më shpejt të jetë e mundur, por në çdo rast jo më vonë se dita e ardhshme e punës pas kryerjes së ndryshimit përkatës, Autoritetit dhe Bankës së Shqipërisë.</w:t>
            </w:r>
            <w:r w:rsidRPr="00735452">
              <w:rPr>
                <w:rFonts w:ascii="Times New Roman" w:eastAsia="Times New Roman" w:hAnsi="Times New Roman" w:cs="Times New Roman"/>
                <w:sz w:val="20"/>
                <w:szCs w:val="20"/>
                <w:lang w:val="sq-AL"/>
              </w:rPr>
              <w:br/>
              <w:t>10. Së bashku me ekstraktin sipas pikës 9, të këtij neni, dorëzohet edhe dokumenti që vërteton  miratimin e monitoruesit të grupit të mbulimit për regjistrimin ose fshirjen e aktivit nga regjistri i grupit të mbulimit.</w:t>
            </w:r>
            <w:r w:rsidRPr="00735452">
              <w:rPr>
                <w:rFonts w:ascii="Times New Roman" w:eastAsia="Times New Roman" w:hAnsi="Times New Roman" w:cs="Times New Roman"/>
                <w:sz w:val="20"/>
                <w:szCs w:val="20"/>
                <w:lang w:val="sq-AL"/>
              </w:rPr>
              <w:br/>
              <w:t xml:space="preserve">11. Në rast mosmarrëveshje lidhur me përbërjen e grupit të </w:t>
            </w:r>
            <w:r w:rsidRPr="00735452">
              <w:rPr>
                <w:rFonts w:ascii="Times New Roman" w:eastAsia="Times New Roman" w:hAnsi="Times New Roman" w:cs="Times New Roman"/>
                <w:sz w:val="20"/>
                <w:szCs w:val="20"/>
                <w:lang w:val="sq-AL"/>
              </w:rPr>
              <w:lastRenderedPageBreak/>
              <w:t>mbulimit, konsiderohet se grupi i mbulimit përbëhet nga aktivet e regjistruara në ekstraktin e fundit të dorëzuar pranë Autoritetit, sipas pikës 9, të këtij neni.</w:t>
            </w:r>
          </w:p>
        </w:tc>
        <w:tc>
          <w:tcPr>
            <w:tcW w:w="1440" w:type="dxa"/>
          </w:tcPr>
          <w:p w14:paraId="60AC0199" w14:textId="45AB27FC"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41C62EE9"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52F7A40D" w14:textId="77777777" w:rsidTr="004D61BC">
        <w:trPr>
          <w:gridAfter w:val="1"/>
          <w:wAfter w:w="14" w:type="dxa"/>
        </w:trPr>
        <w:tc>
          <w:tcPr>
            <w:tcW w:w="800" w:type="dxa"/>
            <w:tcBorders>
              <w:left w:val="single" w:sz="12" w:space="0" w:color="auto"/>
            </w:tcBorders>
          </w:tcPr>
          <w:p w14:paraId="5A60CA5D"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2</w:t>
            </w:r>
          </w:p>
        </w:tc>
        <w:tc>
          <w:tcPr>
            <w:tcW w:w="5220" w:type="dxa"/>
            <w:tcBorders>
              <w:right w:val="single" w:sz="12" w:space="0" w:color="auto"/>
            </w:tcBorders>
          </w:tcPr>
          <w:p w14:paraId="4E402E2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Ndarja e aktiveve mbuluese e përmendur në paragrafin 1 zbatohet edhe në rast falimentimi ose zgjidhjeje të institucionit të kreditit që emeton obligacione të mbuluara.</w:t>
            </w:r>
          </w:p>
        </w:tc>
        <w:tc>
          <w:tcPr>
            <w:tcW w:w="624" w:type="dxa"/>
            <w:tcBorders>
              <w:left w:val="single" w:sz="12" w:space="0" w:color="auto"/>
            </w:tcBorders>
          </w:tcPr>
          <w:p w14:paraId="0F382667" w14:textId="5BEE374C" w:rsidR="00972280" w:rsidRPr="00735452" w:rsidRDefault="00126C13"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825FDC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11, pika 5</w:t>
            </w:r>
          </w:p>
        </w:tc>
        <w:tc>
          <w:tcPr>
            <w:tcW w:w="5130" w:type="dxa"/>
          </w:tcPr>
          <w:p w14:paraId="6485BC9E"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Veçimi i aktiveve për mbulim sipas këtij neni zbatohet edhe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likuidimit apo ndërhyrjes së jashtëzakonshme ndaj institucionit të kreditit emetues.</w:t>
            </w:r>
          </w:p>
        </w:tc>
        <w:tc>
          <w:tcPr>
            <w:tcW w:w="1440" w:type="dxa"/>
          </w:tcPr>
          <w:p w14:paraId="79A1E704" w14:textId="278934AF"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3287AB0"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417BC678" w14:textId="77777777" w:rsidTr="004D61BC">
        <w:trPr>
          <w:gridAfter w:val="1"/>
          <w:wAfter w:w="14" w:type="dxa"/>
        </w:trPr>
        <w:tc>
          <w:tcPr>
            <w:tcW w:w="800" w:type="dxa"/>
            <w:tcBorders>
              <w:left w:val="single" w:sz="12" w:space="0" w:color="auto"/>
            </w:tcBorders>
          </w:tcPr>
          <w:p w14:paraId="015D7911"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13</w:t>
            </w:r>
          </w:p>
          <w:p w14:paraId="79FA3BB1"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0FD0F030"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mund të kërkojnë që institucionet e kreditit që emetojnë obligacione të mbuluara të caktojnë një monitorues të portofolit të mbulimit për të kryer monitorim të vazhdueshëm të portofolit të mbulimit në lidhje me kërkesat e përcaktuara në nenet 6 deri në 12 dhe nenet 14 deri në 17.</w:t>
            </w:r>
          </w:p>
        </w:tc>
        <w:tc>
          <w:tcPr>
            <w:tcW w:w="624" w:type="dxa"/>
            <w:tcBorders>
              <w:left w:val="single" w:sz="12" w:space="0" w:color="auto"/>
            </w:tcBorders>
          </w:tcPr>
          <w:p w14:paraId="5D9B1C41" w14:textId="23180CB7"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297DA0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13, pika 1</w:t>
            </w:r>
          </w:p>
        </w:tc>
        <w:tc>
          <w:tcPr>
            <w:tcW w:w="5130" w:type="dxa"/>
          </w:tcPr>
          <w:p w14:paraId="369343E3" w14:textId="6043BD5B"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Institucioni i kreditit emetues të obligacioneve të mbuluara emëron një monitorues të grupit të mbulimit përpara paraqitjes së kërkesës për </w:t>
            </w:r>
            <w:r w:rsidR="008D2D8D">
              <w:rPr>
                <w:rFonts w:ascii="Times New Roman" w:eastAsia="Times New Roman" w:hAnsi="Times New Roman" w:cs="Times New Roman"/>
                <w:sz w:val="20"/>
                <w:szCs w:val="20"/>
                <w:lang w:val="sq-AL"/>
              </w:rPr>
              <w:t xml:space="preserve">miratimin </w:t>
            </w:r>
            <w:r w:rsidRPr="00735452">
              <w:rPr>
                <w:rFonts w:ascii="Times New Roman" w:eastAsia="Times New Roman" w:hAnsi="Times New Roman" w:cs="Times New Roman"/>
                <w:sz w:val="20"/>
                <w:szCs w:val="20"/>
                <w:lang w:val="sq-AL"/>
              </w:rPr>
              <w:t>e programit të obligacioneve të mbuluara.</w:t>
            </w:r>
            <w:r w:rsidRPr="00735452">
              <w:rPr>
                <w:rFonts w:ascii="Times New Roman" w:eastAsia="Times New Roman" w:hAnsi="Times New Roman" w:cs="Times New Roman"/>
                <w:sz w:val="20"/>
                <w:szCs w:val="20"/>
                <w:lang w:val="sq-AL"/>
              </w:rPr>
              <w:br/>
              <w:t>Monitoruesi konfirmon me shkrim se në momentin e emetimit të obligacioneve të mbuluara, ekziston një grup mbulimi i mjaftueshëm dhe se ai është regjistruar në regjistrin e grupit të mbulimit në përputhje me këtë ligj.</w:t>
            </w:r>
            <w:r w:rsidRPr="00735452">
              <w:rPr>
                <w:rFonts w:ascii="Times New Roman" w:eastAsia="Times New Roman" w:hAnsi="Times New Roman" w:cs="Times New Roman"/>
                <w:sz w:val="20"/>
                <w:szCs w:val="20"/>
                <w:lang w:val="sq-AL"/>
              </w:rPr>
              <w:br/>
              <w:t xml:space="preserve">Konfirmimi me shkrim përfshin edhe vlerësimin nëse emetuesi dhe grupi i mbulimit përmbushin kërkesat e këtij ligji, të akteve nënligjore dhe të kushteve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 në lidhje me:</w:t>
            </w:r>
            <w:r w:rsidRPr="00735452">
              <w:rPr>
                <w:rFonts w:ascii="Times New Roman" w:eastAsia="Times New Roman" w:hAnsi="Times New Roman" w:cs="Times New Roman"/>
                <w:sz w:val="20"/>
                <w:szCs w:val="20"/>
                <w:lang w:val="sq-AL"/>
              </w:rPr>
              <w:br/>
              <w:t xml:space="preserve">a) </w:t>
            </w:r>
            <w:proofErr w:type="spellStart"/>
            <w:r w:rsidRPr="00735452">
              <w:rPr>
                <w:rFonts w:ascii="Times New Roman" w:eastAsia="Times New Roman" w:hAnsi="Times New Roman" w:cs="Times New Roman"/>
                <w:sz w:val="20"/>
                <w:szCs w:val="20"/>
                <w:lang w:val="sq-AL"/>
              </w:rPr>
              <w:t>pranueshmërinë</w:t>
            </w:r>
            <w:proofErr w:type="spellEnd"/>
            <w:r w:rsidRPr="00735452">
              <w:rPr>
                <w:rFonts w:ascii="Times New Roman" w:eastAsia="Times New Roman" w:hAnsi="Times New Roman" w:cs="Times New Roman"/>
                <w:sz w:val="20"/>
                <w:szCs w:val="20"/>
                <w:lang w:val="sq-AL"/>
              </w:rPr>
              <w:t xml:space="preserve"> e aktiveve në grupin e mbulimit;</w:t>
            </w:r>
            <w:r w:rsidRPr="00735452">
              <w:rPr>
                <w:rFonts w:ascii="Times New Roman" w:eastAsia="Times New Roman" w:hAnsi="Times New Roman" w:cs="Times New Roman"/>
                <w:sz w:val="20"/>
                <w:szCs w:val="20"/>
                <w:lang w:val="sq-AL"/>
              </w:rPr>
              <w:br/>
              <w:t>b) përmbushjen e kushteve për financimin e përbashkët të emetimit të obligacioneve të mbuluara;</w:t>
            </w:r>
            <w:r w:rsidRPr="00735452">
              <w:rPr>
                <w:rFonts w:ascii="Times New Roman" w:eastAsia="Times New Roman" w:hAnsi="Times New Roman" w:cs="Times New Roman"/>
                <w:sz w:val="20"/>
                <w:szCs w:val="20"/>
                <w:lang w:val="sq-AL"/>
              </w:rPr>
              <w:br/>
              <w:t>c) përbërjen e grupit të mbulimit;</w:t>
            </w:r>
            <w:r w:rsidRPr="00735452">
              <w:rPr>
                <w:rFonts w:ascii="Times New Roman" w:eastAsia="Times New Roman" w:hAnsi="Times New Roman" w:cs="Times New Roman"/>
                <w:sz w:val="20"/>
                <w:szCs w:val="20"/>
                <w:lang w:val="sq-AL"/>
              </w:rPr>
              <w:br/>
              <w:t xml:space="preserve">ç) kontratat </w:t>
            </w:r>
            <w:proofErr w:type="spellStart"/>
            <w:r w:rsidRPr="00735452">
              <w:rPr>
                <w:rFonts w:ascii="Times New Roman" w:eastAsia="Times New Roman" w:hAnsi="Times New Roman" w:cs="Times New Roman"/>
                <w:sz w:val="20"/>
                <w:szCs w:val="20"/>
                <w:lang w:val="sq-AL"/>
              </w:rPr>
              <w:t>derivativë</w:t>
            </w:r>
            <w:proofErr w:type="spellEnd"/>
            <w:r w:rsidRPr="00735452">
              <w:rPr>
                <w:rFonts w:ascii="Times New Roman" w:eastAsia="Times New Roman" w:hAnsi="Times New Roman" w:cs="Times New Roman"/>
                <w:sz w:val="20"/>
                <w:szCs w:val="20"/>
                <w:lang w:val="sq-AL"/>
              </w:rPr>
              <w:t xml:space="preserve"> në grupin e mbulimit;</w:t>
            </w:r>
            <w:r w:rsidRPr="00735452">
              <w:rPr>
                <w:rFonts w:ascii="Times New Roman" w:eastAsia="Times New Roman" w:hAnsi="Times New Roman" w:cs="Times New Roman"/>
                <w:sz w:val="20"/>
                <w:szCs w:val="20"/>
                <w:lang w:val="sq-AL"/>
              </w:rPr>
              <w:br/>
              <w:t>d) ndarjen e aktiveve për mbulim dhe mbrojtjen nga kreditorët e tjerë;</w:t>
            </w:r>
            <w:r w:rsidRPr="00735452">
              <w:rPr>
                <w:rFonts w:ascii="Times New Roman" w:eastAsia="Times New Roman" w:hAnsi="Times New Roman" w:cs="Times New Roman"/>
                <w:sz w:val="20"/>
                <w:szCs w:val="20"/>
                <w:lang w:val="sq-AL"/>
              </w:rPr>
              <w:br/>
              <w:t>dh) regjistrin e grupit të mbulimit;</w:t>
            </w:r>
            <w:r w:rsidRPr="00735452">
              <w:rPr>
                <w:rFonts w:ascii="Times New Roman" w:eastAsia="Times New Roman" w:hAnsi="Times New Roman" w:cs="Times New Roman"/>
                <w:sz w:val="20"/>
                <w:szCs w:val="20"/>
                <w:lang w:val="sq-AL"/>
              </w:rPr>
              <w:br/>
              <w:t>e) kërkesat për mbulim, përfshirë saktësinë e vlerësimit të aktiveve në grupin e mbulimit;</w:t>
            </w:r>
            <w:r w:rsidRPr="00735452">
              <w:rPr>
                <w:rFonts w:ascii="Times New Roman" w:eastAsia="Times New Roman" w:hAnsi="Times New Roman" w:cs="Times New Roman"/>
                <w:sz w:val="20"/>
                <w:szCs w:val="20"/>
                <w:lang w:val="sq-AL"/>
              </w:rPr>
              <w:br/>
              <w:t>ë) kërkesat lidhur me rezervën/shtesën e likuiditetit të grupit të mbulimit;</w:t>
            </w:r>
            <w:r w:rsidRPr="00735452">
              <w:rPr>
                <w:rFonts w:ascii="Times New Roman" w:eastAsia="Times New Roman" w:hAnsi="Times New Roman" w:cs="Times New Roman"/>
                <w:sz w:val="20"/>
                <w:szCs w:val="20"/>
                <w:lang w:val="sq-AL"/>
              </w:rPr>
              <w:br/>
              <w:t xml:space="preserve">f) mbrojtjen e investitorëve në lidhje me obligacionet e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p>
        </w:tc>
        <w:tc>
          <w:tcPr>
            <w:tcW w:w="1440" w:type="dxa"/>
          </w:tcPr>
          <w:p w14:paraId="4AA0280B" w14:textId="628445A0"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7D2CF9E5"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7636E88E" w14:textId="77777777" w:rsidTr="004D61BC">
        <w:trPr>
          <w:gridAfter w:val="1"/>
          <w:wAfter w:w="14" w:type="dxa"/>
        </w:trPr>
        <w:tc>
          <w:tcPr>
            <w:tcW w:w="800" w:type="dxa"/>
            <w:tcBorders>
              <w:left w:val="single" w:sz="12" w:space="0" w:color="auto"/>
            </w:tcBorders>
          </w:tcPr>
          <w:p w14:paraId="4479C23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0E1D4D12"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shtetet anëtare ushtrojnë mundësinë e parashikuar në paragrafin 1, ato përcaktojnë rregulla të paktën për aspektet e mëposhtme:</w:t>
            </w:r>
          </w:p>
          <w:p w14:paraId="152253C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emërimin dhe shkarkimin e monitoruesit të portofolit të mbulimit;</w:t>
            </w:r>
          </w:p>
          <w:p w14:paraId="60F4C186"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kriteret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për monitoruesin e portofolit të mbulimit;</w:t>
            </w:r>
          </w:p>
          <w:p w14:paraId="28B10F6B"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(c) rolin dhe detyrat e monitoruesit të portofolit të mbulimit, përfshirë rastin e falimentimit ose zgjidhjes së institucionit të kreditit që emeton obligacionet e mbuluara;</w:t>
            </w:r>
          </w:p>
          <w:p w14:paraId="2BA93844"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detyrimin për të raportuar te autoritetet kompetente të përcaktuara sipas nenit 18, paragrafi 2;</w:t>
            </w:r>
          </w:p>
          <w:p w14:paraId="15E04B9E"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(e) të drejtën e </w:t>
            </w:r>
            <w:proofErr w:type="spellStart"/>
            <w:r w:rsidRPr="00735452">
              <w:rPr>
                <w:rFonts w:ascii="Times New Roman" w:eastAsia="Times New Roman" w:hAnsi="Times New Roman" w:cs="Times New Roman"/>
                <w:sz w:val="20"/>
                <w:szCs w:val="20"/>
                <w:lang w:val="sq-AL"/>
              </w:rPr>
              <w:t>aksesit</w:t>
            </w:r>
            <w:proofErr w:type="spellEnd"/>
            <w:r w:rsidRPr="00735452">
              <w:rPr>
                <w:rFonts w:ascii="Times New Roman" w:eastAsia="Times New Roman" w:hAnsi="Times New Roman" w:cs="Times New Roman"/>
                <w:sz w:val="20"/>
                <w:szCs w:val="20"/>
                <w:lang w:val="sq-AL"/>
              </w:rPr>
              <w:t xml:space="preserve"> në informacionin e nevojshëm për kryerjen e detyrave të monitoruesit të portofolit të mbulimit.</w:t>
            </w:r>
          </w:p>
        </w:tc>
        <w:tc>
          <w:tcPr>
            <w:tcW w:w="624" w:type="dxa"/>
            <w:tcBorders>
              <w:left w:val="single" w:sz="12" w:space="0" w:color="auto"/>
            </w:tcBorders>
          </w:tcPr>
          <w:p w14:paraId="58C1A7BE" w14:textId="551C7B28"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184CF87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13, pikat 2 dhe 7-17</w:t>
            </w:r>
          </w:p>
        </w:tc>
        <w:tc>
          <w:tcPr>
            <w:tcW w:w="5130" w:type="dxa"/>
          </w:tcPr>
          <w:p w14:paraId="5BE4E244" w14:textId="5C3A1B31"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Institucionet e kreditit që emetojnë obligacione të mbuluara duhet të kenë rregulla dhe procedura të brendshme që rregullojnë funksionin e monitoruesit të grupit të mbulimit në përputhje me këtë ligj.  Këto rregulla dhe procedura duhet të përfshijnë, të paktën:</w:t>
            </w:r>
            <w:r w:rsidRPr="00735452">
              <w:rPr>
                <w:rFonts w:ascii="Times New Roman" w:eastAsia="Times New Roman" w:hAnsi="Times New Roman" w:cs="Times New Roman"/>
                <w:sz w:val="20"/>
                <w:szCs w:val="20"/>
                <w:lang w:val="sq-AL"/>
              </w:rPr>
              <w:br/>
              <w:t xml:space="preserve">    a) emërimin dhe shkarkimin e monitoruesit të grupit të mbulimit;</w:t>
            </w:r>
            <w:r w:rsidRPr="00735452">
              <w:rPr>
                <w:rFonts w:ascii="Times New Roman" w:eastAsia="Times New Roman" w:hAnsi="Times New Roman" w:cs="Times New Roman"/>
                <w:sz w:val="20"/>
                <w:szCs w:val="20"/>
                <w:lang w:val="sq-AL"/>
              </w:rPr>
              <w:br/>
              <w:t xml:space="preserve">    b) kriteret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dhe kërkesat për kualifikim të </w:t>
            </w:r>
            <w:r w:rsidRPr="00735452">
              <w:rPr>
                <w:rFonts w:ascii="Times New Roman" w:eastAsia="Times New Roman" w:hAnsi="Times New Roman" w:cs="Times New Roman"/>
                <w:sz w:val="20"/>
                <w:szCs w:val="20"/>
                <w:lang w:val="sq-AL"/>
              </w:rPr>
              <w:lastRenderedPageBreak/>
              <w:t>tij;</w:t>
            </w:r>
            <w:r w:rsidRPr="00735452">
              <w:rPr>
                <w:rFonts w:ascii="Times New Roman" w:eastAsia="Times New Roman" w:hAnsi="Times New Roman" w:cs="Times New Roman"/>
                <w:sz w:val="20"/>
                <w:szCs w:val="20"/>
                <w:lang w:val="sq-AL"/>
              </w:rPr>
              <w:br/>
              <w:t xml:space="preserve">    c) rolin dhe detyrat e monitoruesit, përfshirë edhe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të institucionit të kreditit emetues;</w:t>
            </w:r>
            <w:r w:rsidRPr="00735452">
              <w:rPr>
                <w:rFonts w:ascii="Times New Roman" w:eastAsia="Times New Roman" w:hAnsi="Times New Roman" w:cs="Times New Roman"/>
                <w:sz w:val="20"/>
                <w:szCs w:val="20"/>
                <w:lang w:val="sq-AL"/>
              </w:rPr>
              <w:br/>
              <w:t>ç)   detyrimin për raportim në Autoritet;</w:t>
            </w:r>
            <w:r w:rsidRPr="00735452">
              <w:rPr>
                <w:rFonts w:ascii="Times New Roman" w:eastAsia="Times New Roman" w:hAnsi="Times New Roman" w:cs="Times New Roman"/>
                <w:sz w:val="20"/>
                <w:szCs w:val="20"/>
                <w:lang w:val="sq-AL"/>
              </w:rPr>
              <w:br/>
              <w:t xml:space="preserve">d)   të drejtën e </w:t>
            </w:r>
            <w:proofErr w:type="spellStart"/>
            <w:r w:rsidRPr="00735452">
              <w:rPr>
                <w:rFonts w:ascii="Times New Roman" w:eastAsia="Times New Roman" w:hAnsi="Times New Roman" w:cs="Times New Roman"/>
                <w:sz w:val="20"/>
                <w:szCs w:val="20"/>
                <w:lang w:val="sq-AL"/>
              </w:rPr>
              <w:t>aksesit</w:t>
            </w:r>
            <w:proofErr w:type="spellEnd"/>
            <w:r w:rsidRPr="00735452">
              <w:rPr>
                <w:rFonts w:ascii="Times New Roman" w:eastAsia="Times New Roman" w:hAnsi="Times New Roman" w:cs="Times New Roman"/>
                <w:sz w:val="20"/>
                <w:szCs w:val="20"/>
                <w:lang w:val="sq-AL"/>
              </w:rPr>
              <w:t xml:space="preserve"> në informacionin e nevojshëm për ushtrimin e detyrave të tij.</w:t>
            </w:r>
            <w:r w:rsidRPr="00735452">
              <w:rPr>
                <w:rFonts w:ascii="Times New Roman" w:eastAsia="Times New Roman" w:hAnsi="Times New Roman" w:cs="Times New Roman"/>
                <w:sz w:val="20"/>
                <w:szCs w:val="20"/>
                <w:lang w:val="sq-AL"/>
              </w:rPr>
              <w:br/>
              <w:t xml:space="preserve">7. Monitoruesi i grupit të mbulimit monitoron në mënyrë të vazhdueshme nëse institucioni i kreditit emetues dhe grupi i mbulimit përmbushin kërkesat e përcaktuara në nenet 6 deri në 11 dhe 14, 16 deri në 18 të këtij ligji, në aktet nënligjore dhe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 në lidhje me:</w:t>
            </w:r>
            <w:r w:rsidRPr="00735452">
              <w:rPr>
                <w:rFonts w:ascii="Times New Roman" w:eastAsia="Times New Roman" w:hAnsi="Times New Roman" w:cs="Times New Roman"/>
                <w:sz w:val="20"/>
                <w:szCs w:val="20"/>
                <w:lang w:val="sq-AL"/>
              </w:rPr>
              <w:br/>
              <w:t xml:space="preserve">a) </w:t>
            </w:r>
            <w:proofErr w:type="spellStart"/>
            <w:r w:rsidRPr="00735452">
              <w:rPr>
                <w:rFonts w:ascii="Times New Roman" w:eastAsia="Times New Roman" w:hAnsi="Times New Roman" w:cs="Times New Roman"/>
                <w:sz w:val="20"/>
                <w:szCs w:val="20"/>
                <w:lang w:val="sq-AL"/>
              </w:rPr>
              <w:t>pranueshmërinë</w:t>
            </w:r>
            <w:proofErr w:type="spellEnd"/>
            <w:r w:rsidRPr="00735452">
              <w:rPr>
                <w:rFonts w:ascii="Times New Roman" w:eastAsia="Times New Roman" w:hAnsi="Times New Roman" w:cs="Times New Roman"/>
                <w:sz w:val="20"/>
                <w:szCs w:val="20"/>
                <w:lang w:val="sq-AL"/>
              </w:rPr>
              <w:t xml:space="preserve"> e aktiveve në grupin e mbulimit;</w:t>
            </w:r>
            <w:r w:rsidRPr="00735452">
              <w:rPr>
                <w:rFonts w:ascii="Times New Roman" w:eastAsia="Times New Roman" w:hAnsi="Times New Roman" w:cs="Times New Roman"/>
                <w:sz w:val="20"/>
                <w:szCs w:val="20"/>
                <w:lang w:val="sq-AL"/>
              </w:rPr>
              <w:br/>
              <w:t>b) përmbushjen e kushteve për financimin e përbashkët;</w:t>
            </w:r>
            <w:r w:rsidRPr="00735452">
              <w:rPr>
                <w:rFonts w:ascii="Times New Roman" w:eastAsia="Times New Roman" w:hAnsi="Times New Roman" w:cs="Times New Roman"/>
                <w:sz w:val="20"/>
                <w:szCs w:val="20"/>
                <w:lang w:val="sq-AL"/>
              </w:rPr>
              <w:br/>
              <w:t>c) përbërjen e grupit të mbulimit;</w:t>
            </w:r>
            <w:r w:rsidRPr="00735452">
              <w:rPr>
                <w:rFonts w:ascii="Times New Roman" w:eastAsia="Times New Roman" w:hAnsi="Times New Roman" w:cs="Times New Roman"/>
                <w:sz w:val="20"/>
                <w:szCs w:val="20"/>
                <w:lang w:val="sq-AL"/>
              </w:rPr>
              <w:br/>
              <w:t xml:space="preserve">ç)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në grupin e mbulimit;</w:t>
            </w:r>
            <w:r w:rsidRPr="00735452">
              <w:rPr>
                <w:rFonts w:ascii="Times New Roman" w:eastAsia="Times New Roman" w:hAnsi="Times New Roman" w:cs="Times New Roman"/>
                <w:sz w:val="20"/>
                <w:szCs w:val="20"/>
                <w:lang w:val="sq-AL"/>
              </w:rPr>
              <w:br/>
              <w:t>d) ndarjen e aktiveve për mbulim dhe mbrojtjen nga pretendimet e palëve të treta;</w:t>
            </w:r>
            <w:r w:rsidRPr="00735452">
              <w:rPr>
                <w:rFonts w:ascii="Times New Roman" w:eastAsia="Times New Roman" w:hAnsi="Times New Roman" w:cs="Times New Roman"/>
                <w:sz w:val="20"/>
                <w:szCs w:val="20"/>
                <w:lang w:val="sq-AL"/>
              </w:rPr>
              <w:br/>
              <w:t>dh) regjistrin e grupit të mbulimit;</w:t>
            </w:r>
            <w:r w:rsidRPr="00735452">
              <w:rPr>
                <w:rFonts w:ascii="Times New Roman" w:eastAsia="Times New Roman" w:hAnsi="Times New Roman" w:cs="Times New Roman"/>
                <w:sz w:val="20"/>
                <w:szCs w:val="20"/>
                <w:lang w:val="sq-AL"/>
              </w:rPr>
              <w:br/>
              <w:t>e) rëndësinë dhe saktësinë e informacionit për investitorët;</w:t>
            </w:r>
            <w:r w:rsidRPr="00735452">
              <w:rPr>
                <w:rFonts w:ascii="Times New Roman" w:eastAsia="Times New Roman" w:hAnsi="Times New Roman" w:cs="Times New Roman"/>
                <w:sz w:val="20"/>
                <w:szCs w:val="20"/>
                <w:lang w:val="sq-AL"/>
              </w:rPr>
              <w:br/>
              <w:t>ë) kërkesat për mbulim;</w:t>
            </w:r>
            <w:r w:rsidRPr="00735452">
              <w:rPr>
                <w:rFonts w:ascii="Times New Roman" w:eastAsia="Times New Roman" w:hAnsi="Times New Roman" w:cs="Times New Roman"/>
                <w:sz w:val="20"/>
                <w:szCs w:val="20"/>
                <w:lang w:val="sq-AL"/>
              </w:rPr>
              <w:br/>
              <w:t>f) kërkesat lidhur me rezervën e likuiditetit;</w:t>
            </w:r>
            <w:r w:rsidRPr="00735452">
              <w:rPr>
                <w:rFonts w:ascii="Times New Roman" w:eastAsia="Times New Roman" w:hAnsi="Times New Roman" w:cs="Times New Roman"/>
                <w:sz w:val="20"/>
                <w:szCs w:val="20"/>
                <w:lang w:val="sq-AL"/>
              </w:rPr>
              <w:br/>
              <w:t xml:space="preserve">g) mbrojtjen e investitorëve, përfshirë në rastin e obligacioneve të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gj) çdo detyrim tjetër të parashikuar nga ky ligj.</w:t>
            </w:r>
            <w:r w:rsidRPr="00735452">
              <w:rPr>
                <w:rFonts w:ascii="Times New Roman" w:eastAsia="Times New Roman" w:hAnsi="Times New Roman" w:cs="Times New Roman"/>
                <w:sz w:val="20"/>
                <w:szCs w:val="20"/>
                <w:lang w:val="sq-AL"/>
              </w:rPr>
              <w:br/>
              <w:t>8. Në ushtrimin e detyrave të tij, sipas pikës 7, të këtij neni, monitoruesi i grupit të mbulimit:</w:t>
            </w:r>
            <w:r w:rsidRPr="00735452">
              <w:rPr>
                <w:rFonts w:ascii="Times New Roman" w:eastAsia="Times New Roman" w:hAnsi="Times New Roman" w:cs="Times New Roman"/>
                <w:sz w:val="20"/>
                <w:szCs w:val="20"/>
                <w:lang w:val="sq-AL"/>
              </w:rPr>
              <w:br/>
              <w:t>a) verifikon llogaritjet e mbulimit dhe likuiditetit;</w:t>
            </w:r>
            <w:r w:rsidRPr="00735452">
              <w:rPr>
                <w:rFonts w:ascii="Times New Roman" w:eastAsia="Times New Roman" w:hAnsi="Times New Roman" w:cs="Times New Roman"/>
                <w:sz w:val="20"/>
                <w:szCs w:val="20"/>
                <w:lang w:val="sq-AL"/>
              </w:rPr>
              <w:br/>
              <w:t>b) konfirmon saktësinë e vlerësimit të aktiveve në grupin e mbulimit;</w:t>
            </w:r>
            <w:r w:rsidRPr="00735452">
              <w:rPr>
                <w:rFonts w:ascii="Times New Roman" w:eastAsia="Times New Roman" w:hAnsi="Times New Roman" w:cs="Times New Roman"/>
                <w:sz w:val="20"/>
                <w:szCs w:val="20"/>
                <w:lang w:val="sq-AL"/>
              </w:rPr>
              <w:br/>
              <w:t xml:space="preserve">c) kryen </w:t>
            </w:r>
            <w:proofErr w:type="spellStart"/>
            <w:r w:rsidRPr="00735452">
              <w:rPr>
                <w:rFonts w:ascii="Times New Roman" w:eastAsia="Times New Roman" w:hAnsi="Times New Roman" w:cs="Times New Roman"/>
                <w:sz w:val="20"/>
                <w:szCs w:val="20"/>
                <w:lang w:val="sq-AL"/>
              </w:rPr>
              <w:t>auditime</w:t>
            </w:r>
            <w:proofErr w:type="spellEnd"/>
            <w:r w:rsidRPr="00735452">
              <w:rPr>
                <w:rFonts w:ascii="Times New Roman" w:eastAsia="Times New Roman" w:hAnsi="Times New Roman" w:cs="Times New Roman"/>
                <w:sz w:val="20"/>
                <w:szCs w:val="20"/>
                <w:lang w:val="sq-AL"/>
              </w:rPr>
              <w:t xml:space="preserve"> të rastësishme të aktiveve në grupin e mbulimit;</w:t>
            </w:r>
            <w:r w:rsidRPr="00735452">
              <w:rPr>
                <w:rFonts w:ascii="Times New Roman" w:eastAsia="Times New Roman" w:hAnsi="Times New Roman" w:cs="Times New Roman"/>
                <w:sz w:val="20"/>
                <w:szCs w:val="20"/>
                <w:lang w:val="sq-AL"/>
              </w:rPr>
              <w:br/>
              <w:t xml:space="preserve">ç) monitoron  regjistrin e grupit të mbulimit deri në shlyerjen e plotë të obligacioneve të mbuluara, me qëllim që të sigurojë që emetuesi ruan vlerën e grupit të mbulimit në përputhje me këtë ligj, aktet nënligjore dhe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d) siguron saktësinë e regjistrimit të aktiveve në regjistrin e </w:t>
            </w:r>
            <w:r w:rsidRPr="00735452">
              <w:rPr>
                <w:rFonts w:ascii="Times New Roman" w:eastAsia="Times New Roman" w:hAnsi="Times New Roman" w:cs="Times New Roman"/>
                <w:sz w:val="20"/>
                <w:szCs w:val="20"/>
                <w:lang w:val="sq-AL"/>
              </w:rPr>
              <w:lastRenderedPageBreak/>
              <w:t xml:space="preserve">grupit të mbulimit, duke verifikuar që aktivet e propozuara për regjistrim përmbushin kushtet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sipas këtij ligji dhe akteve nënligjore përkatës.</w:t>
            </w:r>
            <w:r w:rsidRPr="00735452">
              <w:rPr>
                <w:rFonts w:ascii="Times New Roman" w:eastAsia="Times New Roman" w:hAnsi="Times New Roman" w:cs="Times New Roman"/>
                <w:sz w:val="20"/>
                <w:szCs w:val="20"/>
                <w:lang w:val="sq-AL"/>
              </w:rPr>
              <w:br/>
              <w:t>9. Institucioni i kreditit emetues nuk mund të disponojë aktivet e përfshira në grupin e mbulimit pa miratimin paraprak të monitoruesit të grupit të mbulimit.</w:t>
            </w:r>
            <w:r w:rsidRPr="00735452">
              <w:rPr>
                <w:rFonts w:ascii="Times New Roman" w:eastAsia="Times New Roman" w:hAnsi="Times New Roman" w:cs="Times New Roman"/>
                <w:sz w:val="20"/>
                <w:szCs w:val="20"/>
                <w:lang w:val="sq-AL"/>
              </w:rPr>
              <w:br/>
              <w:t xml:space="preserve">Monitoruesi i grupit të mbulimit miraton çdo fshirje, zëvendësim ose shtim të aktiveve në regjistrin e grupit të mbulimit vetëm nëse, pas ndryshimeve të propozuara, grupi i mbulimit vijon të përmbushë kërkesat e përcaktuara në këtë ligj, në aktet nënligjore përkatëse dhe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w:t>
            </w:r>
            <w:r w:rsidRPr="00735452">
              <w:rPr>
                <w:rFonts w:ascii="Times New Roman" w:eastAsia="Times New Roman" w:hAnsi="Times New Roman" w:cs="Times New Roman"/>
                <w:sz w:val="20"/>
                <w:szCs w:val="20"/>
                <w:lang w:val="sq-AL"/>
              </w:rPr>
              <w:br/>
              <w:t xml:space="preserve">10. Institucioni i kreditit emetues siguron që monitoruesi i grupit të mbulimit të ketë në çdo kohë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në regjistrin e grupit të mbulimit, si dhe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të menjëhershëm në të gjithë dokumentacionin që lidhet me obligacionet e mbuluara ose me aktivet e mbulimit, përfshirë dosjet e kredive, kontratat, dokumentacionin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vlerësimet e aktiveve dhe çdo dokument tjetër të ngjashëm që lidhet me kreditë e përfshira në grupin e mbulimit.</w:t>
            </w:r>
            <w:r w:rsidRPr="00735452">
              <w:rPr>
                <w:rFonts w:ascii="Times New Roman" w:eastAsia="Times New Roman" w:hAnsi="Times New Roman" w:cs="Times New Roman"/>
                <w:sz w:val="20"/>
                <w:szCs w:val="20"/>
                <w:lang w:val="sq-AL"/>
              </w:rPr>
              <w:br/>
              <w:t>Institucioni i kreditit emetues i vë në dispozicion monitoruesit të grupit të mbulimit të dhëna mbi kostot e mundshme të likuidimit të detyruar si dhe çdo informacion tjetër të nevojshëm për ushtrimin e detyrave të tij si monitorues i grupit të mbulimit.</w:t>
            </w:r>
            <w:r w:rsidRPr="00735452">
              <w:rPr>
                <w:rFonts w:ascii="Times New Roman" w:eastAsia="Times New Roman" w:hAnsi="Times New Roman" w:cs="Times New Roman"/>
                <w:sz w:val="20"/>
                <w:szCs w:val="20"/>
                <w:lang w:val="sq-AL"/>
              </w:rPr>
              <w:br/>
              <w:t>1</w:t>
            </w:r>
            <w:r w:rsidR="005017EA">
              <w:rPr>
                <w:rFonts w:ascii="Times New Roman" w:eastAsia="Times New Roman" w:hAnsi="Times New Roman" w:cs="Times New Roman"/>
                <w:sz w:val="20"/>
                <w:szCs w:val="20"/>
                <w:lang w:val="sq-AL"/>
              </w:rPr>
              <w:t>1</w:t>
            </w:r>
            <w:r w:rsidRPr="00735452">
              <w:rPr>
                <w:rFonts w:ascii="Times New Roman" w:eastAsia="Times New Roman" w:hAnsi="Times New Roman" w:cs="Times New Roman"/>
                <w:sz w:val="20"/>
                <w:szCs w:val="20"/>
                <w:lang w:val="sq-AL"/>
              </w:rPr>
              <w:t>. Monitoruesi i grupit të mbulimit duhet të marrë në konsideratë përfundimet e analizës mbi provat e rezistencës (</w:t>
            </w:r>
            <w:proofErr w:type="spellStart"/>
            <w:r w:rsidRPr="00735452">
              <w:rPr>
                <w:rFonts w:ascii="Times New Roman" w:eastAsia="Times New Roman" w:hAnsi="Times New Roman" w:cs="Times New Roman"/>
                <w:sz w:val="20"/>
                <w:szCs w:val="20"/>
                <w:lang w:val="sq-AL"/>
              </w:rPr>
              <w:t>stress</w:t>
            </w:r>
            <w:proofErr w:type="spellEnd"/>
            <w:r w:rsidRPr="00735452">
              <w:rPr>
                <w:rFonts w:ascii="Times New Roman" w:eastAsia="Times New Roman" w:hAnsi="Times New Roman" w:cs="Times New Roman"/>
                <w:sz w:val="20"/>
                <w:szCs w:val="20"/>
                <w:lang w:val="sq-AL"/>
              </w:rPr>
              <w:t xml:space="preserve">-testet) sipas nenit 25, pika 3, të këtij ligji gjatë vlerësimit të faktit nëse emetuesi dhe grupi i mbulimit vazhdojnë të përmbushin kushtet e këtij ligji, akteve nënligjore dhe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 dhe për këtë njofton Autoritetin dhe Bankën e Shqipërisë.</w:t>
            </w:r>
            <w:r w:rsidRPr="00735452">
              <w:rPr>
                <w:rFonts w:ascii="Times New Roman" w:eastAsia="Times New Roman" w:hAnsi="Times New Roman" w:cs="Times New Roman"/>
                <w:sz w:val="20"/>
                <w:szCs w:val="20"/>
                <w:lang w:val="sq-AL"/>
              </w:rPr>
              <w:br/>
              <w:t>Institucioni i kreditit emetues i vë në dispozicion monitoruesit të grupit të mbulimit të dhëna mbi kostot e mundshme të likuidimit të detyruar, si dhe çdo informacion tjetër të nevojshëm për ushtrimin e detyrave të tij si monitorues i grupit të mbulimit.</w:t>
            </w:r>
            <w:r w:rsidRPr="00735452">
              <w:rPr>
                <w:rFonts w:ascii="Times New Roman" w:eastAsia="Times New Roman" w:hAnsi="Times New Roman" w:cs="Times New Roman"/>
                <w:sz w:val="20"/>
                <w:szCs w:val="20"/>
                <w:lang w:val="sq-AL"/>
              </w:rPr>
              <w:br/>
              <w:t>1</w:t>
            </w:r>
            <w:r w:rsidR="00A848B2">
              <w:rPr>
                <w:rFonts w:ascii="Times New Roman" w:eastAsia="Times New Roman" w:hAnsi="Times New Roman" w:cs="Times New Roman"/>
                <w:sz w:val="20"/>
                <w:szCs w:val="20"/>
                <w:lang w:val="sq-AL"/>
              </w:rPr>
              <w:t>2</w:t>
            </w:r>
            <w:r w:rsidRPr="00735452">
              <w:rPr>
                <w:rFonts w:ascii="Times New Roman" w:eastAsia="Times New Roman" w:hAnsi="Times New Roman" w:cs="Times New Roman"/>
                <w:sz w:val="20"/>
                <w:szCs w:val="20"/>
                <w:lang w:val="sq-AL"/>
              </w:rPr>
              <w:t xml:space="preserve">. Monitoruesi i grupit të mbulimit i paraqet Autoritetit dhe Bankës së Shqipërisë çdo gjashtë muaj një raport, në të cilin </w:t>
            </w:r>
            <w:r w:rsidRPr="00735452">
              <w:rPr>
                <w:rFonts w:ascii="Times New Roman" w:eastAsia="Times New Roman" w:hAnsi="Times New Roman" w:cs="Times New Roman"/>
                <w:sz w:val="20"/>
                <w:szCs w:val="20"/>
                <w:lang w:val="sq-AL"/>
              </w:rPr>
              <w:lastRenderedPageBreak/>
              <w:t xml:space="preserve">konfirmon përputhshmërinë e grupit të mbulimit me kërkesat ligjore dhe </w:t>
            </w:r>
            <w:proofErr w:type="spellStart"/>
            <w:r w:rsidRPr="00735452">
              <w:rPr>
                <w:rFonts w:ascii="Times New Roman" w:eastAsia="Times New Roman" w:hAnsi="Times New Roman" w:cs="Times New Roman"/>
                <w:sz w:val="20"/>
                <w:szCs w:val="20"/>
                <w:lang w:val="sq-AL"/>
              </w:rPr>
              <w:t>rregullatore</w:t>
            </w:r>
            <w:proofErr w:type="spellEnd"/>
            <w:r w:rsidRPr="00735452">
              <w:rPr>
                <w:rFonts w:ascii="Times New Roman" w:eastAsia="Times New Roman" w:hAnsi="Times New Roman" w:cs="Times New Roman"/>
                <w:sz w:val="20"/>
                <w:szCs w:val="20"/>
                <w:lang w:val="sq-AL"/>
              </w:rPr>
              <w:t>. Nëse ekstrakti i regjistrit ndryshon nga ai i fundit i dorëzuar, ai i bashkëlidhet raportit.</w:t>
            </w:r>
            <w:r w:rsidRPr="00735452">
              <w:rPr>
                <w:rFonts w:ascii="Times New Roman" w:eastAsia="Times New Roman" w:hAnsi="Times New Roman" w:cs="Times New Roman"/>
                <w:sz w:val="20"/>
                <w:szCs w:val="20"/>
                <w:lang w:val="sq-AL"/>
              </w:rPr>
              <w:br/>
              <w:t>1</w:t>
            </w:r>
            <w:r w:rsidR="00075CEC">
              <w:rPr>
                <w:rFonts w:ascii="Times New Roman" w:eastAsia="Times New Roman" w:hAnsi="Times New Roman" w:cs="Times New Roman"/>
                <w:sz w:val="20"/>
                <w:szCs w:val="20"/>
                <w:lang w:val="sq-AL"/>
              </w:rPr>
              <w:t>3</w:t>
            </w:r>
            <w:r w:rsidRPr="00735452">
              <w:rPr>
                <w:rFonts w:ascii="Times New Roman" w:eastAsia="Times New Roman" w:hAnsi="Times New Roman" w:cs="Times New Roman"/>
                <w:sz w:val="20"/>
                <w:szCs w:val="20"/>
                <w:lang w:val="sq-AL"/>
              </w:rPr>
              <w:t>. Monitoruesi i grupit të mbulimit informon Autoritetin dhe Bankën e Shqipërisë për çdo konstatim të rëndësishëm lidhur me programin e obligacioneve të mbuluara, përfshirë rastet kur aktivet janë fshirë, zëvendësuar ose shtuar në grupin e mbulimit.</w:t>
            </w:r>
            <w:r w:rsidRPr="00735452">
              <w:rPr>
                <w:rFonts w:ascii="Times New Roman" w:eastAsia="Times New Roman" w:hAnsi="Times New Roman" w:cs="Times New Roman"/>
                <w:sz w:val="20"/>
                <w:szCs w:val="20"/>
                <w:lang w:val="sq-AL"/>
              </w:rPr>
              <w:br/>
              <w:t>1</w:t>
            </w:r>
            <w:r w:rsidR="005B05C9">
              <w:rPr>
                <w:rFonts w:ascii="Times New Roman" w:eastAsia="Times New Roman" w:hAnsi="Times New Roman" w:cs="Times New Roman"/>
                <w:sz w:val="20"/>
                <w:szCs w:val="20"/>
                <w:lang w:val="sq-AL"/>
              </w:rPr>
              <w:t>4</w:t>
            </w:r>
            <w:r w:rsidRPr="00735452">
              <w:rPr>
                <w:rFonts w:ascii="Times New Roman" w:eastAsia="Times New Roman" w:hAnsi="Times New Roman" w:cs="Times New Roman"/>
                <w:sz w:val="20"/>
                <w:szCs w:val="20"/>
                <w:lang w:val="sq-AL"/>
              </w:rPr>
              <w:t>. Monitoruesit i grupit të mbulimit duhet t'u përgjigjet kërkesave për informacion të Bankës së Shqipërisë apo Autoritetit brenda afateve të përcaktuara prej tyre.</w:t>
            </w:r>
            <w:r w:rsidRPr="00735452">
              <w:rPr>
                <w:rFonts w:ascii="Times New Roman" w:eastAsia="Times New Roman" w:hAnsi="Times New Roman" w:cs="Times New Roman"/>
                <w:sz w:val="20"/>
                <w:szCs w:val="20"/>
                <w:lang w:val="sq-AL"/>
              </w:rPr>
              <w:br/>
              <w:t>1</w:t>
            </w:r>
            <w:r w:rsidR="00D25556">
              <w:rPr>
                <w:rFonts w:ascii="Times New Roman" w:eastAsia="Times New Roman" w:hAnsi="Times New Roman" w:cs="Times New Roman"/>
                <w:sz w:val="20"/>
                <w:szCs w:val="20"/>
                <w:lang w:val="sq-AL"/>
              </w:rPr>
              <w:t>5</w:t>
            </w:r>
            <w:r w:rsidRPr="00735452">
              <w:rPr>
                <w:rFonts w:ascii="Times New Roman" w:eastAsia="Times New Roman" w:hAnsi="Times New Roman" w:cs="Times New Roman"/>
                <w:sz w:val="20"/>
                <w:szCs w:val="20"/>
                <w:lang w:val="sq-AL"/>
              </w:rPr>
              <w:t>) Organi drejtues/Këshilli Mbikëqyrës i institucionit të kreditit emetues mund ta shkarkojë monitoruesin e grupit të mbulimit nëse:</w:t>
            </w:r>
            <w:r w:rsidRPr="00735452">
              <w:rPr>
                <w:rFonts w:ascii="Times New Roman" w:eastAsia="Times New Roman" w:hAnsi="Times New Roman" w:cs="Times New Roman"/>
                <w:sz w:val="20"/>
                <w:szCs w:val="20"/>
                <w:lang w:val="sq-AL"/>
              </w:rPr>
              <w:br/>
              <w:t>a) monitoruesi nuk përmbush kushtet e këtij neni;</w:t>
            </w:r>
            <w:r w:rsidRPr="00735452">
              <w:rPr>
                <w:rFonts w:ascii="Times New Roman" w:eastAsia="Times New Roman" w:hAnsi="Times New Roman" w:cs="Times New Roman"/>
                <w:sz w:val="20"/>
                <w:szCs w:val="20"/>
                <w:lang w:val="sq-AL"/>
              </w:rPr>
              <w:br/>
              <w:t>b) monitoruesi nuk përmbush detyrat e tij sipas këtij ligji;</w:t>
            </w:r>
            <w:r w:rsidRPr="00735452">
              <w:rPr>
                <w:rFonts w:ascii="Times New Roman" w:eastAsia="Times New Roman" w:hAnsi="Times New Roman" w:cs="Times New Roman"/>
                <w:sz w:val="20"/>
                <w:szCs w:val="20"/>
                <w:lang w:val="sq-AL"/>
              </w:rPr>
              <w:br/>
              <w:t>c) shkarkimi urdhërohet nga Autoriteti ose Banka e Shqipërisë;</w:t>
            </w:r>
            <w:r w:rsidRPr="00735452">
              <w:rPr>
                <w:rFonts w:ascii="Times New Roman" w:eastAsia="Times New Roman" w:hAnsi="Times New Roman" w:cs="Times New Roman"/>
                <w:sz w:val="20"/>
                <w:szCs w:val="20"/>
                <w:lang w:val="sq-AL"/>
              </w:rPr>
              <w:br/>
              <w:t xml:space="preserve">ç) </w:t>
            </w:r>
            <w:r w:rsidR="00C570B5">
              <w:rPr>
                <w:rFonts w:ascii="Times New Roman" w:eastAsia="Times New Roman" w:hAnsi="Times New Roman" w:cs="Times New Roman"/>
                <w:sz w:val="20"/>
                <w:szCs w:val="20"/>
                <w:lang w:val="sq-AL"/>
              </w:rPr>
              <w:t>monitoruesi</w:t>
            </w:r>
            <w:r w:rsidRPr="00735452">
              <w:rPr>
                <w:rFonts w:ascii="Times New Roman" w:eastAsia="Times New Roman" w:hAnsi="Times New Roman" w:cs="Times New Roman"/>
                <w:sz w:val="20"/>
                <w:szCs w:val="20"/>
                <w:lang w:val="sq-AL"/>
              </w:rPr>
              <w:t xml:space="preserve"> jep dorëheqjen, por qëndron në detyrë deri në emërimin e </w:t>
            </w:r>
            <w:r w:rsidR="00C570B5">
              <w:rPr>
                <w:rFonts w:ascii="Times New Roman" w:eastAsia="Times New Roman" w:hAnsi="Times New Roman" w:cs="Times New Roman"/>
                <w:sz w:val="20"/>
                <w:szCs w:val="20"/>
                <w:lang w:val="sq-AL"/>
              </w:rPr>
              <w:t>monitoruesi</w:t>
            </w:r>
            <w:r w:rsidRPr="00735452">
              <w:rPr>
                <w:rFonts w:ascii="Times New Roman" w:eastAsia="Times New Roman" w:hAnsi="Times New Roman" w:cs="Times New Roman"/>
                <w:sz w:val="20"/>
                <w:szCs w:val="20"/>
                <w:lang w:val="sq-AL"/>
              </w:rPr>
              <w:t xml:space="preserve"> të ri.</w:t>
            </w:r>
            <w:r w:rsidRPr="00735452">
              <w:rPr>
                <w:rFonts w:ascii="Times New Roman" w:eastAsia="Times New Roman" w:hAnsi="Times New Roman" w:cs="Times New Roman"/>
                <w:sz w:val="20"/>
                <w:szCs w:val="20"/>
                <w:lang w:val="sq-AL"/>
              </w:rPr>
              <w:br/>
              <w:t>1</w:t>
            </w:r>
            <w:r w:rsidR="0007409C">
              <w:rPr>
                <w:rFonts w:ascii="Times New Roman" w:eastAsia="Times New Roman" w:hAnsi="Times New Roman" w:cs="Times New Roman"/>
                <w:sz w:val="20"/>
                <w:szCs w:val="20"/>
                <w:lang w:val="sq-AL"/>
              </w:rPr>
              <w:t>6</w:t>
            </w:r>
            <w:r w:rsidRPr="00735452">
              <w:rPr>
                <w:rFonts w:ascii="Times New Roman" w:eastAsia="Times New Roman" w:hAnsi="Times New Roman" w:cs="Times New Roman"/>
                <w:sz w:val="20"/>
                <w:szCs w:val="20"/>
                <w:lang w:val="sq-AL"/>
              </w:rPr>
              <w:t xml:space="preserve">. Monitoruesi i grupit të mbulimit mban përgjegjësi ndaj emetuesit, investitorëve dhe palëve të tjera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vetëm në rast veprimi me dashje ose pakujdesie të rëndë.</w:t>
            </w:r>
          </w:p>
        </w:tc>
        <w:tc>
          <w:tcPr>
            <w:tcW w:w="1440" w:type="dxa"/>
          </w:tcPr>
          <w:p w14:paraId="76C94043" w14:textId="6BE8FB4E"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1B34A52" w14:textId="361A6A5F" w:rsidR="003E7E51" w:rsidRPr="00735452" w:rsidRDefault="003A361A">
            <w:pPr>
              <w:spacing w:after="0" w:line="240" w:lineRule="auto"/>
              <w:rPr>
                <w:rFonts w:ascii="Times New Roman" w:hAnsi="Times New Roman" w:cs="Times New Roman"/>
                <w:sz w:val="20"/>
                <w:szCs w:val="20"/>
                <w:lang w:val="sq-AL"/>
              </w:rPr>
            </w:pPr>
            <w:r>
              <w:rPr>
                <w:rFonts w:ascii="Times New Roman" w:hAnsi="Times New Roman" w:cs="Times New Roman"/>
                <w:sz w:val="20"/>
                <w:szCs w:val="20"/>
                <w:lang w:val="sq-AL"/>
              </w:rPr>
              <w:t xml:space="preserve">Neni 13, pika 3 e direktivës nuk është dispozitë detyruese dhe rrjedhimisht nuk është parashikuar në </w:t>
            </w:r>
            <w:r>
              <w:rPr>
                <w:rFonts w:ascii="Times New Roman" w:hAnsi="Times New Roman" w:cs="Times New Roman"/>
                <w:sz w:val="20"/>
                <w:szCs w:val="20"/>
                <w:lang w:val="sq-AL"/>
              </w:rPr>
              <w:lastRenderedPageBreak/>
              <w:t>këtë projektligj.</w:t>
            </w:r>
          </w:p>
        </w:tc>
      </w:tr>
      <w:tr w:rsidR="00972280" w:rsidRPr="00735452" w14:paraId="5BE64468" w14:textId="77777777" w:rsidTr="004D61BC">
        <w:trPr>
          <w:gridAfter w:val="1"/>
          <w:wAfter w:w="14" w:type="dxa"/>
        </w:trPr>
        <w:tc>
          <w:tcPr>
            <w:tcW w:w="800" w:type="dxa"/>
            <w:tcBorders>
              <w:left w:val="single" w:sz="12" w:space="0" w:color="auto"/>
            </w:tcBorders>
          </w:tcPr>
          <w:p w14:paraId="3384755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3</w:t>
            </w:r>
          </w:p>
        </w:tc>
        <w:tc>
          <w:tcPr>
            <w:tcW w:w="5220" w:type="dxa"/>
            <w:tcBorders>
              <w:right w:val="single" w:sz="12" w:space="0" w:color="auto"/>
            </w:tcBorders>
          </w:tcPr>
          <w:p w14:paraId="7B9657D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Kur shtetet anëtare ushtrojnë mundësinë e parashikuar në paragrafin 1, monitoruesi i portofolit të mbulimit duhet të jetë i veçuar dhe i pavarur nga institucioni i kreditit që emeton obligacionet e mbuluara dhe nga </w:t>
            </w:r>
            <w:proofErr w:type="spellStart"/>
            <w:r w:rsidRPr="00735452">
              <w:rPr>
                <w:rFonts w:ascii="Times New Roman" w:eastAsia="Times New Roman" w:hAnsi="Times New Roman" w:cs="Times New Roman"/>
                <w:sz w:val="20"/>
                <w:szCs w:val="20"/>
                <w:lang w:val="sq-AL"/>
              </w:rPr>
              <w:t>audituesi</w:t>
            </w:r>
            <w:proofErr w:type="spellEnd"/>
            <w:r w:rsidRPr="00735452">
              <w:rPr>
                <w:rFonts w:ascii="Times New Roman" w:eastAsia="Times New Roman" w:hAnsi="Times New Roman" w:cs="Times New Roman"/>
                <w:sz w:val="20"/>
                <w:szCs w:val="20"/>
                <w:lang w:val="sq-AL"/>
              </w:rPr>
              <w:t xml:space="preserve"> i atij institucioni krediti.</w:t>
            </w:r>
          </w:p>
          <w:p w14:paraId="51B550D0"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Megjithatë, shtetet anëtare mund të lejojnë një monitorues të portofolit të mbulimit që nuk është i ndarë nga institucioni i kreditit (“monitorues i brendshëm i portofolit të mbulimit”), kur:</w:t>
            </w:r>
          </w:p>
          <w:p w14:paraId="33EA16E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monitoruesi i brendshëm i portofolit të mbulimit është i pavarur nga procesi i vendimmarrjes për kredinë i institucionit të kreditit që emeton obligacionet e mbuluara;</w:t>
            </w:r>
          </w:p>
          <w:p w14:paraId="367D5F81"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pa cenuar shkronjën (a) të paragrafit 2, shtetet anëtare sigurojnë që monitoruesi i brendshëm i portofolit të mbulimit nuk mund të hiqet nga ky funksion pa miratimin paraprak të </w:t>
            </w:r>
            <w:r w:rsidRPr="00735452">
              <w:rPr>
                <w:rFonts w:ascii="Times New Roman" w:eastAsia="Times New Roman" w:hAnsi="Times New Roman" w:cs="Times New Roman"/>
                <w:sz w:val="20"/>
                <w:szCs w:val="20"/>
                <w:lang w:val="sq-AL"/>
              </w:rPr>
              <w:lastRenderedPageBreak/>
              <w:t>organit drejtues në funksionin e tij mbikëqyrës të institucionit të kreditit që emeton obligacionet e mbuluara; dhe</w:t>
            </w:r>
          </w:p>
          <w:p w14:paraId="02C5AB90"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kur është e nevojshme, monitoruesi i brendshëm i portofolit të mbulimit ka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të drejtpërdrejtë te organi drejtues në funksionin e tij mbikëqyrës.</w:t>
            </w:r>
          </w:p>
        </w:tc>
        <w:tc>
          <w:tcPr>
            <w:tcW w:w="624" w:type="dxa"/>
            <w:tcBorders>
              <w:left w:val="single" w:sz="12" w:space="0" w:color="auto"/>
            </w:tcBorders>
          </w:tcPr>
          <w:p w14:paraId="745362AA" w14:textId="096372F3"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3DFD0C2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13, pikat 3 dhe 11</w:t>
            </w:r>
          </w:p>
        </w:tc>
        <w:tc>
          <w:tcPr>
            <w:tcW w:w="5130" w:type="dxa"/>
          </w:tcPr>
          <w:p w14:paraId="2FC8BA7E"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3. Monitorues i grupit të mbulimit emërohet personi i regjistruar në Regjistrin e </w:t>
            </w:r>
            <w:proofErr w:type="spellStart"/>
            <w:r w:rsidRPr="00735452">
              <w:rPr>
                <w:rFonts w:ascii="Times New Roman" w:eastAsia="Times New Roman" w:hAnsi="Times New Roman" w:cs="Times New Roman"/>
                <w:sz w:val="20"/>
                <w:szCs w:val="20"/>
                <w:lang w:val="sq-AL"/>
              </w:rPr>
              <w:t>Audituesve</w:t>
            </w:r>
            <w:proofErr w:type="spellEnd"/>
            <w:r w:rsidRPr="00735452">
              <w:rPr>
                <w:rFonts w:ascii="Times New Roman" w:eastAsia="Times New Roman" w:hAnsi="Times New Roman" w:cs="Times New Roman"/>
                <w:sz w:val="20"/>
                <w:szCs w:val="20"/>
                <w:lang w:val="sq-AL"/>
              </w:rPr>
              <w:t xml:space="preserve"> Ligjorë në Republikën e Shqipërisë, i pavarur nga institucioni i kreditit emetues të obligacioneve të mbuluara dhe </w:t>
            </w:r>
            <w:proofErr w:type="spellStart"/>
            <w:r w:rsidRPr="00735452">
              <w:rPr>
                <w:rFonts w:ascii="Times New Roman" w:eastAsia="Times New Roman" w:hAnsi="Times New Roman" w:cs="Times New Roman"/>
                <w:sz w:val="20"/>
                <w:szCs w:val="20"/>
                <w:lang w:val="sq-AL"/>
              </w:rPr>
              <w:t>audituesi</w:t>
            </w:r>
            <w:proofErr w:type="spellEnd"/>
            <w:r w:rsidRPr="00735452">
              <w:rPr>
                <w:rFonts w:ascii="Times New Roman" w:eastAsia="Times New Roman" w:hAnsi="Times New Roman" w:cs="Times New Roman"/>
                <w:sz w:val="20"/>
                <w:szCs w:val="20"/>
                <w:lang w:val="sq-AL"/>
              </w:rPr>
              <w:t xml:space="preserve"> i tij, me përvojë të përshtatshme profesionale në sektorin financiar, në veçanti në </w:t>
            </w:r>
            <w:proofErr w:type="spellStart"/>
            <w:r w:rsidRPr="00735452">
              <w:rPr>
                <w:rFonts w:ascii="Times New Roman" w:eastAsia="Times New Roman" w:hAnsi="Times New Roman" w:cs="Times New Roman"/>
                <w:sz w:val="20"/>
                <w:szCs w:val="20"/>
                <w:lang w:val="sq-AL"/>
              </w:rPr>
              <w:t>auditimin</w:t>
            </w:r>
            <w:proofErr w:type="spellEnd"/>
            <w:r w:rsidRPr="00735452">
              <w:rPr>
                <w:rFonts w:ascii="Times New Roman" w:eastAsia="Times New Roman" w:hAnsi="Times New Roman" w:cs="Times New Roman"/>
                <w:sz w:val="20"/>
                <w:szCs w:val="20"/>
                <w:lang w:val="sq-AL"/>
              </w:rPr>
              <w:t xml:space="preserve"> e institucioneve të kreditit, institucioneve financiare, infrastrukturave të tregut të kapitalit, shoqërive administruese të fondeve të investimit, shoqërive administruese të fondeve të pensionit apo shoqërive të sigurimit.</w:t>
            </w:r>
            <w:r w:rsidRPr="00735452">
              <w:rPr>
                <w:rFonts w:ascii="Times New Roman" w:eastAsia="Times New Roman" w:hAnsi="Times New Roman" w:cs="Times New Roman"/>
                <w:sz w:val="20"/>
                <w:szCs w:val="20"/>
                <w:lang w:val="sq-AL"/>
              </w:rPr>
              <w:br/>
              <w:t>11. Autoriteti mund të lejojë që monitoruesi i grupit  të mbulimit të mos jetë i ndarë nga institucioni i kreditit (“monitorues i brendshëm i grupit të mbulimit”),  nëse plotësohen kushtet e mëposhtme:</w:t>
            </w:r>
            <w:r w:rsidRPr="00735452">
              <w:rPr>
                <w:rFonts w:ascii="Times New Roman" w:eastAsia="Times New Roman" w:hAnsi="Times New Roman" w:cs="Times New Roman"/>
                <w:sz w:val="20"/>
                <w:szCs w:val="20"/>
                <w:lang w:val="sq-AL"/>
              </w:rPr>
              <w:br/>
              <w:t xml:space="preserve">a) monitoruesi i grupit  të mbulimit është i pavarur nga procesi i vendimmarrjes për kreditimin në institucionin e </w:t>
            </w:r>
            <w:r w:rsidRPr="00735452">
              <w:rPr>
                <w:rFonts w:ascii="Times New Roman" w:eastAsia="Times New Roman" w:hAnsi="Times New Roman" w:cs="Times New Roman"/>
                <w:sz w:val="20"/>
                <w:szCs w:val="20"/>
                <w:lang w:val="sq-AL"/>
              </w:rPr>
              <w:lastRenderedPageBreak/>
              <w:t>kreditit që emeton obligacionet e mbuluara;</w:t>
            </w:r>
            <w:r w:rsidRPr="00735452">
              <w:rPr>
                <w:rFonts w:ascii="Times New Roman" w:eastAsia="Times New Roman" w:hAnsi="Times New Roman" w:cs="Times New Roman"/>
                <w:sz w:val="20"/>
                <w:szCs w:val="20"/>
                <w:lang w:val="sq-AL"/>
              </w:rPr>
              <w:br/>
              <w:t xml:space="preserve">b) pa </w:t>
            </w:r>
            <w:proofErr w:type="spellStart"/>
            <w:r w:rsidRPr="00735452">
              <w:rPr>
                <w:rFonts w:ascii="Times New Roman" w:eastAsia="Times New Roman" w:hAnsi="Times New Roman" w:cs="Times New Roman"/>
                <w:sz w:val="20"/>
                <w:szCs w:val="20"/>
                <w:lang w:val="sq-AL"/>
              </w:rPr>
              <w:t>cënuar</w:t>
            </w:r>
            <w:proofErr w:type="spellEnd"/>
            <w:r w:rsidRPr="00735452">
              <w:rPr>
                <w:rFonts w:ascii="Times New Roman" w:eastAsia="Times New Roman" w:hAnsi="Times New Roman" w:cs="Times New Roman"/>
                <w:sz w:val="20"/>
                <w:szCs w:val="20"/>
                <w:lang w:val="sq-AL"/>
              </w:rPr>
              <w:t xml:space="preserve"> parashikimin në shkronjën “a” të pikës 2 të këtij neni, institucioni i kreditit që emeton obligacionet e mbuluara, duhet të sigurojë që monitoruesit i grupit të mbulimit nuk mund të shkarkohet nga kjo detyrë pa miratimin paraprak të organit drejtues të tij;</w:t>
            </w:r>
            <w:r w:rsidRPr="00735452">
              <w:rPr>
                <w:rFonts w:ascii="Times New Roman" w:eastAsia="Times New Roman" w:hAnsi="Times New Roman" w:cs="Times New Roman"/>
                <w:sz w:val="20"/>
                <w:szCs w:val="20"/>
                <w:lang w:val="sq-AL"/>
              </w:rPr>
              <w:br/>
              <w:t xml:space="preserve">c) kur është e nevojshme, monitoruesit i grupit  të mbulimit të ketë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të drejtpërdrejtë tek organi drejtues në funksionin e tij mbikëqyrës.</w:t>
            </w:r>
          </w:p>
        </w:tc>
        <w:tc>
          <w:tcPr>
            <w:tcW w:w="1440" w:type="dxa"/>
          </w:tcPr>
          <w:p w14:paraId="42A74AB1" w14:textId="1950D2AE"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6E936C1"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595397FE" w14:textId="77777777" w:rsidTr="004D61BC">
        <w:trPr>
          <w:gridAfter w:val="1"/>
          <w:wAfter w:w="14" w:type="dxa"/>
        </w:trPr>
        <w:tc>
          <w:tcPr>
            <w:tcW w:w="800" w:type="dxa"/>
            <w:tcBorders>
              <w:left w:val="single" w:sz="12" w:space="0" w:color="auto"/>
            </w:tcBorders>
          </w:tcPr>
          <w:p w14:paraId="2BDB2FC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12C4077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shtetet anëtare ushtrojnë mundësinë e parashikuar në paragrafin 1, ato njoftojnë EBA-n.</w:t>
            </w:r>
          </w:p>
        </w:tc>
        <w:tc>
          <w:tcPr>
            <w:tcW w:w="624" w:type="dxa"/>
            <w:tcBorders>
              <w:left w:val="single" w:sz="12" w:space="0" w:color="auto"/>
            </w:tcBorders>
          </w:tcPr>
          <w:p w14:paraId="055FEA01" w14:textId="26D247A8"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BA0E68E"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13, pika 18</w:t>
            </w:r>
          </w:p>
        </w:tc>
        <w:tc>
          <w:tcPr>
            <w:tcW w:w="5130" w:type="dxa"/>
          </w:tcPr>
          <w:p w14:paraId="76B9A64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18. Autoriteti njofton Autoritetin Evropian Bankar (EBA) për detyrimin e emërimit të monitoruesit të grupit të mbulimit sipas pikës 1, të këtij neni.</w:t>
            </w:r>
          </w:p>
        </w:tc>
        <w:tc>
          <w:tcPr>
            <w:tcW w:w="1440" w:type="dxa"/>
          </w:tcPr>
          <w:p w14:paraId="4B2D0A0C" w14:textId="7311A241"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9E74BCC"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4032AFCA" w14:textId="77777777" w:rsidTr="004D61BC">
        <w:trPr>
          <w:gridAfter w:val="1"/>
          <w:wAfter w:w="14" w:type="dxa"/>
        </w:trPr>
        <w:tc>
          <w:tcPr>
            <w:tcW w:w="800" w:type="dxa"/>
            <w:tcBorders>
              <w:left w:val="single" w:sz="12" w:space="0" w:color="auto"/>
            </w:tcBorders>
          </w:tcPr>
          <w:p w14:paraId="76FABEA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14</w:t>
            </w:r>
          </w:p>
          <w:p w14:paraId="0C718655"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7A3B270B"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institucionet e kreditit që emetojnë obligacione të mbuluara të japin informacion për programet e tyre të obligacioneve të mbuluara mjaftueshëm të detajuar për t’u mundësuar investitorëve të vlerësojnë profilin dhe rreziqet e atij programi dhe të kryejnë kujdesin e duhur.</w:t>
            </w:r>
          </w:p>
        </w:tc>
        <w:tc>
          <w:tcPr>
            <w:tcW w:w="624" w:type="dxa"/>
            <w:tcBorders>
              <w:left w:val="single" w:sz="12" w:space="0" w:color="auto"/>
            </w:tcBorders>
          </w:tcPr>
          <w:p w14:paraId="4A55CBBA" w14:textId="52036971"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8758CC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14, pika 1</w:t>
            </w:r>
          </w:p>
        </w:tc>
        <w:tc>
          <w:tcPr>
            <w:tcW w:w="5130" w:type="dxa"/>
          </w:tcPr>
          <w:p w14:paraId="30A702A4"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Emetuesi siguron që investitorëve t'u vihet në dispozicion informacion i detajuar mjaftueshëm mbi programin e obligacioneve të mbuluara, i cili u mundëson atyre të vlerësojnë profilin dhe rreziqet e programit, si dhe kryerjen e një analize të thelluar .</w:t>
            </w:r>
          </w:p>
        </w:tc>
        <w:tc>
          <w:tcPr>
            <w:tcW w:w="1440" w:type="dxa"/>
          </w:tcPr>
          <w:p w14:paraId="121D1E94" w14:textId="0B347E07"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22AD4CF"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7474AB95" w14:textId="77777777" w:rsidTr="004D61BC">
        <w:trPr>
          <w:gridAfter w:val="1"/>
          <w:wAfter w:w="14" w:type="dxa"/>
        </w:trPr>
        <w:tc>
          <w:tcPr>
            <w:tcW w:w="800" w:type="dxa"/>
            <w:tcBorders>
              <w:left w:val="single" w:sz="12" w:space="0" w:color="auto"/>
            </w:tcBorders>
          </w:tcPr>
          <w:p w14:paraId="738EA0C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41BA5B84"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Për qëllimet e paragrafit 1, shtetet anëtare sigurojnë që informacioni t’u jepet investitorëve të paktën në baza tremujore dhe të përfshijë informacionin minimal të mëposhtëm për portofolin:</w:t>
            </w:r>
          </w:p>
          <w:p w14:paraId="2555A86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vlerën e portofolit të mbulimit dhe të obligacioneve të mbuluara në qarkullim;</w:t>
            </w:r>
          </w:p>
          <w:p w14:paraId="622A3BE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një listë të Numrave Ndërkombëtarë të Identifikimit të Titujve (ISIN) për të gjitha emetimet e obligacioneve të mbuluara sipas atij programi, të cilave u është caktuar një ISIN;</w:t>
            </w:r>
          </w:p>
          <w:p w14:paraId="0948E78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shpërndarjen gjeografike dhe llojin e aktiveve mbuluese, madhësinë e huave dhe metodën e vlerësimit;</w:t>
            </w:r>
          </w:p>
          <w:p w14:paraId="4CE630DB"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të dhëna në lidhje me rrezikun e tregut, përfshirë rrezikun e normës së interesit dhe rrezikun valutor, si dhe rrezikun e kredisë dhe të likuiditetit;</w:t>
            </w:r>
          </w:p>
          <w:p w14:paraId="35ED181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(e) strukturën e maturitetit të aktiveve mbuluese dhe të obligacioneve të mbuluara, përfshirë një përmbledhje të shkaqeve që aktivizojnë zgjatjen e maturitetit, kur kjo është e zbatueshme;</w:t>
            </w:r>
          </w:p>
          <w:p w14:paraId="63C26F6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(f) nivelet e mbulimit të kërkuar dhe të </w:t>
            </w:r>
            <w:proofErr w:type="spellStart"/>
            <w:r w:rsidRPr="00735452">
              <w:rPr>
                <w:rFonts w:ascii="Times New Roman" w:eastAsia="Times New Roman" w:hAnsi="Times New Roman" w:cs="Times New Roman"/>
                <w:sz w:val="20"/>
                <w:szCs w:val="20"/>
                <w:lang w:val="sq-AL"/>
              </w:rPr>
              <w:t>disponueshëm</w:t>
            </w:r>
            <w:proofErr w:type="spellEnd"/>
            <w:r w:rsidRPr="00735452">
              <w:rPr>
                <w:rFonts w:ascii="Times New Roman" w:eastAsia="Times New Roman" w:hAnsi="Times New Roman" w:cs="Times New Roman"/>
                <w:sz w:val="20"/>
                <w:szCs w:val="20"/>
                <w:lang w:val="sq-AL"/>
              </w:rPr>
              <w:t xml:space="preserve">, si dhe nivelet e </w:t>
            </w:r>
            <w:proofErr w:type="spellStart"/>
            <w:r w:rsidRPr="00735452">
              <w:rPr>
                <w:rFonts w:ascii="Times New Roman" w:eastAsia="Times New Roman" w:hAnsi="Times New Roman" w:cs="Times New Roman"/>
                <w:sz w:val="20"/>
                <w:szCs w:val="20"/>
                <w:lang w:val="sq-AL"/>
              </w:rPr>
              <w:t>mbikolateralizimit</w:t>
            </w:r>
            <w:proofErr w:type="spellEnd"/>
            <w:r w:rsidRPr="00735452">
              <w:rPr>
                <w:rFonts w:ascii="Times New Roman" w:eastAsia="Times New Roman" w:hAnsi="Times New Roman" w:cs="Times New Roman"/>
                <w:sz w:val="20"/>
                <w:szCs w:val="20"/>
                <w:lang w:val="sq-AL"/>
              </w:rPr>
              <w:t xml:space="preserve"> ligjor, </w:t>
            </w:r>
            <w:proofErr w:type="spellStart"/>
            <w:r w:rsidRPr="00735452">
              <w:rPr>
                <w:rFonts w:ascii="Times New Roman" w:eastAsia="Times New Roman" w:hAnsi="Times New Roman" w:cs="Times New Roman"/>
                <w:sz w:val="20"/>
                <w:szCs w:val="20"/>
                <w:lang w:val="sq-AL"/>
              </w:rPr>
              <w:t>kontraktor</w:t>
            </w:r>
            <w:proofErr w:type="spellEnd"/>
            <w:r w:rsidRPr="00735452">
              <w:rPr>
                <w:rFonts w:ascii="Times New Roman" w:eastAsia="Times New Roman" w:hAnsi="Times New Roman" w:cs="Times New Roman"/>
                <w:sz w:val="20"/>
                <w:szCs w:val="20"/>
                <w:lang w:val="sq-AL"/>
              </w:rPr>
              <w:t xml:space="preserve"> dhe vullnetar;</w:t>
            </w:r>
          </w:p>
          <w:p w14:paraId="35392AC6"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(g) përqindjen e huave për të cilat konsiderohet se ka ndodhur mospagimi sipas nenit 178 të Rregullores (BE) nr. 575/2013 dhe, në çdo rast, kur </w:t>
            </w:r>
            <w:proofErr w:type="spellStart"/>
            <w:r w:rsidRPr="00735452">
              <w:rPr>
                <w:rFonts w:ascii="Times New Roman" w:eastAsia="Times New Roman" w:hAnsi="Times New Roman" w:cs="Times New Roman"/>
                <w:sz w:val="20"/>
                <w:szCs w:val="20"/>
                <w:lang w:val="sq-AL"/>
              </w:rPr>
              <w:t>huatë</w:t>
            </w:r>
            <w:proofErr w:type="spellEnd"/>
            <w:r w:rsidRPr="00735452">
              <w:rPr>
                <w:rFonts w:ascii="Times New Roman" w:eastAsia="Times New Roman" w:hAnsi="Times New Roman" w:cs="Times New Roman"/>
                <w:sz w:val="20"/>
                <w:szCs w:val="20"/>
                <w:lang w:val="sq-AL"/>
              </w:rPr>
              <w:t xml:space="preserve"> janë më shumë se 90 ditë në vonesë.</w:t>
            </w:r>
          </w:p>
          <w:p w14:paraId="6D2AABAB"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 xml:space="preserve">Shtetet anëtare sigurojnë që, për obligacionet e mbuluara të emetuara në mënyrë të jashtme sipas strukturave të bashkuara brenda grupit të përmendura në nenin 8, informacioni i përmendur në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parë të këtij paragrafi, ose një lidhje që çon te ai informacion, t’u vihet në dispozicion investitorëve për të gjitha obligacionet e mbuluara të emetuara në mënyrë të brendshme të grupit. Shtetet anëtare sigurojnë që ky informacion t’u vihet në dispozicion investitorëve të paktën në mënyrë të </w:t>
            </w:r>
            <w:proofErr w:type="spellStart"/>
            <w:r w:rsidRPr="00735452">
              <w:rPr>
                <w:rFonts w:ascii="Times New Roman" w:eastAsia="Times New Roman" w:hAnsi="Times New Roman" w:cs="Times New Roman"/>
                <w:sz w:val="20"/>
                <w:szCs w:val="20"/>
                <w:lang w:val="sq-AL"/>
              </w:rPr>
              <w:t>agreguar</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1908B2BD" w14:textId="413A73EE"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7DBDBA9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14, pikat 2-3</w:t>
            </w:r>
          </w:p>
        </w:tc>
        <w:tc>
          <w:tcPr>
            <w:tcW w:w="5130" w:type="dxa"/>
          </w:tcPr>
          <w:p w14:paraId="72AD6E47" w14:textId="6E407252"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Për qëllim të pikës 1, të këtij neni, institucioni i kreditit emetues siguron që informacioni t'u vihet në dispozicion investitorëve të paktën çdo tre muaj dhe të përfshijë, të paktën, të dhënat e mëposhtëm:</w:t>
            </w:r>
            <w:r w:rsidRPr="00735452">
              <w:rPr>
                <w:rFonts w:ascii="Times New Roman" w:eastAsia="Times New Roman" w:hAnsi="Times New Roman" w:cs="Times New Roman"/>
                <w:sz w:val="20"/>
                <w:szCs w:val="20"/>
                <w:lang w:val="sq-AL"/>
              </w:rPr>
              <w:br/>
              <w:t>a) vlerën e grupit të mbulimit dhe vlerën e obligacioneve të mbuluara në qarkullim;</w:t>
            </w:r>
            <w:r w:rsidRPr="00735452">
              <w:rPr>
                <w:rFonts w:ascii="Times New Roman" w:eastAsia="Times New Roman" w:hAnsi="Times New Roman" w:cs="Times New Roman"/>
                <w:sz w:val="20"/>
                <w:szCs w:val="20"/>
                <w:lang w:val="sq-AL"/>
              </w:rPr>
              <w:br/>
              <w:t>b) listën e numrave ndërkombëtarë të identifikimit të titujve (ISIN) për të gjitha emetimet e obligacioneve të mbuluara në kuadër të programit, për të cilat është caktuar një numër i tillë;</w:t>
            </w:r>
            <w:r w:rsidRPr="00735452">
              <w:rPr>
                <w:rFonts w:ascii="Times New Roman" w:eastAsia="Times New Roman" w:hAnsi="Times New Roman" w:cs="Times New Roman"/>
                <w:sz w:val="20"/>
                <w:szCs w:val="20"/>
                <w:lang w:val="sq-AL"/>
              </w:rPr>
              <w:br/>
              <w:t>c) shpërndarjen gjeografike dhe llojin e aktiveve në mbulim, madhësinë e kredive dhe metodën e vlerësimit;</w:t>
            </w:r>
            <w:r w:rsidRPr="00735452">
              <w:rPr>
                <w:rFonts w:ascii="Times New Roman" w:eastAsia="Times New Roman" w:hAnsi="Times New Roman" w:cs="Times New Roman"/>
                <w:sz w:val="20"/>
                <w:szCs w:val="20"/>
                <w:lang w:val="sq-AL"/>
              </w:rPr>
              <w:br/>
              <w:t>ç) të dhëna mbi rreziqet e tregut, përfshirë rrezikun e normës së interesit dhe rrezikun valutor, si dhe mbi rreziqet e kreditit dhe të likuiditetit;</w:t>
            </w:r>
            <w:r w:rsidRPr="00735452">
              <w:rPr>
                <w:rFonts w:ascii="Times New Roman" w:eastAsia="Times New Roman" w:hAnsi="Times New Roman" w:cs="Times New Roman"/>
                <w:sz w:val="20"/>
                <w:szCs w:val="20"/>
                <w:lang w:val="sq-AL"/>
              </w:rPr>
              <w:br/>
              <w:t xml:space="preserve">d) strukturën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aktiveve për mbulim dhe të obligacioneve të mbuluara, përfshirë një përmbledhje të kushteve që mundësojnë zgjatjen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kur është e zbatueshme;</w:t>
            </w:r>
            <w:r w:rsidRPr="00735452">
              <w:rPr>
                <w:rFonts w:ascii="Times New Roman" w:eastAsia="Times New Roman" w:hAnsi="Times New Roman" w:cs="Times New Roman"/>
                <w:sz w:val="20"/>
                <w:szCs w:val="20"/>
                <w:lang w:val="sq-AL"/>
              </w:rPr>
              <w:br/>
              <w:t xml:space="preserve">dh)nivelet e kërkuara dhe të </w:t>
            </w:r>
            <w:proofErr w:type="spellStart"/>
            <w:r w:rsidRPr="00735452">
              <w:rPr>
                <w:rFonts w:ascii="Times New Roman" w:eastAsia="Times New Roman" w:hAnsi="Times New Roman" w:cs="Times New Roman"/>
                <w:sz w:val="20"/>
                <w:szCs w:val="20"/>
                <w:lang w:val="sq-AL"/>
              </w:rPr>
              <w:t>disponueshme</w:t>
            </w:r>
            <w:proofErr w:type="spellEnd"/>
            <w:r w:rsidRPr="00735452">
              <w:rPr>
                <w:rFonts w:ascii="Times New Roman" w:eastAsia="Times New Roman" w:hAnsi="Times New Roman" w:cs="Times New Roman"/>
                <w:sz w:val="20"/>
                <w:szCs w:val="20"/>
                <w:lang w:val="sq-AL"/>
              </w:rPr>
              <w:t xml:space="preserve"> të mbulimit, si dhe nivelet e </w:t>
            </w:r>
            <w:proofErr w:type="spellStart"/>
            <w:r w:rsidRPr="00735452">
              <w:rPr>
                <w:rFonts w:ascii="Times New Roman" w:eastAsia="Times New Roman" w:hAnsi="Times New Roman" w:cs="Times New Roman"/>
                <w:sz w:val="20"/>
                <w:szCs w:val="20"/>
                <w:lang w:val="sq-AL"/>
              </w:rPr>
              <w:t>kolateralizimit</w:t>
            </w:r>
            <w:proofErr w:type="spellEnd"/>
            <w:r w:rsidRPr="00735452">
              <w:rPr>
                <w:rFonts w:ascii="Times New Roman" w:eastAsia="Times New Roman" w:hAnsi="Times New Roman" w:cs="Times New Roman"/>
                <w:sz w:val="20"/>
                <w:szCs w:val="20"/>
                <w:lang w:val="sq-AL"/>
              </w:rPr>
              <w:t xml:space="preserve"> ligjor, </w:t>
            </w:r>
            <w:proofErr w:type="spellStart"/>
            <w:r w:rsidRPr="00735452">
              <w:rPr>
                <w:rFonts w:ascii="Times New Roman" w:eastAsia="Times New Roman" w:hAnsi="Times New Roman" w:cs="Times New Roman"/>
                <w:sz w:val="20"/>
                <w:szCs w:val="20"/>
                <w:lang w:val="sq-AL"/>
              </w:rPr>
              <w:t>kontraktual</w:t>
            </w:r>
            <w:proofErr w:type="spellEnd"/>
            <w:r w:rsidRPr="00735452">
              <w:rPr>
                <w:rFonts w:ascii="Times New Roman" w:eastAsia="Times New Roman" w:hAnsi="Times New Roman" w:cs="Times New Roman"/>
                <w:sz w:val="20"/>
                <w:szCs w:val="20"/>
                <w:lang w:val="sq-AL"/>
              </w:rPr>
              <w:t xml:space="preserve"> dhe vullnetar që tejkalon kërkesën minimale;</w:t>
            </w:r>
            <w:r w:rsidRPr="00735452">
              <w:rPr>
                <w:rFonts w:ascii="Times New Roman" w:eastAsia="Times New Roman" w:hAnsi="Times New Roman" w:cs="Times New Roman"/>
                <w:sz w:val="20"/>
                <w:szCs w:val="20"/>
                <w:lang w:val="sq-AL"/>
              </w:rPr>
              <w:br/>
              <w:t xml:space="preserve">e) përqindjen e kredive për të cilat konsiderohet se ka </w:t>
            </w:r>
            <w:r w:rsidRPr="00735452">
              <w:rPr>
                <w:rFonts w:ascii="Times New Roman" w:eastAsia="Times New Roman" w:hAnsi="Times New Roman" w:cs="Times New Roman"/>
                <w:sz w:val="20"/>
                <w:szCs w:val="20"/>
                <w:lang w:val="sq-AL"/>
              </w:rPr>
              <w:lastRenderedPageBreak/>
              <w:t xml:space="preserve">ndodhur </w:t>
            </w:r>
            <w:proofErr w:type="spellStart"/>
            <w:r w:rsidRPr="00735452">
              <w:rPr>
                <w:rFonts w:ascii="Times New Roman" w:eastAsia="Times New Roman" w:hAnsi="Times New Roman" w:cs="Times New Roman"/>
                <w:sz w:val="20"/>
                <w:szCs w:val="20"/>
                <w:lang w:val="sq-AL"/>
              </w:rPr>
              <w:t>mospërmbushja</w:t>
            </w:r>
            <w:proofErr w:type="spellEnd"/>
            <w:r w:rsidRPr="00735452">
              <w:rPr>
                <w:rFonts w:ascii="Times New Roman" w:eastAsia="Times New Roman" w:hAnsi="Times New Roman" w:cs="Times New Roman"/>
                <w:sz w:val="20"/>
                <w:szCs w:val="20"/>
                <w:lang w:val="sq-AL"/>
              </w:rPr>
              <w:t xml:space="preserve"> e detyrimeve në përputhje me kuadrin rregullator për administrimin e rrezikut të kredisë </w:t>
            </w:r>
            <w:r w:rsidR="00164C00">
              <w:rPr>
                <w:rFonts w:ascii="Times New Roman" w:eastAsia="Times New Roman" w:hAnsi="Times New Roman" w:cs="Times New Roman"/>
                <w:sz w:val="20"/>
                <w:szCs w:val="20"/>
                <w:lang w:val="sq-AL"/>
              </w:rPr>
              <w:t xml:space="preserve">si </w:t>
            </w:r>
            <w:r w:rsidRPr="00735452">
              <w:rPr>
                <w:rFonts w:ascii="Times New Roman" w:eastAsia="Times New Roman" w:hAnsi="Times New Roman" w:cs="Times New Roman"/>
                <w:sz w:val="20"/>
                <w:szCs w:val="20"/>
                <w:lang w:val="sq-AL"/>
              </w:rPr>
              <w:t>dhe me anëtarësimin e Republikës së Shqipërisë në Bashkimin Evropian me nenin 178 të rregullores (BE) nr. 575/2013, si dhe, në çdo rast, kredive që janë në vonesë për më shumë se 90 ditë.</w:t>
            </w:r>
            <w:r w:rsidRPr="00735452">
              <w:rPr>
                <w:rFonts w:ascii="Times New Roman" w:eastAsia="Times New Roman" w:hAnsi="Times New Roman" w:cs="Times New Roman"/>
                <w:sz w:val="20"/>
                <w:szCs w:val="20"/>
                <w:lang w:val="sq-AL"/>
              </w:rPr>
              <w:br/>
              <w:t xml:space="preserve">3. Në rastin e obligacioneve të mbuluara të emetuara së jashtmi në kuadër të strukturave të bashkuara të obligacioneve të mbuluara brenda grupit, siç parashikohet në nenin 7 të këtij ligji, emetuesi siguron që informacioni i përcaktuar në pikën 2 të këtij neni, ose një referencë apo lidhje me të, t'u vihet në dispozicion investitorëve edhe </w:t>
            </w:r>
            <w:proofErr w:type="spellStart"/>
            <w:r w:rsidRPr="00735452">
              <w:rPr>
                <w:rFonts w:ascii="Times New Roman" w:eastAsia="Times New Roman" w:hAnsi="Times New Roman" w:cs="Times New Roman"/>
                <w:sz w:val="20"/>
                <w:szCs w:val="20"/>
                <w:lang w:val="sq-AL"/>
              </w:rPr>
              <w:t>përsa</w:t>
            </w:r>
            <w:proofErr w:type="spellEnd"/>
            <w:r w:rsidRPr="00735452">
              <w:rPr>
                <w:rFonts w:ascii="Times New Roman" w:eastAsia="Times New Roman" w:hAnsi="Times New Roman" w:cs="Times New Roman"/>
                <w:sz w:val="20"/>
                <w:szCs w:val="20"/>
                <w:lang w:val="sq-AL"/>
              </w:rPr>
              <w:t xml:space="preserve"> u përket të gjitha obligacioneve të mbuluara të emetuara brenda grupit. Ky informacion u vihet në dispozicion investitorëve të paktën në formë të </w:t>
            </w:r>
            <w:proofErr w:type="spellStart"/>
            <w:r w:rsidRPr="00735452">
              <w:rPr>
                <w:rFonts w:ascii="Times New Roman" w:eastAsia="Times New Roman" w:hAnsi="Times New Roman" w:cs="Times New Roman"/>
                <w:sz w:val="20"/>
                <w:szCs w:val="20"/>
                <w:lang w:val="sq-AL"/>
              </w:rPr>
              <w:t>agreguar</w:t>
            </w:r>
            <w:proofErr w:type="spellEnd"/>
            <w:r w:rsidRPr="00735452">
              <w:rPr>
                <w:rFonts w:ascii="Times New Roman" w:eastAsia="Times New Roman" w:hAnsi="Times New Roman" w:cs="Times New Roman"/>
                <w:sz w:val="20"/>
                <w:szCs w:val="20"/>
                <w:lang w:val="sq-AL"/>
              </w:rPr>
              <w:t>.</w:t>
            </w:r>
          </w:p>
        </w:tc>
        <w:tc>
          <w:tcPr>
            <w:tcW w:w="1440" w:type="dxa"/>
          </w:tcPr>
          <w:p w14:paraId="026C9833" w14:textId="0950596A"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1B17A07D"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249B5526" w14:textId="77777777" w:rsidTr="004D61BC">
        <w:trPr>
          <w:gridAfter w:val="1"/>
          <w:wAfter w:w="14" w:type="dxa"/>
        </w:trPr>
        <w:tc>
          <w:tcPr>
            <w:tcW w:w="800" w:type="dxa"/>
            <w:tcBorders>
              <w:left w:val="single" w:sz="12" w:space="0" w:color="auto"/>
            </w:tcBorders>
          </w:tcPr>
          <w:p w14:paraId="3AE7719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5BFE3886"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mbrojtjen e investitorëve duke kërkuar që institucionet e kreditit që emetojnë obligacione të mbuluara të publikojnë në faqen e tyre të internetit informacionin e vënë në dispozicion të investitorëve në përputhje me paragrafët 1 dhe 2. Shtetet anëtare nuk kërkojnë që këto institucione krediti ta publikojnë këtë informacion në letër.</w:t>
            </w:r>
          </w:p>
        </w:tc>
        <w:tc>
          <w:tcPr>
            <w:tcW w:w="624" w:type="dxa"/>
            <w:tcBorders>
              <w:left w:val="single" w:sz="12" w:space="0" w:color="auto"/>
            </w:tcBorders>
          </w:tcPr>
          <w:p w14:paraId="42CB5821" w14:textId="5FDDA22B"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0E00AF9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14, pika 4</w:t>
            </w:r>
          </w:p>
        </w:tc>
        <w:tc>
          <w:tcPr>
            <w:tcW w:w="5130" w:type="dxa"/>
          </w:tcPr>
          <w:p w14:paraId="4B5D509B"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Institucioni i kreditit emetues publikon në faqen e tij zyrtare të internetit informacionin e vënë në dispozicion investitorëve në përputhje me pikat 1 dhe 2 të këtij neni. Publikimi bëhet vetëm në formë elektronike.</w:t>
            </w:r>
          </w:p>
        </w:tc>
        <w:tc>
          <w:tcPr>
            <w:tcW w:w="1440" w:type="dxa"/>
          </w:tcPr>
          <w:p w14:paraId="55EA23D9" w14:textId="3B275B19"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26E17FF"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0756F8AC" w14:textId="77777777" w:rsidTr="004D61BC">
        <w:trPr>
          <w:gridAfter w:val="1"/>
          <w:wAfter w:w="14" w:type="dxa"/>
        </w:trPr>
        <w:tc>
          <w:tcPr>
            <w:tcW w:w="800" w:type="dxa"/>
            <w:tcBorders>
              <w:left w:val="single" w:sz="12" w:space="0" w:color="auto"/>
            </w:tcBorders>
          </w:tcPr>
          <w:p w14:paraId="761E5F8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w:t>
            </w:r>
          </w:p>
          <w:p w14:paraId="0643BE40"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6FE648A2"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mbrojtjen e investitorëve duke kërkuar që programet e obligacioneve të mbuluara të përmbushin në çdo kohë të paktën kërkesat e mbulimit të përcaktuara në paragrafët 2 deri në 8.</w:t>
            </w:r>
          </w:p>
        </w:tc>
        <w:tc>
          <w:tcPr>
            <w:tcW w:w="624" w:type="dxa"/>
            <w:tcBorders>
              <w:left w:val="single" w:sz="12" w:space="0" w:color="auto"/>
            </w:tcBorders>
          </w:tcPr>
          <w:p w14:paraId="707D4F35" w14:textId="2D834DD5"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25494E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1</w:t>
            </w:r>
          </w:p>
        </w:tc>
        <w:tc>
          <w:tcPr>
            <w:tcW w:w="5130" w:type="dxa"/>
          </w:tcPr>
          <w:p w14:paraId="51E0092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Institucioni i kreditit emetues siguron mbrojtjen e investitorëve duke garantuar që programi i obligacioneve të mbuluara, në çdo kohë, të përmbushë kërkesat për mbulim të përcaktuara në pikat 2 deri në 7, të këtij neni.</w:t>
            </w:r>
          </w:p>
        </w:tc>
        <w:tc>
          <w:tcPr>
            <w:tcW w:w="1440" w:type="dxa"/>
          </w:tcPr>
          <w:p w14:paraId="1ACBE45A" w14:textId="4D134C70"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B04199A"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6C00EE20" w14:textId="77777777" w:rsidTr="004D61BC">
        <w:trPr>
          <w:gridAfter w:val="1"/>
          <w:wAfter w:w="14" w:type="dxa"/>
        </w:trPr>
        <w:tc>
          <w:tcPr>
            <w:tcW w:w="800" w:type="dxa"/>
            <w:tcBorders>
              <w:left w:val="single" w:sz="12" w:space="0" w:color="auto"/>
            </w:tcBorders>
          </w:tcPr>
          <w:p w14:paraId="2E8E9C2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30094A74"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Të gjitha detyrimet e obligacioneve të mbuluara mbulohen nga pretendimet për pagesë të lidhura me aktivet mbuluese.</w:t>
            </w:r>
          </w:p>
        </w:tc>
        <w:tc>
          <w:tcPr>
            <w:tcW w:w="624" w:type="dxa"/>
            <w:tcBorders>
              <w:left w:val="single" w:sz="12" w:space="0" w:color="auto"/>
            </w:tcBorders>
          </w:tcPr>
          <w:p w14:paraId="6F7A0626" w14:textId="6BCC0087"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74AE0F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2</w:t>
            </w:r>
          </w:p>
        </w:tc>
        <w:tc>
          <w:tcPr>
            <w:tcW w:w="5130" w:type="dxa"/>
          </w:tcPr>
          <w:p w14:paraId="4EA5DCB7"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Të gjitha detyrimet që rrjedhin nga obligacionet e mbuluara mbulohen nga flukset e pagesave që burojnë nga aktivet e përfshira në grupin e mbulimit, mbi të cilat investitorët kanë pretendim.</w:t>
            </w:r>
          </w:p>
        </w:tc>
        <w:tc>
          <w:tcPr>
            <w:tcW w:w="1440" w:type="dxa"/>
          </w:tcPr>
          <w:p w14:paraId="4C114906" w14:textId="547278D9"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E2B3E46"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1561A760" w14:textId="77777777" w:rsidTr="004D61BC">
        <w:trPr>
          <w:gridAfter w:val="1"/>
          <w:wAfter w:w="14" w:type="dxa"/>
        </w:trPr>
        <w:tc>
          <w:tcPr>
            <w:tcW w:w="800" w:type="dxa"/>
            <w:tcBorders>
              <w:left w:val="single" w:sz="12" w:space="0" w:color="auto"/>
            </w:tcBorders>
          </w:tcPr>
          <w:p w14:paraId="7ABC34A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213C4A8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Detyrimet e përmendura në paragrafin 2 përfshijnë:</w:t>
            </w:r>
          </w:p>
          <w:p w14:paraId="2103D385"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detyrimet për pagesën e shumës së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obligacioneve të mbuluara në qarkullim;</w:t>
            </w:r>
          </w:p>
          <w:p w14:paraId="2AD64AD1"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detyrimet për pagesën e çdo interesi për obligacionet e mbuluara në qarkullim;</w:t>
            </w:r>
          </w:p>
          <w:p w14:paraId="7A0101EC"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detyrimet e pagesës të lidhura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mbajtura në përputhje me nenin 11; dhe</w:t>
            </w:r>
          </w:p>
          <w:p w14:paraId="13B3BE50"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kostot e pritshme që lidhen me mirëmbajtjen dhe administrimin për mbylljen e programit të obligacioneve të mbuluara.</w:t>
            </w:r>
          </w:p>
          <w:p w14:paraId="7198B50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 xml:space="preserve">Për qëllimet e shkronjës (d)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shtetet anëtare mund të lejojnë një llogaritje me shumë fikse.</w:t>
            </w:r>
          </w:p>
        </w:tc>
        <w:tc>
          <w:tcPr>
            <w:tcW w:w="624" w:type="dxa"/>
            <w:tcBorders>
              <w:left w:val="single" w:sz="12" w:space="0" w:color="auto"/>
            </w:tcBorders>
          </w:tcPr>
          <w:p w14:paraId="0A662065" w14:textId="738E119A"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0AF57B91"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3</w:t>
            </w:r>
          </w:p>
        </w:tc>
        <w:tc>
          <w:tcPr>
            <w:tcW w:w="5130" w:type="dxa"/>
          </w:tcPr>
          <w:p w14:paraId="069217FC" w14:textId="14480503"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Detyrimet e parashikuara në pikën 2 të këtij neni, përfshijnë:</w:t>
            </w:r>
            <w:r w:rsidRPr="00735452">
              <w:rPr>
                <w:rFonts w:ascii="Times New Roman" w:eastAsia="Times New Roman" w:hAnsi="Times New Roman" w:cs="Times New Roman"/>
                <w:sz w:val="20"/>
                <w:szCs w:val="20"/>
                <w:lang w:val="sq-AL"/>
              </w:rPr>
              <w:br/>
              <w:t xml:space="preserve">a) detyrimet për pagesën e shumës së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papaguar të obligacioneve të mbuluara në qarkullim;</w:t>
            </w:r>
            <w:r w:rsidRPr="00735452">
              <w:rPr>
                <w:rFonts w:ascii="Times New Roman" w:eastAsia="Times New Roman" w:hAnsi="Times New Roman" w:cs="Times New Roman"/>
                <w:sz w:val="20"/>
                <w:szCs w:val="20"/>
                <w:lang w:val="sq-AL"/>
              </w:rPr>
              <w:br/>
              <w:t>b) detyrimet për pagesën e çdo interesi mbi obligacionet e mbuluara në qarkullim;</w:t>
            </w:r>
            <w:r w:rsidRPr="00735452">
              <w:rPr>
                <w:rFonts w:ascii="Times New Roman" w:eastAsia="Times New Roman" w:hAnsi="Times New Roman" w:cs="Times New Roman"/>
                <w:sz w:val="20"/>
                <w:szCs w:val="20"/>
                <w:lang w:val="sq-AL"/>
              </w:rPr>
              <w:br/>
              <w:t xml:space="preserve">c) detyrimet e pagesës që lidhen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mbajtura në përputhje me nenin </w:t>
            </w:r>
            <w:r w:rsidR="004210BC" w:rsidRPr="00735452">
              <w:rPr>
                <w:rFonts w:ascii="Times New Roman" w:eastAsia="Times New Roman" w:hAnsi="Times New Roman" w:cs="Times New Roman"/>
                <w:sz w:val="20"/>
                <w:szCs w:val="20"/>
                <w:lang w:val="sq-AL"/>
              </w:rPr>
              <w:t>10</w:t>
            </w:r>
            <w:r w:rsidRPr="00735452">
              <w:rPr>
                <w:rFonts w:ascii="Times New Roman" w:eastAsia="Times New Roman" w:hAnsi="Times New Roman" w:cs="Times New Roman"/>
                <w:sz w:val="20"/>
                <w:szCs w:val="20"/>
                <w:lang w:val="sq-AL"/>
              </w:rPr>
              <w:t xml:space="preserve"> të këtij ligji;</w:t>
            </w:r>
            <w:r w:rsidRPr="00735452">
              <w:rPr>
                <w:rFonts w:ascii="Times New Roman" w:eastAsia="Times New Roman" w:hAnsi="Times New Roman" w:cs="Times New Roman"/>
                <w:sz w:val="20"/>
                <w:szCs w:val="20"/>
                <w:lang w:val="sq-AL"/>
              </w:rPr>
              <w:br/>
              <w:t xml:space="preserve">ç) kostot e pritshme që lidhen me mirëmbajtjen dhe administrimin për përmbylljen  e programit të obligacioneve </w:t>
            </w:r>
            <w:r w:rsidRPr="00735452">
              <w:rPr>
                <w:rFonts w:ascii="Times New Roman" w:eastAsia="Times New Roman" w:hAnsi="Times New Roman" w:cs="Times New Roman"/>
                <w:sz w:val="20"/>
                <w:szCs w:val="20"/>
                <w:lang w:val="sq-AL"/>
              </w:rPr>
              <w:lastRenderedPageBreak/>
              <w:t>të mbuluara në rast likuidimi të cilat përfshijnë kostot e parashikueshme të monitoruesit të grupit të mbulimit dhe të administratorit të posaçëm deri në kohëzgjatjen maksimale të mundshme të programit të obligacioneve të mbuluara.</w:t>
            </w:r>
            <w:r w:rsidRPr="00735452">
              <w:rPr>
                <w:rFonts w:ascii="Times New Roman" w:eastAsia="Times New Roman" w:hAnsi="Times New Roman" w:cs="Times New Roman"/>
                <w:sz w:val="20"/>
                <w:szCs w:val="20"/>
                <w:lang w:val="sq-AL"/>
              </w:rPr>
              <w:br/>
              <w:t>Për qëllim të shkronjës "ç', të kësaj pike, institucioni i kreditit emetues mund të përdorë një llogaritje në shumë fikse (</w:t>
            </w:r>
            <w:proofErr w:type="spellStart"/>
            <w:r w:rsidRPr="00735452">
              <w:rPr>
                <w:rFonts w:ascii="Times New Roman" w:eastAsia="Times New Roman" w:hAnsi="Times New Roman" w:cs="Times New Roman"/>
                <w:sz w:val="20"/>
                <w:szCs w:val="20"/>
                <w:lang w:val="sq-AL"/>
              </w:rPr>
              <w:t>lump</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sum</w:t>
            </w:r>
            <w:proofErr w:type="spellEnd"/>
            <w:r w:rsidRPr="00735452">
              <w:rPr>
                <w:rFonts w:ascii="Times New Roman" w:eastAsia="Times New Roman" w:hAnsi="Times New Roman" w:cs="Times New Roman"/>
                <w:sz w:val="20"/>
                <w:szCs w:val="20"/>
                <w:lang w:val="sq-AL"/>
              </w:rPr>
              <w:t>).</w:t>
            </w:r>
          </w:p>
        </w:tc>
        <w:tc>
          <w:tcPr>
            <w:tcW w:w="1440" w:type="dxa"/>
          </w:tcPr>
          <w:p w14:paraId="2DAEDBC4" w14:textId="11F95489" w:rsidR="003E7E51" w:rsidRPr="00735452" w:rsidRDefault="00545755">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831B10A" w14:textId="29F4FF5C"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15BE3A8B" w14:textId="77777777" w:rsidTr="004D61BC">
        <w:trPr>
          <w:gridAfter w:val="1"/>
          <w:wAfter w:w="14" w:type="dxa"/>
        </w:trPr>
        <w:tc>
          <w:tcPr>
            <w:tcW w:w="800" w:type="dxa"/>
            <w:tcBorders>
              <w:left w:val="single" w:sz="12" w:space="0" w:color="auto"/>
            </w:tcBorders>
          </w:tcPr>
          <w:p w14:paraId="5E5EC013"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73FB8D90"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Aktivet mbuluese të mëposhtme konsiderohen se kontribuojnë në kërkesën e mbulimit:</w:t>
            </w:r>
          </w:p>
          <w:p w14:paraId="1472C666"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aktive primare;</w:t>
            </w:r>
          </w:p>
          <w:p w14:paraId="1231FEE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aktive zëvendësuese;</w:t>
            </w:r>
          </w:p>
          <w:p w14:paraId="230D11E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aktive likuide të mbajtura në përputhje me nenin 16; dhe</w:t>
            </w:r>
          </w:p>
          <w:p w14:paraId="47749BEA"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pretendime për pagesë të lidhura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mbajtura në përputhje me nenin 11.</w:t>
            </w:r>
          </w:p>
          <w:p w14:paraId="5F8E4768"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Pretendimet e pasiguruara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për të cilat konsiderohet se ka ndodhur mospagimi sipas nenit 178 të Rregullores (BE) nr. 575/2013, nuk kontribuojnë në mbulim.</w:t>
            </w:r>
          </w:p>
        </w:tc>
        <w:tc>
          <w:tcPr>
            <w:tcW w:w="624" w:type="dxa"/>
            <w:tcBorders>
              <w:left w:val="single" w:sz="12" w:space="0" w:color="auto"/>
            </w:tcBorders>
          </w:tcPr>
          <w:p w14:paraId="70565418" w14:textId="2DD7824E"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AE50B7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4</w:t>
            </w:r>
          </w:p>
        </w:tc>
        <w:tc>
          <w:tcPr>
            <w:tcW w:w="5130" w:type="dxa"/>
          </w:tcPr>
          <w:p w14:paraId="7FF599AF"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Aktivet e mëposhtme konsiderohen se kontribuojnë në përmbushjen e kërkesës për mbulim:</w:t>
            </w:r>
            <w:r w:rsidRPr="00735452">
              <w:rPr>
                <w:rFonts w:ascii="Times New Roman" w:eastAsia="Times New Roman" w:hAnsi="Times New Roman" w:cs="Times New Roman"/>
                <w:sz w:val="20"/>
                <w:szCs w:val="20"/>
                <w:lang w:val="sq-AL"/>
              </w:rPr>
              <w:br/>
              <w:t>a) aktivet primare;</w:t>
            </w:r>
            <w:r w:rsidRPr="00735452">
              <w:rPr>
                <w:rFonts w:ascii="Times New Roman" w:eastAsia="Times New Roman" w:hAnsi="Times New Roman" w:cs="Times New Roman"/>
                <w:sz w:val="20"/>
                <w:szCs w:val="20"/>
                <w:lang w:val="sq-AL"/>
              </w:rPr>
              <w:br/>
              <w:t>b) aktivet zëvendësuese;</w:t>
            </w:r>
            <w:r w:rsidRPr="00735452">
              <w:rPr>
                <w:rFonts w:ascii="Times New Roman" w:eastAsia="Times New Roman" w:hAnsi="Times New Roman" w:cs="Times New Roman"/>
                <w:sz w:val="20"/>
                <w:szCs w:val="20"/>
                <w:lang w:val="sq-AL"/>
              </w:rPr>
              <w:br/>
              <w:t>c) aktivet likuide të mbajtura në përputhje me nenin 17, të këtij ligji;</w:t>
            </w:r>
            <w:r w:rsidRPr="00735452">
              <w:rPr>
                <w:rFonts w:ascii="Times New Roman" w:eastAsia="Times New Roman" w:hAnsi="Times New Roman" w:cs="Times New Roman"/>
                <w:sz w:val="20"/>
                <w:szCs w:val="20"/>
                <w:lang w:val="sq-AL"/>
              </w:rPr>
              <w:br/>
              <w:t xml:space="preserve">ç) pretendimet për pagesë që lidhen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të mbajtura në përputhje me nenin 10, të këtij ligji.</w:t>
            </w:r>
            <w:r w:rsidRPr="00735452">
              <w:rPr>
                <w:rFonts w:ascii="Times New Roman" w:eastAsia="Times New Roman" w:hAnsi="Times New Roman" w:cs="Times New Roman"/>
                <w:sz w:val="20"/>
                <w:szCs w:val="20"/>
                <w:lang w:val="sq-AL"/>
              </w:rPr>
              <w:br/>
              <w:t xml:space="preserve">Pretendimet e pasiguruara për të cilat konsiderohet se ka ndodhur </w:t>
            </w:r>
            <w:proofErr w:type="spellStart"/>
            <w:r w:rsidRPr="00735452">
              <w:rPr>
                <w:rFonts w:ascii="Times New Roman" w:eastAsia="Times New Roman" w:hAnsi="Times New Roman" w:cs="Times New Roman"/>
                <w:sz w:val="20"/>
                <w:szCs w:val="20"/>
                <w:lang w:val="sq-AL"/>
              </w:rPr>
              <w:t>mospërmbushja</w:t>
            </w:r>
            <w:proofErr w:type="spellEnd"/>
            <w:r w:rsidRPr="00735452">
              <w:rPr>
                <w:rFonts w:ascii="Times New Roman" w:eastAsia="Times New Roman" w:hAnsi="Times New Roman" w:cs="Times New Roman"/>
                <w:sz w:val="20"/>
                <w:szCs w:val="20"/>
                <w:lang w:val="sq-AL"/>
              </w:rPr>
              <w:t xml:space="preserve"> e detyrimeve në përputhje me kuadrin rregullator për administrimin e rrezikut të kredisë, dhe me </w:t>
            </w:r>
            <w:proofErr w:type="spellStart"/>
            <w:r w:rsidRPr="00735452">
              <w:rPr>
                <w:rFonts w:ascii="Times New Roman" w:eastAsia="Times New Roman" w:hAnsi="Times New Roman" w:cs="Times New Roman"/>
                <w:sz w:val="20"/>
                <w:szCs w:val="20"/>
                <w:lang w:val="sq-AL"/>
              </w:rPr>
              <w:t>anëtarsimin</w:t>
            </w:r>
            <w:proofErr w:type="spellEnd"/>
            <w:r w:rsidRPr="00735452">
              <w:rPr>
                <w:rFonts w:ascii="Times New Roman" w:eastAsia="Times New Roman" w:hAnsi="Times New Roman" w:cs="Times New Roman"/>
                <w:sz w:val="20"/>
                <w:szCs w:val="20"/>
                <w:lang w:val="sq-AL"/>
              </w:rPr>
              <w:t xml:space="preserve"> e Republikës së Shqipërisë në Bashkimin Evropian me nenin 178 të rregullores  (BE) nr. 575/2013 nuk kontribuojnë në mbulim.</w:t>
            </w:r>
          </w:p>
        </w:tc>
        <w:tc>
          <w:tcPr>
            <w:tcW w:w="1440" w:type="dxa"/>
          </w:tcPr>
          <w:p w14:paraId="0C15DD64" w14:textId="5AD51567" w:rsidR="003E7E51" w:rsidRPr="00735452" w:rsidRDefault="00EB2C5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DDB00E6"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2FD8649B" w14:textId="77777777" w:rsidTr="004D61BC">
        <w:trPr>
          <w:gridAfter w:val="1"/>
          <w:wAfter w:w="14" w:type="dxa"/>
        </w:trPr>
        <w:tc>
          <w:tcPr>
            <w:tcW w:w="800" w:type="dxa"/>
            <w:tcBorders>
              <w:left w:val="single" w:sz="12" w:space="0" w:color="auto"/>
            </w:tcBorders>
          </w:tcPr>
          <w:p w14:paraId="3DD8A8CF"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3BD0DD86"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shkronjës (c)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të paragrafit 3 dhe shkronjës (d)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të paragrafit 4, shtetet anëtare përcaktojnë rregulla për vlerësimin e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56CF2CBA" w14:textId="40DC996D"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4F3CD9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5</w:t>
            </w:r>
          </w:p>
        </w:tc>
        <w:tc>
          <w:tcPr>
            <w:tcW w:w="5130" w:type="dxa"/>
          </w:tcPr>
          <w:p w14:paraId="7823C50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Për qëllim të pikës 3, shkronja “c”, dhe pikës 4, shkronja “d” të këtij neni, Autoriteti  miraton rregulla të detajuara për përcaktimin e metodologjisë dhe vlerësimit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w:t>
            </w:r>
          </w:p>
        </w:tc>
        <w:tc>
          <w:tcPr>
            <w:tcW w:w="1440" w:type="dxa"/>
          </w:tcPr>
          <w:p w14:paraId="0F4B1C01" w14:textId="75CDA2F4" w:rsidR="003E7E51" w:rsidRPr="00735452" w:rsidRDefault="00EB2C5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F7E0025"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1E7A0C51" w14:textId="77777777" w:rsidTr="004D61BC">
        <w:trPr>
          <w:gridAfter w:val="1"/>
          <w:wAfter w:w="14" w:type="dxa"/>
        </w:trPr>
        <w:tc>
          <w:tcPr>
            <w:tcW w:w="800" w:type="dxa"/>
            <w:tcBorders>
              <w:left w:val="single" w:sz="12" w:space="0" w:color="auto"/>
            </w:tcBorders>
          </w:tcPr>
          <w:p w14:paraId="1B986DFF"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6</w:t>
            </w:r>
          </w:p>
        </w:tc>
        <w:tc>
          <w:tcPr>
            <w:tcW w:w="5220" w:type="dxa"/>
            <w:tcBorders>
              <w:right w:val="single" w:sz="12" w:space="0" w:color="auto"/>
            </w:tcBorders>
          </w:tcPr>
          <w:p w14:paraId="41C08164"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Llogaritja e mbulimit të kërkuar siguron që shuma agregate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gjitha aktiveve mbuluese të jetë e barabartë ose më e madhe se shuma agregate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obligacioneve të mbuluara në qarkullim (“parimi nominal”).</w:t>
            </w:r>
          </w:p>
          <w:p w14:paraId="1130A42F"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mund të lejojnë parime të tjera llogaritjeje, me kusht që ato të mos rezultojnë në një raport më të lartë mbulimi se ai i llogaritur sipas parimit nominal.</w:t>
            </w:r>
          </w:p>
          <w:p w14:paraId="12176429"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përcaktojnë rregulla për llogaritjen e çdo interesi të pagueshëm për obligacionet e mbuluara në qarkullim dhe të interesit të </w:t>
            </w:r>
            <w:proofErr w:type="spellStart"/>
            <w:r w:rsidRPr="00735452">
              <w:rPr>
                <w:rFonts w:ascii="Times New Roman" w:eastAsia="Times New Roman" w:hAnsi="Times New Roman" w:cs="Times New Roman"/>
                <w:sz w:val="20"/>
                <w:szCs w:val="20"/>
                <w:lang w:val="sq-AL"/>
              </w:rPr>
              <w:t>arkëtueshëm</w:t>
            </w:r>
            <w:proofErr w:type="spellEnd"/>
            <w:r w:rsidRPr="00735452">
              <w:rPr>
                <w:rFonts w:ascii="Times New Roman" w:eastAsia="Times New Roman" w:hAnsi="Times New Roman" w:cs="Times New Roman"/>
                <w:sz w:val="20"/>
                <w:szCs w:val="20"/>
                <w:lang w:val="sq-AL"/>
              </w:rPr>
              <w:t xml:space="preserve"> për aktivet mbuluese, të cilat duhet të pasqyrojnë parime të shëndosha </w:t>
            </w:r>
            <w:proofErr w:type="spellStart"/>
            <w:r w:rsidRPr="00735452">
              <w:rPr>
                <w:rFonts w:ascii="Times New Roman" w:eastAsia="Times New Roman" w:hAnsi="Times New Roman" w:cs="Times New Roman"/>
                <w:sz w:val="20"/>
                <w:szCs w:val="20"/>
                <w:lang w:val="sq-AL"/>
              </w:rPr>
              <w:t>prudenciale</w:t>
            </w:r>
            <w:proofErr w:type="spellEnd"/>
            <w:r w:rsidRPr="00735452">
              <w:rPr>
                <w:rFonts w:ascii="Times New Roman" w:eastAsia="Times New Roman" w:hAnsi="Times New Roman" w:cs="Times New Roman"/>
                <w:sz w:val="20"/>
                <w:szCs w:val="20"/>
                <w:lang w:val="sq-AL"/>
              </w:rPr>
              <w:t xml:space="preserve"> në përputhje me standardet e zbatueshme të kontabilitetit.</w:t>
            </w:r>
          </w:p>
        </w:tc>
        <w:tc>
          <w:tcPr>
            <w:tcW w:w="624" w:type="dxa"/>
            <w:tcBorders>
              <w:left w:val="single" w:sz="12" w:space="0" w:color="auto"/>
            </w:tcBorders>
          </w:tcPr>
          <w:p w14:paraId="266A3E81" w14:textId="00A034C9"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4ECAAE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6</w:t>
            </w:r>
          </w:p>
        </w:tc>
        <w:tc>
          <w:tcPr>
            <w:tcW w:w="5130" w:type="dxa"/>
          </w:tcPr>
          <w:p w14:paraId="1664A002"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6. Në llogaritjen e mbulimit të kërkuar, institucioni i kreditit emetues siguron që shuma totale agregate nominale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gjitha aktiveve të përfshira në grupin e mbulimit të jetë të paktën 5% më e lartë se shuma totale agregate nominale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pashlyer të obligacioneve të mbuluara në qarkullim “parimi i shumës nominale”</w:t>
            </w:r>
            <w:r w:rsidRPr="00735452">
              <w:rPr>
                <w:rFonts w:ascii="Times New Roman" w:eastAsia="Times New Roman" w:hAnsi="Times New Roman" w:cs="Times New Roman"/>
                <w:sz w:val="20"/>
                <w:szCs w:val="20"/>
                <w:lang w:val="sq-AL"/>
              </w:rPr>
              <w:br/>
              <w:t>Mund të lejohen metoda të tjera llogaritjeje, me kusht që ato të mos rezultojnë në një raport mbulimi më të lartë se ai i llogaritur sipas parimit të shumës nominale.</w:t>
            </w:r>
          </w:p>
        </w:tc>
        <w:tc>
          <w:tcPr>
            <w:tcW w:w="1440" w:type="dxa"/>
          </w:tcPr>
          <w:p w14:paraId="2D5B2287" w14:textId="03777F69" w:rsidR="003E7E51" w:rsidRPr="00735452" w:rsidRDefault="00EB2C5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C48588E"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7A785777" w14:textId="77777777" w:rsidTr="004D61BC">
        <w:trPr>
          <w:gridAfter w:val="1"/>
          <w:wAfter w:w="14" w:type="dxa"/>
        </w:trPr>
        <w:tc>
          <w:tcPr>
            <w:tcW w:w="800" w:type="dxa"/>
            <w:tcBorders>
              <w:left w:val="single" w:sz="12" w:space="0" w:color="auto"/>
            </w:tcBorders>
          </w:tcPr>
          <w:p w14:paraId="4B3732E7"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7</w:t>
            </w:r>
          </w:p>
        </w:tc>
        <w:tc>
          <w:tcPr>
            <w:tcW w:w="5220" w:type="dxa"/>
            <w:tcBorders>
              <w:right w:val="single" w:sz="12" w:space="0" w:color="auto"/>
            </w:tcBorders>
          </w:tcPr>
          <w:p w14:paraId="1FA89998"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Me përjashtim nga </w:t>
            </w:r>
            <w:proofErr w:type="spellStart"/>
            <w:r w:rsidRPr="00735452">
              <w:rPr>
                <w:rFonts w:ascii="Times New Roman" w:eastAsia="Times New Roman" w:hAnsi="Times New Roman" w:cs="Times New Roman"/>
                <w:sz w:val="20"/>
                <w:szCs w:val="20"/>
                <w:lang w:val="sq-AL"/>
              </w:rPr>
              <w:t>nënparagrafi</w:t>
            </w:r>
            <w:proofErr w:type="spellEnd"/>
            <w:r w:rsidRPr="00735452">
              <w:rPr>
                <w:rFonts w:ascii="Times New Roman" w:eastAsia="Times New Roman" w:hAnsi="Times New Roman" w:cs="Times New Roman"/>
                <w:sz w:val="20"/>
                <w:szCs w:val="20"/>
                <w:lang w:val="sq-AL"/>
              </w:rPr>
              <w:t xml:space="preserve"> i parë i paragrafit 6, shtetet anëtare mund, në një mënyrë që pasqyron parime të shëndosha </w:t>
            </w:r>
            <w:proofErr w:type="spellStart"/>
            <w:r w:rsidRPr="00735452">
              <w:rPr>
                <w:rFonts w:ascii="Times New Roman" w:eastAsia="Times New Roman" w:hAnsi="Times New Roman" w:cs="Times New Roman"/>
                <w:sz w:val="20"/>
                <w:szCs w:val="20"/>
                <w:lang w:val="sq-AL"/>
              </w:rPr>
              <w:t>prudenciale</w:t>
            </w:r>
            <w:proofErr w:type="spellEnd"/>
            <w:r w:rsidRPr="00735452">
              <w:rPr>
                <w:rFonts w:ascii="Times New Roman" w:eastAsia="Times New Roman" w:hAnsi="Times New Roman" w:cs="Times New Roman"/>
                <w:sz w:val="20"/>
                <w:szCs w:val="20"/>
                <w:lang w:val="sq-AL"/>
              </w:rPr>
              <w:t xml:space="preserve"> dhe në përputhje me standardet e zbatueshme të </w:t>
            </w:r>
            <w:r w:rsidRPr="00735452">
              <w:rPr>
                <w:rFonts w:ascii="Times New Roman" w:eastAsia="Times New Roman" w:hAnsi="Times New Roman" w:cs="Times New Roman"/>
                <w:sz w:val="20"/>
                <w:szCs w:val="20"/>
                <w:lang w:val="sq-AL"/>
              </w:rPr>
              <w:lastRenderedPageBreak/>
              <w:t xml:space="preserve">kontabilitetit, të lejojnë që interesi i ardhshëm i </w:t>
            </w:r>
            <w:proofErr w:type="spellStart"/>
            <w:r w:rsidRPr="00735452">
              <w:rPr>
                <w:rFonts w:ascii="Times New Roman" w:eastAsia="Times New Roman" w:hAnsi="Times New Roman" w:cs="Times New Roman"/>
                <w:sz w:val="20"/>
                <w:szCs w:val="20"/>
                <w:lang w:val="sq-AL"/>
              </w:rPr>
              <w:t>arkëtueshëm</w:t>
            </w:r>
            <w:proofErr w:type="spellEnd"/>
            <w:r w:rsidRPr="00735452">
              <w:rPr>
                <w:rFonts w:ascii="Times New Roman" w:eastAsia="Times New Roman" w:hAnsi="Times New Roman" w:cs="Times New Roman"/>
                <w:sz w:val="20"/>
                <w:szCs w:val="20"/>
                <w:lang w:val="sq-AL"/>
              </w:rPr>
              <w:t xml:space="preserve"> mbi aktivin mbulues, neto nga interesi i ardhshëm i pagueshëm mbi obligacionin e mbuluar përkatës, të merret në konsideratë për të balancuar çdo mungesë në mbulimin e detyrimit për pagesën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lidhur me obligacionin e mbuluar, kur ekziston një përputhje e ngushtë, siç përcaktohet në rregulloren e deleguar përkatëse të miratuar sipas nenit 33, paragrafi 4, të Rregullores (BE) nr. 575/2013, subjekt i kushteve të mëposhtme:</w:t>
            </w:r>
          </w:p>
          <w:p w14:paraId="22190F3F"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pagesat e marra gjatë jetës së aktivit mbulues dhe të nevojshme për mbulimin e detyrimit për pagesë të lidhur me obligacionin e mbuluar përkatës, ndahen në përputhje me nenin 12 ose përfshihen në portofolin e mbulimit në formën e aktiveve mbuluese të përmendura në nenin 6, deri sa pagesat të bëhen të detyrueshme; dhe</w:t>
            </w:r>
          </w:p>
          <w:p w14:paraId="366AB21D"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parapagimi i aktivit mbulues është i mundur vetëm përmes ushtrimit të opsionit të dorëzimit, siç përcaktohet në rregulloren e deleguar përkatëse të miratuar sipas nenit 33, paragrafi 4, të Rregullores (BE) nr. 575/2013, ose, në rastin e obligacioneve të mbuluara që mund të thirren në vlerën nominale nga institucioni i kreditit që emeton obligacionet e mbuluara, përmes pagesës nga huamarrësi i aktivit mbulues të së paku vlerës nominale të obligacionit të thirrur.</w:t>
            </w:r>
          </w:p>
        </w:tc>
        <w:tc>
          <w:tcPr>
            <w:tcW w:w="624" w:type="dxa"/>
            <w:tcBorders>
              <w:left w:val="single" w:sz="12" w:space="0" w:color="auto"/>
            </w:tcBorders>
          </w:tcPr>
          <w:p w14:paraId="363FCE4A" w14:textId="7B4B6AF9"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48D9B8D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7</w:t>
            </w:r>
          </w:p>
        </w:tc>
        <w:tc>
          <w:tcPr>
            <w:tcW w:w="5130" w:type="dxa"/>
          </w:tcPr>
          <w:p w14:paraId="6395B0CD"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7. Në përjashtim nga pika 6 e këtij neni, institucioni i kreditit emetues, në përputhje me parimet e shëndosha </w:t>
            </w:r>
            <w:proofErr w:type="spellStart"/>
            <w:r w:rsidRPr="00735452">
              <w:rPr>
                <w:rFonts w:ascii="Times New Roman" w:eastAsia="Times New Roman" w:hAnsi="Times New Roman" w:cs="Times New Roman"/>
                <w:sz w:val="20"/>
                <w:szCs w:val="20"/>
                <w:lang w:val="sq-AL"/>
              </w:rPr>
              <w:t>prudenciale</w:t>
            </w:r>
            <w:proofErr w:type="spellEnd"/>
            <w:r w:rsidRPr="00735452">
              <w:rPr>
                <w:rFonts w:ascii="Times New Roman" w:eastAsia="Times New Roman" w:hAnsi="Times New Roman" w:cs="Times New Roman"/>
                <w:sz w:val="20"/>
                <w:szCs w:val="20"/>
                <w:lang w:val="sq-AL"/>
              </w:rPr>
              <w:t xml:space="preserve"> dhe standardet e zbatueshme kontabël, mund të marrë në </w:t>
            </w:r>
            <w:r w:rsidRPr="00735452">
              <w:rPr>
                <w:rFonts w:ascii="Times New Roman" w:eastAsia="Times New Roman" w:hAnsi="Times New Roman" w:cs="Times New Roman"/>
                <w:sz w:val="20"/>
                <w:szCs w:val="20"/>
                <w:lang w:val="sq-AL"/>
              </w:rPr>
              <w:lastRenderedPageBreak/>
              <w:t xml:space="preserve">konsideratë interesin e ardhshëm që pritet të arkëtohet nga aktivet e mbulimit, pas zbritjes së interesit të ardhshëm që duhet të paguhet për obligacionet përkatëse, për të garantuar çdo mungesë në mbulimin e detyrimit për pagesën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të obligacioneve të mbuluara. Kjo zbatohet kur ekziston një përputhje e ngushtë ndërmjet flukseve të pagesave të aktiveve të mbulimit dhe detyrimeve të obligacioneve të mbuluara, siç përcaktohet në rregulloren e deleguar të miratuar në përputhje me kërkesat e kuadrit </w:t>
            </w:r>
            <w:proofErr w:type="spellStart"/>
            <w:r w:rsidRPr="00735452">
              <w:rPr>
                <w:rFonts w:ascii="Times New Roman" w:eastAsia="Times New Roman" w:hAnsi="Times New Roman" w:cs="Times New Roman"/>
                <w:sz w:val="20"/>
                <w:szCs w:val="20"/>
                <w:lang w:val="sq-AL"/>
              </w:rPr>
              <w:t>rregullativ</w:t>
            </w:r>
            <w:proofErr w:type="spellEnd"/>
            <w:r w:rsidRPr="00735452">
              <w:rPr>
                <w:rFonts w:ascii="Times New Roman" w:eastAsia="Times New Roman" w:hAnsi="Times New Roman" w:cs="Times New Roman"/>
                <w:sz w:val="20"/>
                <w:szCs w:val="20"/>
                <w:lang w:val="sq-AL"/>
              </w:rPr>
              <w:t xml:space="preserve"> për fondet e veta dhe me anëtarësimin e Shqipërisë në BE, sipas nenit 33, pika 4, të Rregullores (BE) nr. 575/2013, me kusht që:</w:t>
            </w:r>
            <w:r w:rsidRPr="00735452">
              <w:rPr>
                <w:rFonts w:ascii="Times New Roman" w:eastAsia="Times New Roman" w:hAnsi="Times New Roman" w:cs="Times New Roman"/>
                <w:sz w:val="20"/>
                <w:szCs w:val="20"/>
                <w:lang w:val="sq-AL"/>
              </w:rPr>
              <w:br/>
              <w:t>a) pagesat e marra gjatë jetës së aktiveve të mbulimit, të cilat janë të nevojshme për mbulimin e detyrimit për pagesë që lidhet me obligacionin përkatës të mbuluar, ndahen në përputhje me nenin 11, të këtij ligji ose përfshihen në grupin e mbulimit në formën e aktiveve për mbulim të përmendura në nenin 6, të këtij ligji, deri në momentin kur këto pagesa bëhen të pagueshme; dhe</w:t>
            </w:r>
            <w:r w:rsidRPr="00735452">
              <w:rPr>
                <w:rFonts w:ascii="Times New Roman" w:eastAsia="Times New Roman" w:hAnsi="Times New Roman" w:cs="Times New Roman"/>
                <w:sz w:val="20"/>
                <w:szCs w:val="20"/>
                <w:lang w:val="sq-AL"/>
              </w:rPr>
              <w:br/>
              <w:t>b) parapagimi i aktiveve të mbulimit është i mundur vetëm nëpërmjet ushtrimit të opsionit të dorëzimit (</w:t>
            </w:r>
            <w:proofErr w:type="spellStart"/>
            <w:r w:rsidRPr="00735452">
              <w:rPr>
                <w:rFonts w:ascii="Times New Roman" w:eastAsia="Times New Roman" w:hAnsi="Times New Roman" w:cs="Times New Roman"/>
                <w:sz w:val="20"/>
                <w:szCs w:val="20"/>
                <w:lang w:val="sq-AL"/>
              </w:rPr>
              <w:t>delivery</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option</w:t>
            </w:r>
            <w:proofErr w:type="spellEnd"/>
            <w:r w:rsidRPr="00735452">
              <w:rPr>
                <w:rFonts w:ascii="Times New Roman" w:eastAsia="Times New Roman" w:hAnsi="Times New Roman" w:cs="Times New Roman"/>
                <w:sz w:val="20"/>
                <w:szCs w:val="20"/>
                <w:lang w:val="sq-AL"/>
              </w:rPr>
              <w:t xml:space="preserve">), siç përcaktohet në rregulloren e miratuar në përputhje me kërkesat e kuadrit rregullator për fondet e veta dhe me </w:t>
            </w:r>
            <w:proofErr w:type="spellStart"/>
            <w:r w:rsidRPr="00735452">
              <w:rPr>
                <w:rFonts w:ascii="Times New Roman" w:eastAsia="Times New Roman" w:hAnsi="Times New Roman" w:cs="Times New Roman"/>
                <w:sz w:val="20"/>
                <w:szCs w:val="20"/>
                <w:lang w:val="sq-AL"/>
              </w:rPr>
              <w:t>antarësimin</w:t>
            </w:r>
            <w:proofErr w:type="spellEnd"/>
            <w:r w:rsidRPr="00735452">
              <w:rPr>
                <w:rFonts w:ascii="Times New Roman" w:eastAsia="Times New Roman" w:hAnsi="Times New Roman" w:cs="Times New Roman"/>
                <w:sz w:val="20"/>
                <w:szCs w:val="20"/>
                <w:lang w:val="sq-AL"/>
              </w:rPr>
              <w:t xml:space="preserve"> e Republikës së Shqipërisë në Bashkimin Evropian me nenin 33, pika 4, të rregullores (BE) nr. 575/2013, ose, në rastin e obligacioneve me opsion për thirrjen në vlerë nominale nga institucioni i kreditit emetues, nëpërmjet pagesës nga huamarrësi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paktën vlerës nominale të obligacionit të thirrur.</w:t>
            </w:r>
          </w:p>
        </w:tc>
        <w:tc>
          <w:tcPr>
            <w:tcW w:w="1440" w:type="dxa"/>
          </w:tcPr>
          <w:p w14:paraId="00ACA35C" w14:textId="604666E5" w:rsidR="003E7E51" w:rsidRPr="00735452" w:rsidRDefault="00EB2C51">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7A03AFB3" w14:textId="77777777" w:rsidR="003E7E51" w:rsidRPr="00735452" w:rsidRDefault="003E7E51">
            <w:pPr>
              <w:spacing w:after="0" w:line="240" w:lineRule="auto"/>
              <w:rPr>
                <w:rFonts w:ascii="Times New Roman" w:hAnsi="Times New Roman" w:cs="Times New Roman"/>
                <w:sz w:val="20"/>
                <w:szCs w:val="20"/>
                <w:lang w:val="sq-AL"/>
              </w:rPr>
            </w:pPr>
          </w:p>
        </w:tc>
      </w:tr>
      <w:tr w:rsidR="00972280" w:rsidRPr="00735452" w14:paraId="6B94E1F1" w14:textId="77777777" w:rsidTr="004D61BC">
        <w:trPr>
          <w:gridAfter w:val="1"/>
          <w:wAfter w:w="14" w:type="dxa"/>
        </w:trPr>
        <w:tc>
          <w:tcPr>
            <w:tcW w:w="800" w:type="dxa"/>
            <w:tcBorders>
              <w:left w:val="single" w:sz="12" w:space="0" w:color="auto"/>
            </w:tcBorders>
          </w:tcPr>
          <w:p w14:paraId="75C07C1E"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8</w:t>
            </w:r>
          </w:p>
        </w:tc>
        <w:tc>
          <w:tcPr>
            <w:tcW w:w="5220" w:type="dxa"/>
            <w:tcBorders>
              <w:right w:val="single" w:sz="12" w:space="0" w:color="auto"/>
            </w:tcBorders>
          </w:tcPr>
          <w:p w14:paraId="74668FE5" w14:textId="77777777" w:rsidR="00972280" w:rsidRPr="00735452" w:rsidRDefault="00972280" w:rsidP="00972280">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llogaritja e aktiveve mbuluese dhe e detyrimeve të bazohet në të njëjtën metodologji. Shtetet anëtare mund të lejojnë metodologji të ndryshme llogaritjeje për llogaritjen e aktiveve mbuluese, nga njëra anë, dhe të detyrimeve, nga ana tjetër, me kusht që përdorimi i këtyre metodologjive të ndryshme të mos rezultojë në një raport më të lartë mbulimi se ai i llogaritur duke përdorur të njëjtën metodologji për llogaritjen e aktiveve mbuluese dhe të detyrimeve.</w:t>
            </w:r>
          </w:p>
        </w:tc>
        <w:tc>
          <w:tcPr>
            <w:tcW w:w="624" w:type="dxa"/>
            <w:tcBorders>
              <w:left w:val="single" w:sz="12" w:space="0" w:color="auto"/>
            </w:tcBorders>
          </w:tcPr>
          <w:p w14:paraId="1DAB2DEB" w14:textId="2BC26DC6" w:rsidR="00972280" w:rsidRPr="00735452" w:rsidRDefault="00237992" w:rsidP="00972280">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B0D4F3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 pika 8</w:t>
            </w:r>
          </w:p>
        </w:tc>
        <w:tc>
          <w:tcPr>
            <w:tcW w:w="5130" w:type="dxa"/>
          </w:tcPr>
          <w:p w14:paraId="58A599D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8. Institucioni i kreditit emetues siguron që llogaritja e aktiveve në mbulim dhe e detyrimeve të bazohet në të njëjtën metodologji. Mund të aplikohen metodologji të ndryshme, me kusht që përdorimi i tyre të mos rezultojë në një raport mbulimi më të lartë se ai që do të rezultonte nga përdorimi i së njëjtës metodologji si për llogaritjen e aktiveve në mbulim ashtu edhe llogaritjen e detyrimeve.</w:t>
            </w:r>
          </w:p>
        </w:tc>
        <w:tc>
          <w:tcPr>
            <w:tcW w:w="1440" w:type="dxa"/>
          </w:tcPr>
          <w:p w14:paraId="640BE6A2" w14:textId="1126A36A"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79BB5A9"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06346399" w14:textId="77777777" w:rsidTr="004D61BC">
        <w:trPr>
          <w:gridAfter w:val="1"/>
          <w:wAfter w:w="14" w:type="dxa"/>
        </w:trPr>
        <w:tc>
          <w:tcPr>
            <w:tcW w:w="800" w:type="dxa"/>
            <w:tcBorders>
              <w:left w:val="single" w:sz="12" w:space="0" w:color="auto"/>
            </w:tcBorders>
          </w:tcPr>
          <w:p w14:paraId="49ACDAAE"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16</w:t>
            </w:r>
          </w:p>
          <w:p w14:paraId="074E1011"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1</w:t>
            </w:r>
          </w:p>
        </w:tc>
        <w:tc>
          <w:tcPr>
            <w:tcW w:w="5220" w:type="dxa"/>
            <w:tcBorders>
              <w:right w:val="single" w:sz="12" w:space="0" w:color="auto"/>
            </w:tcBorders>
          </w:tcPr>
          <w:p w14:paraId="58CB2142"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 xml:space="preserve">Shtetet anëtare sigurojnë mbrojtjen e investitorëve duke kërkuar që portofoli i mbulimit të përfshijë në çdo kohë një </w:t>
            </w:r>
            <w:r w:rsidRPr="00735452">
              <w:rPr>
                <w:rFonts w:ascii="Times New Roman" w:eastAsia="Times New Roman" w:hAnsi="Times New Roman" w:cs="Times New Roman"/>
                <w:sz w:val="20"/>
                <w:szCs w:val="20"/>
                <w:lang w:val="sq-AL"/>
              </w:rPr>
              <w:lastRenderedPageBreak/>
              <w:t xml:space="preserve">rezervë likuiditeti të përbërë nga aktive likuide të </w:t>
            </w:r>
            <w:proofErr w:type="spellStart"/>
            <w:r w:rsidRPr="00735452">
              <w:rPr>
                <w:rFonts w:ascii="Times New Roman" w:eastAsia="Times New Roman" w:hAnsi="Times New Roman" w:cs="Times New Roman"/>
                <w:sz w:val="20"/>
                <w:szCs w:val="20"/>
                <w:lang w:val="sq-AL"/>
              </w:rPr>
              <w:t>disponueshme</w:t>
            </w:r>
            <w:proofErr w:type="spellEnd"/>
            <w:r w:rsidRPr="00735452">
              <w:rPr>
                <w:rFonts w:ascii="Times New Roman" w:eastAsia="Times New Roman" w:hAnsi="Times New Roman" w:cs="Times New Roman"/>
                <w:sz w:val="20"/>
                <w:szCs w:val="20"/>
                <w:lang w:val="sq-AL"/>
              </w:rPr>
              <w:t xml:space="preserve"> për të mbuluar daljen neto të likuiditetit të programit të obligacioneve të mbuluara.</w:t>
            </w:r>
          </w:p>
        </w:tc>
        <w:tc>
          <w:tcPr>
            <w:tcW w:w="624" w:type="dxa"/>
            <w:tcBorders>
              <w:left w:val="single" w:sz="12" w:space="0" w:color="auto"/>
            </w:tcBorders>
          </w:tcPr>
          <w:p w14:paraId="03C7CCF4" w14:textId="7868190F" w:rsidR="008A7904" w:rsidRPr="00735452" w:rsidRDefault="00237992"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230E564E"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 pika 1</w:t>
            </w:r>
          </w:p>
        </w:tc>
        <w:tc>
          <w:tcPr>
            <w:tcW w:w="5130" w:type="dxa"/>
          </w:tcPr>
          <w:p w14:paraId="7811A182"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Emetuesi është i detyruar të sigurojë mbrojtjen e investitorëve duke garantuar që grupi i mbulimit, në çdo </w:t>
            </w:r>
            <w:r w:rsidRPr="00735452">
              <w:rPr>
                <w:rFonts w:ascii="Times New Roman" w:eastAsia="Times New Roman" w:hAnsi="Times New Roman" w:cs="Times New Roman"/>
                <w:sz w:val="20"/>
                <w:szCs w:val="20"/>
                <w:lang w:val="sq-AL"/>
              </w:rPr>
              <w:lastRenderedPageBreak/>
              <w:t xml:space="preserve">kohë, të përfshijë një rezervë likuiditeti të përbërë nga aktive likuide të </w:t>
            </w:r>
            <w:proofErr w:type="spellStart"/>
            <w:r w:rsidRPr="00735452">
              <w:rPr>
                <w:rFonts w:ascii="Times New Roman" w:eastAsia="Times New Roman" w:hAnsi="Times New Roman" w:cs="Times New Roman"/>
                <w:sz w:val="20"/>
                <w:szCs w:val="20"/>
                <w:lang w:val="sq-AL"/>
              </w:rPr>
              <w:t>disponueshme</w:t>
            </w:r>
            <w:proofErr w:type="spellEnd"/>
            <w:r w:rsidRPr="00735452">
              <w:rPr>
                <w:rFonts w:ascii="Times New Roman" w:eastAsia="Times New Roman" w:hAnsi="Times New Roman" w:cs="Times New Roman"/>
                <w:sz w:val="20"/>
                <w:szCs w:val="20"/>
                <w:lang w:val="sq-AL"/>
              </w:rPr>
              <w:t xml:space="preserve"> për mbulimin e daljeve neto të likuiditetit të programit të obligacioneve të mbuluara.</w:t>
            </w:r>
          </w:p>
        </w:tc>
        <w:tc>
          <w:tcPr>
            <w:tcW w:w="1440" w:type="dxa"/>
          </w:tcPr>
          <w:p w14:paraId="576DFAC0" w14:textId="4D2353EF"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313981C6"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45CDFA2B" w14:textId="77777777" w:rsidTr="004D61BC">
        <w:trPr>
          <w:gridAfter w:val="1"/>
          <w:wAfter w:w="14" w:type="dxa"/>
        </w:trPr>
        <w:tc>
          <w:tcPr>
            <w:tcW w:w="800" w:type="dxa"/>
            <w:tcBorders>
              <w:left w:val="single" w:sz="12" w:space="0" w:color="auto"/>
            </w:tcBorders>
          </w:tcPr>
          <w:p w14:paraId="22DD8FD1"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28E31759"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Rezerva e likuiditetit e portofolit të mbulimit mbulon daljen neto </w:t>
            </w:r>
            <w:proofErr w:type="spellStart"/>
            <w:r w:rsidRPr="00735452">
              <w:rPr>
                <w:rFonts w:ascii="Times New Roman" w:eastAsia="Times New Roman" w:hAnsi="Times New Roman" w:cs="Times New Roman"/>
                <w:sz w:val="20"/>
                <w:szCs w:val="20"/>
                <w:lang w:val="sq-AL"/>
              </w:rPr>
              <w:t>kumulative</w:t>
            </w:r>
            <w:proofErr w:type="spellEnd"/>
            <w:r w:rsidRPr="00735452">
              <w:rPr>
                <w:rFonts w:ascii="Times New Roman" w:eastAsia="Times New Roman" w:hAnsi="Times New Roman" w:cs="Times New Roman"/>
                <w:sz w:val="20"/>
                <w:szCs w:val="20"/>
                <w:lang w:val="sq-AL"/>
              </w:rPr>
              <w:t xml:space="preserve"> maksimale të likuiditetit gjatë 180 ditëve të ardhshme.</w:t>
            </w:r>
          </w:p>
        </w:tc>
        <w:tc>
          <w:tcPr>
            <w:tcW w:w="624" w:type="dxa"/>
            <w:tcBorders>
              <w:left w:val="single" w:sz="12" w:space="0" w:color="auto"/>
            </w:tcBorders>
          </w:tcPr>
          <w:p w14:paraId="2B0383AE" w14:textId="78D467D7" w:rsidR="008A7904" w:rsidRPr="00735452" w:rsidRDefault="00222F6C"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0DF759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 pika 2</w:t>
            </w:r>
          </w:p>
        </w:tc>
        <w:tc>
          <w:tcPr>
            <w:tcW w:w="5130" w:type="dxa"/>
          </w:tcPr>
          <w:p w14:paraId="57AEF15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 Rezerva e likuiditetit e grupit të mbulimit duhet të mbulojë daljen maksimale </w:t>
            </w:r>
            <w:proofErr w:type="spellStart"/>
            <w:r w:rsidRPr="00735452">
              <w:rPr>
                <w:rFonts w:ascii="Times New Roman" w:eastAsia="Times New Roman" w:hAnsi="Times New Roman" w:cs="Times New Roman"/>
                <w:sz w:val="20"/>
                <w:szCs w:val="20"/>
                <w:lang w:val="sq-AL"/>
              </w:rPr>
              <w:t>kumulative</w:t>
            </w:r>
            <w:proofErr w:type="spellEnd"/>
            <w:r w:rsidRPr="00735452">
              <w:rPr>
                <w:rFonts w:ascii="Times New Roman" w:eastAsia="Times New Roman" w:hAnsi="Times New Roman" w:cs="Times New Roman"/>
                <w:sz w:val="20"/>
                <w:szCs w:val="20"/>
                <w:lang w:val="sq-AL"/>
              </w:rPr>
              <w:t xml:space="preserve"> neto të likuiditetit gjatë 180 ditëve të ardhshme.</w:t>
            </w:r>
          </w:p>
        </w:tc>
        <w:tc>
          <w:tcPr>
            <w:tcW w:w="1440" w:type="dxa"/>
          </w:tcPr>
          <w:p w14:paraId="6D6DFF2E" w14:textId="487A8844"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2FE380B9"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263A006C" w14:textId="77777777" w:rsidTr="004D61BC">
        <w:trPr>
          <w:gridAfter w:val="1"/>
          <w:wAfter w:w="14" w:type="dxa"/>
        </w:trPr>
        <w:tc>
          <w:tcPr>
            <w:tcW w:w="800" w:type="dxa"/>
            <w:tcBorders>
              <w:left w:val="single" w:sz="12" w:space="0" w:color="auto"/>
            </w:tcBorders>
          </w:tcPr>
          <w:p w14:paraId="0A032FF9"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37540999"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rezerva e likuiditetit e portofolit të mbulimit e përmendur në paragrafin 1 të këtij neni të përbëhet nga llojet e mëposhtme të aktiveve, të ndara në përputhje me nenin 12 të kësaj Direktive:</w:t>
            </w:r>
          </w:p>
          <w:p w14:paraId="2E00F784"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aktive që kualifikohen si aktive të nivelit 1, nivelit 2A ose nivelit 2B sipas rregullores së deleguar përkatëse të miratuar sipas nenit 460 të Rregullores (BE) nr. 575/2013, të cilat vlerësohen në përputhje me atë rregullore të deleguar, dhe që nuk emetohen nga vetë institucioni i kreditit që emeton obligacionet e mbuluara, nga ndërmarrja mëmë e tij, përveçse kur bëhet fjalë për një entitet të sektorit publik që nuk është institucion krediti, nga filiali i tij ose një filial tjetër i ndërmarrjes mëmë të tij, ose nga një entitet me qëllim të posaçëm i </w:t>
            </w:r>
            <w:proofErr w:type="spellStart"/>
            <w:r w:rsidRPr="00735452">
              <w:rPr>
                <w:rFonts w:ascii="Times New Roman" w:eastAsia="Times New Roman" w:hAnsi="Times New Roman" w:cs="Times New Roman"/>
                <w:sz w:val="20"/>
                <w:szCs w:val="20"/>
                <w:lang w:val="sq-AL"/>
              </w:rPr>
              <w:t>sekuritizimit</w:t>
            </w:r>
            <w:proofErr w:type="spellEnd"/>
            <w:r w:rsidRPr="00735452">
              <w:rPr>
                <w:rFonts w:ascii="Times New Roman" w:eastAsia="Times New Roman" w:hAnsi="Times New Roman" w:cs="Times New Roman"/>
                <w:sz w:val="20"/>
                <w:szCs w:val="20"/>
                <w:lang w:val="sq-AL"/>
              </w:rPr>
              <w:t xml:space="preserve"> me të cilin institucioni i kreditit ka lidhje të ngushta;</w:t>
            </w:r>
          </w:p>
          <w:p w14:paraId="762460FC"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ekspozime afatshkurtra ndaj institucioneve të kreditit që kualifikohen për shkallën 1 ose 2 të cilësisë së kredisë, ose depozita afatshkurtra pranë institucioneve të kreditit që kualifikohen për shkallën 1, 2 ose 3 të cilësisë së kredisë, në përputhje me nenin 129, paragrafi 1, shkronja (c), të Rregullores (BE) nr. 575/2013.</w:t>
            </w:r>
          </w:p>
          <w:p w14:paraId="6CA9A22C"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mund të kufizojnë llojet e aktiveve likuide që përdoren për qëllimet e shkronjave (a) dhe (b)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w:t>
            </w:r>
          </w:p>
          <w:p w14:paraId="42BF714A"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pretendimet e pasiguruara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nga ekspozimet që konsiderohen në mospagim sipas nenit 178 të Rregullores (BE) nr. 575/2013 nuk mund të kontribuojnë në rezervën e likuiditetit të portofolit të mbulimit.</w:t>
            </w:r>
          </w:p>
          <w:p w14:paraId="4569EEBC" w14:textId="77777777" w:rsidR="008A7904" w:rsidRPr="00735452" w:rsidRDefault="008A7904" w:rsidP="008A7904">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0BF88DBF" w14:textId="55906C92" w:rsidR="008A7904" w:rsidRPr="00735452" w:rsidRDefault="00222F6C"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9629DFE"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 pikat 3-4</w:t>
            </w:r>
          </w:p>
        </w:tc>
        <w:tc>
          <w:tcPr>
            <w:tcW w:w="5130" w:type="dxa"/>
          </w:tcPr>
          <w:p w14:paraId="37540FA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3. Rezerva e likuiditetit e përmendur në pikën 1, të këtij neni përbëhet nga këto lloje aktivesh, të ndara/ </w:t>
            </w:r>
            <w:proofErr w:type="spellStart"/>
            <w:r w:rsidRPr="00735452">
              <w:rPr>
                <w:rFonts w:ascii="Times New Roman" w:eastAsia="Times New Roman" w:hAnsi="Times New Roman" w:cs="Times New Roman"/>
                <w:sz w:val="20"/>
                <w:szCs w:val="20"/>
                <w:lang w:val="sq-AL"/>
              </w:rPr>
              <w:t>segreguara</w:t>
            </w:r>
            <w:proofErr w:type="spellEnd"/>
            <w:r w:rsidRPr="00735452">
              <w:rPr>
                <w:rFonts w:ascii="Times New Roman" w:eastAsia="Times New Roman" w:hAnsi="Times New Roman" w:cs="Times New Roman"/>
                <w:sz w:val="20"/>
                <w:szCs w:val="20"/>
                <w:lang w:val="sq-AL"/>
              </w:rPr>
              <w:t xml:space="preserve"> në përputhje me nenin 11, të këtij ligji:</w:t>
            </w:r>
            <w:r w:rsidRPr="00735452">
              <w:rPr>
                <w:rFonts w:ascii="Times New Roman" w:eastAsia="Times New Roman" w:hAnsi="Times New Roman" w:cs="Times New Roman"/>
                <w:sz w:val="20"/>
                <w:szCs w:val="20"/>
                <w:lang w:val="sq-AL"/>
              </w:rPr>
              <w:br/>
              <w:t xml:space="preserve">a) aktive që kualifikohen si aktive të nivelit 1, 2A ose 2B në përputhje me kërkesat e kuadrit </w:t>
            </w:r>
            <w:proofErr w:type="spellStart"/>
            <w:r w:rsidRPr="00735452">
              <w:rPr>
                <w:rFonts w:ascii="Times New Roman" w:eastAsia="Times New Roman" w:hAnsi="Times New Roman" w:cs="Times New Roman"/>
                <w:sz w:val="20"/>
                <w:szCs w:val="20"/>
                <w:lang w:val="sq-AL"/>
              </w:rPr>
              <w:t>rregullativ</w:t>
            </w:r>
            <w:proofErr w:type="spellEnd"/>
            <w:r w:rsidRPr="00735452">
              <w:rPr>
                <w:rFonts w:ascii="Times New Roman" w:eastAsia="Times New Roman" w:hAnsi="Times New Roman" w:cs="Times New Roman"/>
                <w:sz w:val="20"/>
                <w:szCs w:val="20"/>
                <w:lang w:val="sq-AL"/>
              </w:rPr>
              <w:t xml:space="preserve"> për </w:t>
            </w:r>
            <w:proofErr w:type="spellStart"/>
            <w:r w:rsidRPr="00735452">
              <w:rPr>
                <w:rFonts w:ascii="Times New Roman" w:eastAsia="Times New Roman" w:hAnsi="Times New Roman" w:cs="Times New Roman"/>
                <w:sz w:val="20"/>
                <w:szCs w:val="20"/>
                <w:lang w:val="sq-AL"/>
              </w:rPr>
              <w:t>likuditetin</w:t>
            </w:r>
            <w:proofErr w:type="spellEnd"/>
            <w:r w:rsidRPr="00735452">
              <w:rPr>
                <w:rFonts w:ascii="Times New Roman" w:eastAsia="Times New Roman" w:hAnsi="Times New Roman" w:cs="Times New Roman"/>
                <w:sz w:val="20"/>
                <w:szCs w:val="20"/>
                <w:lang w:val="sq-AL"/>
              </w:rPr>
              <w:t xml:space="preserve"> dhe me </w:t>
            </w:r>
            <w:proofErr w:type="spellStart"/>
            <w:r w:rsidRPr="00735452">
              <w:rPr>
                <w:rFonts w:ascii="Times New Roman" w:eastAsia="Times New Roman" w:hAnsi="Times New Roman" w:cs="Times New Roman"/>
                <w:sz w:val="20"/>
                <w:szCs w:val="20"/>
                <w:lang w:val="sq-AL"/>
              </w:rPr>
              <w:t>antarësimin</w:t>
            </w:r>
            <w:proofErr w:type="spellEnd"/>
            <w:r w:rsidRPr="00735452">
              <w:rPr>
                <w:rFonts w:ascii="Times New Roman" w:eastAsia="Times New Roman" w:hAnsi="Times New Roman" w:cs="Times New Roman"/>
                <w:sz w:val="20"/>
                <w:szCs w:val="20"/>
                <w:lang w:val="sq-AL"/>
              </w:rPr>
              <w:t xml:space="preserve"> e Republikës së Shqipërisë në Bashkimin Evropian me nenin 460 të Rregullorja (BE) nr. 575/2013, të vlerësuara në përputhje me atë rregullore dhe që nuk janë emetuar nga vetë institucioni i kreditit që emeton obligacionet e mbuluara, nga shoqëria mëmë e tij (përveç rasteve kur është një subjekt i sektorit publik që nuk është institucion krediti), nga një filial i tij, nga një filial tjetër i shoqërisë mëmë, apo nga një entitet me qëllim të posaçëm për </w:t>
            </w:r>
            <w:proofErr w:type="spellStart"/>
            <w:r w:rsidRPr="00735452">
              <w:rPr>
                <w:rFonts w:ascii="Times New Roman" w:eastAsia="Times New Roman" w:hAnsi="Times New Roman" w:cs="Times New Roman"/>
                <w:sz w:val="20"/>
                <w:szCs w:val="20"/>
                <w:lang w:val="sq-AL"/>
              </w:rPr>
              <w:t>titullzim</w:t>
            </w:r>
            <w:proofErr w:type="spellEnd"/>
            <w:r w:rsidRPr="00735452">
              <w:rPr>
                <w:rFonts w:ascii="Times New Roman" w:eastAsia="Times New Roman" w:hAnsi="Times New Roman" w:cs="Times New Roman"/>
                <w:sz w:val="20"/>
                <w:szCs w:val="20"/>
                <w:lang w:val="sq-AL"/>
              </w:rPr>
              <w:t xml:space="preserve"> me të cilin institucioni ka lidhje të ngushta;</w:t>
            </w:r>
            <w:r w:rsidRPr="00735452">
              <w:rPr>
                <w:rFonts w:ascii="Times New Roman" w:eastAsia="Times New Roman" w:hAnsi="Times New Roman" w:cs="Times New Roman"/>
                <w:sz w:val="20"/>
                <w:szCs w:val="20"/>
                <w:lang w:val="sq-AL"/>
              </w:rPr>
              <w:br/>
              <w:t>b) ekspozime afatshkurtra ndaj institucioneve të kreditit që kualifikohen në shkallën e cilësisë së kredisë 1 ose 2, ose depozita afatshkurtra pranë institucioneve të kreditit që kualifikohen në shkallën e cilësisë së kredisë 1, 2 ose 3, në përputhje me kërkesat e kuadrit rregullator për kapitalin dhe me anëtarësimin e Republikës së Shqipërisë në Bashkimin Evropian me nenin 129, pika 1, germa “c”, të Rregullorja (BE) nr. 575/2013.</w:t>
            </w:r>
            <w:r w:rsidRPr="00735452">
              <w:rPr>
                <w:rFonts w:ascii="Times New Roman" w:eastAsia="Times New Roman" w:hAnsi="Times New Roman" w:cs="Times New Roman"/>
                <w:sz w:val="20"/>
                <w:szCs w:val="20"/>
                <w:lang w:val="sq-AL"/>
              </w:rPr>
              <w:br/>
              <w:t>Autoriteti mund të kufizojë llojet e aktiveve likuide që përdoren për qëllimet e shkronjave “a” dhe “b”, të kësaj pike.</w:t>
            </w:r>
            <w:r w:rsidRPr="00735452">
              <w:rPr>
                <w:rFonts w:ascii="Times New Roman" w:eastAsia="Times New Roman" w:hAnsi="Times New Roman" w:cs="Times New Roman"/>
                <w:sz w:val="20"/>
                <w:szCs w:val="20"/>
                <w:lang w:val="sq-AL"/>
              </w:rPr>
              <w:br/>
              <w:t>4. Pretendimet e pasiguruara/</w:t>
            </w:r>
            <w:proofErr w:type="spellStart"/>
            <w:r w:rsidRPr="00735452">
              <w:rPr>
                <w:rFonts w:ascii="Times New Roman" w:eastAsia="Times New Roman" w:hAnsi="Times New Roman" w:cs="Times New Roman"/>
                <w:sz w:val="20"/>
                <w:szCs w:val="20"/>
                <w:lang w:val="sq-AL"/>
              </w:rPr>
              <w:t>pakolateralizuara</w:t>
            </w:r>
            <w:proofErr w:type="spellEnd"/>
            <w:r w:rsidRPr="00735452">
              <w:rPr>
                <w:rFonts w:ascii="Times New Roman" w:eastAsia="Times New Roman" w:hAnsi="Times New Roman" w:cs="Times New Roman"/>
                <w:sz w:val="20"/>
                <w:szCs w:val="20"/>
                <w:lang w:val="sq-AL"/>
              </w:rPr>
              <w:t xml:space="preserve"> që rrjedhin nga ekspozime të konsideruara në </w:t>
            </w:r>
            <w:proofErr w:type="spellStart"/>
            <w:r w:rsidRPr="00735452">
              <w:rPr>
                <w:rFonts w:ascii="Times New Roman" w:eastAsia="Times New Roman" w:hAnsi="Times New Roman" w:cs="Times New Roman"/>
                <w:sz w:val="20"/>
                <w:szCs w:val="20"/>
                <w:lang w:val="sq-AL"/>
              </w:rPr>
              <w:t>mospërmbushje</w:t>
            </w:r>
            <w:proofErr w:type="spellEnd"/>
            <w:r w:rsidRPr="00735452">
              <w:rPr>
                <w:rFonts w:ascii="Times New Roman" w:eastAsia="Times New Roman" w:hAnsi="Times New Roman" w:cs="Times New Roman"/>
                <w:sz w:val="20"/>
                <w:szCs w:val="20"/>
                <w:lang w:val="sq-AL"/>
              </w:rPr>
              <w:t xml:space="preserve"> të detyrimeve në përputhje me kërkesat e kuadrit rregullator për administrimin e rrezikut të kredisë dhe me </w:t>
            </w:r>
            <w:proofErr w:type="spellStart"/>
            <w:r w:rsidRPr="00735452">
              <w:rPr>
                <w:rFonts w:ascii="Times New Roman" w:eastAsia="Times New Roman" w:hAnsi="Times New Roman" w:cs="Times New Roman"/>
                <w:sz w:val="20"/>
                <w:szCs w:val="20"/>
                <w:lang w:val="sq-AL"/>
              </w:rPr>
              <w:t>antarësimin</w:t>
            </w:r>
            <w:proofErr w:type="spellEnd"/>
            <w:r w:rsidRPr="00735452">
              <w:rPr>
                <w:rFonts w:ascii="Times New Roman" w:eastAsia="Times New Roman" w:hAnsi="Times New Roman" w:cs="Times New Roman"/>
                <w:sz w:val="20"/>
                <w:szCs w:val="20"/>
                <w:lang w:val="sq-AL"/>
              </w:rPr>
              <w:t xml:space="preserve"> e Republikës </w:t>
            </w:r>
            <w:proofErr w:type="spellStart"/>
            <w:r w:rsidRPr="00735452">
              <w:rPr>
                <w:rFonts w:ascii="Times New Roman" w:eastAsia="Times New Roman" w:hAnsi="Times New Roman" w:cs="Times New Roman"/>
                <w:sz w:val="20"/>
                <w:szCs w:val="20"/>
                <w:lang w:val="sq-AL"/>
              </w:rPr>
              <w:t>sëShqipërisë</w:t>
            </w:r>
            <w:proofErr w:type="spellEnd"/>
            <w:r w:rsidRPr="00735452">
              <w:rPr>
                <w:rFonts w:ascii="Times New Roman" w:eastAsia="Times New Roman" w:hAnsi="Times New Roman" w:cs="Times New Roman"/>
                <w:sz w:val="20"/>
                <w:szCs w:val="20"/>
                <w:lang w:val="sq-AL"/>
              </w:rPr>
              <w:t xml:space="preserve"> në Bashkimin Evropian me nenin 178 të rregullores(BE) nr. 575/2013 nuk mund të përfshihen në rezervën e likuiditetit të grupit të mbulimit.</w:t>
            </w:r>
          </w:p>
        </w:tc>
        <w:tc>
          <w:tcPr>
            <w:tcW w:w="1440" w:type="dxa"/>
          </w:tcPr>
          <w:p w14:paraId="2EE99FEF" w14:textId="32124D44"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3A96FFC"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4861936C" w14:textId="77777777" w:rsidTr="004D61BC">
        <w:trPr>
          <w:gridAfter w:val="1"/>
          <w:wAfter w:w="14" w:type="dxa"/>
        </w:trPr>
        <w:tc>
          <w:tcPr>
            <w:tcW w:w="800" w:type="dxa"/>
            <w:tcBorders>
              <w:left w:val="single" w:sz="12" w:space="0" w:color="auto"/>
            </w:tcBorders>
          </w:tcPr>
          <w:p w14:paraId="1A2EFBF7"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1784E636"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Kur institucionet e kreditit që emetojnë obligacione të mbuluara i nënshtrohen kërkesave të likuiditetit të përcaktuara </w:t>
            </w:r>
            <w:r w:rsidRPr="00735452">
              <w:rPr>
                <w:rFonts w:ascii="Times New Roman" w:eastAsia="Times New Roman" w:hAnsi="Times New Roman" w:cs="Times New Roman"/>
                <w:sz w:val="20"/>
                <w:szCs w:val="20"/>
                <w:lang w:val="sq-AL"/>
              </w:rPr>
              <w:lastRenderedPageBreak/>
              <w:t xml:space="preserve">në akte të tjera juridike të Bashkimit, të cilat krijojnë mbivendosje me rezervën e likuiditetit të portofolit të mbulimit, shtetet anëtare mund të vendosin të mos zbatojnë dispozitat e ligjit kombëtar që </w:t>
            </w:r>
            <w:proofErr w:type="spellStart"/>
            <w:r w:rsidRPr="00735452">
              <w:rPr>
                <w:rFonts w:ascii="Times New Roman" w:eastAsia="Times New Roman" w:hAnsi="Times New Roman" w:cs="Times New Roman"/>
                <w:sz w:val="20"/>
                <w:szCs w:val="20"/>
                <w:lang w:val="sq-AL"/>
              </w:rPr>
              <w:t>transpozojnë</w:t>
            </w:r>
            <w:proofErr w:type="spellEnd"/>
            <w:r w:rsidRPr="00735452">
              <w:rPr>
                <w:rFonts w:ascii="Times New Roman" w:eastAsia="Times New Roman" w:hAnsi="Times New Roman" w:cs="Times New Roman"/>
                <w:sz w:val="20"/>
                <w:szCs w:val="20"/>
                <w:lang w:val="sq-AL"/>
              </w:rPr>
              <w:t xml:space="preserve"> paragrafët 1, 2 dhe 3 për periudhën e parashikuar në ato akte juridike të Bashkimit. Shtetet anëtare mund ta ushtrojnë këtë mundësi vetëm deri në datën kur bëhet i zbatueshëm një ndryshim i atyre akteve juridike të Bashkimit që eliminon mbivendosjen dhe informojnë Komisionin dhe EBA-n kur e ushtrojnë këtë mundësi.</w:t>
            </w:r>
          </w:p>
        </w:tc>
        <w:tc>
          <w:tcPr>
            <w:tcW w:w="624" w:type="dxa"/>
            <w:tcBorders>
              <w:left w:val="single" w:sz="12" w:space="0" w:color="auto"/>
            </w:tcBorders>
          </w:tcPr>
          <w:p w14:paraId="608050ED" w14:textId="1BBC8975" w:rsidR="008A7904" w:rsidRPr="00735452" w:rsidRDefault="004C2052"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35AD6D7D"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 pika 6</w:t>
            </w:r>
          </w:p>
        </w:tc>
        <w:tc>
          <w:tcPr>
            <w:tcW w:w="5130" w:type="dxa"/>
          </w:tcPr>
          <w:p w14:paraId="36224B28" w14:textId="77777777" w:rsidR="00D533C4" w:rsidRPr="00D533C4" w:rsidRDefault="00B82C36" w:rsidP="00D533C4">
            <w:pPr>
              <w:pStyle w:val="isselectedend"/>
              <w:jc w:val="both"/>
              <w:rPr>
                <w:sz w:val="20"/>
                <w:szCs w:val="20"/>
                <w:lang w:val="sq-AL"/>
              </w:rPr>
            </w:pPr>
            <w:r w:rsidRPr="00D533C4">
              <w:rPr>
                <w:sz w:val="20"/>
                <w:szCs w:val="20"/>
                <w:lang w:val="sq-AL"/>
              </w:rPr>
              <w:t xml:space="preserve">6. </w:t>
            </w:r>
            <w:r w:rsidR="00D533C4" w:rsidRPr="00D533C4">
              <w:rPr>
                <w:sz w:val="20"/>
                <w:szCs w:val="20"/>
                <w:lang w:val="sq-AL"/>
              </w:rPr>
              <w:t xml:space="preserve">Kur institucionet e kreditit që emetojnë obligacione të mbuluara u nënshtrohen kërkesave për likuiditet të </w:t>
            </w:r>
            <w:r w:rsidR="00D533C4" w:rsidRPr="00D533C4">
              <w:rPr>
                <w:sz w:val="20"/>
                <w:szCs w:val="20"/>
                <w:lang w:val="sq-AL"/>
              </w:rPr>
              <w:lastRenderedPageBreak/>
              <w:t>përcaktuara në akte të tjera ligjore, të cilat sjellin mbivendosje me kërkesën për rezervën e likuiditetit të grupit të mbulimit, Autoriteti mund të vendosë moszbatimin e dispozitave të pikave 1, 2 dhe 3 të këtij neni për periudhën e parashikuar në këto akte. Autoriteti mund ta ushtrojë këtë të drejtë vetëm deri në datën kur bëhen të zbatueshme ndryshimet në aktet përkatëse që eliminojnë këtë mbivendosje. Nga data e anëtarësimit të Republikës së Shqipërisë në Bashkimin Evropian, Autoriteti njofton Komisionin Evropian dhe Autoritetin Bankar Evropian (EBA) sa herë që ushtron të drejtën e parashikuar në këtë pikë.</w:t>
            </w:r>
          </w:p>
          <w:p w14:paraId="594E22A2" w14:textId="5CAA132C" w:rsidR="003E7E51" w:rsidRPr="00D533C4" w:rsidRDefault="003E7E51">
            <w:pPr>
              <w:spacing w:after="0" w:line="240" w:lineRule="auto"/>
              <w:rPr>
                <w:rFonts w:ascii="Times New Roman" w:hAnsi="Times New Roman" w:cs="Times New Roman"/>
                <w:sz w:val="20"/>
                <w:szCs w:val="20"/>
                <w:lang w:val="sq-AL"/>
              </w:rPr>
            </w:pPr>
          </w:p>
        </w:tc>
        <w:tc>
          <w:tcPr>
            <w:tcW w:w="1440" w:type="dxa"/>
          </w:tcPr>
          <w:p w14:paraId="259392F8" w14:textId="251C92B2"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97A0013"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43F796B4" w14:textId="77777777" w:rsidTr="004D61BC">
        <w:trPr>
          <w:gridAfter w:val="1"/>
          <w:wAfter w:w="14" w:type="dxa"/>
        </w:trPr>
        <w:tc>
          <w:tcPr>
            <w:tcW w:w="800" w:type="dxa"/>
            <w:tcBorders>
              <w:left w:val="single" w:sz="12" w:space="0" w:color="auto"/>
            </w:tcBorders>
          </w:tcPr>
          <w:p w14:paraId="62616AC0"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4E4943C1"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mund të lejojnë që llogaritja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për strukturat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xml:space="preserve"> të bazohet në datën përfundimtare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në përputhje me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obligacionit të mbuluar.</w:t>
            </w:r>
          </w:p>
        </w:tc>
        <w:tc>
          <w:tcPr>
            <w:tcW w:w="624" w:type="dxa"/>
            <w:tcBorders>
              <w:left w:val="single" w:sz="12" w:space="0" w:color="auto"/>
            </w:tcBorders>
          </w:tcPr>
          <w:p w14:paraId="6BB9348D" w14:textId="3B901D98" w:rsidR="008A7904" w:rsidRPr="00735452" w:rsidRDefault="004C2052"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B22059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 pika 5</w:t>
            </w:r>
          </w:p>
        </w:tc>
        <w:tc>
          <w:tcPr>
            <w:tcW w:w="5130" w:type="dxa"/>
          </w:tcPr>
          <w:p w14:paraId="233CB81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Për qëllime të llogaritjes së daljeve neto të likuiditetit sipas pikës 2, të këtij neni, në rast të strukturave me zgjatje të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llogaritja e </w:t>
            </w:r>
            <w:proofErr w:type="spellStart"/>
            <w:r w:rsidRPr="00735452">
              <w:rPr>
                <w:rFonts w:ascii="Times New Roman" w:eastAsia="Times New Roman" w:hAnsi="Times New Roman" w:cs="Times New Roman"/>
                <w:sz w:val="20"/>
                <w:szCs w:val="20"/>
                <w:lang w:val="sq-AL"/>
              </w:rPr>
              <w:t>principalit</w:t>
            </w:r>
            <w:proofErr w:type="spellEnd"/>
            <w:r w:rsidRPr="00735452">
              <w:rPr>
                <w:rFonts w:ascii="Times New Roman" w:eastAsia="Times New Roman" w:hAnsi="Times New Roman" w:cs="Times New Roman"/>
                <w:sz w:val="20"/>
                <w:szCs w:val="20"/>
                <w:lang w:val="sq-AL"/>
              </w:rPr>
              <w:t xml:space="preserve"> bazohet në datën përfundimtare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obligacioneve të mbuluara, në përputhje me termat dhe  kushtet e këtyre obligacioneve.</w:t>
            </w:r>
          </w:p>
        </w:tc>
        <w:tc>
          <w:tcPr>
            <w:tcW w:w="1440" w:type="dxa"/>
          </w:tcPr>
          <w:p w14:paraId="6B6EFC1B" w14:textId="7B7F5CBD"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BCA8907"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45E816E5" w14:textId="77777777" w:rsidTr="004D61BC">
        <w:trPr>
          <w:gridAfter w:val="1"/>
          <w:wAfter w:w="14" w:type="dxa"/>
        </w:trPr>
        <w:tc>
          <w:tcPr>
            <w:tcW w:w="800" w:type="dxa"/>
            <w:tcBorders>
              <w:left w:val="single" w:sz="12" w:space="0" w:color="auto"/>
            </w:tcBorders>
          </w:tcPr>
          <w:p w14:paraId="0C5D43F9"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6</w:t>
            </w:r>
          </w:p>
        </w:tc>
        <w:tc>
          <w:tcPr>
            <w:tcW w:w="5220" w:type="dxa"/>
            <w:tcBorders>
              <w:right w:val="single" w:sz="12" w:space="0" w:color="auto"/>
            </w:tcBorders>
          </w:tcPr>
          <w:p w14:paraId="71054CFE"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mund të parashikojnë që paragrafi 1 të mos zbatohet për obligacionet e mbuluara që i nënshtrohen kërkesave për përputhjen e financimit.</w:t>
            </w:r>
          </w:p>
        </w:tc>
        <w:tc>
          <w:tcPr>
            <w:tcW w:w="624" w:type="dxa"/>
            <w:tcBorders>
              <w:left w:val="single" w:sz="12" w:space="0" w:color="auto"/>
            </w:tcBorders>
          </w:tcPr>
          <w:p w14:paraId="7367AC8C" w14:textId="5D3752F2" w:rsidR="008A7904" w:rsidRPr="00735452" w:rsidRDefault="004C40F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B5375D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 pika 7</w:t>
            </w:r>
          </w:p>
        </w:tc>
        <w:tc>
          <w:tcPr>
            <w:tcW w:w="5130" w:type="dxa"/>
          </w:tcPr>
          <w:p w14:paraId="7BDD74A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7. Institucioni i kreditit emetues mund të parashikojë që pika 1 të këtij neni, të mos zbatohet për obligacionet e mbuluara që i nënshtrohen kërkesave të përputhjes së financimit (“</w:t>
            </w:r>
            <w:proofErr w:type="spellStart"/>
            <w:r w:rsidRPr="00735452">
              <w:rPr>
                <w:rFonts w:ascii="Times New Roman" w:eastAsia="Times New Roman" w:hAnsi="Times New Roman" w:cs="Times New Roman"/>
                <w:sz w:val="20"/>
                <w:szCs w:val="20"/>
                <w:lang w:val="sq-AL"/>
              </w:rPr>
              <w:t>match</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funding</w:t>
            </w:r>
            <w:proofErr w:type="spellEnd"/>
            <w:r w:rsidRPr="00735452">
              <w:rPr>
                <w:rFonts w:ascii="Times New Roman" w:eastAsia="Times New Roman" w:hAnsi="Times New Roman" w:cs="Times New Roman"/>
                <w:sz w:val="20"/>
                <w:szCs w:val="20"/>
                <w:lang w:val="sq-AL"/>
              </w:rPr>
              <w:t>”).</w:t>
            </w:r>
          </w:p>
        </w:tc>
        <w:tc>
          <w:tcPr>
            <w:tcW w:w="1440" w:type="dxa"/>
          </w:tcPr>
          <w:p w14:paraId="79D01A21" w14:textId="3D0E789E"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F875581"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3DB776D7" w14:textId="77777777" w:rsidTr="004D61BC">
        <w:trPr>
          <w:gridAfter w:val="1"/>
          <w:wAfter w:w="14" w:type="dxa"/>
        </w:trPr>
        <w:tc>
          <w:tcPr>
            <w:tcW w:w="800" w:type="dxa"/>
            <w:tcBorders>
              <w:left w:val="single" w:sz="12" w:space="0" w:color="auto"/>
            </w:tcBorders>
          </w:tcPr>
          <w:p w14:paraId="73C331A5"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17</w:t>
            </w:r>
          </w:p>
          <w:p w14:paraId="22547AB5"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1DF43DA9"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mund të lejojnë emetimin e obligacioneve të mbuluara me struktura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xml:space="preserve"> kur mbrojtja e investitorëve sigurohet të paktën nga sa vijon:</w:t>
            </w:r>
          </w:p>
          <w:p w14:paraId="3DEE2FF2"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maturiteti mund të zgjatet vetëm në varësi të shkaqeve objektive të specifikuara në ligjin kombëtar, dhe jo sipas </w:t>
            </w:r>
            <w:proofErr w:type="spellStart"/>
            <w:r w:rsidRPr="00735452">
              <w:rPr>
                <w:rFonts w:ascii="Times New Roman" w:eastAsia="Times New Roman" w:hAnsi="Times New Roman" w:cs="Times New Roman"/>
                <w:sz w:val="20"/>
                <w:szCs w:val="20"/>
                <w:lang w:val="sq-AL"/>
              </w:rPr>
              <w:t>diskrecionit</w:t>
            </w:r>
            <w:proofErr w:type="spellEnd"/>
            <w:r w:rsidRPr="00735452">
              <w:rPr>
                <w:rFonts w:ascii="Times New Roman" w:eastAsia="Times New Roman" w:hAnsi="Times New Roman" w:cs="Times New Roman"/>
                <w:sz w:val="20"/>
                <w:szCs w:val="20"/>
                <w:lang w:val="sq-AL"/>
              </w:rPr>
              <w:t xml:space="preserve"> të institucionit të kreditit që emeton obligacionet e mbuluara;</w:t>
            </w:r>
          </w:p>
          <w:p w14:paraId="75B22F8D"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shkaqet që aktivizojnë zgjatjen e maturitetit përcaktohen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obligacionit të mbuluar;</w:t>
            </w:r>
          </w:p>
          <w:p w14:paraId="4FD72FDB"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informacioni që u jepet investitorëve për strukturën e maturitetit është i mjaftueshëm për t’u mundësuar atyre të përcaktojnë rrezikun e obligacionit të mbuluar dhe përfshin një përshkrim të detajuar të:</w:t>
            </w:r>
          </w:p>
          <w:p w14:paraId="0D53B350"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(i) shkaqeve që aktivizojnë zgjatjen e maturitetit;</w:t>
            </w:r>
          </w:p>
          <w:p w14:paraId="5F12B3DD"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pasojave që falimentimi ose zgjidhja e institucionit të kreditit që emeton obligacionet e mbuluara sjell për zgjatjen e maturitetit;</w:t>
            </w:r>
          </w:p>
          <w:p w14:paraId="6B8B2124"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rolit të autoriteteve kompetente të përcaktuara sipas nenit 18, paragrafi 2, dhe, kur është e nevojshme, të administratorit të posaçëm, lidhur me zgjatjen e maturitetit;</w:t>
            </w:r>
          </w:p>
          <w:p w14:paraId="53834595"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data përfundimtare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obligacionit të mbuluar është e përcaktueshme në çdo kohë;</w:t>
            </w:r>
          </w:p>
          <w:p w14:paraId="6E11475B"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(e) në rast falimentimi ose zgjidhjeje të institucionit të kreditit që emeton obligacionet e mbuluara, zgjatjet e maturitetit nuk prekin renditjen e investitorëve në obligacione të mbuluara dhe nuk përmbysin rendin e planifikuar fillestar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programit të obligacioneve të mbuluara;</w:t>
            </w:r>
          </w:p>
          <w:p w14:paraId="27EB7348"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(f) zgjatja e maturitetit nuk ndryshon tiparet strukturore të obligacioneve të mbuluara sa i përket regresit të dyfishtë të përmendur në nenin 4 dhe izolimit nga falimentimi të përmendur në nenin 5.</w:t>
            </w:r>
          </w:p>
        </w:tc>
        <w:tc>
          <w:tcPr>
            <w:tcW w:w="624" w:type="dxa"/>
            <w:tcBorders>
              <w:left w:val="single" w:sz="12" w:space="0" w:color="auto"/>
            </w:tcBorders>
          </w:tcPr>
          <w:p w14:paraId="0EB26980" w14:textId="30FFF23F" w:rsidR="008A7904" w:rsidRPr="00735452" w:rsidRDefault="004C40F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6D860CE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18, pika 1</w:t>
            </w:r>
          </w:p>
        </w:tc>
        <w:tc>
          <w:tcPr>
            <w:tcW w:w="5130" w:type="dxa"/>
          </w:tcPr>
          <w:p w14:paraId="4AA98C4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Institucioni i kreditit mund të emetojë obligacione të mbuluara të cilat në strukturën e tyre parashikojnë zgjatje të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me kusht që të garantohet mbrojtja e investitorëve, të paktën nëpërmjet përmbushjes së kërkesave të mëposhtme:</w:t>
            </w:r>
            <w:r w:rsidRPr="00735452">
              <w:rPr>
                <w:rFonts w:ascii="Times New Roman" w:eastAsia="Times New Roman" w:hAnsi="Times New Roman" w:cs="Times New Roman"/>
                <w:sz w:val="20"/>
                <w:szCs w:val="20"/>
                <w:lang w:val="sq-AL"/>
              </w:rPr>
              <w:br/>
              <w:t xml:space="preserve">a) zgjatja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lejohet vetëm në bazë të kushteve objektive të përcaktuara në këtë ligj ose në aktet nënligjore përkatëse dhe nuk mund të bëhet sipas gjykimit të institucionit të kreditit emetues;</w:t>
            </w:r>
            <w:r w:rsidRPr="00735452">
              <w:rPr>
                <w:rFonts w:ascii="Times New Roman" w:eastAsia="Times New Roman" w:hAnsi="Times New Roman" w:cs="Times New Roman"/>
                <w:sz w:val="20"/>
                <w:szCs w:val="20"/>
                <w:lang w:val="sq-AL"/>
              </w:rPr>
              <w:br/>
              <w:t xml:space="preserve">b) shkaqet që nxisin zgjatjen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përcaktohen në mënyrë të qartë në kushtet dhe termat e obligacionit të mbuluar;</w:t>
            </w:r>
            <w:r w:rsidRPr="00735452">
              <w:rPr>
                <w:rFonts w:ascii="Times New Roman" w:eastAsia="Times New Roman" w:hAnsi="Times New Roman" w:cs="Times New Roman"/>
                <w:sz w:val="20"/>
                <w:szCs w:val="20"/>
                <w:lang w:val="sq-AL"/>
              </w:rPr>
              <w:br/>
              <w:t xml:space="preserve">c) informacioni i dhënë investitorëve në lidhje me strukturën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është i mjaftueshëm për t'u mundësuar atyre vlerësimin e rrezikut të obligacionit të mbuluar dhe përfshin një përshkrim të detajuar të:</w:t>
            </w:r>
            <w:r w:rsidRPr="00735452">
              <w:rPr>
                <w:rFonts w:ascii="Times New Roman" w:eastAsia="Times New Roman" w:hAnsi="Times New Roman" w:cs="Times New Roman"/>
                <w:sz w:val="20"/>
                <w:szCs w:val="20"/>
                <w:lang w:val="sq-AL"/>
              </w:rPr>
              <w:br/>
              <w:t xml:space="preserve">(i) kushteve që nxisin zgjatjen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xml:space="preserve">) pasojave të zgjatjes së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në rast të </w:t>
            </w:r>
            <w:r w:rsidRPr="00735452">
              <w:rPr>
                <w:rFonts w:ascii="Times New Roman" w:eastAsia="Times New Roman" w:hAnsi="Times New Roman" w:cs="Times New Roman"/>
                <w:sz w:val="20"/>
                <w:szCs w:val="20"/>
                <w:lang w:val="sq-AL"/>
              </w:rPr>
              <w:lastRenderedPageBreak/>
              <w:t xml:space="preserve">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të institucionit të kreditit emetues;</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xml:space="preserve">) rolit të autoriteteve përgjegjëse dhe, sipas rastit, të administratorit të posaçëm në lidhje me zgjatjen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ç) data përfundimtare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obligacionit të mbuluar është në çdo kohë e përcaktuar;</w:t>
            </w:r>
            <w:r w:rsidRPr="00735452">
              <w:rPr>
                <w:rFonts w:ascii="Times New Roman" w:eastAsia="Times New Roman" w:hAnsi="Times New Roman" w:cs="Times New Roman"/>
                <w:sz w:val="20"/>
                <w:szCs w:val="20"/>
                <w:lang w:val="sq-AL"/>
              </w:rPr>
              <w:br/>
              <w:t xml:space="preserve">d)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të institucionit të kreditit emetues, zgjatja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nuk ndikon në renditjen e investitorëve në obligacione të mbuluara dhe nuk ndryshon rendin fillestar të </w:t>
            </w:r>
            <w:proofErr w:type="spellStart"/>
            <w:r w:rsidRPr="00735452">
              <w:rPr>
                <w:rFonts w:ascii="Times New Roman" w:eastAsia="Times New Roman" w:hAnsi="Times New Roman" w:cs="Times New Roman"/>
                <w:sz w:val="20"/>
                <w:szCs w:val="20"/>
                <w:lang w:val="sq-AL"/>
              </w:rPr>
              <w:t>maturimeve</w:t>
            </w:r>
            <w:proofErr w:type="spellEnd"/>
            <w:r w:rsidRPr="00735452">
              <w:rPr>
                <w:rFonts w:ascii="Times New Roman" w:eastAsia="Times New Roman" w:hAnsi="Times New Roman" w:cs="Times New Roman"/>
                <w:sz w:val="20"/>
                <w:szCs w:val="20"/>
                <w:lang w:val="sq-AL"/>
              </w:rPr>
              <w:t xml:space="preserve"> të programit të obligacioneve të mbuluara;</w:t>
            </w:r>
            <w:r w:rsidRPr="00735452">
              <w:rPr>
                <w:rFonts w:ascii="Times New Roman" w:eastAsia="Times New Roman" w:hAnsi="Times New Roman" w:cs="Times New Roman"/>
                <w:sz w:val="20"/>
                <w:szCs w:val="20"/>
                <w:lang w:val="sq-AL"/>
              </w:rPr>
              <w:br/>
              <w:t xml:space="preserve">dh) zgjatja e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nuk ndryshon karakteristikat strukturore të obligacioneve të mbuluara në lidhje me të drejtën e mbrojtjes së dyfishtë sipas nenit 4, të këtij ligji dhe mbrojtjen nga falimentimi sipas nenit 5, të këtij ligji.</w:t>
            </w:r>
          </w:p>
        </w:tc>
        <w:tc>
          <w:tcPr>
            <w:tcW w:w="1440" w:type="dxa"/>
          </w:tcPr>
          <w:p w14:paraId="65774699" w14:textId="0C2DC3C1"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BDC4E60"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65E984B8" w14:textId="77777777" w:rsidTr="004D61BC">
        <w:trPr>
          <w:gridAfter w:val="1"/>
          <w:wAfter w:w="14" w:type="dxa"/>
        </w:trPr>
        <w:tc>
          <w:tcPr>
            <w:tcW w:w="800" w:type="dxa"/>
            <w:tcBorders>
              <w:left w:val="single" w:sz="12" w:space="0" w:color="auto"/>
            </w:tcBorders>
          </w:tcPr>
          <w:p w14:paraId="4256F843"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1D7EFA3C"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që lejojnë emetimin e obligacioneve të mbuluara me struktura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xml:space="preserve"> e njoftojnë EBA-n për këtë.</w:t>
            </w:r>
          </w:p>
        </w:tc>
        <w:tc>
          <w:tcPr>
            <w:tcW w:w="624" w:type="dxa"/>
            <w:tcBorders>
              <w:left w:val="single" w:sz="12" w:space="0" w:color="auto"/>
            </w:tcBorders>
          </w:tcPr>
          <w:p w14:paraId="2B5285BF" w14:textId="56077D54" w:rsidR="008A7904" w:rsidRPr="00735452" w:rsidRDefault="004C40F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7E1C1D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18, pika 2</w:t>
            </w:r>
          </w:p>
        </w:tc>
        <w:tc>
          <w:tcPr>
            <w:tcW w:w="5130" w:type="dxa"/>
          </w:tcPr>
          <w:p w14:paraId="4AD5F33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 Autoriteti njofton Autoritetin Evropian Bankar (EBA) në rast se lejohet emetimi i obligacioneve të mbuluara me strukturë që parashikon zgjatje të afatit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p>
        </w:tc>
        <w:tc>
          <w:tcPr>
            <w:tcW w:w="1440" w:type="dxa"/>
          </w:tcPr>
          <w:p w14:paraId="0CE0D2A9" w14:textId="7F8470B6"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27FE6806"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575EFC17" w14:textId="77777777" w:rsidTr="004D61BC">
        <w:trPr>
          <w:gridAfter w:val="1"/>
          <w:wAfter w:w="14" w:type="dxa"/>
        </w:trPr>
        <w:tc>
          <w:tcPr>
            <w:tcW w:w="800" w:type="dxa"/>
            <w:tcBorders>
              <w:left w:val="single" w:sz="12" w:space="0" w:color="auto"/>
            </w:tcBorders>
          </w:tcPr>
          <w:p w14:paraId="4A957F2E"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18</w:t>
            </w:r>
          </w:p>
          <w:p w14:paraId="643CD69C"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0D0202C8"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mbrojtjen e investitorëve duke parashikuar që emetimi i obligacioneve të mbuluara t’i nënshtrohet mbikëqyrjes publike të obligacioneve të mbuluara.</w:t>
            </w:r>
          </w:p>
        </w:tc>
        <w:tc>
          <w:tcPr>
            <w:tcW w:w="624" w:type="dxa"/>
            <w:tcBorders>
              <w:left w:val="single" w:sz="12" w:space="0" w:color="auto"/>
            </w:tcBorders>
          </w:tcPr>
          <w:p w14:paraId="2131598C" w14:textId="30C5F632" w:rsidR="008A7904" w:rsidRPr="00735452" w:rsidRDefault="004C40F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D450DB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19, pika 1</w:t>
            </w:r>
          </w:p>
        </w:tc>
        <w:tc>
          <w:tcPr>
            <w:tcW w:w="5130" w:type="dxa"/>
          </w:tcPr>
          <w:p w14:paraId="5D2D59F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Me qëllim garantimin e mbrojtjes së investitorëve, emetimi i obligacioneve të mbuluara i nënshtrohet mbikëqyrjes publike.</w:t>
            </w:r>
          </w:p>
        </w:tc>
        <w:tc>
          <w:tcPr>
            <w:tcW w:w="1440" w:type="dxa"/>
          </w:tcPr>
          <w:p w14:paraId="2FE02847" w14:textId="66469681"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575E856"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393E39CD" w14:textId="77777777" w:rsidTr="004D61BC">
        <w:trPr>
          <w:gridAfter w:val="1"/>
          <w:wAfter w:w="14" w:type="dxa"/>
        </w:trPr>
        <w:tc>
          <w:tcPr>
            <w:tcW w:w="800" w:type="dxa"/>
            <w:tcBorders>
              <w:left w:val="single" w:sz="12" w:space="0" w:color="auto"/>
            </w:tcBorders>
          </w:tcPr>
          <w:p w14:paraId="71F9D7D1"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18D9687C"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Për qëllimet e mbikëqyrjes publike të obligacioneve të mbuluara të përmendur në paragrafin 1, shtetet anëtare caktojnë një ose më shumë autoritete kompetente. Ato informojnë Komisionin dhe EBA-n për këto autoritete të caktuara dhe tregojnë çdo ndarje të funksioneve dhe detyrave.</w:t>
            </w:r>
          </w:p>
        </w:tc>
        <w:tc>
          <w:tcPr>
            <w:tcW w:w="624" w:type="dxa"/>
            <w:tcBorders>
              <w:left w:val="single" w:sz="12" w:space="0" w:color="auto"/>
            </w:tcBorders>
          </w:tcPr>
          <w:p w14:paraId="678A24C0" w14:textId="366C3B5F" w:rsidR="008A7904" w:rsidRPr="00735452" w:rsidRDefault="00D16FB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9B0D36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19, pika 2</w:t>
            </w:r>
          </w:p>
        </w:tc>
        <w:tc>
          <w:tcPr>
            <w:tcW w:w="5130" w:type="dxa"/>
          </w:tcPr>
          <w:p w14:paraId="4FAC229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Autoriteti është autoriteti përgjegjës për ushtrimin e mbikëqyrjes publike të obligacioneve të mbuluara.</w:t>
            </w:r>
          </w:p>
        </w:tc>
        <w:tc>
          <w:tcPr>
            <w:tcW w:w="1440" w:type="dxa"/>
          </w:tcPr>
          <w:p w14:paraId="19B6D4F8" w14:textId="122C57AD"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614DBBA"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1BA89772" w14:textId="77777777" w:rsidTr="004D61BC">
        <w:trPr>
          <w:gridAfter w:val="1"/>
          <w:wAfter w:w="14" w:type="dxa"/>
        </w:trPr>
        <w:tc>
          <w:tcPr>
            <w:tcW w:w="800" w:type="dxa"/>
            <w:tcBorders>
              <w:left w:val="single" w:sz="12" w:space="0" w:color="auto"/>
            </w:tcBorders>
          </w:tcPr>
          <w:p w14:paraId="233C2F09"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3460961D"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autoritetet kompetente të përcaktuara sipas paragrafit 2 të monitorojnë emetimin e obligacioneve të mbuluara për të vlerësuar pajtueshmërinë me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w:t>
            </w:r>
          </w:p>
        </w:tc>
        <w:tc>
          <w:tcPr>
            <w:tcW w:w="624" w:type="dxa"/>
            <w:tcBorders>
              <w:left w:val="single" w:sz="12" w:space="0" w:color="auto"/>
            </w:tcBorders>
          </w:tcPr>
          <w:p w14:paraId="786B9E77" w14:textId="210A01DE" w:rsidR="008A7904" w:rsidRPr="00735452" w:rsidRDefault="00D16FB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3AB237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19, pika 5</w:t>
            </w:r>
          </w:p>
        </w:tc>
        <w:tc>
          <w:tcPr>
            <w:tcW w:w="5130" w:type="dxa"/>
          </w:tcPr>
          <w:p w14:paraId="677C0C74"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5. Autoriteti monitoron emetimin e obligacioneve të mbuluara për të vlerësuar përputhshmërinë e emetuesit dhe të programit të obligacioneve të mbuluara me kërkesat e këtij ligji dhe akteve nënligjore në zbatim të tij.</w:t>
            </w:r>
          </w:p>
        </w:tc>
        <w:tc>
          <w:tcPr>
            <w:tcW w:w="1440" w:type="dxa"/>
          </w:tcPr>
          <w:p w14:paraId="1CF6ACE3" w14:textId="1F1A833F"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E5345C6"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214F4C8B" w14:textId="77777777" w:rsidTr="004D61BC">
        <w:trPr>
          <w:gridAfter w:val="1"/>
          <w:wAfter w:w="14" w:type="dxa"/>
        </w:trPr>
        <w:tc>
          <w:tcPr>
            <w:tcW w:w="800" w:type="dxa"/>
            <w:tcBorders>
              <w:left w:val="single" w:sz="12" w:space="0" w:color="auto"/>
            </w:tcBorders>
          </w:tcPr>
          <w:p w14:paraId="2DC6B413"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3AF71791"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institucionet e kreditit që emetojnë obligacione të mbuluara të regjistrojnë të gjitha transaksionet e tyre në lidhje me programin e obligacioneve të mbuluara dhe të kenë sisteme dhe procese dokumentimi të përshtatshme dhe të mjaftueshme.</w:t>
            </w:r>
          </w:p>
        </w:tc>
        <w:tc>
          <w:tcPr>
            <w:tcW w:w="624" w:type="dxa"/>
            <w:tcBorders>
              <w:left w:val="single" w:sz="12" w:space="0" w:color="auto"/>
            </w:tcBorders>
          </w:tcPr>
          <w:p w14:paraId="344FE746" w14:textId="628D9E58" w:rsidR="008A7904" w:rsidRPr="00735452" w:rsidRDefault="00D16FB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8683AD9" w14:textId="7E1EA3CE"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Neni 19, pika </w:t>
            </w:r>
            <w:r w:rsidR="00273D9C">
              <w:rPr>
                <w:rFonts w:ascii="Times New Roman" w:eastAsia="Times New Roman" w:hAnsi="Times New Roman" w:cs="Times New Roman"/>
                <w:sz w:val="20"/>
                <w:szCs w:val="20"/>
                <w:lang w:val="sq-AL"/>
              </w:rPr>
              <w:t>10</w:t>
            </w:r>
          </w:p>
        </w:tc>
        <w:tc>
          <w:tcPr>
            <w:tcW w:w="5130" w:type="dxa"/>
          </w:tcPr>
          <w:p w14:paraId="51A68F8A" w14:textId="2152C742" w:rsidR="003E7E51" w:rsidRPr="00735452" w:rsidRDefault="00273D9C">
            <w:pPr>
              <w:spacing w:after="0" w:line="240" w:lineRule="auto"/>
              <w:rPr>
                <w:rFonts w:ascii="Times New Roman" w:hAnsi="Times New Roman" w:cs="Times New Roman"/>
                <w:sz w:val="20"/>
                <w:szCs w:val="20"/>
                <w:lang w:val="sq-AL"/>
              </w:rPr>
            </w:pPr>
            <w:r>
              <w:rPr>
                <w:rFonts w:ascii="Times New Roman" w:eastAsia="Times New Roman" w:hAnsi="Times New Roman" w:cs="Times New Roman"/>
                <w:sz w:val="20"/>
                <w:szCs w:val="20"/>
                <w:lang w:val="sq-AL"/>
              </w:rPr>
              <w:t>10</w:t>
            </w:r>
            <w:r w:rsidR="00B82C36" w:rsidRPr="00735452">
              <w:rPr>
                <w:rFonts w:ascii="Times New Roman" w:eastAsia="Times New Roman" w:hAnsi="Times New Roman" w:cs="Times New Roman"/>
                <w:sz w:val="20"/>
                <w:szCs w:val="20"/>
                <w:lang w:val="sq-AL"/>
              </w:rPr>
              <w:t>. Institucionet e kreditit që emetojnë obligacione të mbuluara janë të detyruara të regjistrojnë të gjitha transaksionet që lidhen me programin e obligacioneve të mbuluara dhe të kenë sisteme dhe procese të përshtatshme dhe të mjaftueshme dokumentimi.</w:t>
            </w:r>
          </w:p>
        </w:tc>
        <w:tc>
          <w:tcPr>
            <w:tcW w:w="1440" w:type="dxa"/>
          </w:tcPr>
          <w:p w14:paraId="7DDD92F2" w14:textId="7B192182"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85B4ABF"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345C666F" w14:textId="77777777" w:rsidTr="004D61BC">
        <w:trPr>
          <w:gridAfter w:val="1"/>
          <w:wAfter w:w="14" w:type="dxa"/>
        </w:trPr>
        <w:tc>
          <w:tcPr>
            <w:tcW w:w="800" w:type="dxa"/>
            <w:tcBorders>
              <w:left w:val="single" w:sz="12" w:space="0" w:color="auto"/>
            </w:tcBorders>
          </w:tcPr>
          <w:p w14:paraId="7A382B16"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57D9ECD7"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më tej që të ekzistojnë masa të përshtatshme për t’u mundësuar autoriteteve kompetente të përcaktuara sipas paragrafit 2 të këtij neni të marrin </w:t>
            </w:r>
            <w:r w:rsidRPr="00735452">
              <w:rPr>
                <w:rFonts w:ascii="Times New Roman" w:eastAsia="Times New Roman" w:hAnsi="Times New Roman" w:cs="Times New Roman"/>
                <w:sz w:val="20"/>
                <w:szCs w:val="20"/>
                <w:lang w:val="sq-AL"/>
              </w:rPr>
              <w:lastRenderedPageBreak/>
              <w:t xml:space="preserve">informacionin e nevojshëm për të vlerësuar pajtueshmërinë me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 të hetojnë shkeljet e mundshme të këtyre kërkesave dhe të vendosin sanksione administrative dhe masa të tjera administrative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23.</w:t>
            </w:r>
          </w:p>
        </w:tc>
        <w:tc>
          <w:tcPr>
            <w:tcW w:w="624" w:type="dxa"/>
            <w:tcBorders>
              <w:left w:val="single" w:sz="12" w:space="0" w:color="auto"/>
            </w:tcBorders>
          </w:tcPr>
          <w:p w14:paraId="5E5FEC10" w14:textId="3C31524E" w:rsidR="008A7904" w:rsidRPr="00735452" w:rsidRDefault="00D16FBF"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20F01A99"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Neni 19, pikat 3, 6-7; </w:t>
            </w:r>
            <w:r w:rsidRPr="00735452">
              <w:rPr>
                <w:rFonts w:ascii="Times New Roman" w:eastAsia="Times New Roman" w:hAnsi="Times New Roman" w:cs="Times New Roman"/>
                <w:sz w:val="20"/>
                <w:szCs w:val="20"/>
                <w:lang w:val="sq-AL"/>
              </w:rPr>
              <w:lastRenderedPageBreak/>
              <w:t>Nenet 27, 30 dhe 33</w:t>
            </w:r>
          </w:p>
        </w:tc>
        <w:tc>
          <w:tcPr>
            <w:tcW w:w="5130" w:type="dxa"/>
          </w:tcPr>
          <w:p w14:paraId="2545B9C8" w14:textId="71B7085C" w:rsidR="00F2781B" w:rsidRDefault="00B82C36">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Neni 19</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3. Autoriteti bashkëpunon me Bankën e Shqipërisë, në </w:t>
            </w:r>
            <w:r w:rsidRPr="00735452">
              <w:rPr>
                <w:rFonts w:ascii="Times New Roman" w:eastAsia="Times New Roman" w:hAnsi="Times New Roman" w:cs="Times New Roman"/>
                <w:sz w:val="20"/>
                <w:szCs w:val="20"/>
                <w:lang w:val="sq-AL"/>
              </w:rPr>
              <w:lastRenderedPageBreak/>
              <w:t>përputhje me kompetencat përkatëse të secilit autoritet që rrjedhin nga fusha e veprimtarisë sipas legjislacionit përkatës dhe të kompetencave sipas këtij ligji.</w:t>
            </w:r>
            <w:r w:rsidRPr="00735452">
              <w:rPr>
                <w:rFonts w:ascii="Times New Roman" w:eastAsia="Times New Roman" w:hAnsi="Times New Roman" w:cs="Times New Roman"/>
                <w:sz w:val="20"/>
                <w:szCs w:val="20"/>
                <w:lang w:val="sq-AL"/>
              </w:rPr>
              <w:br/>
            </w:r>
            <w:r w:rsidR="00ED14D8">
              <w:rPr>
                <w:rFonts w:ascii="Times New Roman" w:eastAsia="Times New Roman" w:hAnsi="Times New Roman" w:cs="Times New Roman"/>
                <w:sz w:val="20"/>
                <w:szCs w:val="20"/>
                <w:lang w:val="sq-AL"/>
              </w:rPr>
              <w:t>8</w:t>
            </w:r>
            <w:r w:rsidRPr="00735452">
              <w:rPr>
                <w:rFonts w:ascii="Times New Roman" w:eastAsia="Times New Roman" w:hAnsi="Times New Roman" w:cs="Times New Roman"/>
                <w:sz w:val="20"/>
                <w:szCs w:val="20"/>
                <w:lang w:val="sq-AL"/>
              </w:rPr>
              <w:t>. Autoriteti, monitoruesi i grupit të mbulimit dhe subjektet e tjera përkatëse informojnë Bankën e Shqipërisë kur kanë arsye të dyshojnë se vlerësimi i aktiveve në grupin e mbulimit nuk është kryer në përputhje me kërkesat ligjore.</w:t>
            </w:r>
            <w:r w:rsidRPr="00735452">
              <w:rPr>
                <w:rFonts w:ascii="Times New Roman" w:eastAsia="Times New Roman" w:hAnsi="Times New Roman" w:cs="Times New Roman"/>
                <w:sz w:val="20"/>
                <w:szCs w:val="20"/>
                <w:lang w:val="sq-AL"/>
              </w:rPr>
              <w:br/>
            </w:r>
            <w:r w:rsidR="00ED14D8">
              <w:rPr>
                <w:rFonts w:ascii="Times New Roman" w:eastAsia="Times New Roman" w:hAnsi="Times New Roman" w:cs="Times New Roman"/>
                <w:sz w:val="20"/>
                <w:szCs w:val="20"/>
                <w:lang w:val="sq-AL"/>
              </w:rPr>
              <w:t>9</w:t>
            </w:r>
            <w:r w:rsidRPr="00735452">
              <w:rPr>
                <w:rFonts w:ascii="Times New Roman" w:eastAsia="Times New Roman" w:hAnsi="Times New Roman" w:cs="Times New Roman"/>
                <w:sz w:val="20"/>
                <w:szCs w:val="20"/>
                <w:lang w:val="sq-AL"/>
              </w:rPr>
              <w:t xml:space="preserve">. Autoriteti ka të drejtë të kërkojë çdo informacion të nevojshëm nga emetuesi, </w:t>
            </w:r>
            <w:proofErr w:type="spellStart"/>
            <w:r w:rsidRPr="00735452">
              <w:rPr>
                <w:rFonts w:ascii="Times New Roman" w:eastAsia="Times New Roman" w:hAnsi="Times New Roman" w:cs="Times New Roman"/>
                <w:sz w:val="20"/>
                <w:szCs w:val="20"/>
                <w:lang w:val="sq-AL"/>
              </w:rPr>
              <w:t>audituesi</w:t>
            </w:r>
            <w:proofErr w:type="spellEnd"/>
            <w:r w:rsidRPr="00735452">
              <w:rPr>
                <w:rFonts w:ascii="Times New Roman" w:eastAsia="Times New Roman" w:hAnsi="Times New Roman" w:cs="Times New Roman"/>
                <w:sz w:val="20"/>
                <w:szCs w:val="20"/>
                <w:lang w:val="sq-AL"/>
              </w:rPr>
              <w:t>, monitoruesi i grupit të mbulimit, administratori i posaçëm dhe çdo palë tjetër që disponon informacion përkatës, për qëllimet e:</w:t>
            </w:r>
            <w:r w:rsidRPr="00735452">
              <w:rPr>
                <w:rFonts w:ascii="Times New Roman" w:eastAsia="Times New Roman" w:hAnsi="Times New Roman" w:cs="Times New Roman"/>
                <w:sz w:val="20"/>
                <w:szCs w:val="20"/>
                <w:lang w:val="sq-AL"/>
              </w:rPr>
              <w:br/>
              <w:t>a) ushtrimit të mbikëqyrjes mbi emetimin e obligacioneve të mbuluara, kur një informacion i tillë është i nevojshëm për vlerësimin e përputhshmërisë me kërkesat e përcaktuara në këtë ligj;</w:t>
            </w:r>
            <w:r w:rsidRPr="00735452">
              <w:rPr>
                <w:rFonts w:ascii="Times New Roman" w:eastAsia="Times New Roman" w:hAnsi="Times New Roman" w:cs="Times New Roman"/>
                <w:sz w:val="20"/>
                <w:szCs w:val="20"/>
                <w:lang w:val="sq-AL"/>
              </w:rPr>
              <w:br/>
              <w:t>b) konstatimit të shkeljeve të mundshme;</w:t>
            </w:r>
            <w:r w:rsidRPr="00735452">
              <w:rPr>
                <w:rFonts w:ascii="Times New Roman" w:eastAsia="Times New Roman" w:hAnsi="Times New Roman" w:cs="Times New Roman"/>
                <w:sz w:val="20"/>
                <w:szCs w:val="20"/>
                <w:lang w:val="sq-AL"/>
              </w:rPr>
              <w:br/>
              <w:t>c) vendosjes së masave mbikëqyrëse dhe sanksioneve me gjobë.</w:t>
            </w:r>
            <w:r w:rsidRPr="00735452">
              <w:rPr>
                <w:rFonts w:ascii="Times New Roman" w:eastAsia="Times New Roman" w:hAnsi="Times New Roman" w:cs="Times New Roman"/>
                <w:sz w:val="20"/>
                <w:szCs w:val="20"/>
                <w:lang w:val="sq-AL"/>
              </w:rPr>
              <w:br/>
              <w:t xml:space="preserve">Dhënia e këtij informacioni nuk përbën shkelje të detyrimeve për ruajtjen e </w:t>
            </w:r>
            <w:proofErr w:type="spellStart"/>
            <w:r w:rsidRPr="00735452">
              <w:rPr>
                <w:rFonts w:ascii="Times New Roman" w:eastAsia="Times New Roman" w:hAnsi="Times New Roman" w:cs="Times New Roman"/>
                <w:sz w:val="20"/>
                <w:szCs w:val="20"/>
                <w:lang w:val="sq-AL"/>
              </w:rPr>
              <w:t>konfidencialitetit</w:t>
            </w:r>
            <w:proofErr w:type="spellEnd"/>
            <w:r w:rsidRPr="00735452">
              <w:rPr>
                <w:rFonts w:ascii="Times New Roman" w:eastAsia="Times New Roman" w:hAnsi="Times New Roman" w:cs="Times New Roman"/>
                <w:sz w:val="20"/>
                <w:szCs w:val="20"/>
                <w:lang w:val="sq-AL"/>
              </w:rPr>
              <w:t xml:space="preserve"> dhe sekretit profesional.</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27</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Në rast të ndërhyrjes së jashtëzakonshme ndaj një institucioni krediti i cili ka emetuar obligacione të mbuluara, Autoriteti bashkëpunon me autoritetin e ndërhyrjes së jashtëzakonshme,  për të verifikuar ndër të tjera administrimin e vazhdueshëm dhe të shëndoshë të programit të obligacioneve të mbuluara gjatë periudhës së procesit të ndërhyrjes.</w:t>
            </w:r>
            <w:r w:rsidRPr="00735452">
              <w:rPr>
                <w:rFonts w:ascii="Times New Roman" w:eastAsia="Times New Roman" w:hAnsi="Times New Roman" w:cs="Times New Roman"/>
                <w:sz w:val="20"/>
                <w:szCs w:val="20"/>
                <w:lang w:val="sq-AL"/>
              </w:rPr>
              <w:br/>
              <w:t xml:space="preserve">2.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ndaj një institucioni krediti që ka emetuar obligacione të mbuluara, duhet të emërohet një administrator i posaçëm me qëllim që të sigurohet mbrojtja e të drejtave dhe interesave të investitorëve në obligacione të mbuluara, përfshirë të paktën, verifikimin e administrimit të vazhdueshëm dhe të shëndoshë të programit të obligacioneve të mbuluara gjatë periudhës së nevojshme.</w:t>
            </w:r>
            <w:r w:rsidRPr="00735452">
              <w:rPr>
                <w:rFonts w:ascii="Times New Roman" w:eastAsia="Times New Roman" w:hAnsi="Times New Roman" w:cs="Times New Roman"/>
                <w:sz w:val="20"/>
                <w:szCs w:val="20"/>
                <w:lang w:val="sq-AL"/>
              </w:rPr>
              <w:br/>
              <w:t xml:space="preserve">3. Për emërimin dhe shkarkimin e </w:t>
            </w:r>
            <w:r w:rsidR="005D63CD">
              <w:rPr>
                <w:rFonts w:ascii="Times New Roman" w:eastAsia="Times New Roman" w:hAnsi="Times New Roman" w:cs="Times New Roman"/>
                <w:sz w:val="20"/>
                <w:szCs w:val="20"/>
                <w:lang w:val="sq-AL"/>
              </w:rPr>
              <w:t xml:space="preserve">administratorit të posaçëm </w:t>
            </w:r>
            <w:r w:rsidRPr="00735452">
              <w:rPr>
                <w:rFonts w:ascii="Times New Roman" w:eastAsia="Times New Roman" w:hAnsi="Times New Roman" w:cs="Times New Roman"/>
                <w:sz w:val="20"/>
                <w:szCs w:val="20"/>
                <w:lang w:val="sq-AL"/>
              </w:rPr>
              <w:t>kërkohet miratimi i Autoritetit.</w:t>
            </w:r>
          </w:p>
          <w:p w14:paraId="70902A2E" w14:textId="77777777" w:rsidR="00F8379B" w:rsidRDefault="00B82C36">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4.  Detyrat dhe përgjegjësitë e administratorit të posaçëm përfshijnë të paktën:</w:t>
            </w:r>
            <w:r w:rsidRPr="00735452">
              <w:rPr>
                <w:rFonts w:ascii="Times New Roman" w:eastAsia="Times New Roman" w:hAnsi="Times New Roman" w:cs="Times New Roman"/>
                <w:sz w:val="20"/>
                <w:szCs w:val="20"/>
                <w:lang w:val="sq-AL"/>
              </w:rPr>
              <w:br/>
              <w:t>a) përmbushjen e detyrimeve që rrjedhin nga obligacionet e mbuluara;</w:t>
            </w:r>
            <w:r w:rsidRPr="00735452">
              <w:rPr>
                <w:rFonts w:ascii="Times New Roman" w:eastAsia="Times New Roman" w:hAnsi="Times New Roman" w:cs="Times New Roman"/>
                <w:sz w:val="20"/>
                <w:szCs w:val="20"/>
                <w:lang w:val="sq-AL"/>
              </w:rPr>
              <w:br/>
              <w:t>b) administrimin dhe realizimin e aktiveve të mbulimit, përfshirë transferimin e tyre së bashku me detyrimet e obligacioneve të mbuluara tek një institucion tjetër krediti që emeton obligacione të mbuluara;</w:t>
            </w:r>
            <w:r w:rsidRPr="00735452">
              <w:rPr>
                <w:rFonts w:ascii="Times New Roman" w:eastAsia="Times New Roman" w:hAnsi="Times New Roman" w:cs="Times New Roman"/>
                <w:sz w:val="20"/>
                <w:szCs w:val="20"/>
                <w:lang w:val="sq-AL"/>
              </w:rPr>
              <w:br/>
              <w:t>c) sigurimin që shumat e përfituara nga mbledhja e kërkesave të përfshira në pengun ligjor dhe nga likuidimi i aktiveve të tjera të përfshira në të, përdoren për shlyerjen e obligacioneve dhe kërkesave të tjera të siguruara me këtë peng, në përputhje me kushtet e programit të obligacioneve të mbuluara;</w:t>
            </w:r>
            <w:r w:rsidRPr="00735452">
              <w:rPr>
                <w:rFonts w:ascii="Times New Roman" w:eastAsia="Times New Roman" w:hAnsi="Times New Roman" w:cs="Times New Roman"/>
                <w:sz w:val="20"/>
                <w:szCs w:val="20"/>
                <w:lang w:val="sq-AL"/>
              </w:rPr>
              <w:br/>
              <w:t>ç) kryerjen e veprimeve juridike të nevojshme për administrimin e rregullt të grupit të mbulimit, për monitorimin e vazhdueshëm të mbulimit të detyrimeve të obligacioneve të mbuluara, për ndërmarrjen e procedurave për rikthimin e aktiveve në grupin e mbulimit dhe për transferimin e aktiveve të mbetura në masën e falimentimit të institucionit të kreditit që ka emetuar obligacionet e mbuluara, pasi të jenë shlyer të gjitha detyrimet e tyre.</w:t>
            </w:r>
            <w:r w:rsidRPr="00735452">
              <w:rPr>
                <w:rFonts w:ascii="Times New Roman" w:eastAsia="Times New Roman" w:hAnsi="Times New Roman" w:cs="Times New Roman"/>
                <w:sz w:val="20"/>
                <w:szCs w:val="20"/>
                <w:lang w:val="sq-AL"/>
              </w:rPr>
              <w:br/>
              <w:t>5. Administratori i posaçëm duhet të ketë kualifikimet, aftësitë dhe njohuritë e nevojshme për ushtrimin e detyrave të tij.</w:t>
            </w:r>
            <w:r w:rsidRPr="00735452">
              <w:rPr>
                <w:rFonts w:ascii="Times New Roman" w:eastAsia="Times New Roman" w:hAnsi="Times New Roman" w:cs="Times New Roman"/>
                <w:sz w:val="20"/>
                <w:szCs w:val="20"/>
                <w:lang w:val="sq-AL"/>
              </w:rPr>
              <w:br/>
              <w:t xml:space="preserve">6. Për qëllimet e procesit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të ndërhyrjes së jashtëzakonshme të institucionit të kreditit, mund të kryhet shkëmbim informacioni ndërmjet Autoritetit, administratorit të posaçëm dhe, në rast ndërhyrjeje të jashtëzakonshme, autoritetit të ndërhyrjes së jashtëzakonshme.</w:t>
            </w:r>
          </w:p>
          <w:p w14:paraId="3180DA2B" w14:textId="4E6D29DA" w:rsidR="00F8379B" w:rsidRPr="00F8379B" w:rsidRDefault="00F8379B" w:rsidP="00F8379B">
            <w:pPr>
              <w:spacing w:after="0"/>
              <w:jc w:val="both"/>
              <w:rPr>
                <w:rFonts w:ascii="Times New Roman" w:eastAsia="MS Mincho" w:hAnsi="Times New Roman" w:cs="Times New Roman"/>
                <w:sz w:val="20"/>
                <w:szCs w:val="20"/>
                <w:lang w:val="sq-AL"/>
              </w:rPr>
            </w:pPr>
            <w:r w:rsidRPr="00F8379B">
              <w:rPr>
                <w:rFonts w:ascii="Times New Roman" w:eastAsia="Times New Roman" w:hAnsi="Times New Roman" w:cs="Times New Roman"/>
                <w:sz w:val="20"/>
                <w:szCs w:val="20"/>
                <w:lang w:val="sq-AL"/>
              </w:rPr>
              <w:t>7.Autoriteti miraton rregullore për përcaktimin e kritereve që duhet të përmbushë administratori i posaçëm.</w:t>
            </w:r>
          </w:p>
          <w:p w14:paraId="373E7811" w14:textId="77777777" w:rsidR="00F8379B" w:rsidRPr="00975A51" w:rsidRDefault="00F8379B" w:rsidP="00F8379B">
            <w:pPr>
              <w:spacing w:after="0"/>
              <w:rPr>
                <w:rFonts w:ascii="Times New Roman" w:eastAsia="MS Mincho" w:hAnsi="Times New Roman" w:cs="Times New Roman"/>
                <w:lang w:val="sq-AL"/>
              </w:rPr>
            </w:pPr>
          </w:p>
          <w:p w14:paraId="363931EE" w14:textId="7290F2D9"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30</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Banka e Shqipërisë, në cilësinë e autoritetit mbikëqyrës të institucioneve të kreditit dhe, sipas rastit, në cilësinë e </w:t>
            </w:r>
            <w:r w:rsidRPr="00735452">
              <w:rPr>
                <w:rFonts w:ascii="Times New Roman" w:eastAsia="Times New Roman" w:hAnsi="Times New Roman" w:cs="Times New Roman"/>
                <w:sz w:val="20"/>
                <w:szCs w:val="20"/>
                <w:lang w:val="sq-AL"/>
              </w:rPr>
              <w:lastRenderedPageBreak/>
              <w:t>autoritetit të ndërhyrjes së jashtëzakonshme, dhe Autoriteti bashkëpunojnë ngushtë ndërmjet tyre dhe shkëmbejnë të gjitha informacionet e nevojshme për ushtrimin e detyrave të tyre mbikëqyrëse në përputhje dhe zbatim të këtij ligji, përfshirë edhe rastin e ndërhyrjes së jashtëzakonshme ndaj një institucioni krediti që emeton obligacione të mbuluara.</w:t>
            </w:r>
            <w:r w:rsidRPr="00735452">
              <w:rPr>
                <w:rFonts w:ascii="Times New Roman" w:eastAsia="Times New Roman" w:hAnsi="Times New Roman" w:cs="Times New Roman"/>
                <w:sz w:val="20"/>
                <w:szCs w:val="20"/>
                <w:lang w:val="sq-AL"/>
              </w:rPr>
              <w:br/>
              <w:t xml:space="preserve">2. Banka e Shqipërisë dhe Autoriteti bashkëpunojnë edhe me autoritetet përgjegjëse të shteteve anëtare të caktuara për rregullimin dhe mbikëqyrjen e emetimit të obligacioneve të mbuluara dhe mbikëqyrjen publike të tyre. në përputhje me legjislacionin e tyre në fuqi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legjislacionin e Bashkimit Evropian për Obligacionet e Mbuluara.</w:t>
            </w:r>
            <w:r w:rsidRPr="00735452">
              <w:rPr>
                <w:rFonts w:ascii="Times New Roman" w:eastAsia="Times New Roman" w:hAnsi="Times New Roman" w:cs="Times New Roman"/>
                <w:sz w:val="20"/>
                <w:szCs w:val="20"/>
                <w:lang w:val="sq-AL"/>
              </w:rPr>
              <w:br/>
              <w:t>3.  Për qëllim të pikave 1 dhe 2 të këtij neni, bashkëpunimi përfshin:</w:t>
            </w:r>
            <w:r w:rsidRPr="00735452">
              <w:rPr>
                <w:rFonts w:ascii="Times New Roman" w:eastAsia="Times New Roman" w:hAnsi="Times New Roman" w:cs="Times New Roman"/>
                <w:sz w:val="20"/>
                <w:szCs w:val="20"/>
                <w:lang w:val="sq-AL"/>
              </w:rPr>
              <w:br/>
              <w:t>a) dhënien  e të gjitha informacioneve përkatëse me kërkesë të Autoritetit, Bankës së Shqipërisë ose një autoriteti tjetër përgjegjës të përmendur në pikën 3, të këtij neni;</w:t>
            </w:r>
            <w:r w:rsidRPr="00735452">
              <w:rPr>
                <w:rFonts w:ascii="Times New Roman" w:eastAsia="Times New Roman" w:hAnsi="Times New Roman" w:cs="Times New Roman"/>
                <w:sz w:val="20"/>
                <w:szCs w:val="20"/>
                <w:lang w:val="sq-AL"/>
              </w:rPr>
              <w:br/>
              <w:t>b) dhënien me iniciativë të vet, të çdo informacioni thelbësor tek autoritete të tjera përgjegjëse të shteteve anëtare të caktuara si autoritet përgjegjës për rregullimin e emetimit dhe mbikëqyrjen e obligacioneve të mbuluara sipas legjislacionit përkatës në fuqi.</w:t>
            </w:r>
            <w:r w:rsidRPr="00735452">
              <w:rPr>
                <w:rFonts w:ascii="Times New Roman" w:eastAsia="Times New Roman" w:hAnsi="Times New Roman" w:cs="Times New Roman"/>
                <w:sz w:val="20"/>
                <w:szCs w:val="20"/>
                <w:lang w:val="sq-AL"/>
              </w:rPr>
              <w:br/>
              <w:t>4. Për qëllim të zbatimit të dispozitave të këtij ligji, Banka e Shqipërisë dhe Autoriteti bashkëpunojnë me Autoritetin Evropian për Bankat (EBA) dhe, sipas rastit, me Autoritetin Evropian për Tregjet dhe Titujt (ESMA).</w:t>
            </w:r>
            <w:r w:rsidRPr="00735452">
              <w:rPr>
                <w:rFonts w:ascii="Times New Roman" w:eastAsia="Times New Roman" w:hAnsi="Times New Roman" w:cs="Times New Roman"/>
                <w:sz w:val="20"/>
                <w:szCs w:val="20"/>
                <w:lang w:val="sq-AL"/>
              </w:rPr>
              <w:br/>
              <w:t>5. Për qëllim të këtij neni, informacioni konsiderohet thelbësor nëse ndikon në mënyrë të rëndësishme në vlerësimin e emetimit të obligacioneve të mbuluara, përfshirë edhe emetimin  në një shtet tjetër anëtar.</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33</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Autoriteti bashkëpunon me Bankën e Shqipërisë në rast të zbatimit të masave të ndërhyrjes së hershme ose të ndërhyrjes së jashtëzakonshme ndaj emetuesit, me qëllim sigurimin e mbrojtjes së të drejtave dhe interesave të investitorëve në obligacionet e mbuluara. Ky bashkëpunim përfshin, të paktën, verifikimin që gjatë këtyre procedurave sigurohet menaxhimi i vazhdueshëm dhe i duhur i programit </w:t>
            </w:r>
            <w:r w:rsidRPr="00735452">
              <w:rPr>
                <w:rFonts w:ascii="Times New Roman" w:eastAsia="Times New Roman" w:hAnsi="Times New Roman" w:cs="Times New Roman"/>
                <w:sz w:val="20"/>
                <w:szCs w:val="20"/>
                <w:lang w:val="sq-AL"/>
              </w:rPr>
              <w:lastRenderedPageBreak/>
              <w:t>të obligacioneve të mbuluara.</w:t>
            </w:r>
            <w:r w:rsidRPr="00735452">
              <w:rPr>
                <w:rFonts w:ascii="Times New Roman" w:eastAsia="Times New Roman" w:hAnsi="Times New Roman" w:cs="Times New Roman"/>
                <w:sz w:val="20"/>
                <w:szCs w:val="20"/>
                <w:lang w:val="sq-AL"/>
              </w:rPr>
              <w:br/>
              <w:t>2. Autoriteti bashkëpunon me Bankën e Shqipërisë dhe, sipas rastit, me Agjencinë Shqiptare të Sigurimit të Depozitave dhe administratorin e posaçëm, për shkëmbimin e informacionit dhe koordinimin e veprimeve në kuadër të procedurave të ndërhyrjes së hershme, ndërhyrjes së jashtëzakonshme ose likuidimit të detyruar, me qëllim garantimin e mbrojtjes së të drejtave dhe interesave të investitorëve në obligacionet e mbuluara.</w:t>
            </w:r>
            <w:r w:rsidRPr="00735452">
              <w:rPr>
                <w:rFonts w:ascii="Times New Roman" w:eastAsia="Times New Roman" w:hAnsi="Times New Roman" w:cs="Times New Roman"/>
                <w:sz w:val="20"/>
                <w:szCs w:val="20"/>
                <w:lang w:val="sq-AL"/>
              </w:rPr>
              <w:br/>
              <w:t>3. Në rast të likuidimit të detyruar të emetuesit, Autoriteti bashkëpunon me Agjencinë Shqiptare të Sigurimit të Depozitave dhe administratorin e posaçëm, të cilët shkëmbejnë ndërmjet tyre informacionin e nevojshëm, me qëllim që të sigurohet, ndër të tjera, verifikimi i menaxhimit të vazhdueshëm dhe të duhur të programit të obligacioneve të mbuluara gjatë gjithë procedurës së likuidimit.</w:t>
            </w:r>
            <w:r w:rsidRPr="00735452">
              <w:rPr>
                <w:rFonts w:ascii="Times New Roman" w:eastAsia="Times New Roman" w:hAnsi="Times New Roman" w:cs="Times New Roman"/>
                <w:sz w:val="20"/>
                <w:szCs w:val="20"/>
                <w:lang w:val="sq-AL"/>
              </w:rPr>
              <w:br/>
              <w:t>4. Organet që ushtrojnë funksione në kuadër të ndërhyrjes së hershme, ndërhyrjes së jashtëzakonshme ose likuidimit të detyruar, në përputhje me legjislacionin në fuqi për institucionet e kreditit, ushtrojnë kompetencat e tyre në mënyrë të tillë që të mos cenojnë ushtrimin e të drejtave që rrjedhin nga obligacionet e mbuluara, përfshirë të drejtat mbi grupin e mbulimit, që u takojnë investitorëve sipas këtij ligji.</w:t>
            </w:r>
            <w:r w:rsidRPr="00735452">
              <w:rPr>
                <w:rFonts w:ascii="Times New Roman" w:eastAsia="Times New Roman" w:hAnsi="Times New Roman" w:cs="Times New Roman"/>
                <w:sz w:val="20"/>
                <w:szCs w:val="20"/>
                <w:lang w:val="sq-AL"/>
              </w:rPr>
              <w:br/>
              <w:t>5. Dispozitat e këtij neni nuk cenojnë dhe nuk kufizojnë kompetencat e Autoritetit të parashikuara në këtë ligj.</w:t>
            </w:r>
          </w:p>
        </w:tc>
        <w:tc>
          <w:tcPr>
            <w:tcW w:w="1440" w:type="dxa"/>
          </w:tcPr>
          <w:p w14:paraId="4B3D42D7" w14:textId="1B3B4606" w:rsidR="003E7E51" w:rsidRPr="00735452" w:rsidRDefault="00184398">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083A019C" w14:textId="77777777" w:rsidR="003E7E51" w:rsidRPr="00735452" w:rsidRDefault="003E7E51">
            <w:pPr>
              <w:spacing w:after="0" w:line="240" w:lineRule="auto"/>
              <w:rPr>
                <w:rFonts w:ascii="Times New Roman" w:hAnsi="Times New Roman" w:cs="Times New Roman"/>
                <w:sz w:val="20"/>
                <w:szCs w:val="20"/>
                <w:lang w:val="sq-AL"/>
              </w:rPr>
            </w:pPr>
          </w:p>
        </w:tc>
      </w:tr>
      <w:tr w:rsidR="008A7904" w:rsidRPr="00735452" w14:paraId="2FF7A03C" w14:textId="77777777" w:rsidTr="004D61BC">
        <w:trPr>
          <w:gridAfter w:val="1"/>
          <w:wAfter w:w="14" w:type="dxa"/>
        </w:trPr>
        <w:tc>
          <w:tcPr>
            <w:tcW w:w="800" w:type="dxa"/>
            <w:tcBorders>
              <w:left w:val="single" w:sz="12" w:space="0" w:color="auto"/>
            </w:tcBorders>
          </w:tcPr>
          <w:p w14:paraId="57D282F8"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6</w:t>
            </w:r>
          </w:p>
        </w:tc>
        <w:tc>
          <w:tcPr>
            <w:tcW w:w="5220" w:type="dxa"/>
            <w:tcBorders>
              <w:right w:val="single" w:sz="12" w:space="0" w:color="auto"/>
            </w:tcBorders>
          </w:tcPr>
          <w:p w14:paraId="41F74B58" w14:textId="77777777" w:rsidR="008A7904" w:rsidRPr="00735452" w:rsidRDefault="008A7904" w:rsidP="008A790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autoritetet kompetente të përcaktuara sipas paragrafit 2 të kenë ekspertizën, burimet, kapacitetin </w:t>
            </w:r>
            <w:proofErr w:type="spellStart"/>
            <w:r w:rsidRPr="00735452">
              <w:rPr>
                <w:rFonts w:ascii="Times New Roman" w:eastAsia="Times New Roman" w:hAnsi="Times New Roman" w:cs="Times New Roman"/>
                <w:sz w:val="20"/>
                <w:szCs w:val="20"/>
                <w:lang w:val="sq-AL"/>
              </w:rPr>
              <w:t>operacional</w:t>
            </w:r>
            <w:proofErr w:type="spellEnd"/>
            <w:r w:rsidRPr="00735452">
              <w:rPr>
                <w:rFonts w:ascii="Times New Roman" w:eastAsia="Times New Roman" w:hAnsi="Times New Roman" w:cs="Times New Roman"/>
                <w:sz w:val="20"/>
                <w:szCs w:val="20"/>
                <w:lang w:val="sq-AL"/>
              </w:rPr>
              <w:t>, kompetencat dhe pavarësinë e nevojshme për të kryer funksionet që lidhen me mbikëqyrjen publike të obligacioneve të mbuluara.</w:t>
            </w:r>
          </w:p>
        </w:tc>
        <w:tc>
          <w:tcPr>
            <w:tcW w:w="624" w:type="dxa"/>
            <w:tcBorders>
              <w:left w:val="single" w:sz="12" w:space="0" w:color="auto"/>
            </w:tcBorders>
          </w:tcPr>
          <w:p w14:paraId="47125459" w14:textId="06232096" w:rsidR="008A7904" w:rsidRPr="00735452" w:rsidRDefault="00982A15" w:rsidP="008A790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53AAAF5" w14:textId="0F38E82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Neni 19, pika </w:t>
            </w:r>
            <w:r w:rsidR="00A909C5">
              <w:rPr>
                <w:rFonts w:ascii="Times New Roman" w:eastAsia="Times New Roman" w:hAnsi="Times New Roman" w:cs="Times New Roman"/>
                <w:sz w:val="20"/>
                <w:szCs w:val="20"/>
                <w:lang w:val="sq-AL"/>
              </w:rPr>
              <w:t>11</w:t>
            </w:r>
          </w:p>
        </w:tc>
        <w:tc>
          <w:tcPr>
            <w:tcW w:w="5130" w:type="dxa"/>
          </w:tcPr>
          <w:p w14:paraId="56BD3D90" w14:textId="3F83D0FE" w:rsidR="003E7E51" w:rsidRPr="00735452" w:rsidRDefault="00A909C5">
            <w:pPr>
              <w:spacing w:after="0" w:line="240" w:lineRule="auto"/>
              <w:rPr>
                <w:rFonts w:ascii="Times New Roman" w:hAnsi="Times New Roman" w:cs="Times New Roman"/>
                <w:sz w:val="20"/>
                <w:szCs w:val="20"/>
                <w:lang w:val="sq-AL"/>
              </w:rPr>
            </w:pPr>
            <w:r>
              <w:rPr>
                <w:rFonts w:ascii="Times New Roman" w:eastAsia="Times New Roman" w:hAnsi="Times New Roman" w:cs="Times New Roman"/>
                <w:sz w:val="20"/>
                <w:szCs w:val="20"/>
                <w:lang w:val="sq-AL"/>
              </w:rPr>
              <w:t>11</w:t>
            </w:r>
            <w:r w:rsidR="00B82C36" w:rsidRPr="00735452">
              <w:rPr>
                <w:rFonts w:ascii="Times New Roman" w:eastAsia="Times New Roman" w:hAnsi="Times New Roman" w:cs="Times New Roman"/>
                <w:sz w:val="20"/>
                <w:szCs w:val="20"/>
                <w:lang w:val="sq-AL"/>
              </w:rPr>
              <w:t xml:space="preserve">. Autoriteti merr masa që të sigurojë ekspertizën, burimet, kapacitetin </w:t>
            </w:r>
            <w:proofErr w:type="spellStart"/>
            <w:r w:rsidR="00B82C36" w:rsidRPr="00735452">
              <w:rPr>
                <w:rFonts w:ascii="Times New Roman" w:eastAsia="Times New Roman" w:hAnsi="Times New Roman" w:cs="Times New Roman"/>
                <w:sz w:val="20"/>
                <w:szCs w:val="20"/>
                <w:lang w:val="sq-AL"/>
              </w:rPr>
              <w:t>operacional</w:t>
            </w:r>
            <w:proofErr w:type="spellEnd"/>
            <w:r w:rsidR="00B82C36" w:rsidRPr="00735452">
              <w:rPr>
                <w:rFonts w:ascii="Times New Roman" w:eastAsia="Times New Roman" w:hAnsi="Times New Roman" w:cs="Times New Roman"/>
                <w:sz w:val="20"/>
                <w:szCs w:val="20"/>
                <w:lang w:val="sq-AL"/>
              </w:rPr>
              <w:t>, kompetencat dhe pavarësinë e nevojshme për ushtrimin efektiv të mbikëqyrjes publike të obligacioneve të mbuluara.</w:t>
            </w:r>
          </w:p>
        </w:tc>
        <w:tc>
          <w:tcPr>
            <w:tcW w:w="1440" w:type="dxa"/>
          </w:tcPr>
          <w:p w14:paraId="34EF9EDF" w14:textId="543F81F0" w:rsidR="003E7E51" w:rsidRPr="00735452" w:rsidRDefault="000F58F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7AE9784" w14:textId="77777777" w:rsidR="003E7E51" w:rsidRPr="00735452" w:rsidRDefault="003E7E51">
            <w:pPr>
              <w:spacing w:after="0" w:line="240" w:lineRule="auto"/>
              <w:rPr>
                <w:rFonts w:ascii="Times New Roman" w:hAnsi="Times New Roman" w:cs="Times New Roman"/>
                <w:sz w:val="20"/>
                <w:szCs w:val="20"/>
                <w:lang w:val="sq-AL"/>
              </w:rPr>
            </w:pPr>
          </w:p>
        </w:tc>
      </w:tr>
      <w:tr w:rsidR="00982E29" w:rsidRPr="00735452" w14:paraId="75277889" w14:textId="77777777" w:rsidTr="004D61BC">
        <w:trPr>
          <w:gridAfter w:val="1"/>
          <w:wAfter w:w="14" w:type="dxa"/>
        </w:trPr>
        <w:tc>
          <w:tcPr>
            <w:tcW w:w="800" w:type="dxa"/>
            <w:tcBorders>
              <w:left w:val="single" w:sz="12" w:space="0" w:color="auto"/>
            </w:tcBorders>
          </w:tcPr>
          <w:p w14:paraId="49CAEC3F" w14:textId="77777777" w:rsidR="00982E29" w:rsidRPr="00735452" w:rsidRDefault="00982E29" w:rsidP="00982E2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19</w:t>
            </w:r>
          </w:p>
          <w:p w14:paraId="08D60D8C" w14:textId="77777777" w:rsidR="00982E29" w:rsidRPr="00735452" w:rsidRDefault="00982E29" w:rsidP="00982E2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16D2737A" w14:textId="77777777" w:rsidR="00982E29" w:rsidRPr="00735452" w:rsidRDefault="00982E29" w:rsidP="00982E29">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Shtetet anëtare sigurojnë mbrojtjen e investitorëve duke kërkuar që një program obligacionesh të mbuluara të pajiset me leje përpara emetimit të obligacioneve të mbuluara sipas atij programi. Shtetet anëtare u japin autoriteteve kompetente të përcaktuara sipas nenit 18, paragrafi 2, kompetencën për të dhënë një leje të tillë.</w:t>
            </w:r>
          </w:p>
        </w:tc>
        <w:tc>
          <w:tcPr>
            <w:tcW w:w="624" w:type="dxa"/>
            <w:tcBorders>
              <w:left w:val="single" w:sz="12" w:space="0" w:color="auto"/>
            </w:tcBorders>
          </w:tcPr>
          <w:p w14:paraId="22A4CAF7" w14:textId="47C47700" w:rsidR="00982E29" w:rsidRPr="00735452" w:rsidRDefault="00982A15" w:rsidP="00982E29">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70B2FB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Nenet 20-21</w:t>
            </w:r>
          </w:p>
        </w:tc>
        <w:tc>
          <w:tcPr>
            <w:tcW w:w="5130" w:type="dxa"/>
          </w:tcPr>
          <w:p w14:paraId="7331312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20</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Institucioni i kreditit që synon të kryejë një ose më shumë emetime të obligacioneve të mbuluara duhet:</w:t>
            </w:r>
            <w:r w:rsidRPr="00735452">
              <w:rPr>
                <w:rFonts w:ascii="Times New Roman" w:eastAsia="Times New Roman" w:hAnsi="Times New Roman" w:cs="Times New Roman"/>
                <w:sz w:val="20"/>
                <w:szCs w:val="20"/>
                <w:lang w:val="sq-AL"/>
              </w:rPr>
              <w:br/>
              <w:t>a) t'i paraqesë Bankës së Shqipërisë kërkesë për dhënien e opinionit paraprak për programin e veprimtarisë (planin e biznesit) që rregullon dhe përcakton emetimin e obligacioneve të mbuluara;</w:t>
            </w:r>
            <w:r w:rsidRPr="00735452">
              <w:rPr>
                <w:rFonts w:ascii="Times New Roman" w:eastAsia="Times New Roman" w:hAnsi="Times New Roman" w:cs="Times New Roman"/>
                <w:sz w:val="20"/>
                <w:szCs w:val="20"/>
                <w:lang w:val="sq-AL"/>
              </w:rPr>
              <w:br/>
              <w:t xml:space="preserve"> b) pas marrjes së opinionit paraprak nga Banka e Shqipërisë, të paraqesë pranë Autoritetit, brenda 30 ditëve, kërkesë për </w:t>
            </w:r>
            <w:r w:rsidRPr="00735452">
              <w:rPr>
                <w:rFonts w:ascii="Times New Roman" w:eastAsia="Times New Roman" w:hAnsi="Times New Roman" w:cs="Times New Roman"/>
                <w:sz w:val="20"/>
                <w:szCs w:val="20"/>
                <w:lang w:val="sq-AL"/>
              </w:rPr>
              <w:lastRenderedPageBreak/>
              <w:t>miratimin e programit të obligacioneve të mbuluara.</w:t>
            </w:r>
            <w:r w:rsidRPr="00735452">
              <w:rPr>
                <w:rFonts w:ascii="Times New Roman" w:eastAsia="Times New Roman" w:hAnsi="Times New Roman" w:cs="Times New Roman"/>
                <w:sz w:val="20"/>
                <w:szCs w:val="20"/>
                <w:lang w:val="sq-AL"/>
              </w:rPr>
              <w:br/>
              <w:t>2. Kërkesa për dhënien e opinionit paraprak përmban programin e veprimtarisë (planin e biznesit) që rregullon dhe përcakton emetimin e obligacioneve të mbuluara, duke përfshirë analizën e rrezikut, nga e cila duhet të rezultojë qartë se emetimi i obligacioneve të mbuluara nuk do të rrezikojë:</w:t>
            </w:r>
            <w:r w:rsidRPr="00735452">
              <w:rPr>
                <w:rFonts w:ascii="Times New Roman" w:eastAsia="Times New Roman" w:hAnsi="Times New Roman" w:cs="Times New Roman"/>
                <w:sz w:val="20"/>
                <w:szCs w:val="20"/>
                <w:lang w:val="sq-AL"/>
              </w:rPr>
              <w:br/>
              <w:t>a) qëndrueshmërinë afatgjatë të veprimtarisë së institucionit të kreditit;</w:t>
            </w:r>
            <w:r w:rsidRPr="00735452">
              <w:rPr>
                <w:rFonts w:ascii="Times New Roman" w:eastAsia="Times New Roman" w:hAnsi="Times New Roman" w:cs="Times New Roman"/>
                <w:sz w:val="20"/>
                <w:szCs w:val="20"/>
                <w:lang w:val="sq-AL"/>
              </w:rPr>
              <w:br/>
              <w:t xml:space="preserve">b) aftësinë e tij për të përmbushur kërkesat </w:t>
            </w:r>
            <w:proofErr w:type="spellStart"/>
            <w:r w:rsidRPr="00735452">
              <w:rPr>
                <w:rFonts w:ascii="Times New Roman" w:eastAsia="Times New Roman" w:hAnsi="Times New Roman" w:cs="Times New Roman"/>
                <w:sz w:val="20"/>
                <w:szCs w:val="20"/>
                <w:lang w:val="sq-AL"/>
              </w:rPr>
              <w:t>rregullatore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3. Kërkesa për miratimin e programit sipas pikës 1, shkronja “b” të këtij neni, përmban detyrimisht të dhënat e mëposhtme mbi organizimin administrativ dhe gjendjen financiare të institucionit të kreditit:</w:t>
            </w:r>
            <w:r w:rsidRPr="00735452">
              <w:rPr>
                <w:rFonts w:ascii="Times New Roman" w:eastAsia="Times New Roman" w:hAnsi="Times New Roman" w:cs="Times New Roman"/>
                <w:sz w:val="20"/>
                <w:szCs w:val="20"/>
                <w:lang w:val="sq-AL"/>
              </w:rPr>
              <w:br/>
              <w:t xml:space="preserve">a) përshkrimin e gjendjes së tij financiare nga e cila rezulton një nivel i përshtatshëm i 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që garanton përmbushjen e detyrimeve ndaj kreditorëve të cilët nuk janë investitorë në obligacionet e mbuluara;</w:t>
            </w:r>
            <w:r w:rsidRPr="00735452">
              <w:rPr>
                <w:rFonts w:ascii="Times New Roman" w:eastAsia="Times New Roman" w:hAnsi="Times New Roman" w:cs="Times New Roman"/>
                <w:sz w:val="20"/>
                <w:szCs w:val="20"/>
                <w:lang w:val="sq-AL"/>
              </w:rPr>
              <w:br/>
              <w:t>b) përshkrimin e planeve afatgjata të biznesit duke u përqendruar në likuiditetin dhe rreziqet që lidhen me të, si dhe ndikimin e emetimit të obligacioneve të mbuluara në planet afatgjata të biznesit;</w:t>
            </w:r>
            <w:r w:rsidRPr="00735452">
              <w:rPr>
                <w:rFonts w:ascii="Times New Roman" w:eastAsia="Times New Roman" w:hAnsi="Times New Roman" w:cs="Times New Roman"/>
                <w:sz w:val="20"/>
                <w:szCs w:val="20"/>
                <w:lang w:val="sq-AL"/>
              </w:rPr>
              <w:br/>
              <w:t>c) përshkrimin e detyrave dhe përgjegjësive të tij në lidhje me emetimin e obligacioneve të mbuluara, veçanërisht në pjesën e ndarjes së aktiveve për mbulim;</w:t>
            </w:r>
            <w:r w:rsidRPr="00735452">
              <w:rPr>
                <w:rFonts w:ascii="Times New Roman" w:eastAsia="Times New Roman" w:hAnsi="Times New Roman" w:cs="Times New Roman"/>
                <w:sz w:val="20"/>
                <w:szCs w:val="20"/>
                <w:lang w:val="sq-AL"/>
              </w:rPr>
              <w:br/>
              <w:t>ç) përshkrimin e menaxhimit të rreziqeve të institucionit të kreditit në lidhje me obligacionet e mbuluara;</w:t>
            </w:r>
            <w:r w:rsidRPr="00735452">
              <w:rPr>
                <w:rFonts w:ascii="Times New Roman" w:eastAsia="Times New Roman" w:hAnsi="Times New Roman" w:cs="Times New Roman"/>
                <w:sz w:val="20"/>
                <w:szCs w:val="20"/>
                <w:lang w:val="sq-AL"/>
              </w:rPr>
              <w:br/>
              <w:t xml:space="preserve">d) përshkrimin e procedurave të </w:t>
            </w:r>
            <w:proofErr w:type="spellStart"/>
            <w:r w:rsidRPr="00735452">
              <w:rPr>
                <w:rFonts w:ascii="Times New Roman" w:eastAsia="Times New Roman" w:hAnsi="Times New Roman" w:cs="Times New Roman"/>
                <w:sz w:val="20"/>
                <w:szCs w:val="20"/>
                <w:lang w:val="sq-AL"/>
              </w:rPr>
              <w:t>auditimit</w:t>
            </w:r>
            <w:proofErr w:type="spellEnd"/>
            <w:r w:rsidRPr="00735452">
              <w:rPr>
                <w:rFonts w:ascii="Times New Roman" w:eastAsia="Times New Roman" w:hAnsi="Times New Roman" w:cs="Times New Roman"/>
                <w:sz w:val="20"/>
                <w:szCs w:val="20"/>
                <w:lang w:val="sq-AL"/>
              </w:rPr>
              <w:t xml:space="preserve"> të brendshëm në lidhje me emetimin e obligacioneve të mbuluara, duke përfshirë frekuencën dhe procedurat e zbatueshme të kontrollit;</w:t>
            </w:r>
            <w:r w:rsidRPr="00735452">
              <w:rPr>
                <w:rFonts w:ascii="Times New Roman" w:eastAsia="Times New Roman" w:hAnsi="Times New Roman" w:cs="Times New Roman"/>
                <w:sz w:val="20"/>
                <w:szCs w:val="20"/>
                <w:lang w:val="sq-AL"/>
              </w:rPr>
              <w:br/>
              <w:t>dh) përshkrimin e procedurave në lidhje me publikimin e informacionit për investitorët në obligacionet e mbuluara;</w:t>
            </w:r>
            <w:r w:rsidRPr="00735452">
              <w:rPr>
                <w:rFonts w:ascii="Times New Roman" w:eastAsia="Times New Roman" w:hAnsi="Times New Roman" w:cs="Times New Roman"/>
                <w:sz w:val="20"/>
                <w:szCs w:val="20"/>
                <w:lang w:val="sq-AL"/>
              </w:rPr>
              <w:br/>
              <w:t>e) përshkrimin e sistemeve të teknologjisë së informacionit që përdoren  në lidhje me mbajtjen e regjistrit të grupit të mbulimit;</w:t>
            </w:r>
            <w:r w:rsidRPr="00735452">
              <w:rPr>
                <w:rFonts w:ascii="Times New Roman" w:eastAsia="Times New Roman" w:hAnsi="Times New Roman" w:cs="Times New Roman"/>
                <w:sz w:val="20"/>
                <w:szCs w:val="20"/>
                <w:lang w:val="sq-AL"/>
              </w:rPr>
              <w:br/>
              <w:t xml:space="preserve">ë) përshkrimin e drejtimit/organeve drejtuese dhe personelit përgjegjës për programin e obligacioneve të mbuluara që kanë kualifikime dhe njohuri të përshtatshme për emetimin e obligacioneve të mbuluara dhe menaxhimin e programit të </w:t>
            </w:r>
            <w:r w:rsidRPr="00735452">
              <w:rPr>
                <w:rFonts w:ascii="Times New Roman" w:eastAsia="Times New Roman" w:hAnsi="Times New Roman" w:cs="Times New Roman"/>
                <w:sz w:val="20"/>
                <w:szCs w:val="20"/>
                <w:lang w:val="sq-AL"/>
              </w:rPr>
              <w:lastRenderedPageBreak/>
              <w:t>obligacioneve të mbuluara.</w:t>
            </w:r>
            <w:r w:rsidRPr="00735452">
              <w:rPr>
                <w:rFonts w:ascii="Times New Roman" w:eastAsia="Times New Roman" w:hAnsi="Times New Roman" w:cs="Times New Roman"/>
                <w:sz w:val="20"/>
                <w:szCs w:val="20"/>
                <w:lang w:val="sq-AL"/>
              </w:rPr>
              <w:br/>
              <w:t>4. Kërkesa sipas pikës 1, shkronja “b”, të këtij neni, përmban gjithashtu të dhëna konkrete mbi programin e obligacioneve të mbuluara dhe programin e veprimtarisë, të cilat ndër të tjera përfshijnë:</w:t>
            </w:r>
            <w:r w:rsidRPr="00735452">
              <w:rPr>
                <w:rFonts w:ascii="Times New Roman" w:eastAsia="Times New Roman" w:hAnsi="Times New Roman" w:cs="Times New Roman"/>
                <w:sz w:val="20"/>
                <w:szCs w:val="20"/>
                <w:lang w:val="sq-AL"/>
              </w:rPr>
              <w:br/>
              <w:t>a) shumën maksimale të synuar të vlerës nominale totale të obligacioneve të mbuluara që planifikohet të emetohen në kuadër të programit;</w:t>
            </w:r>
            <w:r w:rsidRPr="00735452">
              <w:rPr>
                <w:rFonts w:ascii="Times New Roman" w:eastAsia="Times New Roman" w:hAnsi="Times New Roman" w:cs="Times New Roman"/>
                <w:sz w:val="20"/>
                <w:szCs w:val="20"/>
                <w:lang w:val="sq-AL"/>
              </w:rPr>
              <w:br/>
              <w:t xml:space="preserve">b) arsyen për emetimin e obligacioneve të mbuluara, duke përfshirë përshkrimin cilësor dhe sasior të përdorimit të planifikuar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ardhurave për vitin financiar aktual dhe atë pasues, si dhe shumën e parashikuar të çmimit të shitjes së obligacioneve të mbuluara;</w:t>
            </w:r>
            <w:r w:rsidRPr="00735452">
              <w:rPr>
                <w:rFonts w:ascii="Times New Roman" w:eastAsia="Times New Roman" w:hAnsi="Times New Roman" w:cs="Times New Roman"/>
                <w:sz w:val="20"/>
                <w:szCs w:val="20"/>
                <w:lang w:val="sq-AL"/>
              </w:rPr>
              <w:br/>
              <w:t>c) provën se institucioni i kreditit ka mekanizma të përshtatshëm për regjistrim dhe klasifikim të veçantë të dokumentacionit që lidhet me kërkesat që janë pjesë e mbulimit, si dhe dokumentacionit që lidhet me emetimin e obligacioneve të mbuluara nga të gjitha proceset e tjera të biznesit të institucionit të kreditit;</w:t>
            </w:r>
            <w:r w:rsidRPr="00735452">
              <w:rPr>
                <w:rFonts w:ascii="Times New Roman" w:eastAsia="Times New Roman" w:hAnsi="Times New Roman" w:cs="Times New Roman"/>
                <w:sz w:val="20"/>
                <w:szCs w:val="20"/>
                <w:lang w:val="sq-AL"/>
              </w:rPr>
              <w:br/>
              <w:t>ç) përshkrimin e programit të obligacioneve të mbuluara, duke përfshirë:</w:t>
            </w:r>
            <w:r w:rsidRPr="00735452">
              <w:rPr>
                <w:rFonts w:ascii="Times New Roman" w:eastAsia="Times New Roman" w:hAnsi="Times New Roman" w:cs="Times New Roman"/>
                <w:sz w:val="20"/>
                <w:szCs w:val="20"/>
                <w:lang w:val="sq-AL"/>
              </w:rPr>
              <w:br/>
              <w:t xml:space="preserve">(i) procedurat operative të orientuara drejt sigurimit të funksionimit të rregullt të programit të obligacioneve të mbuluara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likuidimit të detyruar ose ndërhyrjes së jashtëzakonshme të institucionit të kreditit;</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provën për ekzistencën e mekanizmave të përshtatshëm mbrojtës për të siguruar që debitorët e kredive të përfshira në grupin e mbulimit trajtohen në mënyrë të barabarte me debitorët e kredive të krahasueshme të cilat nuk janë përfshirë në grupin e mbulimit;</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regjistrimin e të gjitha transaksioneve që lidhen me programin e obligacioneve të mbuluara dhe vendosjen e sistemeve dhe proceseve të përshtatshme  të dokumentimit;</w:t>
            </w:r>
            <w:r w:rsidRPr="00735452">
              <w:rPr>
                <w:rFonts w:ascii="Times New Roman" w:eastAsia="Times New Roman" w:hAnsi="Times New Roman" w:cs="Times New Roman"/>
                <w:sz w:val="20"/>
                <w:szCs w:val="20"/>
                <w:lang w:val="sq-AL"/>
              </w:rPr>
              <w:br/>
              <w:t xml:space="preserve">d) përshkrimin e politikave, procedurave dhe metodologjive që rregullojnë miratimin, ndryshimin, rinovimin dhe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kredive të përfshira në grupin e mbulimit;</w:t>
            </w:r>
            <w:r w:rsidRPr="00735452">
              <w:rPr>
                <w:rFonts w:ascii="Times New Roman" w:eastAsia="Times New Roman" w:hAnsi="Times New Roman" w:cs="Times New Roman"/>
                <w:sz w:val="20"/>
                <w:szCs w:val="20"/>
                <w:lang w:val="sq-AL"/>
              </w:rPr>
              <w:br/>
              <w:t>dh) detaje në lidhje me mënyrën e funksionimit, mënyrën e mbajtjes dhe kompetencat e mbledhjes/asamblesë së investitorëve.</w:t>
            </w:r>
            <w:r w:rsidRPr="00735452">
              <w:rPr>
                <w:rFonts w:ascii="Times New Roman" w:eastAsia="Times New Roman" w:hAnsi="Times New Roman" w:cs="Times New Roman"/>
                <w:sz w:val="20"/>
                <w:szCs w:val="20"/>
                <w:lang w:val="sq-AL"/>
              </w:rPr>
              <w:br/>
              <w:t xml:space="preserve">5. Kërkesës të përcaktuar në pikën 1 shkronja “b”, të këtij </w:t>
            </w:r>
            <w:r w:rsidRPr="00735452">
              <w:rPr>
                <w:rFonts w:ascii="Times New Roman" w:eastAsia="Times New Roman" w:hAnsi="Times New Roman" w:cs="Times New Roman"/>
                <w:sz w:val="20"/>
                <w:szCs w:val="20"/>
                <w:lang w:val="sq-AL"/>
              </w:rPr>
              <w:lastRenderedPageBreak/>
              <w:t>neni, i bashkëngjiten:</w:t>
            </w:r>
            <w:r w:rsidRPr="00735452">
              <w:rPr>
                <w:rFonts w:ascii="Times New Roman" w:eastAsia="Times New Roman" w:hAnsi="Times New Roman" w:cs="Times New Roman"/>
                <w:sz w:val="20"/>
                <w:szCs w:val="20"/>
                <w:lang w:val="sq-AL"/>
              </w:rPr>
              <w:br/>
              <w:t>a) përshkrimi i detajuar i aktiveve që përbëjnë grupin e mbulimit dhe mënyra e monitorimit të vazhdueshëm të tij;</w:t>
            </w:r>
            <w:r w:rsidRPr="00735452">
              <w:rPr>
                <w:rFonts w:ascii="Times New Roman" w:eastAsia="Times New Roman" w:hAnsi="Times New Roman" w:cs="Times New Roman"/>
                <w:sz w:val="20"/>
                <w:szCs w:val="20"/>
                <w:lang w:val="sq-AL"/>
              </w:rPr>
              <w:br/>
              <w:t>b) konfirmimi i monitoruesit të grupit të mbulimit se aktivet përmbushin kërkesat ligjore;</w:t>
            </w:r>
            <w:r w:rsidRPr="00735452">
              <w:rPr>
                <w:rFonts w:ascii="Times New Roman" w:eastAsia="Times New Roman" w:hAnsi="Times New Roman" w:cs="Times New Roman"/>
                <w:sz w:val="20"/>
                <w:szCs w:val="20"/>
                <w:lang w:val="sq-AL"/>
              </w:rPr>
              <w:br/>
              <w:t>c) plani i detajuar për përmbushjen e kushteve për ndarjen e aktiveve për mbulim dhe mbrojtjen e tyre nga kreditorët e tjerë, si dhe për pasojat e hapjes së procedurës së likuidimit të detyruar ose ndërhyrjes së jashtëzakonshme;</w:t>
            </w:r>
            <w:r w:rsidRPr="00735452">
              <w:rPr>
                <w:rFonts w:ascii="Times New Roman" w:eastAsia="Times New Roman" w:hAnsi="Times New Roman" w:cs="Times New Roman"/>
                <w:sz w:val="20"/>
                <w:szCs w:val="20"/>
                <w:lang w:val="sq-AL"/>
              </w:rPr>
              <w:br/>
              <w:t>ç) vendimi për emërimin e monitoruesit të grupit të mbulimit dhe provat që ai përmbush kushtet ligjore;</w:t>
            </w:r>
            <w:r w:rsidRPr="00735452">
              <w:rPr>
                <w:rFonts w:ascii="Times New Roman" w:eastAsia="Times New Roman" w:hAnsi="Times New Roman" w:cs="Times New Roman"/>
                <w:sz w:val="20"/>
                <w:szCs w:val="20"/>
                <w:lang w:val="sq-AL"/>
              </w:rPr>
              <w:br/>
              <w:t>d) prova të tjera mbështetëse që tregojnë përmbushjen e kushteve ligjore nga institucioni i kreditit;</w:t>
            </w:r>
            <w:r w:rsidRPr="00735452">
              <w:rPr>
                <w:rFonts w:ascii="Times New Roman" w:eastAsia="Times New Roman" w:hAnsi="Times New Roman" w:cs="Times New Roman"/>
                <w:sz w:val="20"/>
                <w:szCs w:val="20"/>
                <w:lang w:val="sq-AL"/>
              </w:rPr>
              <w:br/>
              <w:t>dh) vërtetimi për pagesën e tarifës për Autoritetin. në shumën e përcaktuar me rregullore të miratuar përkatësisht nga Autoriteti.</w:t>
            </w:r>
            <w:r w:rsidRPr="00735452">
              <w:rPr>
                <w:rFonts w:ascii="Times New Roman" w:eastAsia="Times New Roman" w:hAnsi="Times New Roman" w:cs="Times New Roman"/>
                <w:sz w:val="20"/>
                <w:szCs w:val="20"/>
                <w:lang w:val="sq-AL"/>
              </w:rPr>
              <w:br/>
              <w:t>6. Pas emetimit fillestar në kuadër të programit të obligacioneve të mbuluara, institucioni i kreditit emetues mund të emetojë një emetim të ri të obligacioneve të mbuluara brenda këtij programi pa kërkuar miratim të ri për programin, përkatësisht opinion paraprak, me kusht që emetimi të jetë në përputhje me miratimin e dhënë dhe me dispozitat e këtij ligji. Obligacionet e mbuluara të emetuara në një emetim të tillë kanë të njëjtin rend përparësie në lidhje me shlyerjen e tyre nga grupi i mbulimit si obligacionet e mbuluara të emetuara më parë në këtë program.</w:t>
            </w:r>
            <w:r w:rsidRPr="00735452">
              <w:rPr>
                <w:rFonts w:ascii="Times New Roman" w:eastAsia="Times New Roman" w:hAnsi="Times New Roman" w:cs="Times New Roman"/>
                <w:sz w:val="20"/>
                <w:szCs w:val="20"/>
                <w:lang w:val="sq-AL"/>
              </w:rPr>
              <w:br/>
              <w:t xml:space="preserve">7. Kërkesat në lidhje me mbulimin sipas nenit 16, të këtij ligji përmbushen në lidhje me detyrimet që rrjedhin nga të gjitha obligacionet e mbuluara të emetuara në kuadër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njëjtit program. Nëse një emetim i ri do të çonte në mosplotësimin e këtyre kërkesave, emetuesi nuk duhet të emetojë emetim të ri, por duhet të kërkojë miratim shtesë, përkatësisht opinion paraprak, në përputhje me nenin 19, pika 6, të këtij ligji.</w:t>
            </w:r>
            <w:r w:rsidRPr="00735452">
              <w:rPr>
                <w:rFonts w:ascii="Times New Roman" w:eastAsia="Times New Roman" w:hAnsi="Times New Roman" w:cs="Times New Roman"/>
                <w:sz w:val="20"/>
                <w:szCs w:val="20"/>
                <w:lang w:val="sq-AL"/>
              </w:rPr>
              <w:br/>
              <w:t>8. Autoriteti miraton rregulla të detajuara për përcaktimin e mënyrës së dorëzimit, formën dhe përmbajtjen e kërkesës për miratimin e programit të obligacioneve të mbuluara, si dhe kriteret që ai ndjek gjatë shqyrtimit dhe vendimmarrjes mbi këto kërkesa.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Neni 21</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Obligacionet e mbuluara sipas  këtij ligji mund të emetohen vetëm nga një institucion krediti me seli në Republikën e Shqipërisë dhe vetëm pas marrjes nga Autoriteti të miratimit të programit të obligacioneve të mbuluara në kuadër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cilit emetohen obligacionet e mbuluara.</w:t>
            </w:r>
            <w:r w:rsidRPr="00735452">
              <w:rPr>
                <w:rFonts w:ascii="Times New Roman" w:eastAsia="Times New Roman" w:hAnsi="Times New Roman" w:cs="Times New Roman"/>
                <w:sz w:val="20"/>
                <w:szCs w:val="20"/>
                <w:lang w:val="sq-AL"/>
              </w:rPr>
              <w:br/>
              <w:t>2. Autoriteti miraton me vendim programin e obligacioneve të mbuluara, në bazë të:</w:t>
            </w:r>
            <w:r w:rsidRPr="00735452">
              <w:rPr>
                <w:rFonts w:ascii="Times New Roman" w:eastAsia="Times New Roman" w:hAnsi="Times New Roman" w:cs="Times New Roman"/>
                <w:sz w:val="20"/>
                <w:szCs w:val="20"/>
                <w:lang w:val="sq-AL"/>
              </w:rPr>
              <w:br/>
              <w:t>a) opinionit paraprak të Bankës së Shqipërisë, të përmendur në nenin 19 pika 6 si dhe sipas kërkesës së paraqitur në nenin 20, të këtij ligji;</w:t>
            </w:r>
            <w:r w:rsidRPr="00735452">
              <w:rPr>
                <w:rFonts w:ascii="Times New Roman" w:eastAsia="Times New Roman" w:hAnsi="Times New Roman" w:cs="Times New Roman"/>
                <w:sz w:val="20"/>
                <w:szCs w:val="20"/>
                <w:lang w:val="sq-AL"/>
              </w:rPr>
              <w:br/>
              <w:t>b) konstatimit se janë përmbushur të gjitha kushtet e përcaktuara në këtë ligj, përfshirë kushtet sipas nenit 19, të këtij ligji.</w:t>
            </w:r>
            <w:r w:rsidRPr="00735452">
              <w:rPr>
                <w:rFonts w:ascii="Times New Roman" w:eastAsia="Times New Roman" w:hAnsi="Times New Roman" w:cs="Times New Roman"/>
                <w:sz w:val="20"/>
                <w:szCs w:val="20"/>
                <w:lang w:val="sq-AL"/>
              </w:rPr>
              <w:br/>
              <w:t>3. Autoriteti gjatë shqyrtimit të programit për miratimin e tij në rast se konstaton ndryshime pas marrjes së opinionit të parë nga Banka e Shqipërisë ose vlerëson të nevojshme marrjen e sqarimeve shtesë, mund t'i kërkojë Bankës së Shqipërisë informacion shtesë ndaj opinionit  të dhënë në kuptim të pikës 6, të nenit 19, të këtij ligji. Banka e Shqipërisë shprehet brenda 15 ditëve nga data e marrjes së kërkesës.</w:t>
            </w:r>
            <w:r w:rsidRPr="00735452">
              <w:rPr>
                <w:rFonts w:ascii="Times New Roman" w:eastAsia="Times New Roman" w:hAnsi="Times New Roman" w:cs="Times New Roman"/>
                <w:sz w:val="20"/>
                <w:szCs w:val="20"/>
                <w:lang w:val="sq-AL"/>
              </w:rPr>
              <w:br/>
              <w:t>4.Banka e Shqipërisë jep opinionin paraprak sipas nenit 20 të këtij ligji, brenda 60 ditëve nga dita e paraqitjes së kërkesës së plotë për dhënien e opinionit paraprak.</w:t>
            </w:r>
            <w:r w:rsidRPr="00735452">
              <w:rPr>
                <w:rFonts w:ascii="Times New Roman" w:eastAsia="Times New Roman" w:hAnsi="Times New Roman" w:cs="Times New Roman"/>
                <w:sz w:val="20"/>
                <w:szCs w:val="20"/>
                <w:lang w:val="sq-AL"/>
              </w:rPr>
              <w:br/>
              <w:t>5. Emetuesi i cili pas marrjes së miratimit, synon të ndryshojë programin e obligacioneve të mbuluara është i detyruar:</w:t>
            </w:r>
            <w:r w:rsidRPr="00735452">
              <w:rPr>
                <w:rFonts w:ascii="Times New Roman" w:eastAsia="Times New Roman" w:hAnsi="Times New Roman" w:cs="Times New Roman"/>
                <w:sz w:val="20"/>
                <w:szCs w:val="20"/>
                <w:lang w:val="sq-AL"/>
              </w:rPr>
              <w:br/>
              <w:t>a) të njoftojë paraprakisht Bankën e Shqipërisë dhe Autoritetin për ndryshimet e planifikuara;</w:t>
            </w:r>
            <w:r w:rsidRPr="00735452">
              <w:rPr>
                <w:rFonts w:ascii="Times New Roman" w:eastAsia="Times New Roman" w:hAnsi="Times New Roman" w:cs="Times New Roman"/>
                <w:sz w:val="20"/>
                <w:szCs w:val="20"/>
                <w:lang w:val="sq-AL"/>
              </w:rPr>
              <w:br/>
              <w:t>b) të kërkojë miratim paraprak për çdo ndryshim thelbësor me efekt material të programit.</w:t>
            </w:r>
            <w:r w:rsidRPr="00735452">
              <w:rPr>
                <w:rFonts w:ascii="Times New Roman" w:eastAsia="Times New Roman" w:hAnsi="Times New Roman" w:cs="Times New Roman"/>
                <w:sz w:val="20"/>
                <w:szCs w:val="20"/>
                <w:lang w:val="sq-AL"/>
              </w:rPr>
              <w:br/>
              <w:t>Procedura për miratimin e ndryshimeve thelbësore me efekt materialisht i nënshtrohet të njëjtave rregulla si procedura për miratimin fillestar të programit të obligacioneve të mbuluara.</w:t>
            </w:r>
            <w:r w:rsidRPr="00735452">
              <w:rPr>
                <w:rFonts w:ascii="Times New Roman" w:eastAsia="Times New Roman" w:hAnsi="Times New Roman" w:cs="Times New Roman"/>
                <w:sz w:val="20"/>
                <w:szCs w:val="20"/>
                <w:lang w:val="sq-AL"/>
              </w:rPr>
              <w:br/>
              <w:t xml:space="preserve">6. Autoriteti miraton rregulla të detajuara për përcaktimin e kritereve sipas të  sipas të cilave vlerësohet nëse një </w:t>
            </w:r>
            <w:r w:rsidRPr="00735452">
              <w:rPr>
                <w:rFonts w:ascii="Times New Roman" w:eastAsia="Times New Roman" w:hAnsi="Times New Roman" w:cs="Times New Roman"/>
                <w:sz w:val="20"/>
                <w:szCs w:val="20"/>
                <w:lang w:val="sq-AL"/>
              </w:rPr>
              <w:lastRenderedPageBreak/>
              <w:t>ndryshim konsiderohet me efekt material rëndësishëm.</w:t>
            </w:r>
            <w:r w:rsidRPr="00735452">
              <w:rPr>
                <w:rFonts w:ascii="Times New Roman" w:eastAsia="Times New Roman" w:hAnsi="Times New Roman" w:cs="Times New Roman"/>
                <w:sz w:val="20"/>
                <w:szCs w:val="20"/>
                <w:lang w:val="sq-AL"/>
              </w:rPr>
              <w:br/>
              <w:t>7. Banka e Shqipërisë miraton rregulla të detajuara për përcaktimin e kritereve sipas  për kriteret sipas të cilave vlerëson nëse një ndryshim në programin e veprimtarisë (planin e biznesit) konsiderohet materialisht i rëndësishëm.</w:t>
            </w:r>
          </w:p>
        </w:tc>
        <w:tc>
          <w:tcPr>
            <w:tcW w:w="1440" w:type="dxa"/>
          </w:tcPr>
          <w:p w14:paraId="41368FB0" w14:textId="007C04A5" w:rsidR="003E7E51" w:rsidRPr="00735452" w:rsidRDefault="000F58F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65331E8A" w14:textId="77777777" w:rsidR="003E7E51" w:rsidRPr="00735452" w:rsidRDefault="003E7E51">
            <w:pPr>
              <w:spacing w:after="0" w:line="240" w:lineRule="auto"/>
              <w:rPr>
                <w:rFonts w:ascii="Times New Roman" w:hAnsi="Times New Roman" w:cs="Times New Roman"/>
                <w:sz w:val="20"/>
                <w:szCs w:val="20"/>
                <w:lang w:val="sq-AL"/>
              </w:rPr>
            </w:pPr>
          </w:p>
        </w:tc>
      </w:tr>
      <w:tr w:rsidR="00606432" w:rsidRPr="00735452" w14:paraId="6A41AC04" w14:textId="77777777" w:rsidTr="004D61BC">
        <w:trPr>
          <w:gridAfter w:val="1"/>
          <w:wAfter w:w="14" w:type="dxa"/>
        </w:trPr>
        <w:tc>
          <w:tcPr>
            <w:tcW w:w="800" w:type="dxa"/>
            <w:tcBorders>
              <w:left w:val="single" w:sz="12" w:space="0" w:color="auto"/>
            </w:tcBorders>
          </w:tcPr>
          <w:p w14:paraId="064808E6"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2</w:t>
            </w:r>
          </w:p>
        </w:tc>
        <w:tc>
          <w:tcPr>
            <w:tcW w:w="5220" w:type="dxa"/>
            <w:tcBorders>
              <w:right w:val="single" w:sz="12" w:space="0" w:color="auto"/>
            </w:tcBorders>
          </w:tcPr>
          <w:p w14:paraId="148A0D0A"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përcaktojnë kërkesat për lejen e përmendur në paragrafin 1, duke përfshirë të paktën sa vijon:</w:t>
            </w:r>
          </w:p>
          <w:p w14:paraId="0F22F5ED"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një program veprimtarie të përshtatshëm që përcakton emetimin e obligacioneve të mbuluara;</w:t>
            </w:r>
          </w:p>
          <w:p w14:paraId="4B414EE7"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politika, procese dhe metodologji të përshtatshme që synojnë mbrojtjen e investitorëve për miratimin, ndryshimin, rinovimin dhe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huave të përfshira në portofolin e mbulimit;</w:t>
            </w:r>
          </w:p>
          <w:p w14:paraId="237CCA8A"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drejtim dhe personel të dedikuar për programin e obligacioneve të mbuluara, të cilët kanë kualifikime dhe njohuri të përshtatshme për emetimin e obligacioneve të mbuluara dhe administrimin e programit të obligacioneve të mbuluara;</w:t>
            </w:r>
          </w:p>
          <w:p w14:paraId="0572C2B7" w14:textId="77777777" w:rsidR="00606432" w:rsidRPr="00735452" w:rsidRDefault="00606432" w:rsidP="00606432">
            <w:pPr>
              <w:spacing w:after="0" w:line="240" w:lineRule="auto"/>
              <w:ind w:left="114"/>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një organizim administrativ të portofolit të mbulimit dhe të monitorimit të tij, që përmbush kërkesat e zbatueshme të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w:t>
            </w:r>
          </w:p>
          <w:p w14:paraId="1EA48AE6" w14:textId="77777777" w:rsidR="00606432" w:rsidRPr="00735452" w:rsidRDefault="00606432" w:rsidP="00606432">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297157AC" w14:textId="7D667A8B" w:rsidR="00606432" w:rsidRPr="00735452" w:rsidRDefault="006356F0" w:rsidP="0060643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C3D2B3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Nenet 20-24; Neni 13; Neni 26</w:t>
            </w:r>
          </w:p>
        </w:tc>
        <w:tc>
          <w:tcPr>
            <w:tcW w:w="5130" w:type="dxa"/>
          </w:tcPr>
          <w:p w14:paraId="51AFACA1" w14:textId="2366D12F"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20</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Institucioni i kreditit që synon të kryejë një ose më shumë emetime të obligacioneve të mbuluara duhet:</w:t>
            </w:r>
            <w:r w:rsidRPr="00735452">
              <w:rPr>
                <w:rFonts w:ascii="Times New Roman" w:eastAsia="Times New Roman" w:hAnsi="Times New Roman" w:cs="Times New Roman"/>
                <w:sz w:val="20"/>
                <w:szCs w:val="20"/>
                <w:lang w:val="sq-AL"/>
              </w:rPr>
              <w:br/>
              <w:t>a) t'i paraqesë Bankës së Shqipërisë kërkesë për dhënien e opinionit paraprak për programin e veprimtarisë (planin e biznesit) që rregullon dhe përcakton emetimin e obligacioneve të mbuluara;</w:t>
            </w:r>
            <w:r w:rsidRPr="00735452">
              <w:rPr>
                <w:rFonts w:ascii="Times New Roman" w:eastAsia="Times New Roman" w:hAnsi="Times New Roman" w:cs="Times New Roman"/>
                <w:sz w:val="20"/>
                <w:szCs w:val="20"/>
                <w:lang w:val="sq-AL"/>
              </w:rPr>
              <w:br/>
              <w:t xml:space="preserve"> b) pas marrjes së opinionit paraprak nga Banka e Shqipërisë, të paraqesë pranë Autoritetit, brenda 30 ditëve, kërkesë për miratimin e programit të obligacioneve të mbuluara.</w:t>
            </w:r>
            <w:r w:rsidRPr="00735452">
              <w:rPr>
                <w:rFonts w:ascii="Times New Roman" w:eastAsia="Times New Roman" w:hAnsi="Times New Roman" w:cs="Times New Roman"/>
                <w:sz w:val="20"/>
                <w:szCs w:val="20"/>
                <w:lang w:val="sq-AL"/>
              </w:rPr>
              <w:br/>
              <w:t>2. Kërkesa për dhënien e opinionit paraprak përmban programin e veprimtarisë (planin e biznesit) që rregullon dhe përcakton emetimin e obligacioneve të mbuluara, duke përfshirë analizën e rrezikut, nga e cila duhet të rezultojë qartë se emetimi i obligacioneve të mbuluara nuk do të rrezikojë:</w:t>
            </w:r>
            <w:r w:rsidRPr="00735452">
              <w:rPr>
                <w:rFonts w:ascii="Times New Roman" w:eastAsia="Times New Roman" w:hAnsi="Times New Roman" w:cs="Times New Roman"/>
                <w:sz w:val="20"/>
                <w:szCs w:val="20"/>
                <w:lang w:val="sq-AL"/>
              </w:rPr>
              <w:br/>
              <w:t>a) qëndrueshmërinë afatgjatë të veprimtarisë së institucionit të kreditit;</w:t>
            </w:r>
            <w:r w:rsidRPr="00735452">
              <w:rPr>
                <w:rFonts w:ascii="Times New Roman" w:eastAsia="Times New Roman" w:hAnsi="Times New Roman" w:cs="Times New Roman"/>
                <w:sz w:val="20"/>
                <w:szCs w:val="20"/>
                <w:lang w:val="sq-AL"/>
              </w:rPr>
              <w:br/>
              <w:t xml:space="preserve">b) aftësinë e tij për të përmbushur kërkesat </w:t>
            </w:r>
            <w:proofErr w:type="spellStart"/>
            <w:r w:rsidRPr="00735452">
              <w:rPr>
                <w:rFonts w:ascii="Times New Roman" w:eastAsia="Times New Roman" w:hAnsi="Times New Roman" w:cs="Times New Roman"/>
                <w:sz w:val="20"/>
                <w:szCs w:val="20"/>
                <w:lang w:val="sq-AL"/>
              </w:rPr>
              <w:t>rregullatore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3. Kërkesa për miratimin e programit sipas pikës 1, shkronja “b” të këtij neni, përmban detyrimisht të dhënat e mëposhtme mbi organizimin administrativ dhe gjendjen financiare të institucionit të kreditit:</w:t>
            </w:r>
            <w:r w:rsidRPr="00735452">
              <w:rPr>
                <w:rFonts w:ascii="Times New Roman" w:eastAsia="Times New Roman" w:hAnsi="Times New Roman" w:cs="Times New Roman"/>
                <w:sz w:val="20"/>
                <w:szCs w:val="20"/>
                <w:lang w:val="sq-AL"/>
              </w:rPr>
              <w:br/>
              <w:t xml:space="preserve">a) përshkrimin e gjendjes së tij financiare nga e cila rezulton një nivel i përshtatshëm i 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që garanton përmbushjen e detyrimeve ndaj kreditorëve të cilët nuk janë investitorë në obligacionet e mbuluara;</w:t>
            </w:r>
            <w:r w:rsidRPr="00735452">
              <w:rPr>
                <w:rFonts w:ascii="Times New Roman" w:eastAsia="Times New Roman" w:hAnsi="Times New Roman" w:cs="Times New Roman"/>
                <w:sz w:val="20"/>
                <w:szCs w:val="20"/>
                <w:lang w:val="sq-AL"/>
              </w:rPr>
              <w:br/>
              <w:t>b) përshkrimin e planeve afatgjata të biznesit duke u përqendruar në likuiditetin dhe rreziqet që lidhen me të, si dhe ndikimin e emetimit të obligacioneve të mbuluara në planet afatgjata të biznesit;</w:t>
            </w:r>
            <w:r w:rsidRPr="00735452">
              <w:rPr>
                <w:rFonts w:ascii="Times New Roman" w:eastAsia="Times New Roman" w:hAnsi="Times New Roman" w:cs="Times New Roman"/>
                <w:sz w:val="20"/>
                <w:szCs w:val="20"/>
                <w:lang w:val="sq-AL"/>
              </w:rPr>
              <w:br/>
              <w:t>c) përshkrimin e detyrave dhe përgjegjësive të tij në lidhje me emetimin e obligacioneve të mbuluara, veçanërisht në pjesën e ndarjes së aktiveve për mbulim;</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ç) përshkrimin e menaxhimit të rreziqeve të institucionit të kreditit në lidhje me obligacionet e mbuluara;</w:t>
            </w:r>
            <w:r w:rsidRPr="00735452">
              <w:rPr>
                <w:rFonts w:ascii="Times New Roman" w:eastAsia="Times New Roman" w:hAnsi="Times New Roman" w:cs="Times New Roman"/>
                <w:sz w:val="20"/>
                <w:szCs w:val="20"/>
                <w:lang w:val="sq-AL"/>
              </w:rPr>
              <w:br/>
              <w:t xml:space="preserve">d) përshkrimin e procedurave të </w:t>
            </w:r>
            <w:proofErr w:type="spellStart"/>
            <w:r w:rsidRPr="00735452">
              <w:rPr>
                <w:rFonts w:ascii="Times New Roman" w:eastAsia="Times New Roman" w:hAnsi="Times New Roman" w:cs="Times New Roman"/>
                <w:sz w:val="20"/>
                <w:szCs w:val="20"/>
                <w:lang w:val="sq-AL"/>
              </w:rPr>
              <w:t>auditimit</w:t>
            </w:r>
            <w:proofErr w:type="spellEnd"/>
            <w:r w:rsidRPr="00735452">
              <w:rPr>
                <w:rFonts w:ascii="Times New Roman" w:eastAsia="Times New Roman" w:hAnsi="Times New Roman" w:cs="Times New Roman"/>
                <w:sz w:val="20"/>
                <w:szCs w:val="20"/>
                <w:lang w:val="sq-AL"/>
              </w:rPr>
              <w:t xml:space="preserve"> të brendshëm në lidhje me emetimin e obligacioneve të mbuluara, duke përfshirë frekuencën dhe procedurat e zbatueshme të kontrollit;</w:t>
            </w:r>
            <w:r w:rsidRPr="00735452">
              <w:rPr>
                <w:rFonts w:ascii="Times New Roman" w:eastAsia="Times New Roman" w:hAnsi="Times New Roman" w:cs="Times New Roman"/>
                <w:sz w:val="20"/>
                <w:szCs w:val="20"/>
                <w:lang w:val="sq-AL"/>
              </w:rPr>
              <w:br/>
              <w:t>dh) përshkrimin e procedurave në lidhje me publikimin e informacionit për investitorët në obligacionet e mbuluara;</w:t>
            </w:r>
            <w:r w:rsidRPr="00735452">
              <w:rPr>
                <w:rFonts w:ascii="Times New Roman" w:eastAsia="Times New Roman" w:hAnsi="Times New Roman" w:cs="Times New Roman"/>
                <w:sz w:val="20"/>
                <w:szCs w:val="20"/>
                <w:lang w:val="sq-AL"/>
              </w:rPr>
              <w:br/>
              <w:t>e) përshkrimin e sistemeve të teknologjisë së informacionit që përdoren  në lidhje me mbajtjen e regjistrit të grupit të mbulimit;</w:t>
            </w:r>
            <w:r w:rsidRPr="00735452">
              <w:rPr>
                <w:rFonts w:ascii="Times New Roman" w:eastAsia="Times New Roman" w:hAnsi="Times New Roman" w:cs="Times New Roman"/>
                <w:sz w:val="20"/>
                <w:szCs w:val="20"/>
                <w:lang w:val="sq-AL"/>
              </w:rPr>
              <w:br/>
              <w:t>ë) përshkrimin e drejtimit/organeve drejtuese dhe personelit përgjegjës për programin e obligacioneve të mbuluara që kanë kualifikime dhe njohuri të përshtatshme për emetimin e obligacioneve të mbuluara dhe menaxhimin e programit të obligacioneve të mbuluara.</w:t>
            </w:r>
            <w:r w:rsidRPr="00735452">
              <w:rPr>
                <w:rFonts w:ascii="Times New Roman" w:eastAsia="Times New Roman" w:hAnsi="Times New Roman" w:cs="Times New Roman"/>
                <w:sz w:val="20"/>
                <w:szCs w:val="20"/>
                <w:lang w:val="sq-AL"/>
              </w:rPr>
              <w:br/>
              <w:t>4. Kërkesa sipas pikës 1, shkronja “b”, të këtij neni, përmban gjithashtu të dhëna konkrete mbi programin e obligacioneve të mbuluara dhe programin e veprimtarisë, të cilat ndër të tjera përfshijnë:</w:t>
            </w:r>
            <w:r w:rsidRPr="00735452">
              <w:rPr>
                <w:rFonts w:ascii="Times New Roman" w:eastAsia="Times New Roman" w:hAnsi="Times New Roman" w:cs="Times New Roman"/>
                <w:sz w:val="20"/>
                <w:szCs w:val="20"/>
                <w:lang w:val="sq-AL"/>
              </w:rPr>
              <w:br/>
              <w:t>a) shumën maksimale të synuar të vlerës nominale totale të obligacioneve të mbuluara që planifikohet të emetohen në kuadër të programit;</w:t>
            </w:r>
            <w:r w:rsidRPr="00735452">
              <w:rPr>
                <w:rFonts w:ascii="Times New Roman" w:eastAsia="Times New Roman" w:hAnsi="Times New Roman" w:cs="Times New Roman"/>
                <w:sz w:val="20"/>
                <w:szCs w:val="20"/>
                <w:lang w:val="sq-AL"/>
              </w:rPr>
              <w:br/>
              <w:t xml:space="preserve">b) arsyen për emetimin e obligacioneve të mbuluara, duke përfshirë përshkrimin cilësor dhe sasior të përdorimit të planifikuar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ardhurave për vitin financiar aktual dhe atë pasues, si dhe shumën e parashikuar të çmimit të shitjes së obligacioneve të mbuluara;</w:t>
            </w:r>
            <w:r w:rsidRPr="00735452">
              <w:rPr>
                <w:rFonts w:ascii="Times New Roman" w:eastAsia="Times New Roman" w:hAnsi="Times New Roman" w:cs="Times New Roman"/>
                <w:sz w:val="20"/>
                <w:szCs w:val="20"/>
                <w:lang w:val="sq-AL"/>
              </w:rPr>
              <w:br/>
              <w:t>c) provën se institucioni i kreditit ka mekanizma të përshtatshëm për regjistrim dhe klasifikim të veçantë të dokumentacionit që lidhet me kërkesat që janë pjesë e mbulimit, si dhe dokumentacionit që lidhet me emetimin e obligacioneve të mbuluara nga të gjitha proceset e tjera të biznesit të institucionit të kreditit;</w:t>
            </w:r>
            <w:r w:rsidRPr="00735452">
              <w:rPr>
                <w:rFonts w:ascii="Times New Roman" w:eastAsia="Times New Roman" w:hAnsi="Times New Roman" w:cs="Times New Roman"/>
                <w:sz w:val="20"/>
                <w:szCs w:val="20"/>
                <w:lang w:val="sq-AL"/>
              </w:rPr>
              <w:br/>
              <w:t>ç) përshkrimin e programit të obligacioneve të mbuluara, duke përfshirë:</w:t>
            </w:r>
            <w:r w:rsidRPr="00735452">
              <w:rPr>
                <w:rFonts w:ascii="Times New Roman" w:eastAsia="Times New Roman" w:hAnsi="Times New Roman" w:cs="Times New Roman"/>
                <w:sz w:val="20"/>
                <w:szCs w:val="20"/>
                <w:lang w:val="sq-AL"/>
              </w:rPr>
              <w:br/>
              <w:t xml:space="preserve">(i) procedurat operative të orientuara drejt sigurimit të funksionimit të rregullt të programit të obligacioneve të mbuluara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likuidimit të detyruar ose ndërhyrjes së jashtëzakonshme të institucionit të kreditit;</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provën për ekzistencën e mekanizmave të përshtatshëm mbrojtës për të siguruar që debitorët e kredive të përfshira në grupin e mbulimit trajtohen në mënyrë të barabarte me debitorët e kredive të krahasueshme të cilat nuk janë përfshirë në grupin e mbulimit;</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regjistrimin e të gjitha transaksioneve që lidhen me programin e obligacioneve të mbuluara dhe vendosjen e sistemeve dhe proceseve të përshtatshme  të dokumentimit;</w:t>
            </w:r>
            <w:r w:rsidRPr="00735452">
              <w:rPr>
                <w:rFonts w:ascii="Times New Roman" w:eastAsia="Times New Roman" w:hAnsi="Times New Roman" w:cs="Times New Roman"/>
                <w:sz w:val="20"/>
                <w:szCs w:val="20"/>
                <w:lang w:val="sq-AL"/>
              </w:rPr>
              <w:br/>
              <w:t xml:space="preserve">d) përshkrimin e politikave, procedurave dhe metodologjive që rregullojnë miratimin, ndryshimin, rinovimin dhe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kredive të përfshira në grupin e mbulimit;</w:t>
            </w:r>
            <w:r w:rsidRPr="00735452">
              <w:rPr>
                <w:rFonts w:ascii="Times New Roman" w:eastAsia="Times New Roman" w:hAnsi="Times New Roman" w:cs="Times New Roman"/>
                <w:sz w:val="20"/>
                <w:szCs w:val="20"/>
                <w:lang w:val="sq-AL"/>
              </w:rPr>
              <w:br/>
              <w:t>dh) detaje në lidhje me mënyrën e funksionimit, mënyrën e mbajtjes dhe kompetencat e mbledhjes/asamblesë së investitorëve.</w:t>
            </w:r>
            <w:r w:rsidRPr="00735452">
              <w:rPr>
                <w:rFonts w:ascii="Times New Roman" w:eastAsia="Times New Roman" w:hAnsi="Times New Roman" w:cs="Times New Roman"/>
                <w:sz w:val="20"/>
                <w:szCs w:val="20"/>
                <w:lang w:val="sq-AL"/>
              </w:rPr>
              <w:br/>
              <w:t>5. Kërkesës të përcaktuar në pikën 1 shkronja “b”, të këtij neni, i bashkëngjiten:</w:t>
            </w:r>
            <w:r w:rsidRPr="00735452">
              <w:rPr>
                <w:rFonts w:ascii="Times New Roman" w:eastAsia="Times New Roman" w:hAnsi="Times New Roman" w:cs="Times New Roman"/>
                <w:sz w:val="20"/>
                <w:szCs w:val="20"/>
                <w:lang w:val="sq-AL"/>
              </w:rPr>
              <w:br/>
              <w:t>a) përshkrimi i detajuar i aktiveve që përbëjnë grupin e mbulimit dhe mënyra e monitorimit të vazhdueshëm të tij;</w:t>
            </w:r>
            <w:r w:rsidRPr="00735452">
              <w:rPr>
                <w:rFonts w:ascii="Times New Roman" w:eastAsia="Times New Roman" w:hAnsi="Times New Roman" w:cs="Times New Roman"/>
                <w:sz w:val="20"/>
                <w:szCs w:val="20"/>
                <w:lang w:val="sq-AL"/>
              </w:rPr>
              <w:br/>
              <w:t>b) konfirmimi i monitoruesit të grupit të mbulimit se aktivet përmbushin kërkesat ligjore;</w:t>
            </w:r>
            <w:r w:rsidRPr="00735452">
              <w:rPr>
                <w:rFonts w:ascii="Times New Roman" w:eastAsia="Times New Roman" w:hAnsi="Times New Roman" w:cs="Times New Roman"/>
                <w:sz w:val="20"/>
                <w:szCs w:val="20"/>
                <w:lang w:val="sq-AL"/>
              </w:rPr>
              <w:br/>
              <w:t>c) plani i detajuar për përmbushjen e kushteve për ndarjen e aktiveve për mbulim dhe mbrojtjen e tyre nga kreditorët e tjerë, si dhe për pasojat e hapjes së procedurës së likuidimit të detyruar ose ndërhyrjes së jashtëzakonshme;</w:t>
            </w:r>
            <w:r w:rsidRPr="00735452">
              <w:rPr>
                <w:rFonts w:ascii="Times New Roman" w:eastAsia="Times New Roman" w:hAnsi="Times New Roman" w:cs="Times New Roman"/>
                <w:sz w:val="20"/>
                <w:szCs w:val="20"/>
                <w:lang w:val="sq-AL"/>
              </w:rPr>
              <w:br/>
              <w:t>ç) vendimi për emërimin e monitoruesit të grupit të mbulimit dhe provat që ai përmbush kushtet ligjore;</w:t>
            </w:r>
            <w:r w:rsidRPr="00735452">
              <w:rPr>
                <w:rFonts w:ascii="Times New Roman" w:eastAsia="Times New Roman" w:hAnsi="Times New Roman" w:cs="Times New Roman"/>
                <w:sz w:val="20"/>
                <w:szCs w:val="20"/>
                <w:lang w:val="sq-AL"/>
              </w:rPr>
              <w:br/>
              <w:t>d) prova të tjera mbështetëse që tregojnë përmbushjen e kushteve ligjore nga institucioni i kreditit;</w:t>
            </w:r>
            <w:r w:rsidRPr="00735452">
              <w:rPr>
                <w:rFonts w:ascii="Times New Roman" w:eastAsia="Times New Roman" w:hAnsi="Times New Roman" w:cs="Times New Roman"/>
                <w:sz w:val="20"/>
                <w:szCs w:val="20"/>
                <w:lang w:val="sq-AL"/>
              </w:rPr>
              <w:br/>
              <w:t>dh) vërtetimi për pagesën e tarifës për Autoritetin. në shumën e përcaktuar me rregullore të miratuar përkatësisht nga Autoriteti.</w:t>
            </w:r>
            <w:r w:rsidRPr="00735452">
              <w:rPr>
                <w:rFonts w:ascii="Times New Roman" w:eastAsia="Times New Roman" w:hAnsi="Times New Roman" w:cs="Times New Roman"/>
                <w:sz w:val="20"/>
                <w:szCs w:val="20"/>
                <w:lang w:val="sq-AL"/>
              </w:rPr>
              <w:br/>
              <w:t xml:space="preserve">6. Pas emetimit fillestar në kuadër të programit të obligacioneve të mbuluara, institucioni i kreditit emetues mund të emetojë një emetim të ri të obligacioneve të mbuluara brenda këtij programi pa kërkuar miratim të ri për programin, përkatësisht opinion paraprak, me kusht që emetimi të jetë në përputhje me miratimin e dhënë dhe me dispozitat e këtij ligji. Obligacionet e mbuluara të emetuara në një emetim të tillë kanë të njëjtin rend përparësie në lidhje me shlyerjen e tyre nga grupi i mbulimit si obligacionet e </w:t>
            </w:r>
            <w:r w:rsidRPr="00735452">
              <w:rPr>
                <w:rFonts w:ascii="Times New Roman" w:eastAsia="Times New Roman" w:hAnsi="Times New Roman" w:cs="Times New Roman"/>
                <w:sz w:val="20"/>
                <w:szCs w:val="20"/>
                <w:lang w:val="sq-AL"/>
              </w:rPr>
              <w:lastRenderedPageBreak/>
              <w:t>mbuluara të emetuara më parë në këtë program.</w:t>
            </w:r>
            <w:r w:rsidRPr="00735452">
              <w:rPr>
                <w:rFonts w:ascii="Times New Roman" w:eastAsia="Times New Roman" w:hAnsi="Times New Roman" w:cs="Times New Roman"/>
                <w:sz w:val="20"/>
                <w:szCs w:val="20"/>
                <w:lang w:val="sq-AL"/>
              </w:rPr>
              <w:br/>
              <w:t xml:space="preserve">7. Kërkesat në lidhje me mbulimin sipas nenit 16, të këtij ligji përmbushen në lidhje me detyrimet që rrjedhin nga të gjitha obligacionet e mbuluara të emetuara në kuadër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njëjtit program. Nëse një emetim i ri do të çonte në mosplotësimin e këtyre kërkesave, emetuesi nuk duhet të emetojë emetim të ri, por duhet të kërkojë miratim shtesë, përkatësisht opinion paraprak, në përputhje me nenin 19, pika 6, të këtij ligji.</w:t>
            </w:r>
            <w:r w:rsidRPr="00735452">
              <w:rPr>
                <w:rFonts w:ascii="Times New Roman" w:eastAsia="Times New Roman" w:hAnsi="Times New Roman" w:cs="Times New Roman"/>
                <w:sz w:val="20"/>
                <w:szCs w:val="20"/>
                <w:lang w:val="sq-AL"/>
              </w:rPr>
              <w:br/>
              <w:t>8. Autoriteti miraton rregulla të detajuara për përcaktimin e mënyrës së dorëzimit, formën dhe përmbajtjen e kërkesës për miratimin e programit të obligacioneve të mbuluara, si dhe kriteret që ai ndjek gjatë shqyrtimit dhe vendimmarrjes mbi këto kërkesa.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21</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Obligacionet e mbuluara sipas  këtij ligji mund të emetohen vetëm nga një institucion krediti me seli në Republikën e Shqipërisë dhe vetëm pas marrjes nga Autoriteti të miratimit të programit të obligacioneve të mbuluara në kuadër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cilit emetohen obligacionet e mbuluara.</w:t>
            </w:r>
            <w:r w:rsidRPr="00735452">
              <w:rPr>
                <w:rFonts w:ascii="Times New Roman" w:eastAsia="Times New Roman" w:hAnsi="Times New Roman" w:cs="Times New Roman"/>
                <w:sz w:val="20"/>
                <w:szCs w:val="20"/>
                <w:lang w:val="sq-AL"/>
              </w:rPr>
              <w:br/>
              <w:t>2. Autoriteti miraton me vendim programin e obligacioneve të mbuluara, në bazë të:</w:t>
            </w:r>
            <w:r w:rsidRPr="00735452">
              <w:rPr>
                <w:rFonts w:ascii="Times New Roman" w:eastAsia="Times New Roman" w:hAnsi="Times New Roman" w:cs="Times New Roman"/>
                <w:sz w:val="20"/>
                <w:szCs w:val="20"/>
                <w:lang w:val="sq-AL"/>
              </w:rPr>
              <w:br/>
              <w:t>a) opinionit paraprak të Bankës së Shqipërisë, të përmendur në nenin 19 pika 6 si dhe sipas kërkesës së paraqitur në nenin 20, të këtij ligji;</w:t>
            </w:r>
            <w:r w:rsidRPr="00735452">
              <w:rPr>
                <w:rFonts w:ascii="Times New Roman" w:eastAsia="Times New Roman" w:hAnsi="Times New Roman" w:cs="Times New Roman"/>
                <w:sz w:val="20"/>
                <w:szCs w:val="20"/>
                <w:lang w:val="sq-AL"/>
              </w:rPr>
              <w:br/>
              <w:t>b) konstatimit se janë përmbushur të gjitha kushtet e përcaktuara në këtë ligj, përfshirë kushtet sipas nenit 19, të këtij ligji.</w:t>
            </w:r>
            <w:r w:rsidRPr="00735452">
              <w:rPr>
                <w:rFonts w:ascii="Times New Roman" w:eastAsia="Times New Roman" w:hAnsi="Times New Roman" w:cs="Times New Roman"/>
                <w:sz w:val="20"/>
                <w:szCs w:val="20"/>
                <w:lang w:val="sq-AL"/>
              </w:rPr>
              <w:br/>
              <w:t>3. Autoriteti gjatë shqyrtimit të programit për miratimin e tij në rast se konstaton ndryshime pas marrjes së opinionit të parë nga Banka e Shqipërisë ose vlerëson të nevojshme marrjen e sqarimeve shtesë, mund t'i kërkojë Bankës së Shqipërisë informacion shtesë ndaj opinionit  të dhënë në kuptim të pikës 6, të nenit 19, të këtij ligji. Banka e Shqipërisë shprehet brenda 15 ditëve nga data e marrjes së kërkesës.</w:t>
            </w:r>
            <w:r w:rsidRPr="00735452">
              <w:rPr>
                <w:rFonts w:ascii="Times New Roman" w:eastAsia="Times New Roman" w:hAnsi="Times New Roman" w:cs="Times New Roman"/>
                <w:sz w:val="20"/>
                <w:szCs w:val="20"/>
                <w:lang w:val="sq-AL"/>
              </w:rPr>
              <w:br/>
              <w:t xml:space="preserve">4.Banka e Shqipërisë jep opinionin paraprak sipas nenit 20 të </w:t>
            </w:r>
            <w:r w:rsidRPr="00735452">
              <w:rPr>
                <w:rFonts w:ascii="Times New Roman" w:eastAsia="Times New Roman" w:hAnsi="Times New Roman" w:cs="Times New Roman"/>
                <w:sz w:val="20"/>
                <w:szCs w:val="20"/>
                <w:lang w:val="sq-AL"/>
              </w:rPr>
              <w:lastRenderedPageBreak/>
              <w:t>këtij ligji, brenda 60 ditëve nga dita e paraqitjes së kërkesës së plotë për dhënien e opinionit paraprak.</w:t>
            </w:r>
            <w:r w:rsidRPr="00735452">
              <w:rPr>
                <w:rFonts w:ascii="Times New Roman" w:eastAsia="Times New Roman" w:hAnsi="Times New Roman" w:cs="Times New Roman"/>
                <w:sz w:val="20"/>
                <w:szCs w:val="20"/>
                <w:lang w:val="sq-AL"/>
              </w:rPr>
              <w:br/>
              <w:t>5. Emetuesi i cili pas marrjes së miratimit, synon të ndryshojë programin e obligacioneve të mbuluara është i detyruar:</w:t>
            </w:r>
            <w:r w:rsidRPr="00735452">
              <w:rPr>
                <w:rFonts w:ascii="Times New Roman" w:eastAsia="Times New Roman" w:hAnsi="Times New Roman" w:cs="Times New Roman"/>
                <w:sz w:val="20"/>
                <w:szCs w:val="20"/>
                <w:lang w:val="sq-AL"/>
              </w:rPr>
              <w:br/>
              <w:t>a) të njoftojë paraprakisht Bankën e Shqipërisë dhe Autoritetin për ndryshimet e planifikuara;</w:t>
            </w:r>
            <w:r w:rsidRPr="00735452">
              <w:rPr>
                <w:rFonts w:ascii="Times New Roman" w:eastAsia="Times New Roman" w:hAnsi="Times New Roman" w:cs="Times New Roman"/>
                <w:sz w:val="20"/>
                <w:szCs w:val="20"/>
                <w:lang w:val="sq-AL"/>
              </w:rPr>
              <w:br/>
              <w:t>b) të kërkojë miratim paraprak për çdo ndryshim thelbësor me efekt material të programit.</w:t>
            </w:r>
            <w:r w:rsidRPr="00735452">
              <w:rPr>
                <w:rFonts w:ascii="Times New Roman" w:eastAsia="Times New Roman" w:hAnsi="Times New Roman" w:cs="Times New Roman"/>
                <w:sz w:val="20"/>
                <w:szCs w:val="20"/>
                <w:lang w:val="sq-AL"/>
              </w:rPr>
              <w:br/>
              <w:t>Procedura për miratimin e ndryshimeve thelbësore me efekt materialisht i nënshtrohet të njëjtave rregulla si procedura për miratimin fillestar të programit të obligacioneve të mbuluara.</w:t>
            </w:r>
            <w:r w:rsidRPr="00735452">
              <w:rPr>
                <w:rFonts w:ascii="Times New Roman" w:eastAsia="Times New Roman" w:hAnsi="Times New Roman" w:cs="Times New Roman"/>
                <w:sz w:val="20"/>
                <w:szCs w:val="20"/>
                <w:lang w:val="sq-AL"/>
              </w:rPr>
              <w:br/>
              <w:t>6. Autoriteti miraton rregulla të detajuara për përcaktimin e kritereve sipas të  sipas të cilave vlerësohet nëse një ndryshim konsiderohet me efekt material rëndësishëm.</w:t>
            </w:r>
            <w:r w:rsidRPr="00735452">
              <w:rPr>
                <w:rFonts w:ascii="Times New Roman" w:eastAsia="Times New Roman" w:hAnsi="Times New Roman" w:cs="Times New Roman"/>
                <w:sz w:val="20"/>
                <w:szCs w:val="20"/>
                <w:lang w:val="sq-AL"/>
              </w:rPr>
              <w:br/>
              <w:t>7. Banka e Shqipërisë miraton rregulla të detajuara për përcaktimin e kritereve sipas  për kriteret sipas të cilave vlerëson nëse një ndryshim në programin e veprimtarisë (planin e biznesit) konsiderohet materialisht i rëndësishëm.</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22</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Institucioni i kreditit mund të marrë miratim për programin e obligacioneve të mbuluara dhe opinion paraprak nga Banka e Shqipërisë vetëm nëse programi i obligacioneve të mbuluara përmbush kushtet e mëposhtme:</w:t>
            </w:r>
            <w:r w:rsidRPr="00735452">
              <w:rPr>
                <w:rFonts w:ascii="Times New Roman" w:eastAsia="Times New Roman" w:hAnsi="Times New Roman" w:cs="Times New Roman"/>
                <w:sz w:val="20"/>
                <w:szCs w:val="20"/>
                <w:lang w:val="sq-AL"/>
              </w:rPr>
              <w:br/>
              <w:t xml:space="preserve">a) ka një program të përshtatshëm veprimtarie që rregullon dhe përcakton emetimin e obligacioneve të mbuluara, duke përfshirë analizën e rrezikut, nga e cila rezulton qartë se emetimi i obligacioneve të mbuluara nuk do të rrezikojë qëndrueshmërinë afatgjatë të veprimtarisë së institucionit të kreditit, dhe as aftësinë e tij për të përmbushur kërkesat </w:t>
            </w:r>
            <w:proofErr w:type="spellStart"/>
            <w:r w:rsidRPr="00735452">
              <w:rPr>
                <w:rFonts w:ascii="Times New Roman" w:eastAsia="Times New Roman" w:hAnsi="Times New Roman" w:cs="Times New Roman"/>
                <w:sz w:val="20"/>
                <w:szCs w:val="20"/>
                <w:lang w:val="sq-AL"/>
              </w:rPr>
              <w:t>rregullatore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b) ka politika, procedura dhe metodologji të përshtatshme që lidhen me dhënien e kredive, ndryshimin e kushteve të tyre, rinovimin dhe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kredive të përfshira në grupin e mbulimit, të cilat shërbejnë për mbrojtjen e investitorëve;</w:t>
            </w:r>
            <w:r w:rsidRPr="00735452">
              <w:rPr>
                <w:rFonts w:ascii="Times New Roman" w:eastAsia="Times New Roman" w:hAnsi="Times New Roman" w:cs="Times New Roman"/>
                <w:sz w:val="20"/>
                <w:szCs w:val="20"/>
                <w:lang w:val="sq-AL"/>
              </w:rPr>
              <w:br/>
              <w:t xml:space="preserve">c) disponon struktura drejtuese dhe personel të dedikuar për programin e obligacioneve të mbuluara, të cilët kanë </w:t>
            </w:r>
            <w:r w:rsidRPr="00735452">
              <w:rPr>
                <w:rFonts w:ascii="Times New Roman" w:eastAsia="Times New Roman" w:hAnsi="Times New Roman" w:cs="Times New Roman"/>
                <w:sz w:val="20"/>
                <w:szCs w:val="20"/>
                <w:lang w:val="sq-AL"/>
              </w:rPr>
              <w:lastRenderedPageBreak/>
              <w:t>kualifikimet dhe njohuritë e nevojshme për emetimin dhe administrimin e tij;</w:t>
            </w:r>
            <w:r w:rsidRPr="00735452">
              <w:rPr>
                <w:rFonts w:ascii="Times New Roman" w:eastAsia="Times New Roman" w:hAnsi="Times New Roman" w:cs="Times New Roman"/>
                <w:sz w:val="20"/>
                <w:szCs w:val="20"/>
                <w:lang w:val="sq-AL"/>
              </w:rPr>
              <w:br/>
              <w:t>ç) është organizuar në mënyrë të tillë që siguron administrimin e rregullt të grupit të mbulimit dhe funksionimin e mekanizmave të monitorimit të tij, në përputhje me kërkesat e këtij ligji, duke përfshirë mbajtjen e regjistrit të grupit të mbulimit dhe funksionimin efektiv të monitoruesit të grupit të mbulimit;</w:t>
            </w:r>
            <w:r w:rsidRPr="00735452">
              <w:rPr>
                <w:rFonts w:ascii="Times New Roman" w:eastAsia="Times New Roman" w:hAnsi="Times New Roman" w:cs="Times New Roman"/>
                <w:sz w:val="20"/>
                <w:szCs w:val="20"/>
                <w:lang w:val="sq-AL"/>
              </w:rPr>
              <w:br/>
              <w:t>d) monitoruesi i përzgjedhur i grupit të mbulimit përmbush kushtet e përcaktuara nga ky ligj;</w:t>
            </w:r>
            <w:r w:rsidRPr="00735452">
              <w:rPr>
                <w:rFonts w:ascii="Times New Roman" w:eastAsia="Times New Roman" w:hAnsi="Times New Roman" w:cs="Times New Roman"/>
                <w:sz w:val="20"/>
                <w:szCs w:val="20"/>
                <w:lang w:val="sq-AL"/>
              </w:rPr>
              <w:br/>
              <w:t xml:space="preserve">dh) përmbush kërkesat e përcaktuara nga ky ligj në lidhje me strukturat e grupit të mbulimit, duke përfshirë kërkesën për financim të përputhur, përbërjen e grupit të mbulimit dhe kërkesat në lidhje me mbulimin, monitorimin e tij dhe regjistrin e grupit të mbulimit, duke përfshirë edhe konfirmimin e monitoruesit të grupit të mbulimit sipas nenit 14 të këtij ligji, si dhe kushtet për afatin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obligacioneve të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23</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Autoriteti merr vendim për miratimin e programit të obligacioneve të mbuluara, jo më vonë se 60 ditë nga dita e paraqitjes së një kërkese të rregullt që përmban opinionin paraprak të Bankës së Shqipërisë.</w:t>
            </w:r>
            <w:r w:rsidRPr="00735452">
              <w:rPr>
                <w:rFonts w:ascii="Times New Roman" w:eastAsia="Times New Roman" w:hAnsi="Times New Roman" w:cs="Times New Roman"/>
                <w:sz w:val="20"/>
                <w:szCs w:val="20"/>
                <w:lang w:val="sq-AL"/>
              </w:rPr>
              <w:br/>
              <w:t>2. Autoriteti merr vendim për refuzimin e kërkesës për miratimin e programit të obligacioneve të mbuluara, në rastet kur:</w:t>
            </w:r>
            <w:r w:rsidRPr="00735452">
              <w:rPr>
                <w:rFonts w:ascii="Times New Roman" w:eastAsia="Times New Roman" w:hAnsi="Times New Roman" w:cs="Times New Roman"/>
                <w:sz w:val="20"/>
                <w:szCs w:val="20"/>
                <w:lang w:val="sq-AL"/>
              </w:rPr>
              <w:br/>
              <w:t>a) konstaton se institucioni i kreditit ose programi i obligacioneve të mbuluara nuk përmbush kushtet e përcaktuara në nenin 20, të këtij ligji;</w:t>
            </w:r>
            <w:r w:rsidRPr="00735452">
              <w:rPr>
                <w:rFonts w:ascii="Times New Roman" w:eastAsia="Times New Roman" w:hAnsi="Times New Roman" w:cs="Times New Roman"/>
                <w:sz w:val="20"/>
                <w:szCs w:val="20"/>
                <w:lang w:val="sq-AL"/>
              </w:rPr>
              <w:br/>
              <w:t>b)  kur Banka e Shqipërisë ka dhënë opinion negativ sipas vlerësimit të parashikuar në këtë ligj;</w:t>
            </w:r>
            <w:r w:rsidRPr="00735452">
              <w:rPr>
                <w:rFonts w:ascii="Times New Roman" w:eastAsia="Times New Roman" w:hAnsi="Times New Roman" w:cs="Times New Roman"/>
                <w:sz w:val="20"/>
                <w:szCs w:val="20"/>
                <w:lang w:val="sq-AL"/>
              </w:rPr>
              <w:br/>
              <w:t>c) opinioni paraprak i Bankës së Shqipërisë, sipas parashikimit të nenit 19, pika 6 dhe nenit 20, të këtij ligji, tregon për mangësi me efekt material dhe të rëndësishëm në:</w:t>
            </w:r>
            <w:r w:rsidRPr="00735452">
              <w:rPr>
                <w:rFonts w:ascii="Times New Roman" w:eastAsia="Times New Roman" w:hAnsi="Times New Roman" w:cs="Times New Roman"/>
                <w:sz w:val="20"/>
                <w:szCs w:val="20"/>
                <w:lang w:val="sq-AL"/>
              </w:rPr>
              <w:br/>
              <w:t xml:space="preserve">(i) politikat, procedurat dhe metodologjitë e emetuesit që lidhen me dhënien e kredive, ndryshimin e kushteve të tyre, zgjatjen e afatit të shlyerjes dhe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kredive të përfshira në grupin e mbulimit, ose në zbatimin e tyre nga </w:t>
            </w:r>
            <w:r w:rsidRPr="00735452">
              <w:rPr>
                <w:rFonts w:ascii="Times New Roman" w:eastAsia="Times New Roman" w:hAnsi="Times New Roman" w:cs="Times New Roman"/>
                <w:sz w:val="20"/>
                <w:szCs w:val="20"/>
                <w:lang w:val="sq-AL"/>
              </w:rPr>
              <w:lastRenderedPageBreak/>
              <w:t>emetuesi;</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sistemin e menaxhimit të rreziqeve të emetuesit;</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politikat, procedurat dhe metodologjitë e emetuesit që lidhen me vlerësimin e aktiveve që janë të përfshira në grupin e mbulimit, ose në zbatimin e tyre nga emetuesi;</w:t>
            </w:r>
            <w:r w:rsidRPr="00735452">
              <w:rPr>
                <w:rFonts w:ascii="Times New Roman" w:eastAsia="Times New Roman" w:hAnsi="Times New Roman" w:cs="Times New Roman"/>
                <w:sz w:val="20"/>
                <w:szCs w:val="20"/>
                <w:lang w:val="sq-AL"/>
              </w:rPr>
              <w:br/>
              <w:t>ç) Autoriteti ka dyshime të arsyeshme në lidhje me objektivitetin dhe saktësinë e konfirmimit të monitoruesit të grupit të mbulimit, sipas parashikimit të nenit 13, pika 1 të këtij ligji.</w:t>
            </w:r>
            <w:r w:rsidRPr="00735452">
              <w:rPr>
                <w:rFonts w:ascii="Times New Roman" w:eastAsia="Times New Roman" w:hAnsi="Times New Roman" w:cs="Times New Roman"/>
                <w:sz w:val="20"/>
                <w:szCs w:val="20"/>
                <w:lang w:val="sq-AL"/>
              </w:rPr>
              <w:br/>
              <w:t xml:space="preserve">3. Kundër vendimit për kërkesën për miratimin e programit të obligacioneve të mbuluara të Autoritetit nuk ushtrohet ankim administrativ. Ky vendim mund të  </w:t>
            </w:r>
            <w:proofErr w:type="spellStart"/>
            <w:r w:rsidRPr="00735452">
              <w:rPr>
                <w:rFonts w:ascii="Times New Roman" w:eastAsia="Times New Roman" w:hAnsi="Times New Roman" w:cs="Times New Roman"/>
                <w:sz w:val="20"/>
                <w:szCs w:val="20"/>
                <w:lang w:val="sq-AL"/>
              </w:rPr>
              <w:t>ankimohet</w:t>
            </w:r>
            <w:proofErr w:type="spellEnd"/>
            <w:r w:rsidRPr="00735452">
              <w:rPr>
                <w:rFonts w:ascii="Times New Roman" w:eastAsia="Times New Roman" w:hAnsi="Times New Roman" w:cs="Times New Roman"/>
                <w:sz w:val="20"/>
                <w:szCs w:val="20"/>
                <w:lang w:val="sq-AL"/>
              </w:rPr>
              <w:t xml:space="preserve"> në gjykatën kompetente.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24</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Autoriteti mund të revokojë miratimin e programit të obligacioneve të mbuluara nëse:</w:t>
            </w:r>
            <w:r w:rsidRPr="00735452">
              <w:rPr>
                <w:rFonts w:ascii="Times New Roman" w:eastAsia="Times New Roman" w:hAnsi="Times New Roman" w:cs="Times New Roman"/>
                <w:sz w:val="20"/>
                <w:szCs w:val="20"/>
                <w:lang w:val="sq-AL"/>
              </w:rPr>
              <w:br/>
              <w:t>a) gjatë paraqitjes së kërkesës për miratim, emetuesi ka paraqitur informacione ose dokumente të rreme ose keq orientuese;</w:t>
            </w:r>
            <w:r w:rsidRPr="00735452">
              <w:rPr>
                <w:rFonts w:ascii="Times New Roman" w:eastAsia="Times New Roman" w:hAnsi="Times New Roman" w:cs="Times New Roman"/>
                <w:sz w:val="20"/>
                <w:szCs w:val="20"/>
                <w:lang w:val="sq-AL"/>
              </w:rPr>
              <w:br/>
              <w:t>b) emetuesi nuk përmbush më kushtet për dhënien e miratimit të programit të obligacioneve të mbuluara;</w:t>
            </w:r>
            <w:r w:rsidRPr="00735452">
              <w:rPr>
                <w:rFonts w:ascii="Times New Roman" w:eastAsia="Times New Roman" w:hAnsi="Times New Roman" w:cs="Times New Roman"/>
                <w:sz w:val="20"/>
                <w:szCs w:val="20"/>
                <w:lang w:val="sq-AL"/>
              </w:rPr>
              <w:br/>
              <w:t>c) emetuesi ka shkelur në mënyrë të përsëritur ose thelbësore dispozitat e këtij ligji ose aktet nënligjore të nxjerra në zbatim të tij;</w:t>
            </w:r>
            <w:r w:rsidRPr="00735452">
              <w:rPr>
                <w:rFonts w:ascii="Times New Roman" w:eastAsia="Times New Roman" w:hAnsi="Times New Roman" w:cs="Times New Roman"/>
                <w:sz w:val="20"/>
                <w:szCs w:val="20"/>
                <w:lang w:val="sq-AL"/>
              </w:rPr>
              <w:br/>
              <w:t>ç) emetuesi, me veprimtarinë e tij, ka penguar ushtrimin e mbikëqyrjes nga Autoriteti;</w:t>
            </w:r>
            <w:r w:rsidRPr="00735452">
              <w:rPr>
                <w:rFonts w:ascii="Times New Roman" w:eastAsia="Times New Roman" w:hAnsi="Times New Roman" w:cs="Times New Roman"/>
                <w:sz w:val="20"/>
                <w:szCs w:val="20"/>
                <w:lang w:val="sq-AL"/>
              </w:rPr>
              <w:br/>
              <w:t>d) emetuesi nuk është në gjendje të përmbushë detyrimet financiare ose detyrime të tjera që lidhen me obligacionet e mbuluara, ose veprimtaria e tij cenon në mënyrë të ndjeshme interesat e investitorëve apo funksionimin e rregullt të tregut;</w:t>
            </w:r>
            <w:r w:rsidRPr="00735452">
              <w:rPr>
                <w:rFonts w:ascii="Times New Roman" w:eastAsia="Times New Roman" w:hAnsi="Times New Roman" w:cs="Times New Roman"/>
                <w:sz w:val="20"/>
                <w:szCs w:val="20"/>
                <w:lang w:val="sq-AL"/>
              </w:rPr>
              <w:br/>
              <w:t>dh) emetuesi nuk ka zbatuar brenda afatit ose në masën e kërkuar një urdhër ose masë të vendosur nga Autoriteti;</w:t>
            </w:r>
            <w:r w:rsidRPr="00735452">
              <w:rPr>
                <w:rFonts w:ascii="Times New Roman" w:eastAsia="Times New Roman" w:hAnsi="Times New Roman" w:cs="Times New Roman"/>
                <w:sz w:val="20"/>
                <w:szCs w:val="20"/>
                <w:lang w:val="sq-AL"/>
              </w:rPr>
              <w:br/>
              <w:t>e) emetuesi nuk ka kryer asnjë emetim të ri të obligacioneve të mbuluara brenda pesë viteve nga data e miratimit të programit ose nga shlyerja e plotë e të gjitha obligacioneve të mbuluara të emetuara më parë.</w:t>
            </w:r>
            <w:r w:rsidRPr="00735452">
              <w:rPr>
                <w:rFonts w:ascii="Times New Roman" w:eastAsia="Times New Roman" w:hAnsi="Times New Roman" w:cs="Times New Roman"/>
                <w:sz w:val="20"/>
                <w:szCs w:val="20"/>
                <w:lang w:val="sq-AL"/>
              </w:rPr>
              <w:br/>
              <w:t xml:space="preserve">2. Revokimi i miratimit të programit nuk ndikon në të drejtat dhe detyrimet që rrjedhin nga obligacionet e mbuluara të </w:t>
            </w:r>
            <w:r w:rsidRPr="00735452">
              <w:rPr>
                <w:rFonts w:ascii="Times New Roman" w:eastAsia="Times New Roman" w:hAnsi="Times New Roman" w:cs="Times New Roman"/>
                <w:sz w:val="20"/>
                <w:szCs w:val="20"/>
                <w:lang w:val="sq-AL"/>
              </w:rPr>
              <w:lastRenderedPageBreak/>
              <w:t>emetuara përpara datës së revokimit, por ndalon emetimet e reja në kuadër të programit.</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13</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Institucioni i kreditit emetues të obligacioneve të mbuluara emëron një monitorues të grupit të mbulimit përpara paraqitjes së kërkesës për </w:t>
            </w:r>
            <w:r w:rsidR="005D4002">
              <w:rPr>
                <w:rFonts w:ascii="Times New Roman" w:eastAsia="Times New Roman" w:hAnsi="Times New Roman" w:cs="Times New Roman"/>
                <w:sz w:val="20"/>
                <w:szCs w:val="20"/>
                <w:lang w:val="sq-AL"/>
              </w:rPr>
              <w:t>miratimin</w:t>
            </w:r>
            <w:r w:rsidRPr="00735452">
              <w:rPr>
                <w:rFonts w:ascii="Times New Roman" w:eastAsia="Times New Roman" w:hAnsi="Times New Roman" w:cs="Times New Roman"/>
                <w:sz w:val="20"/>
                <w:szCs w:val="20"/>
                <w:lang w:val="sq-AL"/>
              </w:rPr>
              <w:t xml:space="preserve"> e programit të obligacioneve të mbuluara.</w:t>
            </w:r>
            <w:r w:rsidRPr="00735452">
              <w:rPr>
                <w:rFonts w:ascii="Times New Roman" w:eastAsia="Times New Roman" w:hAnsi="Times New Roman" w:cs="Times New Roman"/>
                <w:sz w:val="20"/>
                <w:szCs w:val="20"/>
                <w:lang w:val="sq-AL"/>
              </w:rPr>
              <w:br/>
              <w:t>Monitoruesi konfirmon me shkrim se në momentin e emetimit të obligacioneve të mbuluara, ekziston një grup mbulimi i mjaftueshëm dhe se ai është regjistruar në regjistrin e grupit të mbulimit në përputhje me këtë ligj.</w:t>
            </w:r>
            <w:r w:rsidRPr="00735452">
              <w:rPr>
                <w:rFonts w:ascii="Times New Roman" w:eastAsia="Times New Roman" w:hAnsi="Times New Roman" w:cs="Times New Roman"/>
                <w:sz w:val="20"/>
                <w:szCs w:val="20"/>
                <w:lang w:val="sq-AL"/>
              </w:rPr>
              <w:br/>
              <w:t xml:space="preserve">Konfirmimi me shkrim përfshin edhe vlerësimin nëse emetuesi dhe grupi i mbulimit përmbushin kërkesat e këtij ligji, të akteve nënligjore dhe të kushteve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 në lidhje me:</w:t>
            </w:r>
            <w:r w:rsidRPr="00735452">
              <w:rPr>
                <w:rFonts w:ascii="Times New Roman" w:eastAsia="Times New Roman" w:hAnsi="Times New Roman" w:cs="Times New Roman"/>
                <w:sz w:val="20"/>
                <w:szCs w:val="20"/>
                <w:lang w:val="sq-AL"/>
              </w:rPr>
              <w:br/>
              <w:t xml:space="preserve">a) </w:t>
            </w:r>
            <w:proofErr w:type="spellStart"/>
            <w:r w:rsidRPr="00735452">
              <w:rPr>
                <w:rFonts w:ascii="Times New Roman" w:eastAsia="Times New Roman" w:hAnsi="Times New Roman" w:cs="Times New Roman"/>
                <w:sz w:val="20"/>
                <w:szCs w:val="20"/>
                <w:lang w:val="sq-AL"/>
              </w:rPr>
              <w:t>pranueshmërinë</w:t>
            </w:r>
            <w:proofErr w:type="spellEnd"/>
            <w:r w:rsidRPr="00735452">
              <w:rPr>
                <w:rFonts w:ascii="Times New Roman" w:eastAsia="Times New Roman" w:hAnsi="Times New Roman" w:cs="Times New Roman"/>
                <w:sz w:val="20"/>
                <w:szCs w:val="20"/>
                <w:lang w:val="sq-AL"/>
              </w:rPr>
              <w:t xml:space="preserve"> e aktiveve në grupin e mbulimit;</w:t>
            </w:r>
            <w:r w:rsidRPr="00735452">
              <w:rPr>
                <w:rFonts w:ascii="Times New Roman" w:eastAsia="Times New Roman" w:hAnsi="Times New Roman" w:cs="Times New Roman"/>
                <w:sz w:val="20"/>
                <w:szCs w:val="20"/>
                <w:lang w:val="sq-AL"/>
              </w:rPr>
              <w:br/>
              <w:t>b) përmbushjen e kushteve për financimin e përbashkët të emetimit të obligacioneve të mbuluara;</w:t>
            </w:r>
            <w:r w:rsidRPr="00735452">
              <w:rPr>
                <w:rFonts w:ascii="Times New Roman" w:eastAsia="Times New Roman" w:hAnsi="Times New Roman" w:cs="Times New Roman"/>
                <w:sz w:val="20"/>
                <w:szCs w:val="20"/>
                <w:lang w:val="sq-AL"/>
              </w:rPr>
              <w:br/>
              <w:t>c) përbërjen e grupit të mbulimit;</w:t>
            </w:r>
            <w:r w:rsidRPr="00735452">
              <w:rPr>
                <w:rFonts w:ascii="Times New Roman" w:eastAsia="Times New Roman" w:hAnsi="Times New Roman" w:cs="Times New Roman"/>
                <w:sz w:val="20"/>
                <w:szCs w:val="20"/>
                <w:lang w:val="sq-AL"/>
              </w:rPr>
              <w:br/>
              <w:t xml:space="preserve">ç) kontratat </w:t>
            </w:r>
            <w:proofErr w:type="spellStart"/>
            <w:r w:rsidRPr="00735452">
              <w:rPr>
                <w:rFonts w:ascii="Times New Roman" w:eastAsia="Times New Roman" w:hAnsi="Times New Roman" w:cs="Times New Roman"/>
                <w:sz w:val="20"/>
                <w:szCs w:val="20"/>
                <w:lang w:val="sq-AL"/>
              </w:rPr>
              <w:t>derivativë</w:t>
            </w:r>
            <w:proofErr w:type="spellEnd"/>
            <w:r w:rsidRPr="00735452">
              <w:rPr>
                <w:rFonts w:ascii="Times New Roman" w:eastAsia="Times New Roman" w:hAnsi="Times New Roman" w:cs="Times New Roman"/>
                <w:sz w:val="20"/>
                <w:szCs w:val="20"/>
                <w:lang w:val="sq-AL"/>
              </w:rPr>
              <w:t xml:space="preserve"> në grupin e mbulimit;</w:t>
            </w:r>
            <w:r w:rsidRPr="00735452">
              <w:rPr>
                <w:rFonts w:ascii="Times New Roman" w:eastAsia="Times New Roman" w:hAnsi="Times New Roman" w:cs="Times New Roman"/>
                <w:sz w:val="20"/>
                <w:szCs w:val="20"/>
                <w:lang w:val="sq-AL"/>
              </w:rPr>
              <w:br/>
              <w:t>d) ndarjen e aktiveve për mbulim dhe mbrojtjen nga kreditorët e tjerë;</w:t>
            </w:r>
            <w:r w:rsidRPr="00735452">
              <w:rPr>
                <w:rFonts w:ascii="Times New Roman" w:eastAsia="Times New Roman" w:hAnsi="Times New Roman" w:cs="Times New Roman"/>
                <w:sz w:val="20"/>
                <w:szCs w:val="20"/>
                <w:lang w:val="sq-AL"/>
              </w:rPr>
              <w:br/>
              <w:t>dh) regjistrin e grupit të mbulimit;</w:t>
            </w:r>
            <w:r w:rsidRPr="00735452">
              <w:rPr>
                <w:rFonts w:ascii="Times New Roman" w:eastAsia="Times New Roman" w:hAnsi="Times New Roman" w:cs="Times New Roman"/>
                <w:sz w:val="20"/>
                <w:szCs w:val="20"/>
                <w:lang w:val="sq-AL"/>
              </w:rPr>
              <w:br/>
              <w:t>e) kërkesat për mbulim, përfshirë saktësinë e vlerësimit të aktiveve në grupin e mbulimit;</w:t>
            </w:r>
            <w:r w:rsidRPr="00735452">
              <w:rPr>
                <w:rFonts w:ascii="Times New Roman" w:eastAsia="Times New Roman" w:hAnsi="Times New Roman" w:cs="Times New Roman"/>
                <w:sz w:val="20"/>
                <w:szCs w:val="20"/>
                <w:lang w:val="sq-AL"/>
              </w:rPr>
              <w:br/>
              <w:t>ë) kërkesat lidhur me rezervën/shtesën e likuiditetit të grupit të mbulimit;</w:t>
            </w:r>
            <w:r w:rsidRPr="00735452">
              <w:rPr>
                <w:rFonts w:ascii="Times New Roman" w:eastAsia="Times New Roman" w:hAnsi="Times New Roman" w:cs="Times New Roman"/>
                <w:sz w:val="20"/>
                <w:szCs w:val="20"/>
                <w:lang w:val="sq-AL"/>
              </w:rPr>
              <w:br/>
              <w:t xml:space="preserve">f) mbrojtjen e investitorëve në lidhje me obligacionet e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2. Institucionet e kreditit që emetojnë obligacione të mbuluara duhet të kenë rregulla dhe procedura të brendshme që rregullojnë funksionin e monitoruesit të grupit të mbulimit në përputhje me këtë ligj.  Këto rregulla dhe procedura duhet të përfshijnë, të paktën:</w:t>
            </w:r>
            <w:r w:rsidRPr="00735452">
              <w:rPr>
                <w:rFonts w:ascii="Times New Roman" w:eastAsia="Times New Roman" w:hAnsi="Times New Roman" w:cs="Times New Roman"/>
                <w:sz w:val="20"/>
                <w:szCs w:val="20"/>
                <w:lang w:val="sq-AL"/>
              </w:rPr>
              <w:br/>
              <w:t xml:space="preserve">    a) emërimin dhe shkarkimin e monitoruesit të grupit të mbulimit;</w:t>
            </w:r>
            <w:r w:rsidRPr="00735452">
              <w:rPr>
                <w:rFonts w:ascii="Times New Roman" w:eastAsia="Times New Roman" w:hAnsi="Times New Roman" w:cs="Times New Roman"/>
                <w:sz w:val="20"/>
                <w:szCs w:val="20"/>
                <w:lang w:val="sq-AL"/>
              </w:rPr>
              <w:br/>
              <w:t xml:space="preserve">    b) kriteret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dhe kërkesat për kualifikim të tij;</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    c) rolin dhe detyrat e monitoruesit, përfshirë edhe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të institucionit të kreditit emetues;</w:t>
            </w:r>
            <w:r w:rsidRPr="00735452">
              <w:rPr>
                <w:rFonts w:ascii="Times New Roman" w:eastAsia="Times New Roman" w:hAnsi="Times New Roman" w:cs="Times New Roman"/>
                <w:sz w:val="20"/>
                <w:szCs w:val="20"/>
                <w:lang w:val="sq-AL"/>
              </w:rPr>
              <w:br/>
              <w:t>ç)   detyrimin për raportim në Autoritet;</w:t>
            </w:r>
            <w:r w:rsidRPr="00735452">
              <w:rPr>
                <w:rFonts w:ascii="Times New Roman" w:eastAsia="Times New Roman" w:hAnsi="Times New Roman" w:cs="Times New Roman"/>
                <w:sz w:val="20"/>
                <w:szCs w:val="20"/>
                <w:lang w:val="sq-AL"/>
              </w:rPr>
              <w:br/>
              <w:t xml:space="preserve">d)   të drejtën e </w:t>
            </w:r>
            <w:proofErr w:type="spellStart"/>
            <w:r w:rsidRPr="00735452">
              <w:rPr>
                <w:rFonts w:ascii="Times New Roman" w:eastAsia="Times New Roman" w:hAnsi="Times New Roman" w:cs="Times New Roman"/>
                <w:sz w:val="20"/>
                <w:szCs w:val="20"/>
                <w:lang w:val="sq-AL"/>
              </w:rPr>
              <w:t>aksesit</w:t>
            </w:r>
            <w:proofErr w:type="spellEnd"/>
            <w:r w:rsidRPr="00735452">
              <w:rPr>
                <w:rFonts w:ascii="Times New Roman" w:eastAsia="Times New Roman" w:hAnsi="Times New Roman" w:cs="Times New Roman"/>
                <w:sz w:val="20"/>
                <w:szCs w:val="20"/>
                <w:lang w:val="sq-AL"/>
              </w:rPr>
              <w:t xml:space="preserve"> në informacionin e nevojshëm për ushtrimin e detyrave të tij.</w:t>
            </w:r>
            <w:r w:rsidRPr="00735452">
              <w:rPr>
                <w:rFonts w:ascii="Times New Roman" w:eastAsia="Times New Roman" w:hAnsi="Times New Roman" w:cs="Times New Roman"/>
                <w:sz w:val="20"/>
                <w:szCs w:val="20"/>
                <w:lang w:val="sq-AL"/>
              </w:rPr>
              <w:br/>
              <w:t xml:space="preserve">3. Monitorues i grupit të mbulimit emërohet personi i regjistruar në Regjistrin e </w:t>
            </w:r>
            <w:proofErr w:type="spellStart"/>
            <w:r w:rsidRPr="00735452">
              <w:rPr>
                <w:rFonts w:ascii="Times New Roman" w:eastAsia="Times New Roman" w:hAnsi="Times New Roman" w:cs="Times New Roman"/>
                <w:sz w:val="20"/>
                <w:szCs w:val="20"/>
                <w:lang w:val="sq-AL"/>
              </w:rPr>
              <w:t>Audituesve</w:t>
            </w:r>
            <w:proofErr w:type="spellEnd"/>
            <w:r w:rsidRPr="00735452">
              <w:rPr>
                <w:rFonts w:ascii="Times New Roman" w:eastAsia="Times New Roman" w:hAnsi="Times New Roman" w:cs="Times New Roman"/>
                <w:sz w:val="20"/>
                <w:szCs w:val="20"/>
                <w:lang w:val="sq-AL"/>
              </w:rPr>
              <w:t xml:space="preserve"> Ligjorë në Republikën e Shqipërisë, i pavarur nga institucioni i kreditit emetues të obligacioneve të mbuluara dhe </w:t>
            </w:r>
            <w:proofErr w:type="spellStart"/>
            <w:r w:rsidRPr="00735452">
              <w:rPr>
                <w:rFonts w:ascii="Times New Roman" w:eastAsia="Times New Roman" w:hAnsi="Times New Roman" w:cs="Times New Roman"/>
                <w:sz w:val="20"/>
                <w:szCs w:val="20"/>
                <w:lang w:val="sq-AL"/>
              </w:rPr>
              <w:t>audituesi</w:t>
            </w:r>
            <w:proofErr w:type="spellEnd"/>
            <w:r w:rsidRPr="00735452">
              <w:rPr>
                <w:rFonts w:ascii="Times New Roman" w:eastAsia="Times New Roman" w:hAnsi="Times New Roman" w:cs="Times New Roman"/>
                <w:sz w:val="20"/>
                <w:szCs w:val="20"/>
                <w:lang w:val="sq-AL"/>
              </w:rPr>
              <w:t xml:space="preserve"> i tij, me përvojë të përshtatshme profesionale në sektorin financiar, në veçanti në </w:t>
            </w:r>
            <w:proofErr w:type="spellStart"/>
            <w:r w:rsidRPr="00735452">
              <w:rPr>
                <w:rFonts w:ascii="Times New Roman" w:eastAsia="Times New Roman" w:hAnsi="Times New Roman" w:cs="Times New Roman"/>
                <w:sz w:val="20"/>
                <w:szCs w:val="20"/>
                <w:lang w:val="sq-AL"/>
              </w:rPr>
              <w:t>auditimin</w:t>
            </w:r>
            <w:proofErr w:type="spellEnd"/>
            <w:r w:rsidRPr="00735452">
              <w:rPr>
                <w:rFonts w:ascii="Times New Roman" w:eastAsia="Times New Roman" w:hAnsi="Times New Roman" w:cs="Times New Roman"/>
                <w:sz w:val="20"/>
                <w:szCs w:val="20"/>
                <w:lang w:val="sq-AL"/>
              </w:rPr>
              <w:t xml:space="preserve"> e institucioneve të kreditit, institucioneve financiare, infrastrukturave të tregut të kapitalit, shoqërive administruese të fondeve të investimit, shoqërive administruese të fondeve të pensionit apo shoqërive të sigurimit.</w:t>
            </w:r>
            <w:r w:rsidRPr="00735452">
              <w:rPr>
                <w:rFonts w:ascii="Times New Roman" w:eastAsia="Times New Roman" w:hAnsi="Times New Roman" w:cs="Times New Roman"/>
                <w:sz w:val="20"/>
                <w:szCs w:val="20"/>
                <w:lang w:val="sq-AL"/>
              </w:rPr>
              <w:br/>
              <w:t xml:space="preserve">4. Vendimi për emërimin e monitoruesit të grupit të mbulimit merret nga këshilli mbikëqyrës i institucionit të kreditit emetues me miratimin paraprak të strukturave të </w:t>
            </w:r>
            <w:proofErr w:type="spellStart"/>
            <w:r w:rsidRPr="00735452">
              <w:rPr>
                <w:rFonts w:ascii="Times New Roman" w:eastAsia="Times New Roman" w:hAnsi="Times New Roman" w:cs="Times New Roman"/>
                <w:sz w:val="20"/>
                <w:szCs w:val="20"/>
                <w:lang w:val="sq-AL"/>
              </w:rPr>
              <w:t>auditimit</w:t>
            </w:r>
            <w:proofErr w:type="spellEnd"/>
            <w:r w:rsidRPr="00735452">
              <w:rPr>
                <w:rFonts w:ascii="Times New Roman" w:eastAsia="Times New Roman" w:hAnsi="Times New Roman" w:cs="Times New Roman"/>
                <w:sz w:val="20"/>
                <w:szCs w:val="20"/>
                <w:lang w:val="sq-AL"/>
              </w:rPr>
              <w:t xml:space="preserve"> të brendshëm. Përpara marrjes së vendimit për emërimin e monitoruesit të grupit të mbulimit, emetuesi duhet të kryejë një vlerësim nëse monitoruesi i grupit të mbulimit përmbush kushtet e përcaktuara nga ky ligj dhe këtë vlerësim ta dorëzojë Autoritetit sipas kërkesës së nenit 19, të këtij ligji.</w:t>
            </w:r>
            <w:r w:rsidRPr="00735452">
              <w:rPr>
                <w:rFonts w:ascii="Times New Roman" w:eastAsia="Times New Roman" w:hAnsi="Times New Roman" w:cs="Times New Roman"/>
                <w:sz w:val="20"/>
                <w:szCs w:val="20"/>
                <w:lang w:val="sq-AL"/>
              </w:rPr>
              <w:br/>
              <w:t>5. Institucioni i kreditit emetues njofton Autoritetin dhe Bankën e Shqipërisë për emërimin e monitoruesit të grupit të mbulimit, duke paraqitur edhe vlerësimin për përmbushjen e këtyre kushteve.</w:t>
            </w:r>
            <w:r w:rsidRPr="00735452">
              <w:rPr>
                <w:rFonts w:ascii="Times New Roman" w:eastAsia="Times New Roman" w:hAnsi="Times New Roman" w:cs="Times New Roman"/>
                <w:sz w:val="20"/>
                <w:szCs w:val="20"/>
                <w:lang w:val="sq-AL"/>
              </w:rPr>
              <w:br/>
              <w:t>6. Autoriteti, gjatë miratimit të programit të obligacioneve të mbuluara në përputhje me këtë ligj, verifikon nëse monitoruesi i emëruar i grupit të mbulimit përmbush kushtet sipas këtij neni.</w:t>
            </w:r>
            <w:r w:rsidRPr="00735452">
              <w:rPr>
                <w:rFonts w:ascii="Times New Roman" w:eastAsia="Times New Roman" w:hAnsi="Times New Roman" w:cs="Times New Roman"/>
                <w:sz w:val="20"/>
                <w:szCs w:val="20"/>
                <w:lang w:val="sq-AL"/>
              </w:rPr>
              <w:br/>
              <w:t xml:space="preserve">7. Monitoruesi i grupit të mbulimit monitoron në mënyrë të vazhdueshme nëse institucioni i kreditit emetues dhe grupi i mbulimit përmbushin kërkesat e përcaktuara në nenet 6 deri në 11 dhe 14, 16 deri në 18 të këtij ligji, në aktet nënligjore dhe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 në lidhje me:</w:t>
            </w:r>
            <w:r w:rsidRPr="00735452">
              <w:rPr>
                <w:rFonts w:ascii="Times New Roman" w:eastAsia="Times New Roman" w:hAnsi="Times New Roman" w:cs="Times New Roman"/>
                <w:sz w:val="20"/>
                <w:szCs w:val="20"/>
                <w:lang w:val="sq-AL"/>
              </w:rPr>
              <w:br/>
              <w:t xml:space="preserve">a) </w:t>
            </w:r>
            <w:proofErr w:type="spellStart"/>
            <w:r w:rsidRPr="00735452">
              <w:rPr>
                <w:rFonts w:ascii="Times New Roman" w:eastAsia="Times New Roman" w:hAnsi="Times New Roman" w:cs="Times New Roman"/>
                <w:sz w:val="20"/>
                <w:szCs w:val="20"/>
                <w:lang w:val="sq-AL"/>
              </w:rPr>
              <w:t>pranueshmërinë</w:t>
            </w:r>
            <w:proofErr w:type="spellEnd"/>
            <w:r w:rsidRPr="00735452">
              <w:rPr>
                <w:rFonts w:ascii="Times New Roman" w:eastAsia="Times New Roman" w:hAnsi="Times New Roman" w:cs="Times New Roman"/>
                <w:sz w:val="20"/>
                <w:szCs w:val="20"/>
                <w:lang w:val="sq-AL"/>
              </w:rPr>
              <w:t xml:space="preserve"> e aktiveve në grupin e mbulimit;</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b) përmbushjen e kushteve për financimin e përbashkët;</w:t>
            </w:r>
            <w:r w:rsidRPr="00735452">
              <w:rPr>
                <w:rFonts w:ascii="Times New Roman" w:eastAsia="Times New Roman" w:hAnsi="Times New Roman" w:cs="Times New Roman"/>
                <w:sz w:val="20"/>
                <w:szCs w:val="20"/>
                <w:lang w:val="sq-AL"/>
              </w:rPr>
              <w:br/>
              <w:t>c) përbërjen e grupit të mbulimit;</w:t>
            </w:r>
            <w:r w:rsidRPr="00735452">
              <w:rPr>
                <w:rFonts w:ascii="Times New Roman" w:eastAsia="Times New Roman" w:hAnsi="Times New Roman" w:cs="Times New Roman"/>
                <w:sz w:val="20"/>
                <w:szCs w:val="20"/>
                <w:lang w:val="sq-AL"/>
              </w:rPr>
              <w:br/>
              <w:t xml:space="preserve">ç)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në grupin e mbulimit;</w:t>
            </w:r>
            <w:r w:rsidRPr="00735452">
              <w:rPr>
                <w:rFonts w:ascii="Times New Roman" w:eastAsia="Times New Roman" w:hAnsi="Times New Roman" w:cs="Times New Roman"/>
                <w:sz w:val="20"/>
                <w:szCs w:val="20"/>
                <w:lang w:val="sq-AL"/>
              </w:rPr>
              <w:br/>
              <w:t>d) ndarjen e aktiveve për mbulim dhe mbrojtjen nga pretendimet e palëve të treta;</w:t>
            </w:r>
            <w:r w:rsidRPr="00735452">
              <w:rPr>
                <w:rFonts w:ascii="Times New Roman" w:eastAsia="Times New Roman" w:hAnsi="Times New Roman" w:cs="Times New Roman"/>
                <w:sz w:val="20"/>
                <w:szCs w:val="20"/>
                <w:lang w:val="sq-AL"/>
              </w:rPr>
              <w:br/>
              <w:t>dh) regjistrin e grupit të mbulimit;</w:t>
            </w:r>
            <w:r w:rsidRPr="00735452">
              <w:rPr>
                <w:rFonts w:ascii="Times New Roman" w:eastAsia="Times New Roman" w:hAnsi="Times New Roman" w:cs="Times New Roman"/>
                <w:sz w:val="20"/>
                <w:szCs w:val="20"/>
                <w:lang w:val="sq-AL"/>
              </w:rPr>
              <w:br/>
              <w:t>e) rëndësinë dhe saktësinë e informacionit për investitorët;</w:t>
            </w:r>
            <w:r w:rsidRPr="00735452">
              <w:rPr>
                <w:rFonts w:ascii="Times New Roman" w:eastAsia="Times New Roman" w:hAnsi="Times New Roman" w:cs="Times New Roman"/>
                <w:sz w:val="20"/>
                <w:szCs w:val="20"/>
                <w:lang w:val="sq-AL"/>
              </w:rPr>
              <w:br/>
              <w:t>ë) kërkesat për mbulim;</w:t>
            </w:r>
            <w:r w:rsidRPr="00735452">
              <w:rPr>
                <w:rFonts w:ascii="Times New Roman" w:eastAsia="Times New Roman" w:hAnsi="Times New Roman" w:cs="Times New Roman"/>
                <w:sz w:val="20"/>
                <w:szCs w:val="20"/>
                <w:lang w:val="sq-AL"/>
              </w:rPr>
              <w:br/>
              <w:t>f) kërkesat lidhur me rezervën e likuiditetit;</w:t>
            </w:r>
            <w:r w:rsidRPr="00735452">
              <w:rPr>
                <w:rFonts w:ascii="Times New Roman" w:eastAsia="Times New Roman" w:hAnsi="Times New Roman" w:cs="Times New Roman"/>
                <w:sz w:val="20"/>
                <w:szCs w:val="20"/>
                <w:lang w:val="sq-AL"/>
              </w:rPr>
              <w:br/>
              <w:t xml:space="preserve">g) mbrojtjen e investitorëve, përfshirë në rastin e obligacioneve të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gj) çdo detyrim tjetër të parashikuar nga ky ligj.</w:t>
            </w:r>
            <w:r w:rsidRPr="00735452">
              <w:rPr>
                <w:rFonts w:ascii="Times New Roman" w:eastAsia="Times New Roman" w:hAnsi="Times New Roman" w:cs="Times New Roman"/>
                <w:sz w:val="20"/>
                <w:szCs w:val="20"/>
                <w:lang w:val="sq-AL"/>
              </w:rPr>
              <w:br/>
              <w:t>8. Në ushtrimin e detyrave të tij, sipas pikës 7, të këtij neni, monitoruesi i grupit të mbulimit:</w:t>
            </w:r>
            <w:r w:rsidRPr="00735452">
              <w:rPr>
                <w:rFonts w:ascii="Times New Roman" w:eastAsia="Times New Roman" w:hAnsi="Times New Roman" w:cs="Times New Roman"/>
                <w:sz w:val="20"/>
                <w:szCs w:val="20"/>
                <w:lang w:val="sq-AL"/>
              </w:rPr>
              <w:br/>
              <w:t>a) verifikon llogaritjet e mbulimit dhe likuiditetit;</w:t>
            </w:r>
            <w:r w:rsidRPr="00735452">
              <w:rPr>
                <w:rFonts w:ascii="Times New Roman" w:eastAsia="Times New Roman" w:hAnsi="Times New Roman" w:cs="Times New Roman"/>
                <w:sz w:val="20"/>
                <w:szCs w:val="20"/>
                <w:lang w:val="sq-AL"/>
              </w:rPr>
              <w:br/>
              <w:t>b) konfirmon saktësinë e vlerësimit të aktiveve në grupin e mbulimit;</w:t>
            </w:r>
            <w:r w:rsidRPr="00735452">
              <w:rPr>
                <w:rFonts w:ascii="Times New Roman" w:eastAsia="Times New Roman" w:hAnsi="Times New Roman" w:cs="Times New Roman"/>
                <w:sz w:val="20"/>
                <w:szCs w:val="20"/>
                <w:lang w:val="sq-AL"/>
              </w:rPr>
              <w:br/>
              <w:t xml:space="preserve">c) kryen </w:t>
            </w:r>
            <w:proofErr w:type="spellStart"/>
            <w:r w:rsidRPr="00735452">
              <w:rPr>
                <w:rFonts w:ascii="Times New Roman" w:eastAsia="Times New Roman" w:hAnsi="Times New Roman" w:cs="Times New Roman"/>
                <w:sz w:val="20"/>
                <w:szCs w:val="20"/>
                <w:lang w:val="sq-AL"/>
              </w:rPr>
              <w:t>auditime</w:t>
            </w:r>
            <w:proofErr w:type="spellEnd"/>
            <w:r w:rsidRPr="00735452">
              <w:rPr>
                <w:rFonts w:ascii="Times New Roman" w:eastAsia="Times New Roman" w:hAnsi="Times New Roman" w:cs="Times New Roman"/>
                <w:sz w:val="20"/>
                <w:szCs w:val="20"/>
                <w:lang w:val="sq-AL"/>
              </w:rPr>
              <w:t xml:space="preserve"> të rastësishme të aktiveve në grupin e mbulimit;</w:t>
            </w:r>
            <w:r w:rsidRPr="00735452">
              <w:rPr>
                <w:rFonts w:ascii="Times New Roman" w:eastAsia="Times New Roman" w:hAnsi="Times New Roman" w:cs="Times New Roman"/>
                <w:sz w:val="20"/>
                <w:szCs w:val="20"/>
                <w:lang w:val="sq-AL"/>
              </w:rPr>
              <w:br/>
              <w:t xml:space="preserve">ç) monitoron  regjistrin e grupit të mbulimit deri në shlyerjen e plotë të obligacioneve të mbuluara, me qëllim që të sigurojë që emetuesi ruan vlerën e grupit të mbulimit në përputhje me këtë ligj, aktet nënligjore dhe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d) siguron saktësinë e regjistrimit të aktiveve në regjistrin e grupit të mbulimit, duke verifikuar që aktivet e propozuara për regjistrim përmbushin kushtet e </w:t>
            </w:r>
            <w:proofErr w:type="spellStart"/>
            <w:r w:rsidRPr="00735452">
              <w:rPr>
                <w:rFonts w:ascii="Times New Roman" w:eastAsia="Times New Roman" w:hAnsi="Times New Roman" w:cs="Times New Roman"/>
                <w:sz w:val="20"/>
                <w:szCs w:val="20"/>
                <w:lang w:val="sq-AL"/>
              </w:rPr>
              <w:t>pranueshmërisë</w:t>
            </w:r>
            <w:proofErr w:type="spellEnd"/>
            <w:r w:rsidRPr="00735452">
              <w:rPr>
                <w:rFonts w:ascii="Times New Roman" w:eastAsia="Times New Roman" w:hAnsi="Times New Roman" w:cs="Times New Roman"/>
                <w:sz w:val="20"/>
                <w:szCs w:val="20"/>
                <w:lang w:val="sq-AL"/>
              </w:rPr>
              <w:t xml:space="preserve"> sipas këtij ligji dhe akteve nënligjore përkatës.</w:t>
            </w:r>
            <w:r w:rsidRPr="00735452">
              <w:rPr>
                <w:rFonts w:ascii="Times New Roman" w:eastAsia="Times New Roman" w:hAnsi="Times New Roman" w:cs="Times New Roman"/>
                <w:sz w:val="20"/>
                <w:szCs w:val="20"/>
                <w:lang w:val="sq-AL"/>
              </w:rPr>
              <w:br/>
              <w:t>9. Institucioni i kreditit emetues nuk mund të disponojë aktivet e përfshira në grupin e mbulimit pa miratimin paraprak të monitoruesit të grupit të mbulimit.</w:t>
            </w:r>
            <w:r w:rsidRPr="00735452">
              <w:rPr>
                <w:rFonts w:ascii="Times New Roman" w:eastAsia="Times New Roman" w:hAnsi="Times New Roman" w:cs="Times New Roman"/>
                <w:sz w:val="20"/>
                <w:szCs w:val="20"/>
                <w:lang w:val="sq-AL"/>
              </w:rPr>
              <w:br/>
              <w:t xml:space="preserve">Monitoruesi i grupit të mbulimit miraton çdo fshirje, zëvendësim ose shtim të aktiveve në regjistrin e grupit të mbulimit vetëm nëse, pas ndryshimeve të propozuara, grupi i mbulimit vijon të përmbushë kërkesat e përcaktuara në këtë ligj, në aktet nënligjore përkatëse dhe në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w:t>
            </w:r>
            <w:r w:rsidRPr="00735452">
              <w:rPr>
                <w:rFonts w:ascii="Times New Roman" w:eastAsia="Times New Roman" w:hAnsi="Times New Roman" w:cs="Times New Roman"/>
                <w:sz w:val="20"/>
                <w:szCs w:val="20"/>
                <w:lang w:val="sq-AL"/>
              </w:rPr>
              <w:br/>
              <w:t xml:space="preserve">10. Institucioni i kreditit emetues siguron që monitoruesi i grupit të mbulimit të ketë në çdo kohë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në regjistrin e </w:t>
            </w:r>
            <w:r w:rsidRPr="00735452">
              <w:rPr>
                <w:rFonts w:ascii="Times New Roman" w:eastAsia="Times New Roman" w:hAnsi="Times New Roman" w:cs="Times New Roman"/>
                <w:sz w:val="20"/>
                <w:szCs w:val="20"/>
                <w:lang w:val="sq-AL"/>
              </w:rPr>
              <w:lastRenderedPageBreak/>
              <w:t xml:space="preserve">grupit të mbulimit, si dhe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të menjëhershëm në të gjithë dokumentacionin që lidhet me obligacionet e mbuluara ose me aktivet e mbulimit, përfshirë dosjet e kredive, kontratat, dokumentacionin e </w:t>
            </w:r>
            <w:proofErr w:type="spellStart"/>
            <w:r w:rsidRPr="00735452">
              <w:rPr>
                <w:rFonts w:ascii="Times New Roman" w:eastAsia="Times New Roman" w:hAnsi="Times New Roman" w:cs="Times New Roman"/>
                <w:sz w:val="20"/>
                <w:szCs w:val="20"/>
                <w:lang w:val="sq-AL"/>
              </w:rPr>
              <w:t>kolateralit</w:t>
            </w:r>
            <w:proofErr w:type="spellEnd"/>
            <w:r w:rsidRPr="00735452">
              <w:rPr>
                <w:rFonts w:ascii="Times New Roman" w:eastAsia="Times New Roman" w:hAnsi="Times New Roman" w:cs="Times New Roman"/>
                <w:sz w:val="20"/>
                <w:szCs w:val="20"/>
                <w:lang w:val="sq-AL"/>
              </w:rPr>
              <w:t>, vlerësimet e aktiveve dhe çdo dokument tjetër të ngjashëm që lidhet me kreditë e përfshira në grupin e mbulimit.</w:t>
            </w:r>
            <w:r w:rsidRPr="00735452">
              <w:rPr>
                <w:rFonts w:ascii="Times New Roman" w:eastAsia="Times New Roman" w:hAnsi="Times New Roman" w:cs="Times New Roman"/>
                <w:sz w:val="20"/>
                <w:szCs w:val="20"/>
                <w:lang w:val="sq-AL"/>
              </w:rPr>
              <w:br/>
              <w:t>Institucioni i kreditit emetues i vë në dispozicion monitoruesit të grupit të mbulimit të dhëna mbi kostot e mundshme të likuidimit të detyruar si dhe çdo informacion tjetër të nevojshëm për ushtrimin e detyrave të tij si monitorues i grupit të mbulimit..</w:t>
            </w:r>
            <w:r w:rsidRPr="00735452">
              <w:rPr>
                <w:rFonts w:ascii="Times New Roman" w:eastAsia="Times New Roman" w:hAnsi="Times New Roman" w:cs="Times New Roman"/>
                <w:sz w:val="20"/>
                <w:szCs w:val="20"/>
                <w:lang w:val="sq-AL"/>
              </w:rPr>
              <w:br/>
              <w:t>1</w:t>
            </w:r>
            <w:r w:rsidR="00591DC0">
              <w:rPr>
                <w:rFonts w:ascii="Times New Roman" w:eastAsia="Times New Roman" w:hAnsi="Times New Roman" w:cs="Times New Roman"/>
                <w:sz w:val="20"/>
                <w:szCs w:val="20"/>
                <w:lang w:val="sq-AL"/>
              </w:rPr>
              <w:t>1</w:t>
            </w:r>
            <w:r w:rsidRPr="00735452">
              <w:rPr>
                <w:rFonts w:ascii="Times New Roman" w:eastAsia="Times New Roman" w:hAnsi="Times New Roman" w:cs="Times New Roman"/>
                <w:sz w:val="20"/>
                <w:szCs w:val="20"/>
                <w:lang w:val="sq-AL"/>
              </w:rPr>
              <w:t>. Monitoruesi i grupit të mbulimit duhet të marrë në konsideratë përfundimet e analizës mbi provat e rezistencës (</w:t>
            </w:r>
            <w:proofErr w:type="spellStart"/>
            <w:r w:rsidRPr="00735452">
              <w:rPr>
                <w:rFonts w:ascii="Times New Roman" w:eastAsia="Times New Roman" w:hAnsi="Times New Roman" w:cs="Times New Roman"/>
                <w:sz w:val="20"/>
                <w:szCs w:val="20"/>
                <w:lang w:val="sq-AL"/>
              </w:rPr>
              <w:t>stress</w:t>
            </w:r>
            <w:proofErr w:type="spellEnd"/>
            <w:r w:rsidRPr="00735452">
              <w:rPr>
                <w:rFonts w:ascii="Times New Roman" w:eastAsia="Times New Roman" w:hAnsi="Times New Roman" w:cs="Times New Roman"/>
                <w:sz w:val="20"/>
                <w:szCs w:val="20"/>
                <w:lang w:val="sq-AL"/>
              </w:rPr>
              <w:t xml:space="preserve">-testet) sipas nenit 25, pika 3, të këtij ligji gjatë vlerësimit të faktit nëse emetuesi dhe grupi i mbulimit vazhdojnë të përmbushin kushtet e këtij ligji, akteve nënligjore dhe kushtet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obligacioneve të mbuluara, dhe për këtë njofton Autoritetin dhe Bankën e Shqipërisë.</w:t>
            </w:r>
            <w:r w:rsidRPr="00735452">
              <w:rPr>
                <w:rFonts w:ascii="Times New Roman" w:eastAsia="Times New Roman" w:hAnsi="Times New Roman" w:cs="Times New Roman"/>
                <w:sz w:val="20"/>
                <w:szCs w:val="20"/>
                <w:lang w:val="sq-AL"/>
              </w:rPr>
              <w:br/>
              <w:t>Institucioni i kreditit emetues i vë në dispozicion monitoruesit të grupit të mbulimit të dhëna mbi kostot e mundshme të likuidimit të detyruar, si dhe çdo informacion tjetër të nevojshëm për ushtrimin e detyrave të tij si monitorues i grupit të mbulimit.</w:t>
            </w:r>
            <w:r w:rsidRPr="00735452">
              <w:rPr>
                <w:rFonts w:ascii="Times New Roman" w:eastAsia="Times New Roman" w:hAnsi="Times New Roman" w:cs="Times New Roman"/>
                <w:sz w:val="20"/>
                <w:szCs w:val="20"/>
                <w:lang w:val="sq-AL"/>
              </w:rPr>
              <w:br/>
              <w:t>1</w:t>
            </w:r>
            <w:r w:rsidR="007A5719">
              <w:rPr>
                <w:rFonts w:ascii="Times New Roman" w:eastAsia="Times New Roman" w:hAnsi="Times New Roman" w:cs="Times New Roman"/>
                <w:sz w:val="20"/>
                <w:szCs w:val="20"/>
                <w:lang w:val="sq-AL"/>
              </w:rPr>
              <w:t>2</w:t>
            </w:r>
            <w:r w:rsidRPr="00735452">
              <w:rPr>
                <w:rFonts w:ascii="Times New Roman" w:eastAsia="Times New Roman" w:hAnsi="Times New Roman" w:cs="Times New Roman"/>
                <w:sz w:val="20"/>
                <w:szCs w:val="20"/>
                <w:lang w:val="sq-AL"/>
              </w:rPr>
              <w:t xml:space="preserve">. Monitoruesi i grupit të mbulimit i paraqet Autoritetit dhe Bankës së Shqipërisë çdo gjashtë muaj një raport, në të cilin konfirmon përputhshmërinë e grupit të mbulimit me kërkesat ligjore dhe </w:t>
            </w:r>
            <w:proofErr w:type="spellStart"/>
            <w:r w:rsidRPr="00735452">
              <w:rPr>
                <w:rFonts w:ascii="Times New Roman" w:eastAsia="Times New Roman" w:hAnsi="Times New Roman" w:cs="Times New Roman"/>
                <w:sz w:val="20"/>
                <w:szCs w:val="20"/>
                <w:lang w:val="sq-AL"/>
              </w:rPr>
              <w:t>rregullatore</w:t>
            </w:r>
            <w:proofErr w:type="spellEnd"/>
            <w:r w:rsidRPr="00735452">
              <w:rPr>
                <w:rFonts w:ascii="Times New Roman" w:eastAsia="Times New Roman" w:hAnsi="Times New Roman" w:cs="Times New Roman"/>
                <w:sz w:val="20"/>
                <w:szCs w:val="20"/>
                <w:lang w:val="sq-AL"/>
              </w:rPr>
              <w:t>. Nëse ekstrakti i regjistrit ndryshon nga ai i fundit i dorëzuar, ai i bashkëlidhet raportit.</w:t>
            </w:r>
            <w:r w:rsidRPr="00735452">
              <w:rPr>
                <w:rFonts w:ascii="Times New Roman" w:eastAsia="Times New Roman" w:hAnsi="Times New Roman" w:cs="Times New Roman"/>
                <w:sz w:val="20"/>
                <w:szCs w:val="20"/>
                <w:lang w:val="sq-AL"/>
              </w:rPr>
              <w:br/>
              <w:t>1</w:t>
            </w:r>
            <w:r w:rsidR="007A5719">
              <w:rPr>
                <w:rFonts w:ascii="Times New Roman" w:eastAsia="Times New Roman" w:hAnsi="Times New Roman" w:cs="Times New Roman"/>
                <w:sz w:val="20"/>
                <w:szCs w:val="20"/>
                <w:lang w:val="sq-AL"/>
              </w:rPr>
              <w:t>3</w:t>
            </w:r>
            <w:r w:rsidRPr="00735452">
              <w:rPr>
                <w:rFonts w:ascii="Times New Roman" w:eastAsia="Times New Roman" w:hAnsi="Times New Roman" w:cs="Times New Roman"/>
                <w:sz w:val="20"/>
                <w:szCs w:val="20"/>
                <w:lang w:val="sq-AL"/>
              </w:rPr>
              <w:t>. Monitoruesi i grupit të mbulimit informon Autoritetin dhe Bankën e Shqipërisë për çdo konstatim të rëndësishëm lidhur me programin e obligacioneve të mbuluara, përfshirë rastet kur aktivet janë fshirë, zëvendësuar ose shtuar në grupin e mbulimit.</w:t>
            </w:r>
            <w:r w:rsidRPr="00735452">
              <w:rPr>
                <w:rFonts w:ascii="Times New Roman" w:eastAsia="Times New Roman" w:hAnsi="Times New Roman" w:cs="Times New Roman"/>
                <w:sz w:val="20"/>
                <w:szCs w:val="20"/>
                <w:lang w:val="sq-AL"/>
              </w:rPr>
              <w:br/>
              <w:t>1</w:t>
            </w:r>
            <w:r w:rsidR="007A5719">
              <w:rPr>
                <w:rFonts w:ascii="Times New Roman" w:eastAsia="Times New Roman" w:hAnsi="Times New Roman" w:cs="Times New Roman"/>
                <w:sz w:val="20"/>
                <w:szCs w:val="20"/>
                <w:lang w:val="sq-AL"/>
              </w:rPr>
              <w:t>4</w:t>
            </w:r>
            <w:r w:rsidRPr="00735452">
              <w:rPr>
                <w:rFonts w:ascii="Times New Roman" w:eastAsia="Times New Roman" w:hAnsi="Times New Roman" w:cs="Times New Roman"/>
                <w:sz w:val="20"/>
                <w:szCs w:val="20"/>
                <w:lang w:val="sq-AL"/>
              </w:rPr>
              <w:t>. Monitoruesit i grupit të mbulimit duhet t'u përgjigjet kërkesave për informacion të Bankës së Shqipërisë apo Autoritetit brenda afateve të përcaktuara prej tyre.</w:t>
            </w:r>
            <w:r w:rsidRPr="00735452">
              <w:rPr>
                <w:rFonts w:ascii="Times New Roman" w:eastAsia="Times New Roman" w:hAnsi="Times New Roman" w:cs="Times New Roman"/>
                <w:sz w:val="20"/>
                <w:szCs w:val="20"/>
                <w:lang w:val="sq-AL"/>
              </w:rPr>
              <w:br/>
              <w:t>1</w:t>
            </w:r>
            <w:r w:rsidR="007A5719">
              <w:rPr>
                <w:rFonts w:ascii="Times New Roman" w:eastAsia="Times New Roman" w:hAnsi="Times New Roman" w:cs="Times New Roman"/>
                <w:sz w:val="20"/>
                <w:szCs w:val="20"/>
                <w:lang w:val="sq-AL"/>
              </w:rPr>
              <w:t>5</w:t>
            </w:r>
            <w:r w:rsidRPr="00735452">
              <w:rPr>
                <w:rFonts w:ascii="Times New Roman" w:eastAsia="Times New Roman" w:hAnsi="Times New Roman" w:cs="Times New Roman"/>
                <w:sz w:val="20"/>
                <w:szCs w:val="20"/>
                <w:lang w:val="sq-AL"/>
              </w:rPr>
              <w:t>) Organi drejtues/Këshilli Mbikëqyrës i institucionit të kreditit emetues mund ta shkarkojë monitoruesin e grupit të mbulimit nëse: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a) monitoruesi nuk përmbush kushtet e këtij neni;</w:t>
            </w:r>
            <w:r w:rsidRPr="00735452">
              <w:rPr>
                <w:rFonts w:ascii="Times New Roman" w:eastAsia="Times New Roman" w:hAnsi="Times New Roman" w:cs="Times New Roman"/>
                <w:sz w:val="20"/>
                <w:szCs w:val="20"/>
                <w:lang w:val="sq-AL"/>
              </w:rPr>
              <w:br/>
              <w:t>b) monitoruesi nuk përmbush detyrat e tij sipas këtij ligji;</w:t>
            </w:r>
            <w:r w:rsidRPr="00735452">
              <w:rPr>
                <w:rFonts w:ascii="Times New Roman" w:eastAsia="Times New Roman" w:hAnsi="Times New Roman" w:cs="Times New Roman"/>
                <w:sz w:val="20"/>
                <w:szCs w:val="20"/>
                <w:lang w:val="sq-AL"/>
              </w:rPr>
              <w:br/>
              <w:t>c) shkarkimi urdhërohet nga Autoriteti ose Banka e Shqipërisë;</w:t>
            </w:r>
            <w:r w:rsidRPr="00735452">
              <w:rPr>
                <w:rFonts w:ascii="Times New Roman" w:eastAsia="Times New Roman" w:hAnsi="Times New Roman" w:cs="Times New Roman"/>
                <w:sz w:val="20"/>
                <w:szCs w:val="20"/>
                <w:lang w:val="sq-AL"/>
              </w:rPr>
              <w:br/>
              <w:t xml:space="preserve">ç) </w:t>
            </w:r>
            <w:r w:rsidR="00856C15">
              <w:rPr>
                <w:rFonts w:ascii="Times New Roman" w:eastAsia="Times New Roman" w:hAnsi="Times New Roman" w:cs="Times New Roman"/>
                <w:sz w:val="20"/>
                <w:szCs w:val="20"/>
                <w:lang w:val="sq-AL"/>
              </w:rPr>
              <w:t>monitoruesi</w:t>
            </w:r>
            <w:r w:rsidRPr="00735452">
              <w:rPr>
                <w:rFonts w:ascii="Times New Roman" w:eastAsia="Times New Roman" w:hAnsi="Times New Roman" w:cs="Times New Roman"/>
                <w:sz w:val="20"/>
                <w:szCs w:val="20"/>
                <w:lang w:val="sq-AL"/>
              </w:rPr>
              <w:t xml:space="preserve"> jep dorëheqjen, por qëndron në detyrë deri në emërimin e </w:t>
            </w:r>
            <w:r w:rsidR="00856C15">
              <w:rPr>
                <w:rFonts w:ascii="Times New Roman" w:eastAsia="Times New Roman" w:hAnsi="Times New Roman" w:cs="Times New Roman"/>
                <w:sz w:val="20"/>
                <w:szCs w:val="20"/>
                <w:lang w:val="sq-AL"/>
              </w:rPr>
              <w:t>monitoruesit</w:t>
            </w:r>
            <w:r w:rsidRPr="00735452">
              <w:rPr>
                <w:rFonts w:ascii="Times New Roman" w:eastAsia="Times New Roman" w:hAnsi="Times New Roman" w:cs="Times New Roman"/>
                <w:sz w:val="20"/>
                <w:szCs w:val="20"/>
                <w:lang w:val="sq-AL"/>
              </w:rPr>
              <w:t xml:space="preserve"> të ri.</w:t>
            </w:r>
            <w:r w:rsidRPr="00735452">
              <w:rPr>
                <w:rFonts w:ascii="Times New Roman" w:eastAsia="Times New Roman" w:hAnsi="Times New Roman" w:cs="Times New Roman"/>
                <w:sz w:val="20"/>
                <w:szCs w:val="20"/>
                <w:lang w:val="sq-AL"/>
              </w:rPr>
              <w:br/>
              <w:t>1</w:t>
            </w:r>
            <w:r w:rsidR="00382B15">
              <w:rPr>
                <w:rFonts w:ascii="Times New Roman" w:eastAsia="Times New Roman" w:hAnsi="Times New Roman" w:cs="Times New Roman"/>
                <w:sz w:val="20"/>
                <w:szCs w:val="20"/>
                <w:lang w:val="sq-AL"/>
              </w:rPr>
              <w:t>6</w:t>
            </w:r>
            <w:r w:rsidRPr="00735452">
              <w:rPr>
                <w:rFonts w:ascii="Times New Roman" w:eastAsia="Times New Roman" w:hAnsi="Times New Roman" w:cs="Times New Roman"/>
                <w:sz w:val="20"/>
                <w:szCs w:val="20"/>
                <w:lang w:val="sq-AL"/>
              </w:rPr>
              <w:t xml:space="preserve">. Monitoruesi i grupit të mbulimit mban përgjegjësi ndaj emetuesit, investitorëve dhe palëve të tjera </w:t>
            </w:r>
            <w:proofErr w:type="spellStart"/>
            <w:r w:rsidRPr="00735452">
              <w:rPr>
                <w:rFonts w:ascii="Times New Roman" w:eastAsia="Times New Roman" w:hAnsi="Times New Roman" w:cs="Times New Roman"/>
                <w:sz w:val="20"/>
                <w:szCs w:val="20"/>
                <w:lang w:val="sq-AL"/>
              </w:rPr>
              <w:t>kontraktore</w:t>
            </w:r>
            <w:proofErr w:type="spellEnd"/>
            <w:r w:rsidRPr="00735452">
              <w:rPr>
                <w:rFonts w:ascii="Times New Roman" w:eastAsia="Times New Roman" w:hAnsi="Times New Roman" w:cs="Times New Roman"/>
                <w:sz w:val="20"/>
                <w:szCs w:val="20"/>
                <w:lang w:val="sq-AL"/>
              </w:rPr>
              <w:t xml:space="preserve"> të kontratave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vetëm në rast veprimi me dashje ose pakujdesie të rëndë.</w:t>
            </w:r>
            <w:r w:rsidRPr="00735452">
              <w:rPr>
                <w:rFonts w:ascii="Times New Roman" w:eastAsia="Times New Roman" w:hAnsi="Times New Roman" w:cs="Times New Roman"/>
                <w:sz w:val="20"/>
                <w:szCs w:val="20"/>
                <w:lang w:val="sq-AL"/>
              </w:rPr>
              <w:br/>
              <w:t>1</w:t>
            </w:r>
            <w:r w:rsidR="004B62FB">
              <w:rPr>
                <w:rFonts w:ascii="Times New Roman" w:eastAsia="Times New Roman" w:hAnsi="Times New Roman" w:cs="Times New Roman"/>
                <w:sz w:val="20"/>
                <w:szCs w:val="20"/>
                <w:lang w:val="sq-AL"/>
              </w:rPr>
              <w:t>7</w:t>
            </w:r>
            <w:r w:rsidRPr="00735452">
              <w:rPr>
                <w:rFonts w:ascii="Times New Roman" w:eastAsia="Times New Roman" w:hAnsi="Times New Roman" w:cs="Times New Roman"/>
                <w:sz w:val="20"/>
                <w:szCs w:val="20"/>
                <w:lang w:val="sq-AL"/>
              </w:rPr>
              <w:t>. Autoriteti njofton Autoritetin Evropian Bankar (EBA) për detyrimin e emërimit të monitoruesit të grupit të mbulimit sipas pikës 1, të këtij neni.</w:t>
            </w:r>
            <w:r w:rsidRPr="00735452">
              <w:rPr>
                <w:rFonts w:ascii="Times New Roman" w:eastAsia="Times New Roman" w:hAnsi="Times New Roman" w:cs="Times New Roman"/>
                <w:sz w:val="20"/>
                <w:szCs w:val="20"/>
                <w:lang w:val="sq-AL"/>
              </w:rPr>
              <w:br/>
              <w:t>1</w:t>
            </w:r>
            <w:r w:rsidR="004B62FB">
              <w:rPr>
                <w:rFonts w:ascii="Times New Roman" w:eastAsia="Times New Roman" w:hAnsi="Times New Roman" w:cs="Times New Roman"/>
                <w:sz w:val="20"/>
                <w:szCs w:val="20"/>
                <w:lang w:val="sq-AL"/>
              </w:rPr>
              <w:t>8</w:t>
            </w:r>
            <w:r w:rsidRPr="00735452">
              <w:rPr>
                <w:rFonts w:ascii="Times New Roman" w:eastAsia="Times New Roman" w:hAnsi="Times New Roman" w:cs="Times New Roman"/>
                <w:sz w:val="20"/>
                <w:szCs w:val="20"/>
                <w:lang w:val="sq-AL"/>
              </w:rPr>
              <w:t>. Autoriteti,  miraton rregulla më të detajuara mbi kriteret dhe përvojën e monitoruesit të grupit të mbulimit sipas pikës 4, të këtij neni, si dhe përcakton përmbajtjen minimale të raporteve sipas  pikave 13 dhe 14, të këtij neni.</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26</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Miratimi i programit të obligacioneve të mbuluara sipas këtij ligji është i pavarur nga procedura e miratimit të prospektit për obligacionet e mbuluara dhe nuk e zëvendëson atë.</w:t>
            </w:r>
            <w:r w:rsidRPr="00735452">
              <w:rPr>
                <w:rFonts w:ascii="Times New Roman" w:eastAsia="Times New Roman" w:hAnsi="Times New Roman" w:cs="Times New Roman"/>
                <w:sz w:val="20"/>
                <w:szCs w:val="20"/>
                <w:lang w:val="sq-AL"/>
              </w:rPr>
              <w:br/>
              <w:t>2. Kur institucioni i kreditit vendos të kryejë një emetim të obligacioneve të mbuluara në kuadër të një programi të miratuar, ai është i detyruar, përpara emetimit, të përgatisë dhe publikojë prospekt në përputhje me legjislacionin në fuqi që rregullon tregjet e instrumenteve financiare në Republikën e Shqipërisë dhe aktet nënligjore në zbatim të tij.</w:t>
            </w:r>
          </w:p>
        </w:tc>
        <w:tc>
          <w:tcPr>
            <w:tcW w:w="1440" w:type="dxa"/>
          </w:tcPr>
          <w:p w14:paraId="5B7E799F" w14:textId="70174FFC" w:rsidR="003E7E51" w:rsidRPr="00735452" w:rsidRDefault="000F58F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1E0CC080" w14:textId="77777777" w:rsidR="003E7E51" w:rsidRPr="00735452" w:rsidRDefault="003E7E51">
            <w:pPr>
              <w:spacing w:after="0" w:line="240" w:lineRule="auto"/>
              <w:rPr>
                <w:rFonts w:ascii="Times New Roman" w:hAnsi="Times New Roman" w:cs="Times New Roman"/>
                <w:sz w:val="20"/>
                <w:szCs w:val="20"/>
                <w:lang w:val="sq-AL"/>
              </w:rPr>
            </w:pPr>
          </w:p>
        </w:tc>
      </w:tr>
      <w:tr w:rsidR="00606432" w:rsidRPr="00735452" w14:paraId="6702F3CE" w14:textId="77777777" w:rsidTr="004D61BC">
        <w:trPr>
          <w:gridAfter w:val="1"/>
          <w:wAfter w:w="14" w:type="dxa"/>
        </w:trPr>
        <w:tc>
          <w:tcPr>
            <w:tcW w:w="800" w:type="dxa"/>
            <w:tcBorders>
              <w:left w:val="single" w:sz="12" w:space="0" w:color="auto"/>
            </w:tcBorders>
          </w:tcPr>
          <w:p w14:paraId="7470F429"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Neni 20</w:t>
            </w:r>
          </w:p>
          <w:p w14:paraId="2C53B983"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2300B0BB"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Autoritetet kompetente të përcaktuara sipas nenit 18, paragrafi 2, bashkëpunojnë me autoritetin e zgjidhjes në rast të zgjidhjes së një institucioni krediti që emeton obligacione të mbuluara, me qëllim që të sigurohet ruajtja e të drejtave dhe interesave të investitorëve në obligacione të mbuluara, duke përfshirë të paktën verifikimin e administrimit të vazhdueshëm dhe të shëndoshë të programit të obligacioneve të mbuluara gjatë periudhës së procesit të zgjidhjes.</w:t>
            </w:r>
          </w:p>
        </w:tc>
        <w:tc>
          <w:tcPr>
            <w:tcW w:w="624" w:type="dxa"/>
            <w:tcBorders>
              <w:left w:val="single" w:sz="12" w:space="0" w:color="auto"/>
            </w:tcBorders>
          </w:tcPr>
          <w:p w14:paraId="6C88BD1D" w14:textId="2116518A" w:rsidR="00606432" w:rsidRPr="00735452" w:rsidRDefault="006356F0" w:rsidP="0060643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4CBF0CD"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 pika 1; Neni 33, pika 1</w:t>
            </w:r>
          </w:p>
        </w:tc>
        <w:tc>
          <w:tcPr>
            <w:tcW w:w="5130" w:type="dxa"/>
          </w:tcPr>
          <w:p w14:paraId="2EE1DEA3"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Në rast të ndërhyrjes së jashtëzakonshme ndaj një institucioni krediti i cili ka emetuar obligacione të mbuluara, Autoriteti bashkëpunon me autoritetin e ndërhyrjes së jashtëzakonshme,  për të verifikuar ndër të tjera administrimin e vazhdueshëm dhe të shëndoshë të programit të obligacioneve të mbuluara gjatë periudhës së procesit të ndërhyrjes.</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Neni 33</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Autoriteti bashkëpunon me Bankën e Shqipërisë në rast të zbatimit të masave të ndërhyrjes së hershme ose të ndërhyrjes së jashtëzakonshme ndaj emetuesit, me qëllim sigurimin e mbrojtjes së të drejtave dhe interesave të investitorëve në obligacionet e mbuluara. Ky bashkëpunim përfshin, të paktën, verifikimin që gjatë këtyre procedurave sigurohet menaxhimi i vazhdueshëm dhe i duhur i programit të obligacioneve të mbuluara.</w:t>
            </w:r>
          </w:p>
        </w:tc>
        <w:tc>
          <w:tcPr>
            <w:tcW w:w="1440" w:type="dxa"/>
          </w:tcPr>
          <w:p w14:paraId="2A26D7DA" w14:textId="2BD2408E" w:rsidR="003E7E51" w:rsidRPr="00735452" w:rsidRDefault="000F58FB">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F33885C" w14:textId="77777777" w:rsidR="003E7E51" w:rsidRPr="00735452" w:rsidRDefault="003E7E51">
            <w:pPr>
              <w:spacing w:after="0" w:line="240" w:lineRule="auto"/>
              <w:rPr>
                <w:rFonts w:ascii="Times New Roman" w:hAnsi="Times New Roman" w:cs="Times New Roman"/>
                <w:sz w:val="20"/>
                <w:szCs w:val="20"/>
                <w:lang w:val="sq-AL"/>
              </w:rPr>
            </w:pPr>
          </w:p>
        </w:tc>
      </w:tr>
      <w:tr w:rsidR="00606432" w:rsidRPr="00735452" w14:paraId="4AB17B75" w14:textId="77777777" w:rsidTr="004D61BC">
        <w:trPr>
          <w:gridAfter w:val="1"/>
          <w:wAfter w:w="14" w:type="dxa"/>
        </w:trPr>
        <w:tc>
          <w:tcPr>
            <w:tcW w:w="800" w:type="dxa"/>
            <w:tcBorders>
              <w:left w:val="single" w:sz="12" w:space="0" w:color="auto"/>
            </w:tcBorders>
          </w:tcPr>
          <w:p w14:paraId="7750237D"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586E63B3"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mund të parashikojnë caktimin e një administratori të posaçëm për të siguruar që të drejtat dhe interesat e investitorëve në obligacione të mbuluara të ruhen, duke përfshirë të paktën verifikimin e administrimit të vazhdueshëm dhe të shëndoshë të programit të obligacioneve të mbuluara gjatë periudhës së nevojshme.</w:t>
            </w:r>
          </w:p>
          <w:p w14:paraId="1DF3BC72"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shtetet anëtare ushtrojnë këtë mundësi, ato mund të kërkojnë që autoritetet kompetente të përcaktuara sipas nenit 18, paragrafi 2, të miratojnë emërimin dhe shkarkimin e administratorit të posaçëm. Shtetet anëtare që ushtrojnë këtë mundësi kërkojnë të paktën që këto autoritete kompetente të konsultohen në lidhje me emërimin dhe shkarkimin e administratorit të posaçëm.</w:t>
            </w:r>
          </w:p>
        </w:tc>
        <w:tc>
          <w:tcPr>
            <w:tcW w:w="624" w:type="dxa"/>
            <w:tcBorders>
              <w:left w:val="single" w:sz="12" w:space="0" w:color="auto"/>
            </w:tcBorders>
          </w:tcPr>
          <w:p w14:paraId="2A9122E7" w14:textId="1A277FA6" w:rsidR="00606432" w:rsidRPr="00735452" w:rsidRDefault="006356F0" w:rsidP="0060643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CF4C85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 pikat 2-3; Nenet 34-36</w:t>
            </w:r>
          </w:p>
        </w:tc>
        <w:tc>
          <w:tcPr>
            <w:tcW w:w="5130" w:type="dxa"/>
          </w:tcPr>
          <w:p w14:paraId="45FDBDC6" w14:textId="6FDFD2DB" w:rsidR="00494FBB" w:rsidRDefault="00B82C36">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2.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ndërhyrjes së jashtëzakonshme ndaj një institucioni krediti që ka emetuar obligacione të mbuluara, duhet të emërohet një administrator i posaçëm me qëllim që të sigurohet mbrojtja e të drejtave dhe interesave të investitorëve në obligacione të mbuluara, përfshirë të paktën, verifikimin e administrimit të vazhdueshëm dhe të shëndoshë të programit të obligacioneve të mbuluara gjatë periudhës së nevojshme.</w:t>
            </w:r>
            <w:r w:rsidRPr="00735452">
              <w:rPr>
                <w:rFonts w:ascii="Times New Roman" w:eastAsia="Times New Roman" w:hAnsi="Times New Roman" w:cs="Times New Roman"/>
                <w:sz w:val="20"/>
                <w:szCs w:val="20"/>
                <w:lang w:val="sq-AL"/>
              </w:rPr>
              <w:br/>
              <w:t xml:space="preserve">3. Për emërimin dhe shkarkimin e </w:t>
            </w:r>
            <w:proofErr w:type="spellStart"/>
            <w:r w:rsidR="00494FBB">
              <w:rPr>
                <w:rFonts w:ascii="Times New Roman" w:eastAsia="Times New Roman" w:hAnsi="Times New Roman" w:cs="Times New Roman"/>
                <w:sz w:val="20"/>
                <w:szCs w:val="20"/>
                <w:lang w:val="sq-AL"/>
              </w:rPr>
              <w:t>administrartorit</w:t>
            </w:r>
            <w:proofErr w:type="spellEnd"/>
            <w:r w:rsidR="00494FBB">
              <w:rPr>
                <w:rFonts w:ascii="Times New Roman" w:eastAsia="Times New Roman" w:hAnsi="Times New Roman" w:cs="Times New Roman"/>
                <w:sz w:val="20"/>
                <w:szCs w:val="20"/>
                <w:lang w:val="sq-AL"/>
              </w:rPr>
              <w:t xml:space="preserve"> të posa</w:t>
            </w:r>
            <w:r w:rsidR="00F9063D">
              <w:rPr>
                <w:rFonts w:ascii="Times New Roman" w:eastAsia="Times New Roman" w:hAnsi="Times New Roman" w:cs="Times New Roman"/>
                <w:sz w:val="20"/>
                <w:szCs w:val="20"/>
                <w:lang w:val="sq-AL"/>
              </w:rPr>
              <w:t>çë</w:t>
            </w:r>
            <w:r w:rsidR="00494FBB">
              <w:rPr>
                <w:rFonts w:ascii="Times New Roman" w:eastAsia="Times New Roman" w:hAnsi="Times New Roman" w:cs="Times New Roman"/>
                <w:sz w:val="20"/>
                <w:szCs w:val="20"/>
                <w:lang w:val="sq-AL"/>
              </w:rPr>
              <w:t>m</w:t>
            </w:r>
            <w:r w:rsidRPr="00735452">
              <w:rPr>
                <w:rFonts w:ascii="Times New Roman" w:eastAsia="Times New Roman" w:hAnsi="Times New Roman" w:cs="Times New Roman"/>
                <w:sz w:val="20"/>
                <w:szCs w:val="20"/>
                <w:lang w:val="sq-AL"/>
              </w:rPr>
              <w:t xml:space="preserve"> kërkohet miratimi i Autoritetit.</w:t>
            </w:r>
          </w:p>
          <w:p w14:paraId="75B5A171" w14:textId="26B984F2" w:rsidR="003E7E51" w:rsidRPr="00A34EAB" w:rsidRDefault="00B82C36" w:rsidP="00A34EAB">
            <w:pPr>
              <w:spacing w:after="160" w:line="278" w:lineRule="auto"/>
              <w:rPr>
                <w:rFonts w:ascii="Times New Roman" w:eastAsiaTheme="minorHAnsi" w:hAnsi="Times New Roman" w:cs="Times New Roman"/>
                <w:kern w:val="2"/>
                <w:sz w:val="20"/>
                <w:szCs w:val="20"/>
                <w:lang w:val="pt-BR"/>
                <w14:ligatures w14:val="standardContextual"/>
              </w:rPr>
            </w:pPr>
            <w:r w:rsidRPr="00735452">
              <w:rPr>
                <w:rFonts w:ascii="Times New Roman" w:eastAsia="Times New Roman" w:hAnsi="Times New Roman" w:cs="Times New Roman"/>
                <w:sz w:val="20"/>
                <w:szCs w:val="20"/>
                <w:lang w:val="sq-AL"/>
              </w:rPr>
              <w:t xml:space="preserve"> </w:t>
            </w:r>
            <w:r w:rsidRPr="00735452">
              <w:rPr>
                <w:rFonts w:ascii="Times New Roman" w:eastAsia="Times New Roman" w:hAnsi="Times New Roman" w:cs="Times New Roman"/>
                <w:sz w:val="20"/>
                <w:szCs w:val="20"/>
                <w:lang w:val="sq-AL"/>
              </w:rPr>
              <w:br/>
              <w:t>Neni 34</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Dispozitat e këtij kreu zbatohen kur ndaj institucionit të kreditit emetues është hapur procedura e likuidimit të detyruar.</w:t>
            </w:r>
            <w:r w:rsidRPr="00735452">
              <w:rPr>
                <w:rFonts w:ascii="Times New Roman" w:eastAsia="Times New Roman" w:hAnsi="Times New Roman" w:cs="Times New Roman"/>
                <w:sz w:val="20"/>
                <w:szCs w:val="20"/>
                <w:lang w:val="sq-AL"/>
              </w:rPr>
              <w:br/>
              <w:t>2. Banka e Shqipërisë është e detyruar të njoftojë Autoritetin të paktën pesë ditë pune para marrjes së vendimit për paraqitjen e kërkesës për propozim për hapjen e procedurës së likuidimit të detyruar.</w:t>
            </w:r>
            <w:r w:rsidRPr="00735452">
              <w:rPr>
                <w:rFonts w:ascii="Times New Roman" w:eastAsia="Times New Roman" w:hAnsi="Times New Roman" w:cs="Times New Roman"/>
                <w:sz w:val="20"/>
                <w:szCs w:val="20"/>
                <w:lang w:val="sq-AL"/>
              </w:rPr>
              <w:br/>
              <w:t>3. Brenda dy ditëve pune nga marrja e propozimit për hapjen e procedurës së likuidimit të detyruar, Autoriteti emëron një ose më shumë administratorë të posaçëm të grupit të mbulimit.</w:t>
            </w:r>
            <w:r w:rsidRPr="00735452">
              <w:rPr>
                <w:rFonts w:ascii="Times New Roman" w:eastAsia="Times New Roman" w:hAnsi="Times New Roman" w:cs="Times New Roman"/>
                <w:sz w:val="20"/>
                <w:szCs w:val="20"/>
                <w:lang w:val="sq-AL"/>
              </w:rPr>
              <w:br/>
              <w:t xml:space="preserve">Autoriteti merr në konsideratë numrin e programeve të obligacioneve të mbuluara tek emetuesi dhe numrin e </w:t>
            </w:r>
            <w:r w:rsidRPr="00735452">
              <w:rPr>
                <w:rFonts w:ascii="Times New Roman" w:eastAsia="Times New Roman" w:hAnsi="Times New Roman" w:cs="Times New Roman"/>
                <w:sz w:val="20"/>
                <w:szCs w:val="20"/>
                <w:lang w:val="sq-AL"/>
              </w:rPr>
              <w:lastRenderedPageBreak/>
              <w:t>grupeve të mbulimit, për miratimin e një ose disa administratorëve të posaçëm.</w:t>
            </w:r>
            <w:r w:rsidRPr="00735452">
              <w:rPr>
                <w:rFonts w:ascii="Times New Roman" w:eastAsia="Times New Roman" w:hAnsi="Times New Roman" w:cs="Times New Roman"/>
                <w:sz w:val="20"/>
                <w:szCs w:val="20"/>
                <w:lang w:val="sq-AL"/>
              </w:rPr>
              <w:br/>
              <w:t>4. Në momentin e emërimit të administratorit të posaçëm, ai merr përsipër detyrat dhe kompetencat e monitoruesit të grupit të mbulimit. Në këtë rast përfundon funksioni i monitoruesit të grupit të mbulimit.</w:t>
            </w:r>
            <w:r w:rsidRPr="00735452">
              <w:rPr>
                <w:rFonts w:ascii="Times New Roman" w:eastAsia="Times New Roman" w:hAnsi="Times New Roman" w:cs="Times New Roman"/>
                <w:sz w:val="20"/>
                <w:szCs w:val="20"/>
                <w:lang w:val="sq-AL"/>
              </w:rPr>
              <w:br/>
              <w:t>Monitoruesi i grupit të mbulimit të cilit i ka përfunduar funksioni me emërimin e administratorit të posaçëm, është i detyruar:</w:t>
            </w:r>
            <w:r w:rsidRPr="00735452">
              <w:rPr>
                <w:rFonts w:ascii="Times New Roman" w:eastAsia="Times New Roman" w:hAnsi="Times New Roman" w:cs="Times New Roman"/>
                <w:sz w:val="20"/>
                <w:szCs w:val="20"/>
                <w:lang w:val="sq-AL"/>
              </w:rPr>
              <w:br/>
              <w:t>a) të vazhdojë të ofrojë të gjitha informacionet e nevojshme për administrimin e grupit të mbulimit;</w:t>
            </w:r>
            <w:r w:rsidRPr="00735452">
              <w:rPr>
                <w:rFonts w:ascii="Times New Roman" w:eastAsia="Times New Roman" w:hAnsi="Times New Roman" w:cs="Times New Roman"/>
                <w:sz w:val="20"/>
                <w:szCs w:val="20"/>
                <w:lang w:val="sq-AL"/>
              </w:rPr>
              <w:br/>
              <w:t>b) t'i mundësojë administratorit të posaçëm të marrë përsipër detyrat e tij në përputhje me këtë ligj.</w:t>
            </w:r>
            <w:r w:rsidRPr="00735452">
              <w:rPr>
                <w:rFonts w:ascii="Times New Roman" w:eastAsia="Times New Roman" w:hAnsi="Times New Roman" w:cs="Times New Roman"/>
                <w:sz w:val="20"/>
                <w:szCs w:val="20"/>
                <w:lang w:val="sq-AL"/>
              </w:rPr>
              <w:br/>
              <w:t>c) të llogarisë përqindjen që përfaqëson kërkesa nga obligacionet e mbuluara në totalin e kërkesave të rendit të pagesës ku bën pjesë kjo kërkesë;</w:t>
            </w:r>
            <w:r w:rsidRPr="00735452">
              <w:rPr>
                <w:rFonts w:ascii="Times New Roman" w:eastAsia="Times New Roman" w:hAnsi="Times New Roman" w:cs="Times New Roman"/>
                <w:sz w:val="20"/>
                <w:szCs w:val="20"/>
                <w:lang w:val="sq-AL"/>
              </w:rPr>
              <w:br/>
              <w:t>ç) t'ia  dorëzojë këtë të dhënë likuidatorit dhe administratorit të posaçëm.</w:t>
            </w:r>
            <w:r w:rsidRPr="00735452">
              <w:rPr>
                <w:rFonts w:ascii="Times New Roman" w:eastAsia="Times New Roman" w:hAnsi="Times New Roman" w:cs="Times New Roman"/>
                <w:sz w:val="20"/>
                <w:szCs w:val="20"/>
                <w:lang w:val="sq-AL"/>
              </w:rPr>
              <w:br/>
              <w:t>5. Administratori i posaçëm mund të emërohet nga lista e personave të specializuar që përmbushin kriteret sipas legjislacionit në fuqi që rregullon likuidimin e detyruar të institucioneve të kreditit, si dhe nga persona të tjerë që plotësojnë kushtet e përcaktuara në këtë ligj dhe në aktet nënligjore të dala në zbatim të tij.</w:t>
            </w:r>
            <w:r w:rsidRPr="00735452">
              <w:rPr>
                <w:rFonts w:ascii="Times New Roman" w:eastAsia="Times New Roman" w:hAnsi="Times New Roman" w:cs="Times New Roman"/>
                <w:sz w:val="20"/>
                <w:szCs w:val="20"/>
                <w:lang w:val="sq-AL"/>
              </w:rPr>
              <w:br/>
              <w:t>Administratori i posaçëm mund të emërohet edhe në rastet kur kjo është e nevojshme për të garantuar administrimin e vazhdueshëm dhe të qëndrueshëm të programit të obligacioneve të mbuluara, përfshirë në veçanti kur:</w:t>
            </w:r>
            <w:r w:rsidRPr="00735452">
              <w:rPr>
                <w:rFonts w:ascii="Times New Roman" w:eastAsia="Times New Roman" w:hAnsi="Times New Roman" w:cs="Times New Roman"/>
                <w:sz w:val="20"/>
                <w:szCs w:val="20"/>
                <w:lang w:val="sq-AL"/>
              </w:rPr>
              <w:br/>
              <w:t>a) emetuesit i është hequr licenca për ushtrimin e veprimtarisë bankare ose i është revokuar apo tërhequr miratimi për programin e obligacioneve të mbuluara, në masën që kjo është e nevojshme për të garantuar mbrojtjen e investitorëve dhe administrimin e vazhdueshëm të grupit të mbulimit;</w:t>
            </w:r>
            <w:r w:rsidRPr="00735452">
              <w:rPr>
                <w:rFonts w:ascii="Times New Roman" w:eastAsia="Times New Roman" w:hAnsi="Times New Roman" w:cs="Times New Roman"/>
                <w:sz w:val="20"/>
                <w:szCs w:val="20"/>
                <w:lang w:val="sq-AL"/>
              </w:rPr>
              <w:br/>
              <w:t xml:space="preserve">b) janë marrë masa të ndërhyrjes së jashtëzakonshme ndaj </w:t>
            </w:r>
            <w:r w:rsidRPr="00735452">
              <w:rPr>
                <w:rFonts w:ascii="Times New Roman" w:eastAsia="Times New Roman" w:hAnsi="Times New Roman" w:cs="Times New Roman"/>
                <w:sz w:val="20"/>
                <w:szCs w:val="20"/>
                <w:lang w:val="sq-AL"/>
              </w:rPr>
              <w:lastRenderedPageBreak/>
              <w:t>emetuesit;</w:t>
            </w:r>
            <w:r w:rsidRPr="00735452">
              <w:rPr>
                <w:rFonts w:ascii="Times New Roman" w:eastAsia="Times New Roman" w:hAnsi="Times New Roman" w:cs="Times New Roman"/>
                <w:sz w:val="20"/>
                <w:szCs w:val="20"/>
                <w:lang w:val="sq-AL"/>
              </w:rPr>
              <w:br/>
              <w:t>c) konstatohet mos përmbushje e detyrimeve të pagesës nga obligacionet e mbuluara;</w:t>
            </w:r>
            <w:r w:rsidRPr="00735452">
              <w:rPr>
                <w:rFonts w:ascii="Times New Roman" w:eastAsia="Times New Roman" w:hAnsi="Times New Roman" w:cs="Times New Roman"/>
                <w:sz w:val="20"/>
                <w:szCs w:val="20"/>
                <w:lang w:val="sq-AL"/>
              </w:rPr>
              <w:br/>
              <w:t>ç) ekzistojnë rrethana që tregojnë cenimin ose rrezikun e cenimit të funksionimit të programit të obligacioneve të mbuluara.</w:t>
            </w:r>
            <w:r w:rsidRPr="00735452">
              <w:rPr>
                <w:rFonts w:ascii="Times New Roman" w:eastAsia="Times New Roman" w:hAnsi="Times New Roman" w:cs="Times New Roman"/>
                <w:sz w:val="20"/>
                <w:szCs w:val="20"/>
                <w:lang w:val="sq-AL"/>
              </w:rPr>
              <w:br/>
              <w:t>Në cilësinë e Administratorit të posaçëm mund të jenë një ose më shumë persona; në rast se emërohen më shumë se një, ata ushtrojnë kompetencat në mënyrë të përbashkët, përveç rasteve kur përcaktohet ndryshe në vendimin e emërimit.</w:t>
            </w:r>
            <w:r w:rsidRPr="00735452">
              <w:rPr>
                <w:rFonts w:ascii="Times New Roman" w:eastAsia="Times New Roman" w:hAnsi="Times New Roman" w:cs="Times New Roman"/>
                <w:sz w:val="20"/>
                <w:szCs w:val="20"/>
                <w:lang w:val="sq-AL"/>
              </w:rPr>
              <w:br/>
              <w:t>6. Vendimi për hapjen e procedurës së likuidimit të detyruar ndaj emetuesit përmban edhe vendimin për emërimin e administratorit të posaçëm dhe të dhënat identifikuese të tij.</w:t>
            </w:r>
            <w:r w:rsidRPr="00735452">
              <w:rPr>
                <w:rFonts w:ascii="Times New Roman" w:eastAsia="Times New Roman" w:hAnsi="Times New Roman" w:cs="Times New Roman"/>
                <w:sz w:val="20"/>
                <w:szCs w:val="20"/>
                <w:lang w:val="sq-AL"/>
              </w:rPr>
              <w:br/>
              <w:t>Vendimi për emërimin e administratorit të posaçëm depozitohet pranë Qendrës Kombëtare të Biznesit, me qëllim regjistrimin e tij si “administrator i posaçëm i programit të obligacioneve të mbuluara”, duke specifikuar emrin e programit përkatës.</w:t>
            </w:r>
            <w:r w:rsidRPr="00735452">
              <w:rPr>
                <w:rFonts w:ascii="Times New Roman" w:eastAsia="Times New Roman" w:hAnsi="Times New Roman" w:cs="Times New Roman"/>
                <w:sz w:val="20"/>
                <w:szCs w:val="20"/>
                <w:lang w:val="sq-AL"/>
              </w:rPr>
              <w:br/>
              <w:t>7. Administratori i posaçëm dhe likuidatori i emetuesit nuk mund të jenë i njëjti person. Administratori i posaçëm duhet të jetë i pavarur nga likuidatori i emetuesit dhe:</w:t>
            </w:r>
            <w:r w:rsidRPr="00735452">
              <w:rPr>
                <w:rFonts w:ascii="Times New Roman" w:eastAsia="Times New Roman" w:hAnsi="Times New Roman" w:cs="Times New Roman"/>
                <w:sz w:val="20"/>
                <w:szCs w:val="20"/>
                <w:lang w:val="sq-AL"/>
              </w:rPr>
              <w:br/>
              <w:t>a) nuk mund të jetë person juridik ku është i punësuar likuidatori i emetuesit;</w:t>
            </w:r>
            <w:r w:rsidRPr="00735452">
              <w:rPr>
                <w:rFonts w:ascii="Times New Roman" w:eastAsia="Times New Roman" w:hAnsi="Times New Roman" w:cs="Times New Roman"/>
                <w:sz w:val="20"/>
                <w:szCs w:val="20"/>
                <w:lang w:val="sq-AL"/>
              </w:rPr>
              <w:br/>
              <w:t>b) nuk mund të jetë person fizik i punësuar në një person juridik që është likuidator i emetuesit.</w:t>
            </w:r>
            <w:r w:rsidRPr="00735452">
              <w:rPr>
                <w:rFonts w:ascii="Times New Roman" w:eastAsia="Times New Roman" w:hAnsi="Times New Roman" w:cs="Times New Roman"/>
                <w:sz w:val="20"/>
                <w:szCs w:val="20"/>
                <w:lang w:val="sq-AL"/>
              </w:rPr>
              <w:br/>
              <w:t>8. Pas hapjes së procedurës së likuidimit të detyruar, Autoriteti mund të shkarkojë administratorin e posaçëm dhe të emërojë një administrator të posaçëm të ri, nëse ekzistojnë arsye të rëndësishme si më poshtë:</w:t>
            </w:r>
            <w:r w:rsidRPr="00735452">
              <w:rPr>
                <w:rFonts w:ascii="Times New Roman" w:eastAsia="Times New Roman" w:hAnsi="Times New Roman" w:cs="Times New Roman"/>
                <w:sz w:val="20"/>
                <w:szCs w:val="20"/>
                <w:lang w:val="sq-AL"/>
              </w:rPr>
              <w:br/>
              <w:t>a) shkelja e detyrave dhe obligimeve të administratorit të posaçëm sipas këtij ligji;</w:t>
            </w:r>
            <w:r w:rsidRPr="00735452">
              <w:rPr>
                <w:rFonts w:ascii="Times New Roman" w:eastAsia="Times New Roman" w:hAnsi="Times New Roman" w:cs="Times New Roman"/>
                <w:sz w:val="20"/>
                <w:szCs w:val="20"/>
                <w:lang w:val="sq-AL"/>
              </w:rPr>
              <w:br/>
              <w:t>b) ndërprerja e përmbushjes së kushteve për emërim sipas këtij ligji;</w:t>
            </w:r>
            <w:r w:rsidRPr="00735452">
              <w:rPr>
                <w:rFonts w:ascii="Times New Roman" w:eastAsia="Times New Roman" w:hAnsi="Times New Roman" w:cs="Times New Roman"/>
                <w:sz w:val="20"/>
                <w:szCs w:val="20"/>
                <w:lang w:val="sq-AL"/>
              </w:rPr>
              <w:br/>
              <w:t xml:space="preserve">c) pamundësia e zgjatur për ushtrimin e detyrave dhe </w:t>
            </w:r>
            <w:r w:rsidRPr="00735452">
              <w:rPr>
                <w:rFonts w:ascii="Times New Roman" w:eastAsia="Times New Roman" w:hAnsi="Times New Roman" w:cs="Times New Roman"/>
                <w:sz w:val="20"/>
                <w:szCs w:val="20"/>
                <w:lang w:val="sq-AL"/>
              </w:rPr>
              <w:lastRenderedPageBreak/>
              <w:t>kompetencave;</w:t>
            </w:r>
            <w:r w:rsidRPr="00735452">
              <w:rPr>
                <w:rFonts w:ascii="Times New Roman" w:eastAsia="Times New Roman" w:hAnsi="Times New Roman" w:cs="Times New Roman"/>
                <w:sz w:val="20"/>
                <w:szCs w:val="20"/>
                <w:lang w:val="sq-AL"/>
              </w:rPr>
              <w:br/>
              <w:t>ç) arsye të tjera të rëndësishme të përcaktuara me këtë ligj;</w:t>
            </w:r>
            <w:r w:rsidRPr="00735452">
              <w:rPr>
                <w:rFonts w:ascii="Times New Roman" w:eastAsia="Times New Roman" w:hAnsi="Times New Roman" w:cs="Times New Roman"/>
                <w:sz w:val="20"/>
                <w:szCs w:val="20"/>
                <w:lang w:val="sq-AL"/>
              </w:rPr>
              <w:br/>
              <w:t xml:space="preserve">d) cenimi i interesave të investitorëve në obligacionet e mbuluara ose të palëve të tjera </w:t>
            </w:r>
            <w:proofErr w:type="spellStart"/>
            <w:r w:rsidRPr="00735452">
              <w:rPr>
                <w:rFonts w:ascii="Times New Roman" w:eastAsia="Times New Roman" w:hAnsi="Times New Roman" w:cs="Times New Roman"/>
                <w:sz w:val="20"/>
                <w:szCs w:val="20"/>
                <w:lang w:val="sq-AL"/>
              </w:rPr>
              <w:t>kontraktuale</w:t>
            </w:r>
            <w:proofErr w:type="spellEnd"/>
            <w:r w:rsidRPr="00735452">
              <w:rPr>
                <w:rFonts w:ascii="Times New Roman" w:eastAsia="Times New Roman" w:hAnsi="Times New Roman" w:cs="Times New Roman"/>
                <w:sz w:val="20"/>
                <w:szCs w:val="20"/>
                <w:lang w:val="sq-AL"/>
              </w:rPr>
              <w:t xml:space="preserve"> për shkak të veprimeve ose mosveprimeve të administratorit të posaçëm.</w:t>
            </w:r>
            <w:r w:rsidRPr="00735452">
              <w:rPr>
                <w:rFonts w:ascii="Times New Roman" w:eastAsia="Times New Roman" w:hAnsi="Times New Roman" w:cs="Times New Roman"/>
                <w:sz w:val="20"/>
                <w:szCs w:val="20"/>
                <w:lang w:val="sq-AL"/>
              </w:rPr>
              <w:br/>
              <w:t>9. Shkarkimi i administratorit të posaçëm dhe emërimi i një administratori të ri mund të kërkohet edhe nga përfaqësuesi i mbajtësve të obligacioneve, nëse ekzistojnë arsyet përkatëse. Kjo kërkesë i paraqitet Autoritetit dhe përbën arsye të rëndësishme për shkarkim.</w:t>
            </w:r>
            <w:r w:rsidRPr="00735452">
              <w:rPr>
                <w:rFonts w:ascii="Times New Roman" w:eastAsia="Times New Roman" w:hAnsi="Times New Roman" w:cs="Times New Roman"/>
                <w:sz w:val="20"/>
                <w:szCs w:val="20"/>
                <w:lang w:val="sq-AL"/>
              </w:rPr>
              <w:br/>
              <w:t>10. Procedurat gjyqësore në lidhje me pasuritë e grupit të mbulimit dhe obligacionet e mbuluara ndërpriten me hapjen e procedurës së likuidimit të detyruar dhe vazhdojnë sipas ligjit për procedurën civile kur administratori i posaçëm merr përsipër procedurën ose kur gjykata e thërret për ta bërë këtë.</w:t>
            </w:r>
            <w:r w:rsidRPr="00735452">
              <w:rPr>
                <w:rFonts w:ascii="Times New Roman" w:eastAsia="Times New Roman" w:hAnsi="Times New Roman" w:cs="Times New Roman"/>
                <w:sz w:val="20"/>
                <w:szCs w:val="20"/>
                <w:lang w:val="sq-AL"/>
              </w:rPr>
              <w:br/>
              <w:t xml:space="preserve">11. </w:t>
            </w:r>
            <w:r w:rsidR="00A34EAB" w:rsidRPr="00A34EAB">
              <w:rPr>
                <w:rFonts w:ascii="Times New Roman" w:hAnsi="Times New Roman" w:cs="Times New Roman"/>
                <w:sz w:val="20"/>
                <w:szCs w:val="20"/>
                <w:lang w:val="pt-BR"/>
              </w:rPr>
              <w:t>Dispozitat e parashikuara në pikën 10 të këtij neni zbatohen edhe për procedura të tjera, për aq sa nuk parashikohet ndryshe në këtë ligj.</w:t>
            </w:r>
            <w:r w:rsidRPr="00735452">
              <w:rPr>
                <w:rFonts w:ascii="Times New Roman" w:eastAsia="Times New Roman" w:hAnsi="Times New Roman" w:cs="Times New Roman"/>
                <w:sz w:val="20"/>
                <w:szCs w:val="20"/>
                <w:lang w:val="sq-AL"/>
              </w:rPr>
              <w:br/>
              <w:t>12. Gjatë procesit të emërimit të administratorit të posaçëm, Autoriteti konsultohet me Bankën e Shqipërisë. Emërimi i administratorit të posaçëm hyn në fuqi menjëherë nga momenti i marrjes së vendimit përkatës.</w:t>
            </w:r>
            <w:r w:rsidRPr="00735452">
              <w:rPr>
                <w:rFonts w:ascii="Times New Roman" w:eastAsia="Times New Roman" w:hAnsi="Times New Roman" w:cs="Times New Roman"/>
                <w:sz w:val="20"/>
                <w:szCs w:val="20"/>
                <w:lang w:val="sq-AL"/>
              </w:rPr>
              <w:br/>
              <w:t>13. Pas emërimit të administratorit të posaçëm, Autoriteti, në koordinim me Bankën e Shqipërisë, në kuadër të procedurës së likuidimit të detyruar:</w:t>
            </w:r>
            <w:r w:rsidRPr="00735452">
              <w:rPr>
                <w:rFonts w:ascii="Times New Roman" w:eastAsia="Times New Roman" w:hAnsi="Times New Roman" w:cs="Times New Roman"/>
                <w:sz w:val="20"/>
                <w:szCs w:val="20"/>
                <w:lang w:val="sq-AL"/>
              </w:rPr>
              <w:br/>
              <w:t>a) siguron që obligacionet e mbuluara dhe aktivet e grupit të mbulimit të vendosen nën administrim të veçantë;</w:t>
            </w:r>
            <w:r w:rsidRPr="00735452">
              <w:rPr>
                <w:rFonts w:ascii="Times New Roman" w:eastAsia="Times New Roman" w:hAnsi="Times New Roman" w:cs="Times New Roman"/>
                <w:sz w:val="20"/>
                <w:szCs w:val="20"/>
                <w:lang w:val="sq-AL"/>
              </w:rPr>
              <w:br/>
              <w:t>b) siguron që këto aktive të ndahen nga pasuria tjetër e emetuesit. Në këtë rast duhet të garantohet vazhdimësia e përmbushjes së detyrimeve ndaj investitorëve.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35</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Administratori i posaçëm siguron mbrojtjen e të drejtave dhe interesave të investitorëve në obligacione të mbuluara </w:t>
            </w:r>
            <w:r w:rsidRPr="00735452">
              <w:rPr>
                <w:rFonts w:ascii="Times New Roman" w:eastAsia="Times New Roman" w:hAnsi="Times New Roman" w:cs="Times New Roman"/>
                <w:sz w:val="20"/>
                <w:szCs w:val="20"/>
                <w:lang w:val="sq-AL"/>
              </w:rPr>
              <w:lastRenderedPageBreak/>
              <w:t>dhe ka të gjitha të drejtat, detyrat dhe kompetencat që kishte administrata e emetuesit:</w:t>
            </w:r>
            <w:r w:rsidRPr="00735452">
              <w:rPr>
                <w:rFonts w:ascii="Times New Roman" w:eastAsia="Times New Roman" w:hAnsi="Times New Roman" w:cs="Times New Roman"/>
                <w:sz w:val="20"/>
                <w:szCs w:val="20"/>
                <w:lang w:val="sq-AL"/>
              </w:rPr>
              <w:br/>
              <w:t>a) në lidhje me grupin e mbulimit;</w:t>
            </w:r>
            <w:r w:rsidRPr="00735452">
              <w:rPr>
                <w:rFonts w:ascii="Times New Roman" w:eastAsia="Times New Roman" w:hAnsi="Times New Roman" w:cs="Times New Roman"/>
                <w:sz w:val="20"/>
                <w:szCs w:val="20"/>
                <w:lang w:val="sq-AL"/>
              </w:rPr>
              <w:br/>
              <w:t>b) në lidhje me obligacionet e mbuluara;</w:t>
            </w:r>
            <w:r w:rsidRPr="00735452">
              <w:rPr>
                <w:rFonts w:ascii="Times New Roman" w:eastAsia="Times New Roman" w:hAnsi="Times New Roman" w:cs="Times New Roman"/>
                <w:sz w:val="20"/>
                <w:szCs w:val="20"/>
                <w:lang w:val="sq-AL"/>
              </w:rPr>
              <w:br/>
              <w:t xml:space="preserve">Administratori i Posaçëm është i autorizuar të zgjasë afatin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obligacioneve të mbuluara në përputhje me kushtet e ofertës dhe me këtë ligj. Administratori i posaçëm ushtron kompetencat e tij në mënyrë të pavarur dhe në interes të investitorëve në obligacionet e mbuluara.</w:t>
            </w:r>
            <w:r w:rsidRPr="00735452">
              <w:rPr>
                <w:rFonts w:ascii="Times New Roman" w:eastAsia="Times New Roman" w:hAnsi="Times New Roman" w:cs="Times New Roman"/>
                <w:sz w:val="20"/>
                <w:szCs w:val="20"/>
                <w:lang w:val="sq-AL"/>
              </w:rPr>
              <w:br/>
              <w:t>2. Administratori i posaçëm:</w:t>
            </w:r>
            <w:r w:rsidRPr="00735452">
              <w:rPr>
                <w:rFonts w:ascii="Times New Roman" w:eastAsia="Times New Roman" w:hAnsi="Times New Roman" w:cs="Times New Roman"/>
                <w:sz w:val="20"/>
                <w:szCs w:val="20"/>
                <w:lang w:val="sq-AL"/>
              </w:rPr>
              <w:br/>
              <w:t xml:space="preserve">a) arkëton kërkesat e </w:t>
            </w:r>
            <w:proofErr w:type="spellStart"/>
            <w:r w:rsidRPr="00735452">
              <w:rPr>
                <w:rFonts w:ascii="Times New Roman" w:eastAsia="Times New Roman" w:hAnsi="Times New Roman" w:cs="Times New Roman"/>
                <w:sz w:val="20"/>
                <w:szCs w:val="20"/>
                <w:lang w:val="sq-AL"/>
              </w:rPr>
              <w:t>maturuara</w:t>
            </w:r>
            <w:proofErr w:type="spellEnd"/>
            <w:r w:rsidRPr="00735452">
              <w:rPr>
                <w:rFonts w:ascii="Times New Roman" w:eastAsia="Times New Roman" w:hAnsi="Times New Roman" w:cs="Times New Roman"/>
                <w:sz w:val="20"/>
                <w:szCs w:val="20"/>
                <w:lang w:val="sq-AL"/>
              </w:rPr>
              <w:t xml:space="preserve"> nga grupi i mbulimit;</w:t>
            </w:r>
            <w:r w:rsidRPr="00735452">
              <w:rPr>
                <w:rFonts w:ascii="Times New Roman" w:eastAsia="Times New Roman" w:hAnsi="Times New Roman" w:cs="Times New Roman"/>
                <w:sz w:val="20"/>
                <w:szCs w:val="20"/>
                <w:lang w:val="sq-AL"/>
              </w:rPr>
              <w:br/>
              <w:t xml:space="preserve">b) paguan kërkesat e </w:t>
            </w:r>
            <w:proofErr w:type="spellStart"/>
            <w:r w:rsidRPr="00735452">
              <w:rPr>
                <w:rFonts w:ascii="Times New Roman" w:eastAsia="Times New Roman" w:hAnsi="Times New Roman" w:cs="Times New Roman"/>
                <w:sz w:val="20"/>
                <w:szCs w:val="20"/>
                <w:lang w:val="sq-AL"/>
              </w:rPr>
              <w:t>maturuara</w:t>
            </w:r>
            <w:proofErr w:type="spellEnd"/>
            <w:r w:rsidRPr="00735452">
              <w:rPr>
                <w:rFonts w:ascii="Times New Roman" w:eastAsia="Times New Roman" w:hAnsi="Times New Roman" w:cs="Times New Roman"/>
                <w:sz w:val="20"/>
                <w:szCs w:val="20"/>
                <w:lang w:val="sq-AL"/>
              </w:rPr>
              <w:t xml:space="preserve"> nga obligacionet e mbuluara në përputhje me kushtet e emetimit;</w:t>
            </w:r>
            <w:r w:rsidRPr="00735452">
              <w:rPr>
                <w:rFonts w:ascii="Times New Roman" w:eastAsia="Times New Roman" w:hAnsi="Times New Roman" w:cs="Times New Roman"/>
                <w:sz w:val="20"/>
                <w:szCs w:val="20"/>
                <w:lang w:val="sq-AL"/>
              </w:rPr>
              <w:br/>
              <w:t>c) kryen të gjitha veprimet juridike të nevojshme për arkëtimin;</w:t>
            </w:r>
            <w:r w:rsidRPr="00735452">
              <w:rPr>
                <w:rFonts w:ascii="Times New Roman" w:eastAsia="Times New Roman" w:hAnsi="Times New Roman" w:cs="Times New Roman"/>
                <w:sz w:val="20"/>
                <w:szCs w:val="20"/>
                <w:lang w:val="sq-AL"/>
              </w:rPr>
              <w:br/>
              <w:t xml:space="preserve">ç) realizon shitjen ose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tyre, nëse kjo është në interes të investitorëve.</w:t>
            </w:r>
            <w:r w:rsidRPr="00735452">
              <w:rPr>
                <w:rFonts w:ascii="Times New Roman" w:eastAsia="Times New Roman" w:hAnsi="Times New Roman" w:cs="Times New Roman"/>
                <w:sz w:val="20"/>
                <w:szCs w:val="20"/>
                <w:lang w:val="sq-AL"/>
              </w:rPr>
              <w:br/>
              <w:t>3. Administratori i posaçëm siguron që të gjitha pasuritë e grupit të mbulimit të jenë të ndara nga pasuritë e tjera të emetuesit dhe për këtë qëllim:</w:t>
            </w:r>
            <w:r w:rsidRPr="00735452">
              <w:rPr>
                <w:rFonts w:ascii="Times New Roman" w:eastAsia="Times New Roman" w:hAnsi="Times New Roman" w:cs="Times New Roman"/>
                <w:sz w:val="20"/>
                <w:szCs w:val="20"/>
                <w:lang w:val="sq-AL"/>
              </w:rPr>
              <w:br/>
              <w:t>a) është i autorizuar të hapë llogari të veçanta;</w:t>
            </w:r>
            <w:r w:rsidRPr="00735452">
              <w:rPr>
                <w:rFonts w:ascii="Times New Roman" w:eastAsia="Times New Roman" w:hAnsi="Times New Roman" w:cs="Times New Roman"/>
                <w:sz w:val="20"/>
                <w:szCs w:val="20"/>
                <w:lang w:val="sq-AL"/>
              </w:rPr>
              <w:br/>
              <w:t>b) ndërmerr të gjitha veprimet juridike të nevojshme për ndarjen e plotë nga masa e likuidimit.</w:t>
            </w:r>
            <w:r w:rsidRPr="00735452">
              <w:rPr>
                <w:rFonts w:ascii="Times New Roman" w:eastAsia="Times New Roman" w:hAnsi="Times New Roman" w:cs="Times New Roman"/>
                <w:sz w:val="20"/>
                <w:szCs w:val="20"/>
                <w:lang w:val="sq-AL"/>
              </w:rPr>
              <w:br/>
              <w:t>Administratori i posaçëm siguron administrimin dhe ruajtjen e aktiveve të grupit të mbulimit në mënyrë që të garantohet përmbushja e detyrimeve ndaj investitorëve.</w:t>
            </w:r>
            <w:r w:rsidRPr="00735452">
              <w:rPr>
                <w:rFonts w:ascii="Times New Roman" w:eastAsia="Times New Roman" w:hAnsi="Times New Roman" w:cs="Times New Roman"/>
                <w:sz w:val="20"/>
                <w:szCs w:val="20"/>
                <w:lang w:val="sq-AL"/>
              </w:rPr>
              <w:br/>
              <w:t>4. Administratori i posaçëm përfaqëson emetuesin në marrëdhënie juridike me palë të treta për mirëmbajtjen e grupit të mbulimit, , si dhe në të gjitha procedurat për mbrojtjen e të drejtave të investitorëve, përfshirë procedurat e falimentimit, ato civile dhe ato përmbarimore.</w:t>
            </w:r>
            <w:r w:rsidRPr="00735452">
              <w:rPr>
                <w:rFonts w:ascii="Times New Roman" w:eastAsia="Times New Roman" w:hAnsi="Times New Roman" w:cs="Times New Roman"/>
                <w:sz w:val="20"/>
                <w:szCs w:val="20"/>
                <w:lang w:val="sq-AL"/>
              </w:rPr>
              <w:br/>
              <w:t xml:space="preserve">Në përfaqësim ai përdor emërtimin “program i obligacioneve të mbuluara” dhe legjitimohet si “administrator i posaçëm i programit të obligacioneve të mbuluara”. Administratori mund të angazhojë përfaqësues ligjorë në emër të emetuesit </w:t>
            </w:r>
            <w:r w:rsidRPr="00735452">
              <w:rPr>
                <w:rFonts w:ascii="Times New Roman" w:eastAsia="Times New Roman" w:hAnsi="Times New Roman" w:cs="Times New Roman"/>
                <w:sz w:val="20"/>
                <w:szCs w:val="20"/>
                <w:lang w:val="sq-AL"/>
              </w:rPr>
              <w:lastRenderedPageBreak/>
              <w:t>dhe në llogari të investitorëve Të gjitha të drejtat dhe detyrimet që burojnë nga veprimet e tij bëhen pjesë e grupit të mbulimit.</w:t>
            </w:r>
            <w:r w:rsidRPr="00735452">
              <w:rPr>
                <w:rFonts w:ascii="Times New Roman" w:eastAsia="Times New Roman" w:hAnsi="Times New Roman" w:cs="Times New Roman"/>
                <w:sz w:val="20"/>
                <w:szCs w:val="20"/>
                <w:lang w:val="sq-AL"/>
              </w:rPr>
              <w:br/>
              <w:t xml:space="preserve">5. Nëse të ardhurat nga grupi i mbulimit nuk janë të mjaftueshme për shlyerjen e plotë të kërkesave në ditën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administratori i posaçëm paguan pjesën proporcionale të tyre. Kushtet </w:t>
            </w:r>
            <w:proofErr w:type="spellStart"/>
            <w:r w:rsidRPr="00735452">
              <w:rPr>
                <w:rFonts w:ascii="Times New Roman" w:eastAsia="Times New Roman" w:hAnsi="Times New Roman" w:cs="Times New Roman"/>
                <w:sz w:val="20"/>
                <w:szCs w:val="20"/>
                <w:lang w:val="sq-AL"/>
              </w:rPr>
              <w:t>kontraktuale</w:t>
            </w:r>
            <w:proofErr w:type="spellEnd"/>
            <w:r w:rsidRPr="00735452">
              <w:rPr>
                <w:rFonts w:ascii="Times New Roman" w:eastAsia="Times New Roman" w:hAnsi="Times New Roman" w:cs="Times New Roman"/>
                <w:sz w:val="20"/>
                <w:szCs w:val="20"/>
                <w:lang w:val="sq-AL"/>
              </w:rPr>
              <w:t xml:space="preserve"> rregullojnë pjesën e mbetur.</w:t>
            </w:r>
            <w:r w:rsidRPr="00735452">
              <w:rPr>
                <w:rFonts w:ascii="Times New Roman" w:eastAsia="Times New Roman" w:hAnsi="Times New Roman" w:cs="Times New Roman"/>
                <w:sz w:val="20"/>
                <w:szCs w:val="20"/>
                <w:lang w:val="sq-AL"/>
              </w:rPr>
              <w:br/>
              <w:t>6. Administratori i posaçëm dhe Autoriteti duhet të shkëmbejnë rregullisht informacione të rëndësishme.</w:t>
            </w:r>
            <w:r w:rsidRPr="00735452">
              <w:rPr>
                <w:rFonts w:ascii="Times New Roman" w:eastAsia="Times New Roman" w:hAnsi="Times New Roman" w:cs="Times New Roman"/>
                <w:sz w:val="20"/>
                <w:szCs w:val="20"/>
                <w:lang w:val="sq-AL"/>
              </w:rPr>
              <w:br/>
              <w:t>Administratori i posaçëm bashkëpunon gjithashtu me Bankën e Shqipërisë dhe autoritetet e tjera përkatëse për qëllime mbikëqyrëse dhe për administrimin e programit të obligacioneve të mbuluara.</w:t>
            </w:r>
            <w:r w:rsidRPr="00735452">
              <w:rPr>
                <w:rFonts w:ascii="Times New Roman" w:eastAsia="Times New Roman" w:hAnsi="Times New Roman" w:cs="Times New Roman"/>
                <w:sz w:val="20"/>
                <w:szCs w:val="20"/>
                <w:lang w:val="sq-AL"/>
              </w:rPr>
              <w:br/>
              <w:t>7. Administratori i posaçëm nuk mund të  ndërhyjë në masën e likuidimit dhe  nuk mund të kërkojë përfshirjen e pasurive të reja nga kjo masë në grupin e mbulimit.</w:t>
            </w:r>
            <w:r w:rsidRPr="00735452">
              <w:rPr>
                <w:rFonts w:ascii="Times New Roman" w:eastAsia="Times New Roman" w:hAnsi="Times New Roman" w:cs="Times New Roman"/>
                <w:sz w:val="20"/>
                <w:szCs w:val="20"/>
                <w:lang w:val="sq-AL"/>
              </w:rPr>
              <w:br/>
              <w:t>8.Likuidatori i emetuesit gjatë procedurës së likuidimit të detyruar:</w:t>
            </w:r>
            <w:r w:rsidRPr="00735452">
              <w:rPr>
                <w:rFonts w:ascii="Times New Roman" w:eastAsia="Times New Roman" w:hAnsi="Times New Roman" w:cs="Times New Roman"/>
                <w:sz w:val="20"/>
                <w:szCs w:val="20"/>
                <w:lang w:val="sq-AL"/>
              </w:rPr>
              <w:br/>
              <w:t>a) nuk ka kompetenca mbi grupin e mbulimit apo obligacionet;</w:t>
            </w:r>
            <w:r w:rsidRPr="00735452">
              <w:rPr>
                <w:rFonts w:ascii="Times New Roman" w:eastAsia="Times New Roman" w:hAnsi="Times New Roman" w:cs="Times New Roman"/>
                <w:sz w:val="20"/>
                <w:szCs w:val="20"/>
                <w:lang w:val="sq-AL"/>
              </w:rPr>
              <w:br/>
              <w:t>b) nuk mund të disponojë mbi to.</w:t>
            </w:r>
            <w:r w:rsidRPr="00735452">
              <w:rPr>
                <w:rFonts w:ascii="Times New Roman" w:eastAsia="Times New Roman" w:hAnsi="Times New Roman" w:cs="Times New Roman"/>
                <w:sz w:val="20"/>
                <w:szCs w:val="20"/>
                <w:lang w:val="sq-AL"/>
              </w:rPr>
              <w:br/>
              <w:t>Ai dhe administratori i posaçëm shkëmbejnë informacionet e nevojshme. Likuidatori mund të shqyrtojë raportet e administratorit të posaçëm.</w:t>
            </w:r>
            <w:r w:rsidRPr="00735452">
              <w:rPr>
                <w:rFonts w:ascii="Times New Roman" w:eastAsia="Times New Roman" w:hAnsi="Times New Roman" w:cs="Times New Roman"/>
                <w:sz w:val="20"/>
                <w:szCs w:val="20"/>
                <w:lang w:val="sq-AL"/>
              </w:rPr>
              <w:br/>
              <w:t>9. Shpenzimet e administratorit të posaçëm paguhen nga të ardhurat e grupit të mbulimit. Ai mund të përdorë burimet e emetuesit nëse është e nevojshme.</w:t>
            </w:r>
            <w:r w:rsidRPr="00735452">
              <w:rPr>
                <w:rFonts w:ascii="Times New Roman" w:eastAsia="Times New Roman" w:hAnsi="Times New Roman" w:cs="Times New Roman"/>
                <w:sz w:val="20"/>
                <w:szCs w:val="20"/>
                <w:lang w:val="sq-AL"/>
              </w:rPr>
              <w:br/>
              <w:t>Shpenzimet dhe detyrimet që lidhen me administrimin e programit të obligacioneve të mbuluara përmbushen me përparësi nga të ardhurat e grupit të mbulimit.</w:t>
            </w:r>
            <w:r w:rsidRPr="00735452">
              <w:rPr>
                <w:rFonts w:ascii="Times New Roman" w:eastAsia="Times New Roman" w:hAnsi="Times New Roman" w:cs="Times New Roman"/>
                <w:sz w:val="20"/>
                <w:szCs w:val="20"/>
                <w:lang w:val="sq-AL"/>
              </w:rPr>
              <w:br/>
              <w:t xml:space="preserve">10. Për shpërblimin dhe </w:t>
            </w:r>
            <w:proofErr w:type="spellStart"/>
            <w:r w:rsidRPr="00735452">
              <w:rPr>
                <w:rFonts w:ascii="Times New Roman" w:eastAsia="Times New Roman" w:hAnsi="Times New Roman" w:cs="Times New Roman"/>
                <w:sz w:val="20"/>
                <w:szCs w:val="20"/>
                <w:lang w:val="sq-AL"/>
              </w:rPr>
              <w:t>rimbursimin</w:t>
            </w:r>
            <w:proofErr w:type="spellEnd"/>
            <w:r w:rsidRPr="00735452">
              <w:rPr>
                <w:rFonts w:ascii="Times New Roman" w:eastAsia="Times New Roman" w:hAnsi="Times New Roman" w:cs="Times New Roman"/>
                <w:sz w:val="20"/>
                <w:szCs w:val="20"/>
                <w:lang w:val="sq-AL"/>
              </w:rPr>
              <w:t xml:space="preserve"> e shpenzimeve të administratorit të posaçëm zbatohen në mënyrë përkatëse dispozitat e ligjit për falimentimin.</w:t>
            </w:r>
            <w:r w:rsidRPr="00735452">
              <w:rPr>
                <w:rFonts w:ascii="Times New Roman" w:eastAsia="Times New Roman" w:hAnsi="Times New Roman" w:cs="Times New Roman"/>
                <w:sz w:val="20"/>
                <w:szCs w:val="20"/>
                <w:lang w:val="sq-AL"/>
              </w:rPr>
              <w:br/>
              <w:t xml:space="preserve">11. Autoriteti me rregullore përcakton në mënyrë të detajuar </w:t>
            </w:r>
            <w:r w:rsidRPr="00735452">
              <w:rPr>
                <w:rFonts w:ascii="Times New Roman" w:eastAsia="Times New Roman" w:hAnsi="Times New Roman" w:cs="Times New Roman"/>
                <w:sz w:val="20"/>
                <w:szCs w:val="20"/>
                <w:lang w:val="sq-AL"/>
              </w:rPr>
              <w:lastRenderedPageBreak/>
              <w:t>të drejtat dhe detyrat e administratorit të posaçëm, përfshirë raportimet periodike.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36</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Administratori i posaçëm duhet të ndërmarrë të gjitha veprimet e nevojshme për transferimin e detyrimeve që rrjedhin nga obligacionet e mbuluara dhe të grupit të mbulimit tek një institucion kreditit tjetër me seli në Republikën e Shqipërisë, në vijim “përfituesi”.</w:t>
            </w:r>
            <w:r w:rsidRPr="00735452">
              <w:rPr>
                <w:rFonts w:ascii="Times New Roman" w:eastAsia="Times New Roman" w:hAnsi="Times New Roman" w:cs="Times New Roman"/>
                <w:sz w:val="20"/>
                <w:szCs w:val="20"/>
                <w:lang w:val="sq-AL"/>
              </w:rPr>
              <w:br/>
              <w:t xml:space="preserve">Për këtë qëllim, administratori i posaçëm, brenda 60 ditëve nga hapja e procedurës së likuidimit të detyruar të emetuesit, harton një bazë të dhënash elektronike me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të kufizuar, e cila përmban të gjitha informacionet mbi grupin e mbulimit dhe detyrimet nga obligacionet e mbuluara, me qëllim mundësimin e vlerësimit juridik dhe ekonomik nga përfituesit potencialë, në përputhje me legjislacionin për mbrojtjen e të dhënave personale.</w:t>
            </w:r>
            <w:r w:rsidRPr="00735452">
              <w:rPr>
                <w:rFonts w:ascii="Times New Roman" w:eastAsia="Times New Roman" w:hAnsi="Times New Roman" w:cs="Times New Roman"/>
                <w:sz w:val="20"/>
                <w:szCs w:val="20"/>
                <w:lang w:val="sq-AL"/>
              </w:rPr>
              <w:br/>
              <w:t>2. Transferimi realizohet nëpërmjet një kontrate shitblerjeje ndërmjet emetuesit, të përfaqësuar nga administratori i posaçëm, dhe përfituesit. Kontrata duhet të përmbajë:</w:t>
            </w:r>
            <w:r w:rsidRPr="00735452">
              <w:rPr>
                <w:rFonts w:ascii="Times New Roman" w:eastAsia="Times New Roman" w:hAnsi="Times New Roman" w:cs="Times New Roman"/>
                <w:sz w:val="20"/>
                <w:szCs w:val="20"/>
                <w:lang w:val="sq-AL"/>
              </w:rPr>
              <w:br/>
              <w:t>a) identifikimin e qartë të palëve;</w:t>
            </w:r>
            <w:r w:rsidRPr="00735452">
              <w:rPr>
                <w:rFonts w:ascii="Times New Roman" w:eastAsia="Times New Roman" w:hAnsi="Times New Roman" w:cs="Times New Roman"/>
                <w:sz w:val="20"/>
                <w:szCs w:val="20"/>
                <w:lang w:val="sq-AL"/>
              </w:rPr>
              <w:br/>
              <w:t>b) përshkrimin e grupit të mbulimit dhe obligacioneve të mbuluara;</w:t>
            </w:r>
            <w:r w:rsidRPr="00735452">
              <w:rPr>
                <w:rFonts w:ascii="Times New Roman" w:eastAsia="Times New Roman" w:hAnsi="Times New Roman" w:cs="Times New Roman"/>
                <w:sz w:val="20"/>
                <w:szCs w:val="20"/>
                <w:lang w:val="sq-AL"/>
              </w:rPr>
              <w:br/>
              <w:t xml:space="preserve">c) dispozitë të shprehur për marrjen përsipër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gjitha detyrimeve nga përfituesi;</w:t>
            </w:r>
            <w:r w:rsidRPr="00735452">
              <w:rPr>
                <w:rFonts w:ascii="Times New Roman" w:eastAsia="Times New Roman" w:hAnsi="Times New Roman" w:cs="Times New Roman"/>
                <w:sz w:val="20"/>
                <w:szCs w:val="20"/>
                <w:lang w:val="sq-AL"/>
              </w:rPr>
              <w:br/>
              <w:t>ç) përcaktimin e çmimit të shitjes, i cili paguhet në masën e likuidimit të emetuesit.</w:t>
            </w:r>
            <w:r w:rsidRPr="00735452">
              <w:rPr>
                <w:rFonts w:ascii="Times New Roman" w:eastAsia="Times New Roman" w:hAnsi="Times New Roman" w:cs="Times New Roman"/>
                <w:sz w:val="20"/>
                <w:szCs w:val="20"/>
                <w:lang w:val="sq-AL"/>
              </w:rPr>
              <w:br/>
              <w:t xml:space="preserve">Në çmimin  e shitjes merren në konsideratë edhe detyrimet nga kontratat e </w:t>
            </w:r>
            <w:proofErr w:type="spellStart"/>
            <w:r w:rsidRPr="00735452">
              <w:rPr>
                <w:rFonts w:ascii="Times New Roman" w:eastAsia="Times New Roman" w:hAnsi="Times New Roman" w:cs="Times New Roman"/>
                <w:sz w:val="20"/>
                <w:szCs w:val="20"/>
                <w:lang w:val="sq-AL"/>
              </w:rPr>
              <w:t>derivativëve</w:t>
            </w:r>
            <w:proofErr w:type="spellEnd"/>
            <w:r w:rsidRPr="00735452">
              <w:rPr>
                <w:rFonts w:ascii="Times New Roman" w:eastAsia="Times New Roman" w:hAnsi="Times New Roman" w:cs="Times New Roman"/>
                <w:sz w:val="20"/>
                <w:szCs w:val="20"/>
                <w:lang w:val="sq-AL"/>
              </w:rPr>
              <w:t xml:space="preserve"> dhe, nëse vlera e grupit të mbulimit është e barabartë ose më e vogël se detyrimet totale, çmimi mund të konsistojë vetëm në marrjen përsipër të këtyre detyrimeve.</w:t>
            </w:r>
            <w:r w:rsidRPr="00735452">
              <w:rPr>
                <w:rFonts w:ascii="Times New Roman" w:eastAsia="Times New Roman" w:hAnsi="Times New Roman" w:cs="Times New Roman"/>
                <w:sz w:val="20"/>
                <w:szCs w:val="20"/>
                <w:lang w:val="sq-AL"/>
              </w:rPr>
              <w:br/>
              <w:t xml:space="preserve">3. Kontrata e transferimit i njoftohet Autoritetit dhe Bankës së Shqipërisë dhe hyn në fuqi vetëm pas dhënies së pëlqimit </w:t>
            </w:r>
            <w:r w:rsidRPr="00735452">
              <w:rPr>
                <w:rFonts w:ascii="Times New Roman" w:eastAsia="Times New Roman" w:hAnsi="Times New Roman" w:cs="Times New Roman"/>
                <w:sz w:val="20"/>
                <w:szCs w:val="20"/>
                <w:lang w:val="sq-AL"/>
              </w:rPr>
              <w:lastRenderedPageBreak/>
              <w:t>paraprak nga Banka e Shqipërisë, dhe më pas dhënies së pëlqimit nga Autoriteti. Pëlqimi paraprak nga Banka e Shqipërisë dhe Autoritetit jepet pa vonesa të pajustifikuara.</w:t>
            </w:r>
            <w:r w:rsidRPr="00735452">
              <w:rPr>
                <w:rFonts w:ascii="Times New Roman" w:eastAsia="Times New Roman" w:hAnsi="Times New Roman" w:cs="Times New Roman"/>
                <w:sz w:val="20"/>
                <w:szCs w:val="20"/>
                <w:lang w:val="sq-AL"/>
              </w:rPr>
              <w:br/>
              <w:t>4. Për miratimin e kontratës zbatohen në mënyrë përkatëse dispozitat për miratimin e programit të obligacioneve të mbuluara, pa rishqyrtuar kushtet që nuk ndryshojnë për shkak të transferimit.</w:t>
            </w:r>
            <w:r w:rsidRPr="00735452">
              <w:rPr>
                <w:rFonts w:ascii="Times New Roman" w:eastAsia="Times New Roman" w:hAnsi="Times New Roman" w:cs="Times New Roman"/>
                <w:sz w:val="20"/>
                <w:szCs w:val="20"/>
                <w:lang w:val="sq-AL"/>
              </w:rPr>
              <w:br/>
              <w:t>5. Pas transferimit:</w:t>
            </w:r>
            <w:r w:rsidRPr="00735452">
              <w:rPr>
                <w:rFonts w:ascii="Times New Roman" w:eastAsia="Times New Roman" w:hAnsi="Times New Roman" w:cs="Times New Roman"/>
                <w:sz w:val="20"/>
                <w:szCs w:val="20"/>
                <w:lang w:val="sq-AL"/>
              </w:rPr>
              <w:br/>
              <w:t xml:space="preserve">a) investitorët dhe palët në kontratat e </w:t>
            </w:r>
            <w:proofErr w:type="spellStart"/>
            <w:r w:rsidRPr="00735452">
              <w:rPr>
                <w:rFonts w:ascii="Times New Roman" w:eastAsia="Times New Roman" w:hAnsi="Times New Roman" w:cs="Times New Roman"/>
                <w:sz w:val="20"/>
                <w:szCs w:val="20"/>
                <w:lang w:val="sq-AL"/>
              </w:rPr>
              <w:t>derivativëve</w:t>
            </w:r>
            <w:proofErr w:type="spellEnd"/>
            <w:r w:rsidRPr="00735452">
              <w:rPr>
                <w:rFonts w:ascii="Times New Roman" w:eastAsia="Times New Roman" w:hAnsi="Times New Roman" w:cs="Times New Roman"/>
                <w:sz w:val="20"/>
                <w:szCs w:val="20"/>
                <w:lang w:val="sq-AL"/>
              </w:rPr>
              <w:t xml:space="preserve"> nuk kanë pretendime ndaj masës së likuidimit të emetuesit;</w:t>
            </w:r>
            <w:r w:rsidRPr="00735452">
              <w:rPr>
                <w:rFonts w:ascii="Times New Roman" w:eastAsia="Times New Roman" w:hAnsi="Times New Roman" w:cs="Times New Roman"/>
                <w:sz w:val="20"/>
                <w:szCs w:val="20"/>
                <w:lang w:val="sq-AL"/>
              </w:rPr>
              <w:br/>
              <w:t>b) çdo vlerë e mbetur nga grupi i mbulimit i kalon përfituesit.</w:t>
            </w:r>
            <w:r w:rsidRPr="00735452">
              <w:rPr>
                <w:rFonts w:ascii="Times New Roman" w:eastAsia="Times New Roman" w:hAnsi="Times New Roman" w:cs="Times New Roman"/>
                <w:sz w:val="20"/>
                <w:szCs w:val="20"/>
                <w:lang w:val="sq-AL"/>
              </w:rPr>
              <w:br/>
              <w:t>6. Emetuesi mbetet përgjegjëse ndaj përfituesit për ekzistencën e pretendimeve të kërkesave në momentin e transferimit.</w:t>
            </w:r>
            <w:r w:rsidRPr="00735452">
              <w:rPr>
                <w:rFonts w:ascii="Times New Roman" w:eastAsia="Times New Roman" w:hAnsi="Times New Roman" w:cs="Times New Roman"/>
                <w:sz w:val="20"/>
                <w:szCs w:val="20"/>
                <w:lang w:val="sq-AL"/>
              </w:rPr>
              <w:br/>
              <w:t>7. Me transferimin:</w:t>
            </w:r>
            <w:r w:rsidRPr="00735452">
              <w:rPr>
                <w:rFonts w:ascii="Times New Roman" w:eastAsia="Times New Roman" w:hAnsi="Times New Roman" w:cs="Times New Roman"/>
                <w:sz w:val="20"/>
                <w:szCs w:val="20"/>
                <w:lang w:val="sq-AL"/>
              </w:rPr>
              <w:br/>
              <w:t xml:space="preserve">a) përfituesi merr të gjitha të drejtat dhe detyrimet e emetuesit ndaj investitorëve dhe palëve të tjera </w:t>
            </w:r>
            <w:proofErr w:type="spellStart"/>
            <w:r w:rsidRPr="00735452">
              <w:rPr>
                <w:rFonts w:ascii="Times New Roman" w:eastAsia="Times New Roman" w:hAnsi="Times New Roman" w:cs="Times New Roman"/>
                <w:sz w:val="20"/>
                <w:szCs w:val="20"/>
                <w:lang w:val="sq-AL"/>
              </w:rPr>
              <w:t>kontraktuale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b) përfituesi është i detyruar të respektojë kushtet e obligacioneve të mbuluara.</w:t>
            </w:r>
            <w:r w:rsidRPr="00735452">
              <w:rPr>
                <w:rFonts w:ascii="Times New Roman" w:eastAsia="Times New Roman" w:hAnsi="Times New Roman" w:cs="Times New Roman"/>
                <w:sz w:val="20"/>
                <w:szCs w:val="20"/>
                <w:lang w:val="sq-AL"/>
              </w:rPr>
              <w:br/>
              <w:t>8. Nëse transferimi nuk realizohet brenda afateve procedurale të përcaktuara nga legjislacioni në fuqi, administratori i posaçëm, me miratimin e Autoritetit dhe pëlqimin paraprak të Bankës së Shqipërisë:</w:t>
            </w:r>
            <w:r w:rsidRPr="00735452">
              <w:rPr>
                <w:rFonts w:ascii="Times New Roman" w:eastAsia="Times New Roman" w:hAnsi="Times New Roman" w:cs="Times New Roman"/>
                <w:sz w:val="20"/>
                <w:szCs w:val="20"/>
                <w:lang w:val="sq-AL"/>
              </w:rPr>
              <w:br/>
              <w:t>a) organizon procedurën për transferimin ose shitjen e grupit të mbulimit;</w:t>
            </w:r>
            <w:r w:rsidRPr="00735452">
              <w:rPr>
                <w:rFonts w:ascii="Times New Roman" w:eastAsia="Times New Roman" w:hAnsi="Times New Roman" w:cs="Times New Roman"/>
                <w:sz w:val="20"/>
                <w:szCs w:val="20"/>
                <w:lang w:val="sq-AL"/>
              </w:rPr>
              <w:br/>
              <w:t>b) fton institucionet kreditore në Republikën e Shqipërisë të paraqesin interes brenda 15 ditëve.</w:t>
            </w:r>
            <w:r w:rsidRPr="00735452">
              <w:rPr>
                <w:rFonts w:ascii="Times New Roman" w:eastAsia="Times New Roman" w:hAnsi="Times New Roman" w:cs="Times New Roman"/>
                <w:sz w:val="20"/>
                <w:szCs w:val="20"/>
                <w:lang w:val="sq-AL"/>
              </w:rPr>
              <w:br/>
              <w:t>9. Institucionet që shprehin interes:</w:t>
            </w:r>
            <w:r w:rsidRPr="00735452">
              <w:rPr>
                <w:rFonts w:ascii="Times New Roman" w:eastAsia="Times New Roman" w:hAnsi="Times New Roman" w:cs="Times New Roman"/>
                <w:sz w:val="20"/>
                <w:szCs w:val="20"/>
                <w:lang w:val="sq-AL"/>
              </w:rPr>
              <w:br/>
              <w:t xml:space="preserve">a) marrin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në të dhënat përkatëse;</w:t>
            </w:r>
            <w:r w:rsidRPr="00735452">
              <w:rPr>
                <w:rFonts w:ascii="Times New Roman" w:eastAsia="Times New Roman" w:hAnsi="Times New Roman" w:cs="Times New Roman"/>
                <w:sz w:val="20"/>
                <w:szCs w:val="20"/>
                <w:lang w:val="sq-AL"/>
              </w:rPr>
              <w:br/>
              <w:t>b) paraqesin ofertat e tyre brenda 3 muajve.</w:t>
            </w:r>
            <w:r w:rsidRPr="00735452">
              <w:rPr>
                <w:rFonts w:ascii="Times New Roman" w:eastAsia="Times New Roman" w:hAnsi="Times New Roman" w:cs="Times New Roman"/>
                <w:sz w:val="20"/>
                <w:szCs w:val="20"/>
                <w:lang w:val="sq-AL"/>
              </w:rPr>
              <w:br/>
              <w:t xml:space="preserve">10. Gjykata urdhëron lidhjen e kontratës me institucionin që ka paraqitur ofertën më të lartë. Në rastet e paraqitjes së </w:t>
            </w:r>
            <w:r w:rsidRPr="00735452">
              <w:rPr>
                <w:rFonts w:ascii="Times New Roman" w:eastAsia="Times New Roman" w:hAnsi="Times New Roman" w:cs="Times New Roman"/>
                <w:sz w:val="20"/>
                <w:szCs w:val="20"/>
                <w:lang w:val="sq-AL"/>
              </w:rPr>
              <w:lastRenderedPageBreak/>
              <w:t>ofertave të barabarta, përparësi ka oferta e paraqitur më herët në kohë.</w:t>
            </w:r>
          </w:p>
        </w:tc>
        <w:tc>
          <w:tcPr>
            <w:tcW w:w="1440" w:type="dxa"/>
          </w:tcPr>
          <w:p w14:paraId="53FF59F8" w14:textId="0CBC6FCB" w:rsidR="003E7E51" w:rsidRPr="00735452" w:rsidRDefault="00444B5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062B6AEB" w14:textId="77777777" w:rsidR="003E7E51" w:rsidRPr="00735452" w:rsidRDefault="003E7E51">
            <w:pPr>
              <w:spacing w:after="0" w:line="240" w:lineRule="auto"/>
              <w:rPr>
                <w:rFonts w:ascii="Times New Roman" w:hAnsi="Times New Roman" w:cs="Times New Roman"/>
                <w:sz w:val="20"/>
                <w:szCs w:val="20"/>
                <w:lang w:val="sq-AL"/>
              </w:rPr>
            </w:pPr>
          </w:p>
        </w:tc>
      </w:tr>
      <w:tr w:rsidR="00606432" w:rsidRPr="00735452" w14:paraId="617E6E7F" w14:textId="77777777" w:rsidTr="004D61BC">
        <w:trPr>
          <w:gridAfter w:val="1"/>
          <w:wAfter w:w="14" w:type="dxa"/>
        </w:trPr>
        <w:tc>
          <w:tcPr>
            <w:tcW w:w="800" w:type="dxa"/>
            <w:tcBorders>
              <w:left w:val="single" w:sz="12" w:space="0" w:color="auto"/>
            </w:tcBorders>
          </w:tcPr>
          <w:p w14:paraId="15DA194A"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3</w:t>
            </w:r>
          </w:p>
        </w:tc>
        <w:tc>
          <w:tcPr>
            <w:tcW w:w="5220" w:type="dxa"/>
            <w:tcBorders>
              <w:right w:val="single" w:sz="12" w:space="0" w:color="auto"/>
            </w:tcBorders>
          </w:tcPr>
          <w:p w14:paraId="6B08E0EE"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shtetet anëtare parashikojnë caktimin e një administratori të posaçëm në përputhje me paragrafin 2, ato miratojnë rregulla që përcaktojnë detyrat dhe përgjegjësitë e atij administratori të posaçëm, të paktën në lidhje me:</w:t>
            </w:r>
          </w:p>
          <w:p w14:paraId="4EA9FB61"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shlyerjen e detyrimeve të lidhura me obligacionet e mbuluara;</w:t>
            </w:r>
          </w:p>
          <w:p w14:paraId="6A1D87E3"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administrimin dhe realizimin e aktiveve mbuluese, përfshirë transferimin e tyre, së bashku me detyrimet e obligacioneve të mbuluara, te një institucion tjetër krediti që emeton obligacione të mbuluara;</w:t>
            </w:r>
          </w:p>
          <w:p w14:paraId="09F2EC88"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veprimet juridike të nevojshme për administrimin e rregullt të portofolit të mbulimit, për monitorimin e vazhdueshëm të mbulimit të detyrimeve të lidhura me obligacionet e mbuluara, për nisjen e procedurave me qëllim rikthimin e aktiveve në portofolin e mbulimit dhe për transferimin e aktiveve të mbetura në masën e falimentimit të institucionit të kreditit që ka emetuar obligacionet e mbuluara pasi të jenë shlyer të gjitha detyrimet e lidhura me obligacionet e mbuluara.</w:t>
            </w:r>
          </w:p>
          <w:p w14:paraId="4768C172"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shkronjës (c) të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parë, shtetet anëtare mund të lejojnë që administratori i posaçëm, në rast falimentimi të institucionit të kreditit që emeton obligacionet e mbuluara, të veprojë në bazë të autorizimit të mbajtur nga ai institucion krediti, subjekt i të njëjtave kërkesa </w:t>
            </w:r>
            <w:proofErr w:type="spellStart"/>
            <w:r w:rsidRPr="00735452">
              <w:rPr>
                <w:rFonts w:ascii="Times New Roman" w:eastAsia="Times New Roman" w:hAnsi="Times New Roman" w:cs="Times New Roman"/>
                <w:sz w:val="20"/>
                <w:szCs w:val="20"/>
                <w:lang w:val="sq-AL"/>
              </w:rPr>
              <w:t>operacionale</w:t>
            </w:r>
            <w:proofErr w:type="spellEnd"/>
            <w:r w:rsidRPr="00735452">
              <w:rPr>
                <w:rFonts w:ascii="Times New Roman" w:eastAsia="Times New Roman" w:hAnsi="Times New Roman" w:cs="Times New Roman"/>
                <w:sz w:val="20"/>
                <w:szCs w:val="20"/>
                <w:lang w:val="sq-AL"/>
              </w:rPr>
              <w:t>.</w:t>
            </w:r>
          </w:p>
        </w:tc>
        <w:tc>
          <w:tcPr>
            <w:tcW w:w="624" w:type="dxa"/>
            <w:tcBorders>
              <w:left w:val="single" w:sz="12" w:space="0" w:color="auto"/>
            </w:tcBorders>
          </w:tcPr>
          <w:p w14:paraId="18D21A6B" w14:textId="3AFD3543" w:rsidR="00606432" w:rsidRPr="00735452" w:rsidRDefault="006356F0" w:rsidP="0060643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F4C32D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 pikat 4-5; Nenet 35-36</w:t>
            </w:r>
          </w:p>
        </w:tc>
        <w:tc>
          <w:tcPr>
            <w:tcW w:w="5130" w:type="dxa"/>
          </w:tcPr>
          <w:p w14:paraId="3947563F"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4.  Detyrat dhe përgjegjësitë e administratorit të posaçëm përfshijnë të paktën:</w:t>
            </w:r>
            <w:r w:rsidRPr="00735452">
              <w:rPr>
                <w:rFonts w:ascii="Times New Roman" w:eastAsia="Times New Roman" w:hAnsi="Times New Roman" w:cs="Times New Roman"/>
                <w:sz w:val="20"/>
                <w:szCs w:val="20"/>
                <w:lang w:val="sq-AL"/>
              </w:rPr>
              <w:br/>
              <w:t>a) përmbushjen e detyrimeve që rrjedhin nga obligacionet e mbuluara;</w:t>
            </w:r>
            <w:r w:rsidRPr="00735452">
              <w:rPr>
                <w:rFonts w:ascii="Times New Roman" w:eastAsia="Times New Roman" w:hAnsi="Times New Roman" w:cs="Times New Roman"/>
                <w:sz w:val="20"/>
                <w:szCs w:val="20"/>
                <w:lang w:val="sq-AL"/>
              </w:rPr>
              <w:br/>
              <w:t>b) administrimin dhe realizimin e aktiveve të mbulimit, përfshirë transferimin e tyre së bashku me detyrimet e obligacioneve të mbuluara tek një institucion tjetër krediti që emeton obligacione të mbuluara;</w:t>
            </w:r>
            <w:r w:rsidRPr="00735452">
              <w:rPr>
                <w:rFonts w:ascii="Times New Roman" w:eastAsia="Times New Roman" w:hAnsi="Times New Roman" w:cs="Times New Roman"/>
                <w:sz w:val="20"/>
                <w:szCs w:val="20"/>
                <w:lang w:val="sq-AL"/>
              </w:rPr>
              <w:br/>
              <w:t>c) sigurimin që shumat e përfituara nga mbledhja e kërkesave të përfshira në pengun ligjor dhe nga likuidimi i aktiveve të tjera të përfshira në të, përdoren për shlyerjen e obligacioneve dhe kërkesave të tjera të siguruara me këtë peng, në përputhje me kushtet e programit të obligacioneve të mbuluara;</w:t>
            </w:r>
            <w:r w:rsidRPr="00735452">
              <w:rPr>
                <w:rFonts w:ascii="Times New Roman" w:eastAsia="Times New Roman" w:hAnsi="Times New Roman" w:cs="Times New Roman"/>
                <w:sz w:val="20"/>
                <w:szCs w:val="20"/>
                <w:lang w:val="sq-AL"/>
              </w:rPr>
              <w:br/>
              <w:t>ç) kryerjen e veprimeve juridike të nevojshme për administrimin e rregullt të grupit të mbulimit, për monitorimin e vazhdueshëm të mbulimit të detyrimeve të obligacioneve të mbuluara, për ndërmarrjen e procedurave për rikthimin e aktiveve në grupin e mbulimit dhe për transferimin e aktiveve të mbetura në masën e falimentimit të institucionit të kreditit që ka emetuar obligacionet e mbuluara, pasi të jenë shlyer të gjitha detyrimet e tyre.</w:t>
            </w:r>
            <w:r w:rsidRPr="00735452">
              <w:rPr>
                <w:rFonts w:ascii="Times New Roman" w:eastAsia="Times New Roman" w:hAnsi="Times New Roman" w:cs="Times New Roman"/>
                <w:sz w:val="20"/>
                <w:szCs w:val="20"/>
                <w:lang w:val="sq-AL"/>
              </w:rPr>
              <w:br/>
              <w:t>5. Administratori i posaçëm duhet të ketë kualifikimet, aftësitë dhe njohuritë e nevojshme për ushtrimin e detyrave të tij.</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35</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Administratori i posaçëm siguron mbrojtjen e të drejtave dhe interesave të investitorëve në obligacione të mbuluara dhe ka të gjitha të drejtat, detyrat dhe kompetencat që kishte administrata e emetuesit:</w:t>
            </w:r>
            <w:r w:rsidRPr="00735452">
              <w:rPr>
                <w:rFonts w:ascii="Times New Roman" w:eastAsia="Times New Roman" w:hAnsi="Times New Roman" w:cs="Times New Roman"/>
                <w:sz w:val="20"/>
                <w:szCs w:val="20"/>
                <w:lang w:val="sq-AL"/>
              </w:rPr>
              <w:br/>
              <w:t>a) në lidhje me grupin e mbulimit;</w:t>
            </w:r>
            <w:r w:rsidRPr="00735452">
              <w:rPr>
                <w:rFonts w:ascii="Times New Roman" w:eastAsia="Times New Roman" w:hAnsi="Times New Roman" w:cs="Times New Roman"/>
                <w:sz w:val="20"/>
                <w:szCs w:val="20"/>
                <w:lang w:val="sq-AL"/>
              </w:rPr>
              <w:br/>
              <w:t>b) në lidhje me obligacionet e mbuluara;</w:t>
            </w:r>
            <w:r w:rsidRPr="00735452">
              <w:rPr>
                <w:rFonts w:ascii="Times New Roman" w:eastAsia="Times New Roman" w:hAnsi="Times New Roman" w:cs="Times New Roman"/>
                <w:sz w:val="20"/>
                <w:szCs w:val="20"/>
                <w:lang w:val="sq-AL"/>
              </w:rPr>
              <w:br/>
              <w:t xml:space="preserve">Administratori i Posaçëm është i autorizuar të zgjasë afatin e </w:t>
            </w:r>
            <w:proofErr w:type="spellStart"/>
            <w:r w:rsidRPr="00735452">
              <w:rPr>
                <w:rFonts w:ascii="Times New Roman" w:eastAsia="Times New Roman" w:hAnsi="Times New Roman" w:cs="Times New Roman"/>
                <w:sz w:val="20"/>
                <w:szCs w:val="20"/>
                <w:lang w:val="sq-AL"/>
              </w:rPr>
              <w:lastRenderedPageBreak/>
              <w:t>maturimit</w:t>
            </w:r>
            <w:proofErr w:type="spellEnd"/>
            <w:r w:rsidRPr="00735452">
              <w:rPr>
                <w:rFonts w:ascii="Times New Roman" w:eastAsia="Times New Roman" w:hAnsi="Times New Roman" w:cs="Times New Roman"/>
                <w:sz w:val="20"/>
                <w:szCs w:val="20"/>
                <w:lang w:val="sq-AL"/>
              </w:rPr>
              <w:t xml:space="preserve"> të obligacioneve të mbuluara në përputhje me kushtet e ofertës dhe me këtë ligj. Administratori i posaçëm ushtron kompetencat e tij në mënyrë të pavarur dhe në interes të investitorëve në obligacionet e mbuluara.</w:t>
            </w:r>
            <w:r w:rsidRPr="00735452">
              <w:rPr>
                <w:rFonts w:ascii="Times New Roman" w:eastAsia="Times New Roman" w:hAnsi="Times New Roman" w:cs="Times New Roman"/>
                <w:sz w:val="20"/>
                <w:szCs w:val="20"/>
                <w:lang w:val="sq-AL"/>
              </w:rPr>
              <w:br/>
              <w:t>2. Administratori i posaçëm:</w:t>
            </w:r>
            <w:r w:rsidRPr="00735452">
              <w:rPr>
                <w:rFonts w:ascii="Times New Roman" w:eastAsia="Times New Roman" w:hAnsi="Times New Roman" w:cs="Times New Roman"/>
                <w:sz w:val="20"/>
                <w:szCs w:val="20"/>
                <w:lang w:val="sq-AL"/>
              </w:rPr>
              <w:br/>
              <w:t xml:space="preserve">a) arkëton kërkesat e </w:t>
            </w:r>
            <w:proofErr w:type="spellStart"/>
            <w:r w:rsidRPr="00735452">
              <w:rPr>
                <w:rFonts w:ascii="Times New Roman" w:eastAsia="Times New Roman" w:hAnsi="Times New Roman" w:cs="Times New Roman"/>
                <w:sz w:val="20"/>
                <w:szCs w:val="20"/>
                <w:lang w:val="sq-AL"/>
              </w:rPr>
              <w:t>maturuara</w:t>
            </w:r>
            <w:proofErr w:type="spellEnd"/>
            <w:r w:rsidRPr="00735452">
              <w:rPr>
                <w:rFonts w:ascii="Times New Roman" w:eastAsia="Times New Roman" w:hAnsi="Times New Roman" w:cs="Times New Roman"/>
                <w:sz w:val="20"/>
                <w:szCs w:val="20"/>
                <w:lang w:val="sq-AL"/>
              </w:rPr>
              <w:t xml:space="preserve"> nga grupi i mbulimit;</w:t>
            </w:r>
            <w:r w:rsidRPr="00735452">
              <w:rPr>
                <w:rFonts w:ascii="Times New Roman" w:eastAsia="Times New Roman" w:hAnsi="Times New Roman" w:cs="Times New Roman"/>
                <w:sz w:val="20"/>
                <w:szCs w:val="20"/>
                <w:lang w:val="sq-AL"/>
              </w:rPr>
              <w:br/>
              <w:t xml:space="preserve">b) paguan kërkesat e </w:t>
            </w:r>
            <w:proofErr w:type="spellStart"/>
            <w:r w:rsidRPr="00735452">
              <w:rPr>
                <w:rFonts w:ascii="Times New Roman" w:eastAsia="Times New Roman" w:hAnsi="Times New Roman" w:cs="Times New Roman"/>
                <w:sz w:val="20"/>
                <w:szCs w:val="20"/>
                <w:lang w:val="sq-AL"/>
              </w:rPr>
              <w:t>maturuara</w:t>
            </w:r>
            <w:proofErr w:type="spellEnd"/>
            <w:r w:rsidRPr="00735452">
              <w:rPr>
                <w:rFonts w:ascii="Times New Roman" w:eastAsia="Times New Roman" w:hAnsi="Times New Roman" w:cs="Times New Roman"/>
                <w:sz w:val="20"/>
                <w:szCs w:val="20"/>
                <w:lang w:val="sq-AL"/>
              </w:rPr>
              <w:t xml:space="preserve"> nga obligacionet e mbuluara në përputhje me kushtet e emetimit;</w:t>
            </w:r>
            <w:r w:rsidRPr="00735452">
              <w:rPr>
                <w:rFonts w:ascii="Times New Roman" w:eastAsia="Times New Roman" w:hAnsi="Times New Roman" w:cs="Times New Roman"/>
                <w:sz w:val="20"/>
                <w:szCs w:val="20"/>
                <w:lang w:val="sq-AL"/>
              </w:rPr>
              <w:br/>
              <w:t>c) kryen të gjitha veprimet juridike të nevojshme për arkëtimin;</w:t>
            </w:r>
            <w:r w:rsidRPr="00735452">
              <w:rPr>
                <w:rFonts w:ascii="Times New Roman" w:eastAsia="Times New Roman" w:hAnsi="Times New Roman" w:cs="Times New Roman"/>
                <w:sz w:val="20"/>
                <w:szCs w:val="20"/>
                <w:lang w:val="sq-AL"/>
              </w:rPr>
              <w:br/>
              <w:t xml:space="preserve">ç) realizon shitjen ose </w:t>
            </w:r>
            <w:proofErr w:type="spellStart"/>
            <w:r w:rsidRPr="00735452">
              <w:rPr>
                <w:rFonts w:ascii="Times New Roman" w:eastAsia="Times New Roman" w:hAnsi="Times New Roman" w:cs="Times New Roman"/>
                <w:sz w:val="20"/>
                <w:szCs w:val="20"/>
                <w:lang w:val="sq-AL"/>
              </w:rPr>
              <w:t>rifinancimin</w:t>
            </w:r>
            <w:proofErr w:type="spellEnd"/>
            <w:r w:rsidRPr="00735452">
              <w:rPr>
                <w:rFonts w:ascii="Times New Roman" w:eastAsia="Times New Roman" w:hAnsi="Times New Roman" w:cs="Times New Roman"/>
                <w:sz w:val="20"/>
                <w:szCs w:val="20"/>
                <w:lang w:val="sq-AL"/>
              </w:rPr>
              <w:t xml:space="preserve"> e tyre, nëse kjo është në interes të investitorëve.</w:t>
            </w:r>
            <w:r w:rsidRPr="00735452">
              <w:rPr>
                <w:rFonts w:ascii="Times New Roman" w:eastAsia="Times New Roman" w:hAnsi="Times New Roman" w:cs="Times New Roman"/>
                <w:sz w:val="20"/>
                <w:szCs w:val="20"/>
                <w:lang w:val="sq-AL"/>
              </w:rPr>
              <w:br/>
              <w:t>3. Administratori i posaçëm siguron që të gjitha pasuritë e grupit të mbulimit të jenë të ndara nga pasuritë e tjera të emetuesit dhe për këtë qëllim:</w:t>
            </w:r>
            <w:r w:rsidRPr="00735452">
              <w:rPr>
                <w:rFonts w:ascii="Times New Roman" w:eastAsia="Times New Roman" w:hAnsi="Times New Roman" w:cs="Times New Roman"/>
                <w:sz w:val="20"/>
                <w:szCs w:val="20"/>
                <w:lang w:val="sq-AL"/>
              </w:rPr>
              <w:br/>
              <w:t>a) është i autorizuar të hapë llogari të veçanta;</w:t>
            </w:r>
            <w:r w:rsidRPr="00735452">
              <w:rPr>
                <w:rFonts w:ascii="Times New Roman" w:eastAsia="Times New Roman" w:hAnsi="Times New Roman" w:cs="Times New Roman"/>
                <w:sz w:val="20"/>
                <w:szCs w:val="20"/>
                <w:lang w:val="sq-AL"/>
              </w:rPr>
              <w:br/>
              <w:t>b) ndërmerr të gjitha veprimet juridike të nevojshme për ndarjen e plotë nga masa e likuidimit.</w:t>
            </w:r>
            <w:r w:rsidRPr="00735452">
              <w:rPr>
                <w:rFonts w:ascii="Times New Roman" w:eastAsia="Times New Roman" w:hAnsi="Times New Roman" w:cs="Times New Roman"/>
                <w:sz w:val="20"/>
                <w:szCs w:val="20"/>
                <w:lang w:val="sq-AL"/>
              </w:rPr>
              <w:br/>
              <w:t>Administratori i posaçëm siguron administrimin dhe ruajtjen e aktiveve të grupit të mbulimit në mënyrë që të garantohet përmbushja e detyrimeve ndaj investitorëve.</w:t>
            </w:r>
            <w:r w:rsidRPr="00735452">
              <w:rPr>
                <w:rFonts w:ascii="Times New Roman" w:eastAsia="Times New Roman" w:hAnsi="Times New Roman" w:cs="Times New Roman"/>
                <w:sz w:val="20"/>
                <w:szCs w:val="20"/>
                <w:lang w:val="sq-AL"/>
              </w:rPr>
              <w:br/>
              <w:t>4. Administratori i posaçëm përfaqëson emetuesin në marrëdhënie juridike me palë të treta për mirëmbajtjen e grupit të mbulimit, , si dhe në të gjitha procedurat për mbrojtjen e të drejtave të investitorëve, përfshirë procedurat e falimentimit, ato civile dhe ato përmbarimore.</w:t>
            </w:r>
            <w:r w:rsidRPr="00735452">
              <w:rPr>
                <w:rFonts w:ascii="Times New Roman" w:eastAsia="Times New Roman" w:hAnsi="Times New Roman" w:cs="Times New Roman"/>
                <w:sz w:val="20"/>
                <w:szCs w:val="20"/>
                <w:lang w:val="sq-AL"/>
              </w:rPr>
              <w:br/>
              <w:t>Në përfaqësim ai përdor emërtimin “program i obligacioneve të mbuluara” dhe legjitimohet si “administrator i posaçëm i programit të obligacioneve të mbuluara”. Administratori mund të angazhojë përfaqësues ligjorë në emër të emetuesit dhe në llogari të investitorëve Të gjitha të drejtat dhe detyrimet që burojnë nga veprimet e tij bëhen pjesë e grupit të mbulimit.</w:t>
            </w:r>
            <w:r w:rsidRPr="00735452">
              <w:rPr>
                <w:rFonts w:ascii="Times New Roman" w:eastAsia="Times New Roman" w:hAnsi="Times New Roman" w:cs="Times New Roman"/>
                <w:sz w:val="20"/>
                <w:szCs w:val="20"/>
                <w:lang w:val="sq-AL"/>
              </w:rPr>
              <w:br/>
              <w:t xml:space="preserve">5. Nëse të ardhurat nga grupi i mbulimit nuk janë të mjaftueshme për shlyerjen e plotë të kërkesave në ditën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administratori i posaçëm paguan pjesën proporcionale të tyre. Kushtet </w:t>
            </w:r>
            <w:proofErr w:type="spellStart"/>
            <w:r w:rsidRPr="00735452">
              <w:rPr>
                <w:rFonts w:ascii="Times New Roman" w:eastAsia="Times New Roman" w:hAnsi="Times New Roman" w:cs="Times New Roman"/>
                <w:sz w:val="20"/>
                <w:szCs w:val="20"/>
                <w:lang w:val="sq-AL"/>
              </w:rPr>
              <w:t>kontraktuale</w:t>
            </w:r>
            <w:proofErr w:type="spellEnd"/>
            <w:r w:rsidRPr="00735452">
              <w:rPr>
                <w:rFonts w:ascii="Times New Roman" w:eastAsia="Times New Roman" w:hAnsi="Times New Roman" w:cs="Times New Roman"/>
                <w:sz w:val="20"/>
                <w:szCs w:val="20"/>
                <w:lang w:val="sq-AL"/>
              </w:rPr>
              <w:t xml:space="preserve"> rregullojnë pjesën e mbetur.</w:t>
            </w:r>
            <w:r w:rsidRPr="00735452">
              <w:rPr>
                <w:rFonts w:ascii="Times New Roman" w:eastAsia="Times New Roman" w:hAnsi="Times New Roman" w:cs="Times New Roman"/>
                <w:sz w:val="20"/>
                <w:szCs w:val="20"/>
                <w:lang w:val="sq-AL"/>
              </w:rPr>
              <w:br/>
              <w:t>6. Administratori i posaçëm dhe Autoriteti duhet të shkëmbejnë rregullisht informacione të rëndësishme.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Administratori i posaçëm bashkëpunon gjithashtu me Bankën e Shqipërisë dhe autoritetet e tjera përkatëse për qëllime mbikëqyrëse dhe për administrimin e programit të obligacioneve të mbuluara.</w:t>
            </w:r>
            <w:r w:rsidRPr="00735452">
              <w:rPr>
                <w:rFonts w:ascii="Times New Roman" w:eastAsia="Times New Roman" w:hAnsi="Times New Roman" w:cs="Times New Roman"/>
                <w:sz w:val="20"/>
                <w:szCs w:val="20"/>
                <w:lang w:val="sq-AL"/>
              </w:rPr>
              <w:br/>
              <w:t>7. Administratori i posaçëm nuk mund të  ndërhyjë në masën e likuidimit dhe  nuk mund të kërkojë përfshirjen e pasurive të reja nga kjo masë në grupin e mbulimit.</w:t>
            </w:r>
            <w:r w:rsidRPr="00735452">
              <w:rPr>
                <w:rFonts w:ascii="Times New Roman" w:eastAsia="Times New Roman" w:hAnsi="Times New Roman" w:cs="Times New Roman"/>
                <w:sz w:val="20"/>
                <w:szCs w:val="20"/>
                <w:lang w:val="sq-AL"/>
              </w:rPr>
              <w:br/>
              <w:t>8.Likuidatori i emetuesit gjatë procedurës së likuidimit të detyruar:</w:t>
            </w:r>
            <w:r w:rsidRPr="00735452">
              <w:rPr>
                <w:rFonts w:ascii="Times New Roman" w:eastAsia="Times New Roman" w:hAnsi="Times New Roman" w:cs="Times New Roman"/>
                <w:sz w:val="20"/>
                <w:szCs w:val="20"/>
                <w:lang w:val="sq-AL"/>
              </w:rPr>
              <w:br/>
              <w:t>a) nuk ka kompetenca mbi grupin e mbulimit apo obligacionet;</w:t>
            </w:r>
            <w:r w:rsidRPr="00735452">
              <w:rPr>
                <w:rFonts w:ascii="Times New Roman" w:eastAsia="Times New Roman" w:hAnsi="Times New Roman" w:cs="Times New Roman"/>
                <w:sz w:val="20"/>
                <w:szCs w:val="20"/>
                <w:lang w:val="sq-AL"/>
              </w:rPr>
              <w:br/>
              <w:t>b) nuk mund të disponojë mbi to.</w:t>
            </w:r>
            <w:r w:rsidRPr="00735452">
              <w:rPr>
                <w:rFonts w:ascii="Times New Roman" w:eastAsia="Times New Roman" w:hAnsi="Times New Roman" w:cs="Times New Roman"/>
                <w:sz w:val="20"/>
                <w:szCs w:val="20"/>
                <w:lang w:val="sq-AL"/>
              </w:rPr>
              <w:br/>
              <w:t>Ai dhe administratori i posaçëm shkëmbejnë informacionet e nevojshme. Likuidatori mund të shqyrtojë raportet e administratorit të posaçëm.</w:t>
            </w:r>
            <w:r w:rsidRPr="00735452">
              <w:rPr>
                <w:rFonts w:ascii="Times New Roman" w:eastAsia="Times New Roman" w:hAnsi="Times New Roman" w:cs="Times New Roman"/>
                <w:sz w:val="20"/>
                <w:szCs w:val="20"/>
                <w:lang w:val="sq-AL"/>
              </w:rPr>
              <w:br/>
              <w:t>9. Shpenzimet e administratorit të posaçëm paguhen nga të ardhurat e grupit të mbulimit. Ai mund të përdorë burimet e emetuesit nëse është e nevojshme.</w:t>
            </w:r>
            <w:r w:rsidRPr="00735452">
              <w:rPr>
                <w:rFonts w:ascii="Times New Roman" w:eastAsia="Times New Roman" w:hAnsi="Times New Roman" w:cs="Times New Roman"/>
                <w:sz w:val="20"/>
                <w:szCs w:val="20"/>
                <w:lang w:val="sq-AL"/>
              </w:rPr>
              <w:br/>
              <w:t>Shpenzimet dhe detyrimet që lidhen me administrimin e programit të obligacioneve të mbuluara përmbushen me përparësi nga të ardhurat e grupit të mbulimit.</w:t>
            </w:r>
            <w:r w:rsidRPr="00735452">
              <w:rPr>
                <w:rFonts w:ascii="Times New Roman" w:eastAsia="Times New Roman" w:hAnsi="Times New Roman" w:cs="Times New Roman"/>
                <w:sz w:val="20"/>
                <w:szCs w:val="20"/>
                <w:lang w:val="sq-AL"/>
              </w:rPr>
              <w:br/>
              <w:t xml:space="preserve">10. Për shpërblimin dhe </w:t>
            </w:r>
            <w:proofErr w:type="spellStart"/>
            <w:r w:rsidRPr="00735452">
              <w:rPr>
                <w:rFonts w:ascii="Times New Roman" w:eastAsia="Times New Roman" w:hAnsi="Times New Roman" w:cs="Times New Roman"/>
                <w:sz w:val="20"/>
                <w:szCs w:val="20"/>
                <w:lang w:val="sq-AL"/>
              </w:rPr>
              <w:t>rimbursimin</w:t>
            </w:r>
            <w:proofErr w:type="spellEnd"/>
            <w:r w:rsidRPr="00735452">
              <w:rPr>
                <w:rFonts w:ascii="Times New Roman" w:eastAsia="Times New Roman" w:hAnsi="Times New Roman" w:cs="Times New Roman"/>
                <w:sz w:val="20"/>
                <w:szCs w:val="20"/>
                <w:lang w:val="sq-AL"/>
              </w:rPr>
              <w:t xml:space="preserve"> e shpenzimeve të administratorit të posaçëm zbatohen në mënyrë përkatëse dispozitat e ligjit për falimentimin.</w:t>
            </w:r>
            <w:r w:rsidRPr="00735452">
              <w:rPr>
                <w:rFonts w:ascii="Times New Roman" w:eastAsia="Times New Roman" w:hAnsi="Times New Roman" w:cs="Times New Roman"/>
                <w:sz w:val="20"/>
                <w:szCs w:val="20"/>
                <w:lang w:val="sq-AL"/>
              </w:rPr>
              <w:br/>
              <w:t>11. Autoriteti me rregullore përcakton në mënyrë të detajuar të drejtat dhe detyrat e administratorit të posaçëm, përfshirë raportimet periodike.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36</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Administratori i posaçëm duhet të ndërmarrë të gjitha veprimet e nevojshme për transferimin e detyrimeve që rrjedhin nga obligacionet e mbuluara dhe të grupit të mbulimit tek një institucion kreditit tjetër me seli në Republikën e Shqipërisë, në vijim “përfituesi”.</w:t>
            </w:r>
            <w:r w:rsidRPr="00735452">
              <w:rPr>
                <w:rFonts w:ascii="Times New Roman" w:eastAsia="Times New Roman" w:hAnsi="Times New Roman" w:cs="Times New Roman"/>
                <w:sz w:val="20"/>
                <w:szCs w:val="20"/>
                <w:lang w:val="sq-AL"/>
              </w:rPr>
              <w:br/>
              <w:t xml:space="preserve">Për këtë qëllim, administratori i posaçëm, brenda 60 ditëve nga hapja e procedurës së likuidimit të detyruar të emetuesit, harton një bazë të dhënash elektronike me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të kufizuar, e cila përmban të gjitha informacionet mbi grupin e mbulimit dhe detyrimet nga obligacionet e mbuluara, me qëllim </w:t>
            </w:r>
            <w:r w:rsidRPr="00735452">
              <w:rPr>
                <w:rFonts w:ascii="Times New Roman" w:eastAsia="Times New Roman" w:hAnsi="Times New Roman" w:cs="Times New Roman"/>
                <w:sz w:val="20"/>
                <w:szCs w:val="20"/>
                <w:lang w:val="sq-AL"/>
              </w:rPr>
              <w:lastRenderedPageBreak/>
              <w:t>mundësimin e vlerësimit juridik dhe ekonomik nga përfituesit potencialë, në përputhje me legjislacionin për mbrojtjen e të dhënave personale.</w:t>
            </w:r>
            <w:r w:rsidRPr="00735452">
              <w:rPr>
                <w:rFonts w:ascii="Times New Roman" w:eastAsia="Times New Roman" w:hAnsi="Times New Roman" w:cs="Times New Roman"/>
                <w:sz w:val="20"/>
                <w:szCs w:val="20"/>
                <w:lang w:val="sq-AL"/>
              </w:rPr>
              <w:br/>
              <w:t>2. Transferimi realizohet nëpërmjet një kontrate shitblerjeje ndërmjet emetuesit, të përfaqësuar nga administratori i posaçëm, dhe përfituesit. Kontrata duhet të përmbajë:</w:t>
            </w:r>
            <w:r w:rsidRPr="00735452">
              <w:rPr>
                <w:rFonts w:ascii="Times New Roman" w:eastAsia="Times New Roman" w:hAnsi="Times New Roman" w:cs="Times New Roman"/>
                <w:sz w:val="20"/>
                <w:szCs w:val="20"/>
                <w:lang w:val="sq-AL"/>
              </w:rPr>
              <w:br/>
              <w:t>a) identifikimin e qartë të palëve;</w:t>
            </w:r>
            <w:r w:rsidRPr="00735452">
              <w:rPr>
                <w:rFonts w:ascii="Times New Roman" w:eastAsia="Times New Roman" w:hAnsi="Times New Roman" w:cs="Times New Roman"/>
                <w:sz w:val="20"/>
                <w:szCs w:val="20"/>
                <w:lang w:val="sq-AL"/>
              </w:rPr>
              <w:br/>
              <w:t>b) përshkrimin e grupit të mbulimit dhe obligacioneve të mbuluara;</w:t>
            </w:r>
            <w:r w:rsidRPr="00735452">
              <w:rPr>
                <w:rFonts w:ascii="Times New Roman" w:eastAsia="Times New Roman" w:hAnsi="Times New Roman" w:cs="Times New Roman"/>
                <w:sz w:val="20"/>
                <w:szCs w:val="20"/>
                <w:lang w:val="sq-AL"/>
              </w:rPr>
              <w:br/>
              <w:t xml:space="preserve">c) dispozitë të shprehur për marrjen përsipër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gjitha detyrimeve nga përfituesi;</w:t>
            </w:r>
            <w:r w:rsidRPr="00735452">
              <w:rPr>
                <w:rFonts w:ascii="Times New Roman" w:eastAsia="Times New Roman" w:hAnsi="Times New Roman" w:cs="Times New Roman"/>
                <w:sz w:val="20"/>
                <w:szCs w:val="20"/>
                <w:lang w:val="sq-AL"/>
              </w:rPr>
              <w:br/>
              <w:t>ç) përcaktimin e çmimit të shitjes, i cili paguhet në masën e likuidimit të emetuesit.</w:t>
            </w:r>
            <w:r w:rsidRPr="00735452">
              <w:rPr>
                <w:rFonts w:ascii="Times New Roman" w:eastAsia="Times New Roman" w:hAnsi="Times New Roman" w:cs="Times New Roman"/>
                <w:sz w:val="20"/>
                <w:szCs w:val="20"/>
                <w:lang w:val="sq-AL"/>
              </w:rPr>
              <w:br/>
              <w:t xml:space="preserve">Në çmimin  e shitjes merren në konsideratë edhe detyrimet nga kontratat e </w:t>
            </w:r>
            <w:proofErr w:type="spellStart"/>
            <w:r w:rsidRPr="00735452">
              <w:rPr>
                <w:rFonts w:ascii="Times New Roman" w:eastAsia="Times New Roman" w:hAnsi="Times New Roman" w:cs="Times New Roman"/>
                <w:sz w:val="20"/>
                <w:szCs w:val="20"/>
                <w:lang w:val="sq-AL"/>
              </w:rPr>
              <w:t>derivativëve</w:t>
            </w:r>
            <w:proofErr w:type="spellEnd"/>
            <w:r w:rsidRPr="00735452">
              <w:rPr>
                <w:rFonts w:ascii="Times New Roman" w:eastAsia="Times New Roman" w:hAnsi="Times New Roman" w:cs="Times New Roman"/>
                <w:sz w:val="20"/>
                <w:szCs w:val="20"/>
                <w:lang w:val="sq-AL"/>
              </w:rPr>
              <w:t xml:space="preserve"> dhe, nëse vlera e grupit të mbulimit është e barabartë ose më e vogël se detyrimet totale, çmimi mund të konsistojë vetëm në marrjen përsipër të këtyre detyrimeve.</w:t>
            </w:r>
            <w:r w:rsidRPr="00735452">
              <w:rPr>
                <w:rFonts w:ascii="Times New Roman" w:eastAsia="Times New Roman" w:hAnsi="Times New Roman" w:cs="Times New Roman"/>
                <w:sz w:val="20"/>
                <w:szCs w:val="20"/>
                <w:lang w:val="sq-AL"/>
              </w:rPr>
              <w:br/>
              <w:t>3. Kontrata e transferimit i njoftohet Autoritetit dhe Bankës së Shqipërisë dhe hyn në fuqi vetëm pas dhënies së pëlqimit paraprak nga Banka e Shqipërisë, dhe më pas dhënies së pëlqimit nga Autoriteti. Pëlqimi paraprak nga Banka e Shqipërisë dhe Autoritetit jepet pa vonesa të pajustifikuara.</w:t>
            </w:r>
            <w:r w:rsidRPr="00735452">
              <w:rPr>
                <w:rFonts w:ascii="Times New Roman" w:eastAsia="Times New Roman" w:hAnsi="Times New Roman" w:cs="Times New Roman"/>
                <w:sz w:val="20"/>
                <w:szCs w:val="20"/>
                <w:lang w:val="sq-AL"/>
              </w:rPr>
              <w:br/>
              <w:t>4. Për miratimin e kontratës zbatohen në mënyrë përkatëse dispozitat për miratimin e programit të obligacioneve të mbuluara, pa rishqyrtuar kushtet që nuk ndryshojnë për shkak të transferimit.</w:t>
            </w:r>
            <w:r w:rsidRPr="00735452">
              <w:rPr>
                <w:rFonts w:ascii="Times New Roman" w:eastAsia="Times New Roman" w:hAnsi="Times New Roman" w:cs="Times New Roman"/>
                <w:sz w:val="20"/>
                <w:szCs w:val="20"/>
                <w:lang w:val="sq-AL"/>
              </w:rPr>
              <w:br/>
              <w:t>5. Pas transferimit:</w:t>
            </w:r>
            <w:r w:rsidRPr="00735452">
              <w:rPr>
                <w:rFonts w:ascii="Times New Roman" w:eastAsia="Times New Roman" w:hAnsi="Times New Roman" w:cs="Times New Roman"/>
                <w:sz w:val="20"/>
                <w:szCs w:val="20"/>
                <w:lang w:val="sq-AL"/>
              </w:rPr>
              <w:br/>
              <w:t xml:space="preserve">a) investitorët dhe palët në kontratat e </w:t>
            </w:r>
            <w:proofErr w:type="spellStart"/>
            <w:r w:rsidRPr="00735452">
              <w:rPr>
                <w:rFonts w:ascii="Times New Roman" w:eastAsia="Times New Roman" w:hAnsi="Times New Roman" w:cs="Times New Roman"/>
                <w:sz w:val="20"/>
                <w:szCs w:val="20"/>
                <w:lang w:val="sq-AL"/>
              </w:rPr>
              <w:t>derivativëve</w:t>
            </w:r>
            <w:proofErr w:type="spellEnd"/>
            <w:r w:rsidRPr="00735452">
              <w:rPr>
                <w:rFonts w:ascii="Times New Roman" w:eastAsia="Times New Roman" w:hAnsi="Times New Roman" w:cs="Times New Roman"/>
                <w:sz w:val="20"/>
                <w:szCs w:val="20"/>
                <w:lang w:val="sq-AL"/>
              </w:rPr>
              <w:t xml:space="preserve"> nuk kanë pretendime ndaj masës së likuidimit të emetuesit;</w:t>
            </w:r>
            <w:r w:rsidRPr="00735452">
              <w:rPr>
                <w:rFonts w:ascii="Times New Roman" w:eastAsia="Times New Roman" w:hAnsi="Times New Roman" w:cs="Times New Roman"/>
                <w:sz w:val="20"/>
                <w:szCs w:val="20"/>
                <w:lang w:val="sq-AL"/>
              </w:rPr>
              <w:br/>
              <w:t>b) çdo vlerë e mbetur nga grupi i mbulimit i kalon përfituesit.</w:t>
            </w:r>
            <w:r w:rsidRPr="00735452">
              <w:rPr>
                <w:rFonts w:ascii="Times New Roman" w:eastAsia="Times New Roman" w:hAnsi="Times New Roman" w:cs="Times New Roman"/>
                <w:sz w:val="20"/>
                <w:szCs w:val="20"/>
                <w:lang w:val="sq-AL"/>
              </w:rPr>
              <w:br/>
              <w:t>6. Emetuesi mbetet përgjegjëse ndaj përfituesit për ekzistencën e pretendimeve të kërkesave në momentin e transferimit.</w:t>
            </w:r>
            <w:r w:rsidRPr="00735452">
              <w:rPr>
                <w:rFonts w:ascii="Times New Roman" w:eastAsia="Times New Roman" w:hAnsi="Times New Roman" w:cs="Times New Roman"/>
                <w:sz w:val="20"/>
                <w:szCs w:val="20"/>
                <w:lang w:val="sq-AL"/>
              </w:rPr>
              <w:br/>
              <w:t>7. Me transferimin:</w:t>
            </w:r>
            <w:r w:rsidRPr="00735452">
              <w:rPr>
                <w:rFonts w:ascii="Times New Roman" w:eastAsia="Times New Roman" w:hAnsi="Times New Roman" w:cs="Times New Roman"/>
                <w:sz w:val="20"/>
                <w:szCs w:val="20"/>
                <w:lang w:val="sq-AL"/>
              </w:rPr>
              <w:br/>
              <w:t xml:space="preserve">a) përfituesi merr të gjitha të drejtat dhe detyrimet e emetuesit ndaj investitorëve dhe palëve të tjera </w:t>
            </w:r>
            <w:proofErr w:type="spellStart"/>
            <w:r w:rsidRPr="00735452">
              <w:rPr>
                <w:rFonts w:ascii="Times New Roman" w:eastAsia="Times New Roman" w:hAnsi="Times New Roman" w:cs="Times New Roman"/>
                <w:sz w:val="20"/>
                <w:szCs w:val="20"/>
                <w:lang w:val="sq-AL"/>
              </w:rPr>
              <w:t>kontraktuale</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b) përfituesi është i detyruar të respektojë kushtet e obligacioneve të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8. Nëse transferimi nuk realizohet brenda afateve procedurale të përcaktuara nga legjislacioni në fuqi, administratori i posaçëm, me miratimin e Autoritetit dhe pëlqimin paraprak të Bankës së Shqipërisë:</w:t>
            </w:r>
            <w:r w:rsidRPr="00735452">
              <w:rPr>
                <w:rFonts w:ascii="Times New Roman" w:eastAsia="Times New Roman" w:hAnsi="Times New Roman" w:cs="Times New Roman"/>
                <w:sz w:val="20"/>
                <w:szCs w:val="20"/>
                <w:lang w:val="sq-AL"/>
              </w:rPr>
              <w:br/>
              <w:t>a) organizon procedurën për transferimin ose shitjen e grupit të mbulimit;</w:t>
            </w:r>
            <w:r w:rsidRPr="00735452">
              <w:rPr>
                <w:rFonts w:ascii="Times New Roman" w:eastAsia="Times New Roman" w:hAnsi="Times New Roman" w:cs="Times New Roman"/>
                <w:sz w:val="20"/>
                <w:szCs w:val="20"/>
                <w:lang w:val="sq-AL"/>
              </w:rPr>
              <w:br/>
              <w:t>b) fton institucionet kreditore në Republikën e Shqipërisë të paraqesin interes brenda 15 ditëve.</w:t>
            </w:r>
            <w:r w:rsidRPr="00735452">
              <w:rPr>
                <w:rFonts w:ascii="Times New Roman" w:eastAsia="Times New Roman" w:hAnsi="Times New Roman" w:cs="Times New Roman"/>
                <w:sz w:val="20"/>
                <w:szCs w:val="20"/>
                <w:lang w:val="sq-AL"/>
              </w:rPr>
              <w:br/>
              <w:t>9. Institucionet që shprehin interes:</w:t>
            </w:r>
            <w:r w:rsidRPr="00735452">
              <w:rPr>
                <w:rFonts w:ascii="Times New Roman" w:eastAsia="Times New Roman" w:hAnsi="Times New Roman" w:cs="Times New Roman"/>
                <w:sz w:val="20"/>
                <w:szCs w:val="20"/>
                <w:lang w:val="sq-AL"/>
              </w:rPr>
              <w:br/>
              <w:t xml:space="preserve">a) marrin </w:t>
            </w:r>
            <w:proofErr w:type="spellStart"/>
            <w:r w:rsidRPr="00735452">
              <w:rPr>
                <w:rFonts w:ascii="Times New Roman" w:eastAsia="Times New Roman" w:hAnsi="Times New Roman" w:cs="Times New Roman"/>
                <w:sz w:val="20"/>
                <w:szCs w:val="20"/>
                <w:lang w:val="sq-AL"/>
              </w:rPr>
              <w:t>akses</w:t>
            </w:r>
            <w:proofErr w:type="spellEnd"/>
            <w:r w:rsidRPr="00735452">
              <w:rPr>
                <w:rFonts w:ascii="Times New Roman" w:eastAsia="Times New Roman" w:hAnsi="Times New Roman" w:cs="Times New Roman"/>
                <w:sz w:val="20"/>
                <w:szCs w:val="20"/>
                <w:lang w:val="sq-AL"/>
              </w:rPr>
              <w:t xml:space="preserve"> në të dhënat përkatëse;</w:t>
            </w:r>
            <w:r w:rsidRPr="00735452">
              <w:rPr>
                <w:rFonts w:ascii="Times New Roman" w:eastAsia="Times New Roman" w:hAnsi="Times New Roman" w:cs="Times New Roman"/>
                <w:sz w:val="20"/>
                <w:szCs w:val="20"/>
                <w:lang w:val="sq-AL"/>
              </w:rPr>
              <w:br/>
              <w:t>b) paraqesin ofertat e tyre brenda 3 muajve.</w:t>
            </w:r>
            <w:r w:rsidRPr="00735452">
              <w:rPr>
                <w:rFonts w:ascii="Times New Roman" w:eastAsia="Times New Roman" w:hAnsi="Times New Roman" w:cs="Times New Roman"/>
                <w:sz w:val="20"/>
                <w:szCs w:val="20"/>
                <w:lang w:val="sq-AL"/>
              </w:rPr>
              <w:br/>
              <w:t>10. Gjykata urdhëron lidhjen e kontratës me institucionin që ka paraqitur ofertën më të lartë. Në rastet e paraqitjes së ofertave të barabarta, përparësi ka oferta e paraqitur më herët në kohë.</w:t>
            </w:r>
          </w:p>
        </w:tc>
        <w:tc>
          <w:tcPr>
            <w:tcW w:w="1440" w:type="dxa"/>
          </w:tcPr>
          <w:p w14:paraId="00C47732" w14:textId="644B38B2" w:rsidR="003E7E51" w:rsidRPr="00735452" w:rsidRDefault="00EA083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0C1D7782" w14:textId="77777777" w:rsidR="003E7E51" w:rsidRPr="00735452" w:rsidRDefault="003E7E51">
            <w:pPr>
              <w:spacing w:after="0" w:line="240" w:lineRule="auto"/>
              <w:rPr>
                <w:rFonts w:ascii="Times New Roman" w:hAnsi="Times New Roman" w:cs="Times New Roman"/>
                <w:sz w:val="20"/>
                <w:szCs w:val="20"/>
                <w:lang w:val="sq-AL"/>
              </w:rPr>
            </w:pPr>
          </w:p>
        </w:tc>
      </w:tr>
      <w:tr w:rsidR="00606432" w:rsidRPr="00735452" w14:paraId="4D555DE4" w14:textId="77777777" w:rsidTr="004D61BC">
        <w:trPr>
          <w:gridAfter w:val="1"/>
          <w:wAfter w:w="14" w:type="dxa"/>
        </w:trPr>
        <w:tc>
          <w:tcPr>
            <w:tcW w:w="800" w:type="dxa"/>
            <w:tcBorders>
              <w:left w:val="single" w:sz="12" w:space="0" w:color="auto"/>
            </w:tcBorders>
          </w:tcPr>
          <w:p w14:paraId="4A61F349"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4</w:t>
            </w:r>
          </w:p>
        </w:tc>
        <w:tc>
          <w:tcPr>
            <w:tcW w:w="5220" w:type="dxa"/>
            <w:tcBorders>
              <w:right w:val="single" w:sz="12" w:space="0" w:color="auto"/>
            </w:tcBorders>
          </w:tcPr>
          <w:p w14:paraId="2ABF2451"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koordinimin dhe shkëmbimin e informacionit për qëllimet e procesit të falimentimit ose të zgjidhjes ndërmjet autoriteteve kompetente të përcaktuara sipas nenit 18, paragrafi 2, administratorit të posaçëm, kur një administrator i tillë është caktuar, dhe, në rast zgjidhjeje, autoritetit të zgjidhjes.</w:t>
            </w:r>
          </w:p>
        </w:tc>
        <w:tc>
          <w:tcPr>
            <w:tcW w:w="624" w:type="dxa"/>
            <w:tcBorders>
              <w:left w:val="single" w:sz="12" w:space="0" w:color="auto"/>
            </w:tcBorders>
          </w:tcPr>
          <w:p w14:paraId="01E10761" w14:textId="68A77CAA" w:rsidR="00606432" w:rsidRPr="00735452" w:rsidRDefault="006356F0" w:rsidP="0060643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0E4C07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 pika 6; Nenet 30 dhe 33</w:t>
            </w:r>
          </w:p>
        </w:tc>
        <w:tc>
          <w:tcPr>
            <w:tcW w:w="5130" w:type="dxa"/>
          </w:tcPr>
          <w:p w14:paraId="52B7B5B3"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6. Për qëllimet e procesit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të ndërhyrjes së jashtëzakonshme të institucionit të kreditit, mund të kryhet shkëmbim informacioni ndërmjet Autoritetit, administratorit të posaçëm dhe, në rast ndërhyrjeje të jashtëzakonshme, autoritetit të ndërhyrjes së jashtëzakonshme.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30</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Banka e Shqipërisë, në cilësinë e autoritetit mbikëqyrës të institucioneve të kreditit dhe, sipas rastit, në cilësinë e autoritetit të ndërhyrjes së jashtëzakonshme, dhe Autoriteti bashkëpunojnë ngushtë ndërmjet tyre dhe shkëmbejnë të gjitha informacionet e nevojshme për ushtrimin e detyrave të tyre mbikëqyrëse në përputhje dhe zbatim të këtij ligji, përfshirë edhe rastin e ndërhyrjes së jashtëzakonshme ndaj një institucioni krediti që emeton obligacione të mbuluara.</w:t>
            </w:r>
            <w:r w:rsidRPr="00735452">
              <w:rPr>
                <w:rFonts w:ascii="Times New Roman" w:eastAsia="Times New Roman" w:hAnsi="Times New Roman" w:cs="Times New Roman"/>
                <w:sz w:val="20"/>
                <w:szCs w:val="20"/>
                <w:lang w:val="sq-AL"/>
              </w:rPr>
              <w:br/>
              <w:t xml:space="preserve">2. Banka e Shqipërisë dhe Autoriteti bashkëpunojnë edhe me autoritetet përgjegjëse të shteteve anëtare të caktuara për rregullimin dhe mbikëqyrjen e emetimit të obligacioneve të mbuluara dhe mbikëqyrjen publike të tyre. në përputhje me legjislacionin e tyre në fuqi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legjislacionin e Bashkimit Evropian për Obligacionet e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3.  Për qëllim të pikave 1 dhe 2 të këtij neni, bashkëpunimi përfshin:</w:t>
            </w:r>
            <w:r w:rsidRPr="00735452">
              <w:rPr>
                <w:rFonts w:ascii="Times New Roman" w:eastAsia="Times New Roman" w:hAnsi="Times New Roman" w:cs="Times New Roman"/>
                <w:sz w:val="20"/>
                <w:szCs w:val="20"/>
                <w:lang w:val="sq-AL"/>
              </w:rPr>
              <w:br/>
              <w:t>a) dhënien  e të gjitha informacioneve përkatëse me kërkesë të Autoritetit, Bankës së Shqipërisë ose një autoriteti tjetër përgjegjës të përmendur në pikën 3, të këtij neni;</w:t>
            </w:r>
            <w:r w:rsidRPr="00735452">
              <w:rPr>
                <w:rFonts w:ascii="Times New Roman" w:eastAsia="Times New Roman" w:hAnsi="Times New Roman" w:cs="Times New Roman"/>
                <w:sz w:val="20"/>
                <w:szCs w:val="20"/>
                <w:lang w:val="sq-AL"/>
              </w:rPr>
              <w:br/>
              <w:t>b) dhënien me iniciativë të vet, të çdo informacioni thelbësor tek autoritete të tjera përgjegjëse të shteteve anëtare të caktuara si autoritet përgjegjës për rregullimin e emetimit dhe mbikëqyrjen e obligacioneve të mbuluara sipas legjislacionit përkatës në fuqi.</w:t>
            </w:r>
            <w:r w:rsidRPr="00735452">
              <w:rPr>
                <w:rFonts w:ascii="Times New Roman" w:eastAsia="Times New Roman" w:hAnsi="Times New Roman" w:cs="Times New Roman"/>
                <w:sz w:val="20"/>
                <w:szCs w:val="20"/>
                <w:lang w:val="sq-AL"/>
              </w:rPr>
              <w:br/>
              <w:t>4. Për qëllim të zbatimit të dispozitave të këtij ligji, Banka e Shqipërisë dhe Autoriteti bashkëpunojnë me Autoritetin Evropian për Bankat (EBA) dhe, sipas rastit, me Autoritetin Evropian për Tregjet dhe Titujt (ESMA).</w:t>
            </w:r>
            <w:r w:rsidRPr="00735452">
              <w:rPr>
                <w:rFonts w:ascii="Times New Roman" w:eastAsia="Times New Roman" w:hAnsi="Times New Roman" w:cs="Times New Roman"/>
                <w:sz w:val="20"/>
                <w:szCs w:val="20"/>
                <w:lang w:val="sq-AL"/>
              </w:rPr>
              <w:br/>
              <w:t>5. Për qëllim të këtij neni, informacioni konsiderohet thelbësor nëse ndikon në mënyrë të rëndësishme në vlerësimin e emetimit të obligacioneve të mbuluara, përfshirë edhe emetimin  në një shtet tjetër anëtar.</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33</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Autoriteti bashkëpunon me Bankën e Shqipërisë në rast të zbatimit të masave të ndërhyrjes së hershme ose të ndërhyrjes së jashtëzakonshme ndaj emetuesit, me qëllim sigurimin e mbrojtjes së të drejtave dhe interesave të investitorëve në obligacionet e mbuluara. Ky bashkëpunim përfshin, të paktën, verifikimin që gjatë këtyre procedurave sigurohet menaxhimi i vazhdueshëm dhe i duhur i programit të obligacioneve të mbuluara.</w:t>
            </w:r>
            <w:r w:rsidRPr="00735452">
              <w:rPr>
                <w:rFonts w:ascii="Times New Roman" w:eastAsia="Times New Roman" w:hAnsi="Times New Roman" w:cs="Times New Roman"/>
                <w:sz w:val="20"/>
                <w:szCs w:val="20"/>
                <w:lang w:val="sq-AL"/>
              </w:rPr>
              <w:br/>
              <w:t>2. Autoriteti bashkëpunon me Bankën e Shqipërisë dhe, sipas rastit, me Agjencinë Shqiptare të Sigurimit të Depozitave dhe administratorin e posaçëm, për shkëmbimin e informacionit dhe koordinimin e veprimeve në kuadër të procedurave të ndërhyrjes së hershme, ndërhyrjes së jashtëzakonshme ose likuidimit të detyruar, me qëllim garantimin e mbrojtjes së të drejtave dhe interesave të investitorëve në obligacionet e mbuluara.</w:t>
            </w:r>
            <w:r w:rsidRPr="00735452">
              <w:rPr>
                <w:rFonts w:ascii="Times New Roman" w:eastAsia="Times New Roman" w:hAnsi="Times New Roman" w:cs="Times New Roman"/>
                <w:sz w:val="20"/>
                <w:szCs w:val="20"/>
                <w:lang w:val="sq-AL"/>
              </w:rPr>
              <w:br/>
              <w:t xml:space="preserve">3. Në rast të likuidimit të detyruar të emetuesit, Autoriteti bashkëpunon me Agjencinë Shqiptare të Sigurimit të Depozitave dhe administratorin e posaçëm, të cilët </w:t>
            </w:r>
            <w:r w:rsidRPr="00735452">
              <w:rPr>
                <w:rFonts w:ascii="Times New Roman" w:eastAsia="Times New Roman" w:hAnsi="Times New Roman" w:cs="Times New Roman"/>
                <w:sz w:val="20"/>
                <w:szCs w:val="20"/>
                <w:lang w:val="sq-AL"/>
              </w:rPr>
              <w:lastRenderedPageBreak/>
              <w:t>shkëmbejnë ndërmjet tyre informacionin e nevojshëm, me qëllim që të sigurohet, ndër të tjera, verifikimi i menaxhimit të vazhdueshëm dhe të duhur të programit të obligacioneve të mbuluara gjatë gjithë procedurës së likuidimit.</w:t>
            </w:r>
            <w:r w:rsidRPr="00735452">
              <w:rPr>
                <w:rFonts w:ascii="Times New Roman" w:eastAsia="Times New Roman" w:hAnsi="Times New Roman" w:cs="Times New Roman"/>
                <w:sz w:val="20"/>
                <w:szCs w:val="20"/>
                <w:lang w:val="sq-AL"/>
              </w:rPr>
              <w:br/>
              <w:t>4. Organet që ushtrojnë funksione në kuadër të ndërhyrjes së hershme, ndërhyrjes së jashtëzakonshme ose likuidimit të detyruar, në përputhje me legjislacionin në fuqi për institucionet e kreditit, ushtrojnë kompetencat e tyre në mënyrë të tillë që të mos cenojnë ushtrimin e të drejtave që rrjedhin nga obligacionet e mbuluara, përfshirë të drejtat mbi grupin e mbulimit, që u takojnë investitorëve sipas këtij ligji.</w:t>
            </w:r>
            <w:r w:rsidRPr="00735452">
              <w:rPr>
                <w:rFonts w:ascii="Times New Roman" w:eastAsia="Times New Roman" w:hAnsi="Times New Roman" w:cs="Times New Roman"/>
                <w:sz w:val="20"/>
                <w:szCs w:val="20"/>
                <w:lang w:val="sq-AL"/>
              </w:rPr>
              <w:br/>
              <w:t>5. Dispozitat e këtij neni nuk cenojnë dhe nuk kufizojnë kompetencat e Autoritetit të parashikuara në këtë ligj.</w:t>
            </w:r>
          </w:p>
        </w:tc>
        <w:tc>
          <w:tcPr>
            <w:tcW w:w="1440" w:type="dxa"/>
          </w:tcPr>
          <w:p w14:paraId="6CC26E2A" w14:textId="66E07FDC" w:rsidR="003E7E51" w:rsidRPr="00735452" w:rsidRDefault="00EA083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7A092ECD" w14:textId="77777777" w:rsidR="003E7E51" w:rsidRPr="00735452" w:rsidRDefault="003E7E51">
            <w:pPr>
              <w:spacing w:after="0" w:line="240" w:lineRule="auto"/>
              <w:rPr>
                <w:rFonts w:ascii="Times New Roman" w:hAnsi="Times New Roman" w:cs="Times New Roman"/>
                <w:sz w:val="20"/>
                <w:szCs w:val="20"/>
                <w:lang w:val="sq-AL"/>
              </w:rPr>
            </w:pPr>
          </w:p>
        </w:tc>
      </w:tr>
      <w:tr w:rsidR="00606432" w:rsidRPr="00735452" w14:paraId="2AC51275" w14:textId="77777777" w:rsidTr="004D61BC">
        <w:trPr>
          <w:gridAfter w:val="1"/>
          <w:wAfter w:w="14" w:type="dxa"/>
        </w:trPr>
        <w:tc>
          <w:tcPr>
            <w:tcW w:w="800" w:type="dxa"/>
            <w:tcBorders>
              <w:left w:val="single" w:sz="12" w:space="0" w:color="auto"/>
            </w:tcBorders>
          </w:tcPr>
          <w:p w14:paraId="5EFFD190"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Neni 21</w:t>
            </w:r>
          </w:p>
          <w:p w14:paraId="17176412"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7766C972" w14:textId="77777777" w:rsidR="00606432" w:rsidRPr="00735452" w:rsidRDefault="00606432" w:rsidP="00606432">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mbrojtjen e investitorëve duke kërkuar që institucionet e kreditit që emetojnë obligacione të mbuluara t’u raportojnë autoriteteve kompetente të përcaktuara sipas nenit 18, paragrafi 2, informacionin e përcaktuar në paragrafin 2 lidhur me programet e obligacioneve të mbuluara. Ky raportim kryhet në baza të rregullta, si dhe me kërkesë të këtyre autoriteteve kompetente. Shtetet anëtare përcaktojnë rregulla për shpeshtësinë e këtij raportimi të rregullt.</w:t>
            </w:r>
          </w:p>
        </w:tc>
        <w:tc>
          <w:tcPr>
            <w:tcW w:w="624" w:type="dxa"/>
            <w:tcBorders>
              <w:left w:val="single" w:sz="12" w:space="0" w:color="auto"/>
            </w:tcBorders>
          </w:tcPr>
          <w:p w14:paraId="3D4B227C" w14:textId="68C902C2" w:rsidR="00606432" w:rsidRPr="00735452" w:rsidRDefault="006356F0" w:rsidP="00606432">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0676C37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28, pika 1</w:t>
            </w:r>
          </w:p>
        </w:tc>
        <w:tc>
          <w:tcPr>
            <w:tcW w:w="5130" w:type="dxa"/>
          </w:tcPr>
          <w:p w14:paraId="15368773"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Institucionet e kreditit që emetojnë obligacione të mbuluara i paraqesin rregullisht Autoritetit çdo 6 muaj apo sa herë kërkohet, raporte që përmbajnë informacionin e përcaktuar në pikën 2 të këtij neni, mbi programet e obligacioneve të mbuluara.</w:t>
            </w:r>
          </w:p>
        </w:tc>
        <w:tc>
          <w:tcPr>
            <w:tcW w:w="1440" w:type="dxa"/>
          </w:tcPr>
          <w:p w14:paraId="67F715F9" w14:textId="7201AA8B" w:rsidR="003E7E51" w:rsidRPr="00735452" w:rsidRDefault="004E641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D12F170" w14:textId="77777777" w:rsidR="003E7E51" w:rsidRPr="00735452" w:rsidRDefault="003E7E51">
            <w:pPr>
              <w:spacing w:after="0" w:line="240" w:lineRule="auto"/>
              <w:rPr>
                <w:rFonts w:ascii="Times New Roman" w:hAnsi="Times New Roman" w:cs="Times New Roman"/>
                <w:sz w:val="20"/>
                <w:szCs w:val="20"/>
                <w:lang w:val="sq-AL"/>
              </w:rPr>
            </w:pPr>
          </w:p>
        </w:tc>
      </w:tr>
      <w:tr w:rsidR="00442FA1" w:rsidRPr="00735452" w14:paraId="37B2989F" w14:textId="77777777" w:rsidTr="004D61BC">
        <w:trPr>
          <w:gridAfter w:val="1"/>
          <w:wAfter w:w="14" w:type="dxa"/>
        </w:trPr>
        <w:tc>
          <w:tcPr>
            <w:tcW w:w="800" w:type="dxa"/>
            <w:tcBorders>
              <w:left w:val="single" w:sz="12" w:space="0" w:color="auto"/>
            </w:tcBorders>
          </w:tcPr>
          <w:p w14:paraId="6561D1E4"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74BE0B4A"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Detyrimet e raportimit që përcaktohen sipas paragrafit 1 kërkojnë që informacioni që duhet të jepet të përfshijë të paktën informacion për sa vijon:</w:t>
            </w:r>
          </w:p>
          <w:p w14:paraId="39C41290"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w:t>
            </w:r>
            <w:proofErr w:type="spellStart"/>
            <w:r w:rsidRPr="00735452">
              <w:rPr>
                <w:rFonts w:ascii="Times New Roman" w:eastAsia="Times New Roman" w:hAnsi="Times New Roman" w:cs="Times New Roman"/>
                <w:sz w:val="20"/>
                <w:szCs w:val="20"/>
                <w:lang w:val="sq-AL"/>
              </w:rPr>
              <w:t>pranueshmërinë</w:t>
            </w:r>
            <w:proofErr w:type="spellEnd"/>
            <w:r w:rsidRPr="00735452">
              <w:rPr>
                <w:rFonts w:ascii="Times New Roman" w:eastAsia="Times New Roman" w:hAnsi="Times New Roman" w:cs="Times New Roman"/>
                <w:sz w:val="20"/>
                <w:szCs w:val="20"/>
                <w:lang w:val="sq-AL"/>
              </w:rPr>
              <w:t xml:space="preserve"> e aktiveve dhe kërkesat për portofolin e mbulimit në përputhje me nenet 6 deri në 11;</w:t>
            </w:r>
          </w:p>
          <w:p w14:paraId="320901BE"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ndarjen e aktiveve mbuluese në përputhje me nenin 12;</w:t>
            </w:r>
          </w:p>
          <w:p w14:paraId="1E94B14A"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kur është e zbatueshme, funksionimin e monitoruesit të portofolit të mbulimit në përputhje me nenin 13;</w:t>
            </w:r>
          </w:p>
          <w:p w14:paraId="49622080"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kërkesat e mbulimit në përputhje me nenin 15;</w:t>
            </w:r>
          </w:p>
          <w:p w14:paraId="5485A651" w14:textId="77777777" w:rsidR="00442FA1" w:rsidRPr="00735452" w:rsidRDefault="00442FA1" w:rsidP="00442FA1">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(e) rezervën e likuiditetit të portofolit të mbulimit në përputhje me nenin 16;</w:t>
            </w:r>
          </w:p>
          <w:p w14:paraId="264A46C5" w14:textId="77777777" w:rsidR="00442FA1" w:rsidRPr="00735452" w:rsidRDefault="00442FA1" w:rsidP="00442FA1">
            <w:pPr>
              <w:spacing w:after="0" w:line="240" w:lineRule="auto"/>
              <w:ind w:left="114"/>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(f) kur është e zbatueshme, kushtet për strukturat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xml:space="preserve"> në përputhje me nenin 17.</w:t>
            </w:r>
          </w:p>
        </w:tc>
        <w:tc>
          <w:tcPr>
            <w:tcW w:w="624" w:type="dxa"/>
            <w:tcBorders>
              <w:left w:val="single" w:sz="12" w:space="0" w:color="auto"/>
            </w:tcBorders>
          </w:tcPr>
          <w:p w14:paraId="0A89C923" w14:textId="5443E64C" w:rsidR="00442FA1" w:rsidRPr="00735452" w:rsidRDefault="006356F0" w:rsidP="00442FA1">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2F607D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28, pika 2</w:t>
            </w:r>
          </w:p>
        </w:tc>
        <w:tc>
          <w:tcPr>
            <w:tcW w:w="5130" w:type="dxa"/>
          </w:tcPr>
          <w:p w14:paraId="139707C4" w14:textId="651653C5"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Raportet që i paraqiten Autoritetit përfshijnë të paktën informacion mbi sa vijon:</w:t>
            </w:r>
            <w:r w:rsidRPr="00735452">
              <w:rPr>
                <w:rFonts w:ascii="Times New Roman" w:eastAsia="Times New Roman" w:hAnsi="Times New Roman" w:cs="Times New Roman"/>
                <w:sz w:val="20"/>
                <w:szCs w:val="20"/>
                <w:lang w:val="sq-AL"/>
              </w:rPr>
              <w:br/>
              <w:t xml:space="preserve">a) </w:t>
            </w:r>
            <w:proofErr w:type="spellStart"/>
            <w:r w:rsidRPr="00735452">
              <w:rPr>
                <w:rFonts w:ascii="Times New Roman" w:eastAsia="Times New Roman" w:hAnsi="Times New Roman" w:cs="Times New Roman"/>
                <w:sz w:val="20"/>
                <w:szCs w:val="20"/>
                <w:lang w:val="sq-AL"/>
              </w:rPr>
              <w:t>pranueshmërinë</w:t>
            </w:r>
            <w:proofErr w:type="spellEnd"/>
            <w:r w:rsidRPr="00735452">
              <w:rPr>
                <w:rFonts w:ascii="Times New Roman" w:eastAsia="Times New Roman" w:hAnsi="Times New Roman" w:cs="Times New Roman"/>
                <w:sz w:val="20"/>
                <w:szCs w:val="20"/>
                <w:lang w:val="sq-AL"/>
              </w:rPr>
              <w:t xml:space="preserve"> e aktiveve dhe kërkesat për grupin e mbulimit në përputhje me nenet </w:t>
            </w:r>
            <w:r w:rsidR="00990612">
              <w:rPr>
                <w:rFonts w:ascii="Times New Roman" w:eastAsia="Times New Roman" w:hAnsi="Times New Roman" w:cs="Times New Roman"/>
                <w:sz w:val="20"/>
                <w:szCs w:val="20"/>
                <w:lang w:val="sq-AL"/>
              </w:rPr>
              <w:t>6</w:t>
            </w:r>
            <w:r w:rsidRPr="00735452">
              <w:rPr>
                <w:rFonts w:ascii="Times New Roman" w:eastAsia="Times New Roman" w:hAnsi="Times New Roman" w:cs="Times New Roman"/>
                <w:sz w:val="20"/>
                <w:szCs w:val="20"/>
                <w:lang w:val="sq-AL"/>
              </w:rPr>
              <w:t xml:space="preserve"> deri në </w:t>
            </w:r>
            <w:r w:rsidR="00990612">
              <w:rPr>
                <w:rFonts w:ascii="Times New Roman" w:eastAsia="Times New Roman" w:hAnsi="Times New Roman" w:cs="Times New Roman"/>
                <w:sz w:val="20"/>
                <w:szCs w:val="20"/>
                <w:lang w:val="sq-AL"/>
              </w:rPr>
              <w:t>10</w:t>
            </w:r>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 xml:space="preserve">b) </w:t>
            </w:r>
            <w:r w:rsidR="00EA134C">
              <w:rPr>
                <w:rFonts w:ascii="Times New Roman" w:eastAsia="Times New Roman" w:hAnsi="Times New Roman" w:cs="Times New Roman"/>
                <w:sz w:val="20"/>
                <w:szCs w:val="20"/>
                <w:lang w:val="sq-AL"/>
              </w:rPr>
              <w:t>veçimin</w:t>
            </w:r>
            <w:r w:rsidRPr="00735452">
              <w:rPr>
                <w:rFonts w:ascii="Times New Roman" w:eastAsia="Times New Roman" w:hAnsi="Times New Roman" w:cs="Times New Roman"/>
                <w:sz w:val="20"/>
                <w:szCs w:val="20"/>
                <w:lang w:val="sq-AL"/>
              </w:rPr>
              <w:t xml:space="preserve"> e aktiveve të mbulimit në përputhje me nenin 11;</w:t>
            </w:r>
            <w:r w:rsidRPr="00735452">
              <w:rPr>
                <w:rFonts w:ascii="Times New Roman" w:eastAsia="Times New Roman" w:hAnsi="Times New Roman" w:cs="Times New Roman"/>
                <w:sz w:val="20"/>
                <w:szCs w:val="20"/>
                <w:lang w:val="sq-AL"/>
              </w:rPr>
              <w:br/>
              <w:t>c) funksionimin e monitoruesit të grupit të mbulimit në përputhje me nenin 13;</w:t>
            </w:r>
            <w:r w:rsidRPr="00735452">
              <w:rPr>
                <w:rFonts w:ascii="Times New Roman" w:eastAsia="Times New Roman" w:hAnsi="Times New Roman" w:cs="Times New Roman"/>
                <w:sz w:val="20"/>
                <w:szCs w:val="20"/>
                <w:lang w:val="sq-AL"/>
              </w:rPr>
              <w:br/>
              <w:t>ç) kërkesat për mbulim në përputhje me nenin 16;</w:t>
            </w:r>
            <w:r w:rsidRPr="00735452">
              <w:rPr>
                <w:rFonts w:ascii="Times New Roman" w:eastAsia="Times New Roman" w:hAnsi="Times New Roman" w:cs="Times New Roman"/>
                <w:sz w:val="20"/>
                <w:szCs w:val="20"/>
                <w:lang w:val="sq-AL"/>
              </w:rPr>
              <w:br/>
              <w:t>d) rezervën e likuiditetit të grupit të mbulimit në përputhje me nenin 17;</w:t>
            </w:r>
            <w:r w:rsidRPr="00735452">
              <w:rPr>
                <w:rFonts w:ascii="Times New Roman" w:eastAsia="Times New Roman" w:hAnsi="Times New Roman" w:cs="Times New Roman"/>
                <w:sz w:val="20"/>
                <w:szCs w:val="20"/>
                <w:lang w:val="sq-AL"/>
              </w:rPr>
              <w:br/>
              <w:t xml:space="preserve">dh) kushtet për strukturat me zgjatje të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në përputhje me nenin 18.</w:t>
            </w:r>
          </w:p>
        </w:tc>
        <w:tc>
          <w:tcPr>
            <w:tcW w:w="1440" w:type="dxa"/>
          </w:tcPr>
          <w:p w14:paraId="2411A313" w14:textId="0F416836" w:rsidR="003E7E51" w:rsidRPr="00735452" w:rsidRDefault="004E641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3A9E492"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684A29A5" w14:textId="77777777" w:rsidTr="004D61BC">
        <w:trPr>
          <w:gridAfter w:val="1"/>
          <w:wAfter w:w="14" w:type="dxa"/>
        </w:trPr>
        <w:tc>
          <w:tcPr>
            <w:tcW w:w="800" w:type="dxa"/>
            <w:tcBorders>
              <w:left w:val="single" w:sz="12" w:space="0" w:color="auto"/>
            </w:tcBorders>
          </w:tcPr>
          <w:p w14:paraId="5995CE99"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63239E52"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parashikojnë rregulla për informacionin që duhet të sigurohet sipas paragrafit 2 nga institucionet e kreditit që emetojnë obligacione të mbuluara te autoritetet kompetente të përcaktuara sipas nenit 18, paragrafi 2, në rast falimentimi ose zgjidhjeje të një institucioni krediti që emeton obligacione të mbuluara.</w:t>
            </w:r>
          </w:p>
        </w:tc>
        <w:tc>
          <w:tcPr>
            <w:tcW w:w="624" w:type="dxa"/>
            <w:tcBorders>
              <w:left w:val="single" w:sz="12" w:space="0" w:color="auto"/>
            </w:tcBorders>
          </w:tcPr>
          <w:p w14:paraId="687D885A" w14:textId="6961C21D" w:rsidR="00787224" w:rsidRPr="00735452" w:rsidRDefault="006356F0"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2E4D95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28, pikat 3-5</w:t>
            </w:r>
          </w:p>
        </w:tc>
        <w:tc>
          <w:tcPr>
            <w:tcW w:w="5130" w:type="dxa"/>
          </w:tcPr>
          <w:p w14:paraId="10737125"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Autoriteti, mund të përcaktojë rregulla më të detajuara lidhur me çdo informacion shtesë që duhet të paraqitet nga institucionet e kreditit që emetojnë obligacione të mbuluara.</w:t>
            </w:r>
            <w:r w:rsidRPr="00735452">
              <w:rPr>
                <w:rFonts w:ascii="Times New Roman" w:eastAsia="Times New Roman" w:hAnsi="Times New Roman" w:cs="Times New Roman"/>
                <w:sz w:val="20"/>
                <w:szCs w:val="20"/>
                <w:lang w:val="sq-AL"/>
              </w:rPr>
              <w:br/>
              <w:t xml:space="preserve">4.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apo ndërhyrjes së jashtëzakonshme, institucioni i kreditit emetues duhet t'i paraqesë Autoritetit çdo informacion që lidhet me mbrojtjen </w:t>
            </w:r>
            <w:r w:rsidRPr="00735452">
              <w:rPr>
                <w:rFonts w:ascii="Times New Roman" w:eastAsia="Times New Roman" w:hAnsi="Times New Roman" w:cs="Times New Roman"/>
                <w:sz w:val="20"/>
                <w:szCs w:val="20"/>
                <w:lang w:val="sq-AL"/>
              </w:rPr>
              <w:lastRenderedPageBreak/>
              <w:t xml:space="preserve">e investitorëve në obligacione të mbuluara dhe realizimin e të drejtave të tyre.  Autoriteti  përcakton rregulla lidhur me informacionin që i paraqitet në përputhje me pikën 2 të këtij neni, në rast të paaftësisë </w:t>
            </w:r>
            <w:proofErr w:type="spellStart"/>
            <w:r w:rsidRPr="00735452">
              <w:rPr>
                <w:rFonts w:ascii="Times New Roman" w:eastAsia="Times New Roman" w:hAnsi="Times New Roman" w:cs="Times New Roman"/>
                <w:sz w:val="20"/>
                <w:szCs w:val="20"/>
                <w:lang w:val="sq-AL"/>
              </w:rPr>
              <w:t>paguese</w:t>
            </w:r>
            <w:proofErr w:type="spellEnd"/>
            <w:r w:rsidRPr="00735452">
              <w:rPr>
                <w:rFonts w:ascii="Times New Roman" w:eastAsia="Times New Roman" w:hAnsi="Times New Roman" w:cs="Times New Roman"/>
                <w:sz w:val="20"/>
                <w:szCs w:val="20"/>
                <w:lang w:val="sq-AL"/>
              </w:rPr>
              <w:t xml:space="preserve"> ose të ndërhyrjes së jashtëzakonshme ndaj një institucioni krediti që emeton obligacione të mbuluara. Nuk konsiderohet se emetuesi shkel detyrimin për ruajtjen e sekretit bankar sekretit tregtar, detyrimin për mbrojtjen e të dhënave personale apo çdo detyrim tjetër për ruajtjen e </w:t>
            </w:r>
            <w:proofErr w:type="spellStart"/>
            <w:r w:rsidRPr="00735452">
              <w:rPr>
                <w:rFonts w:ascii="Times New Roman" w:eastAsia="Times New Roman" w:hAnsi="Times New Roman" w:cs="Times New Roman"/>
                <w:sz w:val="20"/>
                <w:szCs w:val="20"/>
                <w:lang w:val="sq-AL"/>
              </w:rPr>
              <w:t>konfidencialitetit</w:t>
            </w:r>
            <w:proofErr w:type="spellEnd"/>
            <w:r w:rsidRPr="00735452">
              <w:rPr>
                <w:rFonts w:ascii="Times New Roman" w:eastAsia="Times New Roman" w:hAnsi="Times New Roman" w:cs="Times New Roman"/>
                <w:sz w:val="20"/>
                <w:szCs w:val="20"/>
                <w:lang w:val="sq-AL"/>
              </w:rPr>
              <w:t xml:space="preserve">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pavarësisht nëse këto detyrime burojnë nga ligji, kontrata ose çdo bazë tjetër juridike, në rast se informacioni lidhet me grupin e mbulimit dhe i zbulohet Autoritetit, personave të caktuar prej tij, si dhe:</w:t>
            </w:r>
            <w:r w:rsidRPr="00735452">
              <w:rPr>
                <w:rFonts w:ascii="Times New Roman" w:eastAsia="Times New Roman" w:hAnsi="Times New Roman" w:cs="Times New Roman"/>
                <w:sz w:val="20"/>
                <w:szCs w:val="20"/>
                <w:lang w:val="sq-AL"/>
              </w:rPr>
              <w:br/>
              <w:t>a) një institucioni krediti në kuadër të një procedure në të cilën një institucion tjetër krediti shqyrton mundësinë e përvetësimit të grupit të mbulimit në përputhje me këtë ligj, përfshirë këshilltarët e pavarur të atij institucioni;</w:t>
            </w:r>
            <w:r w:rsidRPr="00735452">
              <w:rPr>
                <w:rFonts w:ascii="Times New Roman" w:eastAsia="Times New Roman" w:hAnsi="Times New Roman" w:cs="Times New Roman"/>
                <w:sz w:val="20"/>
                <w:szCs w:val="20"/>
                <w:lang w:val="sq-AL"/>
              </w:rPr>
              <w:br/>
              <w:t>b) monitoruesi i grupit të mbulimit dhe administratori i posaçëm;</w:t>
            </w:r>
            <w:r w:rsidRPr="00735452">
              <w:rPr>
                <w:rFonts w:ascii="Times New Roman" w:eastAsia="Times New Roman" w:hAnsi="Times New Roman" w:cs="Times New Roman"/>
                <w:sz w:val="20"/>
                <w:szCs w:val="20"/>
                <w:lang w:val="sq-AL"/>
              </w:rPr>
              <w:br/>
              <w:t xml:space="preserve">c) </w:t>
            </w:r>
            <w:proofErr w:type="spellStart"/>
            <w:r w:rsidRPr="00735452">
              <w:rPr>
                <w:rFonts w:ascii="Times New Roman" w:eastAsia="Times New Roman" w:hAnsi="Times New Roman" w:cs="Times New Roman"/>
                <w:sz w:val="20"/>
                <w:szCs w:val="20"/>
                <w:lang w:val="sq-AL"/>
              </w:rPr>
              <w:t>audituesve</w:t>
            </w:r>
            <w:proofErr w:type="spellEnd"/>
            <w:r w:rsidRPr="00735452">
              <w:rPr>
                <w:rFonts w:ascii="Times New Roman" w:eastAsia="Times New Roman" w:hAnsi="Times New Roman" w:cs="Times New Roman"/>
                <w:sz w:val="20"/>
                <w:szCs w:val="20"/>
                <w:lang w:val="sq-AL"/>
              </w:rPr>
              <w:t xml:space="preserve"> dhe vlerësuesve të autorizuar të aktiveve.</w:t>
            </w:r>
            <w:r w:rsidRPr="00735452">
              <w:rPr>
                <w:rFonts w:ascii="Times New Roman" w:eastAsia="Times New Roman" w:hAnsi="Times New Roman" w:cs="Times New Roman"/>
                <w:sz w:val="20"/>
                <w:szCs w:val="20"/>
                <w:lang w:val="sq-AL"/>
              </w:rPr>
              <w:br/>
              <w:t xml:space="preserve">5. Personat që, sipas paragrafit 4 të këtij neni, vihen në dijeni të informacioneve që përbëjnë sekret bankar ose sekret tregtar, si dhe personat që vihen në dijeni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personale të debitorëve, janë të detyruar t'i trajtojnë këto informacione si </w:t>
            </w:r>
            <w:proofErr w:type="spellStart"/>
            <w:r w:rsidRPr="00735452">
              <w:rPr>
                <w:rFonts w:ascii="Times New Roman" w:eastAsia="Times New Roman" w:hAnsi="Times New Roman" w:cs="Times New Roman"/>
                <w:sz w:val="20"/>
                <w:szCs w:val="20"/>
                <w:lang w:val="sq-AL"/>
              </w:rPr>
              <w:t>konfidenciale</w:t>
            </w:r>
            <w:proofErr w:type="spellEnd"/>
            <w:r w:rsidRPr="00735452">
              <w:rPr>
                <w:rFonts w:ascii="Times New Roman" w:eastAsia="Times New Roman" w:hAnsi="Times New Roman" w:cs="Times New Roman"/>
                <w:sz w:val="20"/>
                <w:szCs w:val="20"/>
                <w:lang w:val="sq-AL"/>
              </w:rPr>
              <w:t>, në përputhje me rregullat që zbatohen për sekretin bankar ose sekretin tregtar dhe me legjislacionin për mbrojtjen e të dhënave personale.</w:t>
            </w:r>
          </w:p>
        </w:tc>
        <w:tc>
          <w:tcPr>
            <w:tcW w:w="1440" w:type="dxa"/>
          </w:tcPr>
          <w:p w14:paraId="37C8604C" w14:textId="620E4678" w:rsidR="003E7E51" w:rsidRPr="00735452" w:rsidRDefault="004E641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1D2324DE"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4BD9E177" w14:textId="77777777" w:rsidTr="004D61BC">
        <w:trPr>
          <w:gridAfter w:val="1"/>
          <w:wAfter w:w="14" w:type="dxa"/>
        </w:trPr>
        <w:tc>
          <w:tcPr>
            <w:tcW w:w="800" w:type="dxa"/>
            <w:tcBorders>
              <w:left w:val="single" w:sz="12" w:space="0" w:color="auto"/>
            </w:tcBorders>
          </w:tcPr>
          <w:p w14:paraId="002C8659"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22</w:t>
            </w:r>
          </w:p>
          <w:p w14:paraId="472AAAEC"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4AEBE81E"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mbrojtjen e investitorëve duke u dhënë autoriteteve kompetente të përcaktuara sipas nenit 18, paragrafi 2, të gjitha kompetencat mbikëqyrëse, hetimore dhe sanksionuese që janë të nevojshme për të kryer detyrën e mbikëqyrjes publike të obligacioneve të mbuluara.</w:t>
            </w:r>
          </w:p>
        </w:tc>
        <w:tc>
          <w:tcPr>
            <w:tcW w:w="624" w:type="dxa"/>
            <w:tcBorders>
              <w:left w:val="single" w:sz="12" w:space="0" w:color="auto"/>
            </w:tcBorders>
          </w:tcPr>
          <w:p w14:paraId="57349A98" w14:textId="56251C55" w:rsidR="00787224" w:rsidRPr="00735452" w:rsidRDefault="00094DF3"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81B8EF1"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29, pika 1</w:t>
            </w:r>
          </w:p>
        </w:tc>
        <w:tc>
          <w:tcPr>
            <w:tcW w:w="5130" w:type="dxa"/>
          </w:tcPr>
          <w:p w14:paraId="74475F3B"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Për garantimin e mbrojtjes së investitorëve, Autoriteti, në cilësinë e autoritetit përgjegjës për mbikëqyrjen publike të obligacioneve të mbuluara, ushtron të gjitha kompetencat mbikëqyrëse, hetimore dhe sanksionuese të nevojshme për përmbushjen e detyrave të tij sipas këtij ligji.</w:t>
            </w:r>
          </w:p>
        </w:tc>
        <w:tc>
          <w:tcPr>
            <w:tcW w:w="1440" w:type="dxa"/>
          </w:tcPr>
          <w:p w14:paraId="711D56A9" w14:textId="4CAECA04" w:rsidR="003E7E51" w:rsidRPr="00735452" w:rsidRDefault="004E641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D9297E5"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3F7ECC7A" w14:textId="77777777" w:rsidTr="004D61BC">
        <w:trPr>
          <w:gridAfter w:val="1"/>
          <w:wAfter w:w="14" w:type="dxa"/>
        </w:trPr>
        <w:tc>
          <w:tcPr>
            <w:tcW w:w="800" w:type="dxa"/>
            <w:tcBorders>
              <w:left w:val="single" w:sz="12" w:space="0" w:color="auto"/>
            </w:tcBorders>
          </w:tcPr>
          <w:p w14:paraId="00AB71B1"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4C355683"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Kompetencat e përmendura në paragrafin 1 përfshijnë të paktën sa vijon:</w:t>
            </w:r>
          </w:p>
          <w:p w14:paraId="3544B6CF"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kompetencën për të dhënë ose refuzuar lejen sipas nenit 19;</w:t>
            </w:r>
          </w:p>
          <w:p w14:paraId="2825F2A0"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kompetencën për të shqyrtuar rregullisht programin e obligacioneve të mbuluara me qëllim vlerësimin e pajtueshmërisë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w:t>
            </w:r>
          </w:p>
          <w:p w14:paraId="52D9AC48"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(c) kompetencën për të kryer inspektime në vend dhe jashtë vendit;</w:t>
            </w:r>
          </w:p>
          <w:p w14:paraId="03B31CED"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kompetencën për të vendosur sanksione administrative dhe masa të tjera administrative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23;</w:t>
            </w:r>
          </w:p>
          <w:p w14:paraId="0969709D"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(e) kompetencën për të miratuar dhe zbatuar udhëzime mbikëqyrëse në lidhje me emetimin e obligacioneve të mbuluara.</w:t>
            </w:r>
          </w:p>
        </w:tc>
        <w:tc>
          <w:tcPr>
            <w:tcW w:w="624" w:type="dxa"/>
            <w:tcBorders>
              <w:left w:val="single" w:sz="12" w:space="0" w:color="auto"/>
            </w:tcBorders>
          </w:tcPr>
          <w:p w14:paraId="2D11F993" w14:textId="570490F6" w:rsidR="00787224" w:rsidRPr="00735452" w:rsidRDefault="00094DF3"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25A03B4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29, pikat 2-4; Nenet 24 dhe 41</w:t>
            </w:r>
          </w:p>
        </w:tc>
        <w:tc>
          <w:tcPr>
            <w:tcW w:w="5130" w:type="dxa"/>
          </w:tcPr>
          <w:p w14:paraId="0F0E88C2" w14:textId="3E652E50"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29</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2. Kompetencat e përcaktuara në pikën 1, të këtij neni përfshijnë, të paktën:</w:t>
            </w:r>
            <w:r w:rsidRPr="00735452">
              <w:rPr>
                <w:rFonts w:ascii="Times New Roman" w:eastAsia="Times New Roman" w:hAnsi="Times New Roman" w:cs="Times New Roman"/>
                <w:sz w:val="20"/>
                <w:szCs w:val="20"/>
                <w:lang w:val="sq-AL"/>
              </w:rPr>
              <w:br/>
              <w:t>a) të drejtën për të miratuar ose refuzuar miratimin e programit të obligacioneve të mbuluara në përputhje me këtë ligj;</w:t>
            </w:r>
            <w:r w:rsidRPr="00735452">
              <w:rPr>
                <w:rFonts w:ascii="Times New Roman" w:eastAsia="Times New Roman" w:hAnsi="Times New Roman" w:cs="Times New Roman"/>
                <w:sz w:val="20"/>
                <w:szCs w:val="20"/>
                <w:lang w:val="sq-AL"/>
              </w:rPr>
              <w:br/>
              <w:t xml:space="preserve">b) të drejtën për të rishikuar në mënyrë periodike programin </w:t>
            </w:r>
            <w:r w:rsidRPr="00735452">
              <w:rPr>
                <w:rFonts w:ascii="Times New Roman" w:eastAsia="Times New Roman" w:hAnsi="Times New Roman" w:cs="Times New Roman"/>
                <w:sz w:val="20"/>
                <w:szCs w:val="20"/>
                <w:lang w:val="sq-AL"/>
              </w:rPr>
              <w:lastRenderedPageBreak/>
              <w:t>e obligacioneve të mbuluara, me qëllim vlerësimin e përputhshmërisë së tij me këtë ligj dhe aktet nënligjore të nxjerra në zbatim të tij;</w:t>
            </w:r>
            <w:r w:rsidRPr="00735452">
              <w:rPr>
                <w:rFonts w:ascii="Times New Roman" w:eastAsia="Times New Roman" w:hAnsi="Times New Roman" w:cs="Times New Roman"/>
                <w:sz w:val="20"/>
                <w:szCs w:val="20"/>
                <w:lang w:val="sq-AL"/>
              </w:rPr>
              <w:br/>
              <w:t>c) të drejtën për të kryer mbikëqyrje në vend (</w:t>
            </w:r>
            <w:proofErr w:type="spellStart"/>
            <w:r w:rsidRPr="00735452">
              <w:rPr>
                <w:rFonts w:ascii="Times New Roman" w:eastAsia="Times New Roman" w:hAnsi="Times New Roman" w:cs="Times New Roman"/>
                <w:sz w:val="20"/>
                <w:szCs w:val="20"/>
                <w:lang w:val="sq-AL"/>
              </w:rPr>
              <w:t>on</w:t>
            </w:r>
            <w:proofErr w:type="spellEnd"/>
            <w:r w:rsidRPr="00735452">
              <w:rPr>
                <w:rFonts w:ascii="Times New Roman" w:eastAsia="Times New Roman" w:hAnsi="Times New Roman" w:cs="Times New Roman"/>
                <w:sz w:val="20"/>
                <w:szCs w:val="20"/>
                <w:lang w:val="sq-AL"/>
              </w:rPr>
              <w:t>-site) dhe mbikëqyrje në distancë (</w:t>
            </w:r>
            <w:proofErr w:type="spellStart"/>
            <w:r w:rsidRPr="00735452">
              <w:rPr>
                <w:rFonts w:ascii="Times New Roman" w:eastAsia="Times New Roman" w:hAnsi="Times New Roman" w:cs="Times New Roman"/>
                <w:sz w:val="20"/>
                <w:szCs w:val="20"/>
                <w:lang w:val="sq-AL"/>
              </w:rPr>
              <w:t>off</w:t>
            </w:r>
            <w:proofErr w:type="spellEnd"/>
            <w:r w:rsidRPr="00735452">
              <w:rPr>
                <w:rFonts w:ascii="Times New Roman" w:eastAsia="Times New Roman" w:hAnsi="Times New Roman" w:cs="Times New Roman"/>
                <w:sz w:val="20"/>
                <w:szCs w:val="20"/>
                <w:lang w:val="sq-AL"/>
              </w:rPr>
              <w:t>-site);</w:t>
            </w:r>
            <w:r w:rsidRPr="00735452">
              <w:rPr>
                <w:rFonts w:ascii="Times New Roman" w:eastAsia="Times New Roman" w:hAnsi="Times New Roman" w:cs="Times New Roman"/>
                <w:sz w:val="20"/>
                <w:szCs w:val="20"/>
                <w:lang w:val="sq-AL"/>
              </w:rPr>
              <w:br/>
              <w:t>ç) të drejtën për të marrë masa mbikëqyrëse dhe vendosur sanksione administrative, në përputhje me këtë ligj dhe legjislacionin në fuqi përkatës;</w:t>
            </w:r>
            <w:r w:rsidRPr="00735452">
              <w:rPr>
                <w:rFonts w:ascii="Times New Roman" w:eastAsia="Times New Roman" w:hAnsi="Times New Roman" w:cs="Times New Roman"/>
                <w:sz w:val="20"/>
                <w:szCs w:val="20"/>
                <w:lang w:val="sq-AL"/>
              </w:rPr>
              <w:br/>
              <w:t>d) të drejtën për të miratuar dhe zbatuar udhëzime mbikëqyrëse në lidhje me emetimin e obligacioneve të mbuluara.</w:t>
            </w:r>
            <w:r w:rsidRPr="00735452">
              <w:rPr>
                <w:rFonts w:ascii="Times New Roman" w:eastAsia="Times New Roman" w:hAnsi="Times New Roman" w:cs="Times New Roman"/>
                <w:sz w:val="20"/>
                <w:szCs w:val="20"/>
                <w:lang w:val="sq-AL"/>
              </w:rPr>
              <w:br/>
              <w:t>3. Në ushtrimin e kompetencave të tij, Autoriteti bashkëpunon me Bankën e Shqipërisë, e cila, në përputhje me legjislacionin për institucionet e kreditit:</w:t>
            </w:r>
            <w:r w:rsidRPr="00735452">
              <w:rPr>
                <w:rFonts w:ascii="Times New Roman" w:eastAsia="Times New Roman" w:hAnsi="Times New Roman" w:cs="Times New Roman"/>
                <w:sz w:val="20"/>
                <w:szCs w:val="20"/>
                <w:lang w:val="sq-AL"/>
              </w:rPr>
              <w:br/>
              <w:t xml:space="preserve">a) kryen verifikime dhe vlerësime mbi gjendjen financiare, menaxhimin e rreziqeve dhe përmbushjen e kërkesave </w:t>
            </w:r>
            <w:proofErr w:type="spellStart"/>
            <w:r w:rsidRPr="00735452">
              <w:rPr>
                <w:rFonts w:ascii="Times New Roman" w:eastAsia="Times New Roman" w:hAnsi="Times New Roman" w:cs="Times New Roman"/>
                <w:sz w:val="20"/>
                <w:szCs w:val="20"/>
                <w:lang w:val="sq-AL"/>
              </w:rPr>
              <w:t>rregullatore</w:t>
            </w:r>
            <w:proofErr w:type="spellEnd"/>
            <w:r w:rsidRPr="00735452">
              <w:rPr>
                <w:rFonts w:ascii="Times New Roman" w:eastAsia="Times New Roman" w:hAnsi="Times New Roman" w:cs="Times New Roman"/>
                <w:sz w:val="20"/>
                <w:szCs w:val="20"/>
                <w:lang w:val="sq-AL"/>
              </w:rPr>
              <w:t xml:space="preserve"> nga emetuesi;</w:t>
            </w:r>
            <w:r w:rsidRPr="00735452">
              <w:rPr>
                <w:rFonts w:ascii="Times New Roman" w:eastAsia="Times New Roman" w:hAnsi="Times New Roman" w:cs="Times New Roman"/>
                <w:sz w:val="20"/>
                <w:szCs w:val="20"/>
                <w:lang w:val="sq-AL"/>
              </w:rPr>
              <w:br/>
              <w:t>b) vë në dispozicion të Autoritetit informacionin dhe të dhënat që disponon në kuadër të ushtrimit të kompetencave të saj mbikëqyrëse;</w:t>
            </w:r>
            <w:r w:rsidRPr="00735452">
              <w:rPr>
                <w:rFonts w:ascii="Times New Roman" w:eastAsia="Times New Roman" w:hAnsi="Times New Roman" w:cs="Times New Roman"/>
                <w:sz w:val="20"/>
                <w:szCs w:val="20"/>
                <w:lang w:val="sq-AL"/>
              </w:rPr>
              <w:br/>
              <w:t>c) njofton menjëherë Autoritetin për çdo rrethanë që mund të ndikojë në përputhshmërinë e emetuesit ose të programit të obligacioneve të mbuluara me këtë ligj.</w:t>
            </w:r>
            <w:r w:rsidRPr="00735452">
              <w:rPr>
                <w:rFonts w:ascii="Times New Roman" w:eastAsia="Times New Roman" w:hAnsi="Times New Roman" w:cs="Times New Roman"/>
                <w:sz w:val="20"/>
                <w:szCs w:val="20"/>
                <w:lang w:val="sq-AL"/>
              </w:rPr>
              <w:br/>
              <w:t>4. Autoriteti ushtron mbikëqyrje ndaj emetuesit, monitoruesit të grupit të mbulimit dhe administratorit të posaçëm, me qëllim verifikimin e përputhshmërisë së veprimtarisë së tyre me dispozitat e këtij ligji dhe aktet nënligjore të nxjerra në zbatim të tij. Në ushtrimin e kësaj kompetence, Autoriteti vepron në përputhje me legjislacionin që rregullon tregun e kapitalit dhe procedurat mbikëqyrëse në fuqi, si dhe në koordinim me Bankën e Shqipërisë, pa cenuar kompetencat e saj sipas legjislacionit që rregullon mbikëqyrjen e institucioneve të kreditit.</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24</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Autoriteti mund të revokojë miratimin e programit të obligacioneve të mbuluara nëse:</w:t>
            </w:r>
            <w:r w:rsidRPr="00735452">
              <w:rPr>
                <w:rFonts w:ascii="Times New Roman" w:eastAsia="Times New Roman" w:hAnsi="Times New Roman" w:cs="Times New Roman"/>
                <w:sz w:val="20"/>
                <w:szCs w:val="20"/>
                <w:lang w:val="sq-AL"/>
              </w:rPr>
              <w:br/>
              <w:t xml:space="preserve">a) gjatë paraqitjes së kërkesës për miratim, emetuesi ka paraqitur informacione ose dokumente të rreme ose keq </w:t>
            </w:r>
            <w:r w:rsidRPr="00735452">
              <w:rPr>
                <w:rFonts w:ascii="Times New Roman" w:eastAsia="Times New Roman" w:hAnsi="Times New Roman" w:cs="Times New Roman"/>
                <w:sz w:val="20"/>
                <w:szCs w:val="20"/>
                <w:lang w:val="sq-AL"/>
              </w:rPr>
              <w:lastRenderedPageBreak/>
              <w:t>orientuese;</w:t>
            </w:r>
            <w:r w:rsidRPr="00735452">
              <w:rPr>
                <w:rFonts w:ascii="Times New Roman" w:eastAsia="Times New Roman" w:hAnsi="Times New Roman" w:cs="Times New Roman"/>
                <w:sz w:val="20"/>
                <w:szCs w:val="20"/>
                <w:lang w:val="sq-AL"/>
              </w:rPr>
              <w:br/>
              <w:t>b) emetuesi nuk përmbush më kushtet për dhënien e miratimit të programit të obligacioneve të mbuluara;</w:t>
            </w:r>
            <w:r w:rsidRPr="00735452">
              <w:rPr>
                <w:rFonts w:ascii="Times New Roman" w:eastAsia="Times New Roman" w:hAnsi="Times New Roman" w:cs="Times New Roman"/>
                <w:sz w:val="20"/>
                <w:szCs w:val="20"/>
                <w:lang w:val="sq-AL"/>
              </w:rPr>
              <w:br/>
              <w:t>c) emetuesi ka shkelur në mënyrë të përsëritur ose thelbësore dispozitat e këtij ligji ose aktet nënligjore të nxjerra në zbatim të tij;</w:t>
            </w:r>
            <w:r w:rsidRPr="00735452">
              <w:rPr>
                <w:rFonts w:ascii="Times New Roman" w:eastAsia="Times New Roman" w:hAnsi="Times New Roman" w:cs="Times New Roman"/>
                <w:sz w:val="20"/>
                <w:szCs w:val="20"/>
                <w:lang w:val="sq-AL"/>
              </w:rPr>
              <w:br/>
              <w:t>ç) emetuesi, me veprimtarinë e tij, ka penguar ushtrimin e mbikëqyrjes nga Autoriteti;</w:t>
            </w:r>
            <w:r w:rsidRPr="00735452">
              <w:rPr>
                <w:rFonts w:ascii="Times New Roman" w:eastAsia="Times New Roman" w:hAnsi="Times New Roman" w:cs="Times New Roman"/>
                <w:sz w:val="20"/>
                <w:szCs w:val="20"/>
                <w:lang w:val="sq-AL"/>
              </w:rPr>
              <w:br/>
              <w:t>d) emetuesi nuk është në gjendje të përmbushë detyrimet financiare ose detyrime të tjera që lidhen me obligacionet e mbuluara, ose veprimtaria e tij cenon në mënyrë të ndjeshme interesat e investitorëve apo funksionimin e rregullt të tregut;</w:t>
            </w:r>
            <w:r w:rsidRPr="00735452">
              <w:rPr>
                <w:rFonts w:ascii="Times New Roman" w:eastAsia="Times New Roman" w:hAnsi="Times New Roman" w:cs="Times New Roman"/>
                <w:sz w:val="20"/>
                <w:szCs w:val="20"/>
                <w:lang w:val="sq-AL"/>
              </w:rPr>
              <w:br/>
              <w:t>dh) emetuesi nuk ka zbatuar brenda afatit ose në masën e kërkuar një urdhër ose masë të vendosur nga Autoriteti;</w:t>
            </w:r>
            <w:r w:rsidRPr="00735452">
              <w:rPr>
                <w:rFonts w:ascii="Times New Roman" w:eastAsia="Times New Roman" w:hAnsi="Times New Roman" w:cs="Times New Roman"/>
                <w:sz w:val="20"/>
                <w:szCs w:val="20"/>
                <w:lang w:val="sq-AL"/>
              </w:rPr>
              <w:br/>
              <w:t>e) emetuesi nuk ka kryer asnjë emetim të ri të obligacioneve të mbuluara brenda pesë viteve nga data e miratimit të programit ose nga shlyerja e plotë e të gjitha obligacioneve të mbuluara të emetuara më parë.</w:t>
            </w:r>
            <w:r w:rsidRPr="00735452">
              <w:rPr>
                <w:rFonts w:ascii="Times New Roman" w:eastAsia="Times New Roman" w:hAnsi="Times New Roman" w:cs="Times New Roman"/>
                <w:sz w:val="20"/>
                <w:szCs w:val="20"/>
                <w:lang w:val="sq-AL"/>
              </w:rPr>
              <w:br/>
              <w:t>2. Revokimi i miratimit të programit nuk ndikon në të drejtat dhe detyrimet që rrjedhin nga obligacionet e mbuluara të emetuara përpara datës së revokimit, por ndalon emetimet e reja në kuadër të programit.</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41</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 xml:space="preserve">1. Pa cenuar kompetencat mbikëqyrëse të Bankës së Shqipërisë dhe Autoritetit të Mbikëqyrjes Financiare sipas legjislacionit në fuqi, Autoriteti merr masa mbikëqyrëse dhe vendos sanksione, veçmas ose në mënyrë </w:t>
            </w:r>
            <w:proofErr w:type="spellStart"/>
            <w:r w:rsidRPr="00735452">
              <w:rPr>
                <w:rFonts w:ascii="Times New Roman" w:eastAsia="Times New Roman" w:hAnsi="Times New Roman" w:cs="Times New Roman"/>
                <w:sz w:val="20"/>
                <w:szCs w:val="20"/>
                <w:lang w:val="sq-AL"/>
              </w:rPr>
              <w:t>kumulative</w:t>
            </w:r>
            <w:proofErr w:type="spellEnd"/>
            <w:r w:rsidRPr="00735452">
              <w:rPr>
                <w:rFonts w:ascii="Times New Roman" w:eastAsia="Times New Roman" w:hAnsi="Times New Roman" w:cs="Times New Roman"/>
                <w:sz w:val="20"/>
                <w:szCs w:val="20"/>
                <w:lang w:val="sq-AL"/>
              </w:rPr>
              <w:t>, ndaj institucionit të kreditit emetues, anëtarëve të organit drejtues ose çdo personi tjetër përgjegjës, në rast se institucioni i krediti:</w:t>
            </w:r>
            <w:r w:rsidRPr="00735452">
              <w:rPr>
                <w:rFonts w:ascii="Times New Roman" w:eastAsia="Times New Roman" w:hAnsi="Times New Roman" w:cs="Times New Roman"/>
                <w:sz w:val="20"/>
                <w:szCs w:val="20"/>
                <w:lang w:val="sq-AL"/>
              </w:rPr>
              <w:br/>
              <w:t>a) është autorizuar për një program të obligacioneve të mbuluara bazuar në deklarata të rreme ose mënyrave të tjera të parregullta;</w:t>
            </w:r>
            <w:r w:rsidRPr="00735452">
              <w:rPr>
                <w:rFonts w:ascii="Times New Roman" w:eastAsia="Times New Roman" w:hAnsi="Times New Roman" w:cs="Times New Roman"/>
                <w:sz w:val="20"/>
                <w:szCs w:val="20"/>
                <w:lang w:val="sq-AL"/>
              </w:rPr>
              <w:br/>
              <w:t xml:space="preserve">b) nuk përmbush më kushtet mbi bazën e të cilave është dhënë </w:t>
            </w:r>
            <w:r w:rsidR="00447DE6">
              <w:rPr>
                <w:rFonts w:ascii="Times New Roman" w:eastAsia="Times New Roman" w:hAnsi="Times New Roman" w:cs="Times New Roman"/>
                <w:sz w:val="20"/>
                <w:szCs w:val="20"/>
                <w:lang w:val="sq-AL"/>
              </w:rPr>
              <w:t xml:space="preserve">miratimin </w:t>
            </w:r>
            <w:r w:rsidRPr="00735452">
              <w:rPr>
                <w:rFonts w:ascii="Times New Roman" w:eastAsia="Times New Roman" w:hAnsi="Times New Roman" w:cs="Times New Roman"/>
                <w:sz w:val="20"/>
                <w:szCs w:val="20"/>
                <w:lang w:val="sq-AL"/>
              </w:rPr>
              <w:t>për një program të obligacioneve të mbuluara;</w:t>
            </w:r>
            <w:r w:rsidRPr="00735452">
              <w:rPr>
                <w:rFonts w:ascii="Times New Roman" w:eastAsia="Times New Roman" w:hAnsi="Times New Roman" w:cs="Times New Roman"/>
                <w:sz w:val="20"/>
                <w:szCs w:val="20"/>
                <w:lang w:val="sq-AL"/>
              </w:rPr>
              <w:br/>
              <w:t xml:space="preserve">c) emeton obligacione të mbuluara pa marrë </w:t>
            </w:r>
            <w:r w:rsidR="00A37900">
              <w:rPr>
                <w:rFonts w:ascii="Times New Roman" w:eastAsia="Times New Roman" w:hAnsi="Times New Roman" w:cs="Times New Roman"/>
                <w:sz w:val="20"/>
                <w:szCs w:val="20"/>
                <w:lang w:val="sq-AL"/>
              </w:rPr>
              <w:t>miratimin</w:t>
            </w:r>
            <w:r w:rsidRPr="00735452">
              <w:rPr>
                <w:rFonts w:ascii="Times New Roman" w:eastAsia="Times New Roman" w:hAnsi="Times New Roman" w:cs="Times New Roman"/>
                <w:sz w:val="20"/>
                <w:szCs w:val="20"/>
                <w:lang w:val="sq-AL"/>
              </w:rPr>
              <w:t xml:space="preserve"> sipas nenit 21 të këtij ligji;</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ç) nuk përmbush kërkesat për aktive të pranueshme sipas përcaktimeve në nenin 6 të këtij ligji;</w:t>
            </w:r>
            <w:r w:rsidRPr="00735452">
              <w:rPr>
                <w:rFonts w:ascii="Times New Roman" w:eastAsia="Times New Roman" w:hAnsi="Times New Roman" w:cs="Times New Roman"/>
                <w:sz w:val="20"/>
                <w:szCs w:val="20"/>
                <w:lang w:val="sq-AL"/>
              </w:rPr>
              <w:br/>
              <w:t xml:space="preserve">d) emeton obligacione të mbuluara që nuk janë në përputhje me dispozitat e nenit </w:t>
            </w:r>
            <w:r w:rsidR="0044079B">
              <w:rPr>
                <w:rFonts w:ascii="Times New Roman" w:eastAsia="Times New Roman" w:hAnsi="Times New Roman" w:cs="Times New Roman"/>
                <w:sz w:val="20"/>
                <w:szCs w:val="20"/>
                <w:lang w:val="sq-AL"/>
              </w:rPr>
              <w:t>5</w:t>
            </w:r>
            <w:r w:rsidRPr="00735452">
              <w:rPr>
                <w:rFonts w:ascii="Times New Roman" w:eastAsia="Times New Roman" w:hAnsi="Times New Roman" w:cs="Times New Roman"/>
                <w:sz w:val="20"/>
                <w:szCs w:val="20"/>
                <w:lang w:val="sq-AL"/>
              </w:rPr>
              <w:t xml:space="preserve"> të këtij ligji;</w:t>
            </w:r>
            <w:r w:rsidRPr="00735452">
              <w:rPr>
                <w:rFonts w:ascii="Times New Roman" w:eastAsia="Times New Roman" w:hAnsi="Times New Roman" w:cs="Times New Roman"/>
                <w:sz w:val="20"/>
                <w:szCs w:val="20"/>
                <w:lang w:val="sq-AL"/>
              </w:rPr>
              <w:br/>
              <w:t>dh) përfshin obligacionet e mbuluara në një strukturë të përbashkët brenda grupit në kundërshtim me kërkesat e nenit 7 të këtij ligji;</w:t>
            </w:r>
            <w:r w:rsidRPr="00735452">
              <w:rPr>
                <w:rFonts w:ascii="Times New Roman" w:eastAsia="Times New Roman" w:hAnsi="Times New Roman" w:cs="Times New Roman"/>
                <w:sz w:val="20"/>
                <w:szCs w:val="20"/>
                <w:lang w:val="sq-AL"/>
              </w:rPr>
              <w:br/>
              <w:t>e) nuk përmbush kushtet për financimin e përbashkët të përcaktuara në nenin 8 të këtij ligji;</w:t>
            </w:r>
            <w:r w:rsidRPr="00735452">
              <w:rPr>
                <w:rFonts w:ascii="Times New Roman" w:eastAsia="Times New Roman" w:hAnsi="Times New Roman" w:cs="Times New Roman"/>
                <w:sz w:val="20"/>
                <w:szCs w:val="20"/>
                <w:lang w:val="sq-AL"/>
              </w:rPr>
              <w:br/>
              <w:t>ë) nuk përmbush kërkesat për përbërjen e grupit të mbulimit të përcaktuara në nenin 9 të këtij ligji;</w:t>
            </w:r>
            <w:r w:rsidRPr="00735452">
              <w:rPr>
                <w:rFonts w:ascii="Times New Roman" w:eastAsia="Times New Roman" w:hAnsi="Times New Roman" w:cs="Times New Roman"/>
                <w:sz w:val="20"/>
                <w:szCs w:val="20"/>
                <w:lang w:val="sq-AL"/>
              </w:rPr>
              <w:br/>
              <w:t xml:space="preserve">f) nuk përmbush kërkesat lidhur me kontratat </w:t>
            </w:r>
            <w:proofErr w:type="spellStart"/>
            <w:r w:rsidRPr="00735452">
              <w:rPr>
                <w:rFonts w:ascii="Times New Roman" w:eastAsia="Times New Roman" w:hAnsi="Times New Roman" w:cs="Times New Roman"/>
                <w:sz w:val="20"/>
                <w:szCs w:val="20"/>
                <w:lang w:val="sq-AL"/>
              </w:rPr>
              <w:t>derivativ</w:t>
            </w:r>
            <w:r w:rsidR="000F31FD">
              <w:rPr>
                <w:rFonts w:ascii="Times New Roman" w:eastAsia="Times New Roman" w:hAnsi="Times New Roman" w:cs="Times New Roman"/>
                <w:sz w:val="20"/>
                <w:szCs w:val="20"/>
                <w:lang w:val="sq-AL"/>
              </w:rPr>
              <w:t>e</w:t>
            </w:r>
            <w:proofErr w:type="spellEnd"/>
            <w:r w:rsidRPr="00735452">
              <w:rPr>
                <w:rFonts w:ascii="Times New Roman" w:eastAsia="Times New Roman" w:hAnsi="Times New Roman" w:cs="Times New Roman"/>
                <w:sz w:val="20"/>
                <w:szCs w:val="20"/>
                <w:lang w:val="sq-AL"/>
              </w:rPr>
              <w:t xml:space="preserve"> në grupin e mbulimit të përcaktuara në nenin 10 të këtij ligji;</w:t>
            </w:r>
            <w:r w:rsidRPr="00735452">
              <w:rPr>
                <w:rFonts w:ascii="Times New Roman" w:eastAsia="Times New Roman" w:hAnsi="Times New Roman" w:cs="Times New Roman"/>
                <w:sz w:val="20"/>
                <w:szCs w:val="20"/>
                <w:lang w:val="sq-AL"/>
              </w:rPr>
              <w:br/>
              <w:t>g) nuk përmbush kërkesat për ndarjen e aktiveve të mbulimit në përputhje me nenin 11 të këtij ligji;</w:t>
            </w:r>
            <w:r w:rsidRPr="00735452">
              <w:rPr>
                <w:rFonts w:ascii="Times New Roman" w:eastAsia="Times New Roman" w:hAnsi="Times New Roman" w:cs="Times New Roman"/>
                <w:sz w:val="20"/>
                <w:szCs w:val="20"/>
                <w:lang w:val="sq-AL"/>
              </w:rPr>
              <w:br/>
              <w:t>gj) nuk raporton informacion ose jep informacion të paplotë ose të pasaktë për investitorët në kundërshtim me nenin 14 të këtij ligji;</w:t>
            </w:r>
            <w:r w:rsidRPr="00735452">
              <w:rPr>
                <w:rFonts w:ascii="Times New Roman" w:eastAsia="Times New Roman" w:hAnsi="Times New Roman" w:cs="Times New Roman"/>
                <w:sz w:val="20"/>
                <w:szCs w:val="20"/>
                <w:lang w:val="sq-AL"/>
              </w:rPr>
              <w:br/>
              <w:t>h) në mënyrë të përsëritur ose në mënyrë të vazhdueshme, nuk mban rezervën e likuiditetit të grupit të mbulimit në kundërshtim me parashikimet e nenit 17 të këtij ligji;</w:t>
            </w:r>
            <w:r w:rsidRPr="00735452">
              <w:rPr>
                <w:rFonts w:ascii="Times New Roman" w:eastAsia="Times New Roman" w:hAnsi="Times New Roman" w:cs="Times New Roman"/>
                <w:sz w:val="20"/>
                <w:szCs w:val="20"/>
                <w:lang w:val="sq-AL"/>
              </w:rPr>
              <w:br/>
              <w:t xml:space="preserve">i) që emeton obligacione të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nuk përmbush kërkesat përkatëse të përcaktuara në nenin 18 të këtij ligji;</w:t>
            </w:r>
            <w:r w:rsidRPr="00735452">
              <w:rPr>
                <w:rFonts w:ascii="Times New Roman" w:eastAsia="Times New Roman" w:hAnsi="Times New Roman" w:cs="Times New Roman"/>
                <w:sz w:val="20"/>
                <w:szCs w:val="20"/>
                <w:lang w:val="sq-AL"/>
              </w:rPr>
              <w:br/>
              <w:t>j) nuk raporton informacion ose jep informacion të paplotë ose të pasaktë mbi detyrimet e tij në kundërshtim me parashikimet e nenit 21 të këtij ligji;</w:t>
            </w:r>
            <w:r w:rsidRPr="00735452">
              <w:rPr>
                <w:rFonts w:ascii="Times New Roman" w:eastAsia="Times New Roman" w:hAnsi="Times New Roman" w:cs="Times New Roman"/>
                <w:sz w:val="20"/>
                <w:szCs w:val="20"/>
                <w:lang w:val="sq-AL"/>
              </w:rPr>
              <w:br/>
              <w:t>k) nuk përmbush detyrimet e tjera që rrjedhin nga ky ligj ose nga aktet nënligjore të nxjerra në zbatim të tij.</w:t>
            </w:r>
            <w:r w:rsidRPr="00735452">
              <w:rPr>
                <w:rFonts w:ascii="Times New Roman" w:eastAsia="Times New Roman" w:hAnsi="Times New Roman" w:cs="Times New Roman"/>
                <w:sz w:val="20"/>
                <w:szCs w:val="20"/>
                <w:lang w:val="sq-AL"/>
              </w:rPr>
              <w:br/>
              <w:t>2. Masat mbikëqyrëse, të parashikuara në këtë nen duhet të jenë efektive, proporcionale dhe parandaluese.</w:t>
            </w:r>
            <w:r w:rsidRPr="00735452">
              <w:rPr>
                <w:rFonts w:ascii="Times New Roman" w:eastAsia="Times New Roman" w:hAnsi="Times New Roman" w:cs="Times New Roman"/>
                <w:sz w:val="20"/>
                <w:szCs w:val="20"/>
                <w:lang w:val="sq-AL"/>
              </w:rPr>
              <w:br/>
              <w:t>3. Autoriteti për të gjitha rrethanat e përcaktuara në pikën 1 të këtij neni, mund të marrë një ose më shumë nga masat mbikëqyrëse të mëposhtme:</w:t>
            </w:r>
            <w:r w:rsidRPr="00735452">
              <w:rPr>
                <w:rFonts w:ascii="Times New Roman" w:eastAsia="Times New Roman" w:hAnsi="Times New Roman" w:cs="Times New Roman"/>
                <w:sz w:val="20"/>
                <w:szCs w:val="20"/>
                <w:lang w:val="sq-AL"/>
              </w:rPr>
              <w:br/>
              <w:t xml:space="preserve">a) revokimin e </w:t>
            </w:r>
            <w:r w:rsidR="003F6FD8">
              <w:rPr>
                <w:rFonts w:ascii="Times New Roman" w:eastAsia="Times New Roman" w:hAnsi="Times New Roman" w:cs="Times New Roman"/>
                <w:sz w:val="20"/>
                <w:szCs w:val="20"/>
                <w:lang w:val="sq-AL"/>
              </w:rPr>
              <w:t>miratimit</w:t>
            </w:r>
            <w:r w:rsidRPr="00735452">
              <w:rPr>
                <w:rFonts w:ascii="Times New Roman" w:eastAsia="Times New Roman" w:hAnsi="Times New Roman" w:cs="Times New Roman"/>
                <w:sz w:val="20"/>
                <w:szCs w:val="20"/>
                <w:lang w:val="sq-AL"/>
              </w:rPr>
              <w:t xml:space="preserve"> për programin e obligacioneve të mbuluara në përputhje me nenin 19 të këtij ligji;</w:t>
            </w:r>
            <w:r w:rsidRPr="00735452">
              <w:rPr>
                <w:rFonts w:ascii="Times New Roman" w:eastAsia="Times New Roman" w:hAnsi="Times New Roman" w:cs="Times New Roman"/>
                <w:sz w:val="20"/>
                <w:szCs w:val="20"/>
                <w:lang w:val="sq-AL"/>
              </w:rPr>
              <w:br/>
              <w:t>b) publikimin e një deklarate që identifikon personin fizik ose juridik dhe natyrën e shkeljes;</w:t>
            </w:r>
            <w:r w:rsidRPr="00735452">
              <w:rPr>
                <w:rFonts w:ascii="Times New Roman" w:eastAsia="Times New Roman" w:hAnsi="Times New Roman" w:cs="Times New Roman"/>
                <w:sz w:val="20"/>
                <w:szCs w:val="20"/>
                <w:lang w:val="sq-AL"/>
              </w:rPr>
              <w:br/>
              <w:t>c) urdhërimin e personit fizik ose juridik për të ndërprerë shkeljen dhe mos përsëritje;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ç) urdhër për korrigjimin e shkeljeve ose përmbushjen e mangësive brenda një afati të caktuar;</w:t>
            </w:r>
            <w:r w:rsidRPr="00735452">
              <w:rPr>
                <w:rFonts w:ascii="Times New Roman" w:eastAsia="Times New Roman" w:hAnsi="Times New Roman" w:cs="Times New Roman"/>
                <w:sz w:val="20"/>
                <w:szCs w:val="20"/>
                <w:lang w:val="sq-AL"/>
              </w:rPr>
              <w:br/>
              <w:t>d) pezullimin e përkohshëm të ushtrimit të funksioneve drejtuese për anëtarët e organit drejtues deri në korrigjimin e shkeljeve;</w:t>
            </w:r>
            <w:r w:rsidRPr="00735452">
              <w:rPr>
                <w:rFonts w:ascii="Times New Roman" w:eastAsia="Times New Roman" w:hAnsi="Times New Roman" w:cs="Times New Roman"/>
                <w:sz w:val="20"/>
                <w:szCs w:val="20"/>
                <w:lang w:val="sq-AL"/>
              </w:rPr>
              <w:br/>
              <w:t>dh) ndalimin e përkohshëm të emetimeve në kuadër të programit të obligacioneve të mbuluara.</w:t>
            </w:r>
          </w:p>
        </w:tc>
        <w:tc>
          <w:tcPr>
            <w:tcW w:w="1440" w:type="dxa"/>
          </w:tcPr>
          <w:p w14:paraId="3BA120EA" w14:textId="67D82879" w:rsidR="003E7E51" w:rsidRPr="00735452" w:rsidRDefault="004E641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F7891D1"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5CD9C3B2" w14:textId="77777777" w:rsidTr="004D61BC">
        <w:trPr>
          <w:gridAfter w:val="1"/>
          <w:wAfter w:w="14" w:type="dxa"/>
        </w:trPr>
        <w:tc>
          <w:tcPr>
            <w:tcW w:w="800" w:type="dxa"/>
            <w:tcBorders>
              <w:left w:val="single" w:sz="12" w:space="0" w:color="auto"/>
            </w:tcBorders>
          </w:tcPr>
          <w:p w14:paraId="7E773E15"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Neni 23</w:t>
            </w:r>
          </w:p>
          <w:p w14:paraId="3F959CB2"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69A9363F"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Pa cenuar të drejtën e shteteve anëtare për të parashikuar sanksione penale, shtetet anëtare përcaktojnë rregulla që vendosin sanksione administrative të përshtatshme dhe masa të tjera administrative, të zbatueshme të paktën në situatat e mëposhtme:</w:t>
            </w:r>
          </w:p>
          <w:p w14:paraId="1B930A12"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një institucion krediti ka marrë leje për një program obligacionesh të mbuluara me anë të deklaratave të rreme ose mjeteve të tjera të parregullta;</w:t>
            </w:r>
          </w:p>
          <w:p w14:paraId="72F61FB0"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një institucion krediti nuk i përmbush më kushtet mbi të cilat është dhënë leja për një program obligacionesh të mbuluara;</w:t>
            </w:r>
          </w:p>
          <w:p w14:paraId="672AAA42"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një institucion krediti emeton obligacione të mbuluara pa marrë lejen,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19;</w:t>
            </w:r>
          </w:p>
          <w:p w14:paraId="6AD2819D"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një institucion krediti që emeton obligacione të mbuluara nuk përmbush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4;</w:t>
            </w:r>
          </w:p>
          <w:p w14:paraId="28C3437F"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(e) një institucion krediti emeton obligacione të mbuluara që nuk janë në përputhje me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5;</w:t>
            </w:r>
          </w:p>
          <w:p w14:paraId="6601227F"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(f) një institucion krediti emeton obligacione të mbuluara që nuk janë të garantuara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6;</w:t>
            </w:r>
          </w:p>
          <w:p w14:paraId="5495474A"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(g) një institucion krediti emeton obligacione të mbuluara të garantuara me aktive të vendosura jashtë Bashkimit, në kundërshtim me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7;</w:t>
            </w:r>
          </w:p>
          <w:p w14:paraId="7DDCC3F6"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(h) një institucion krediti garanton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obligacione të mbuluara në një strukturë të bashkuar brenda grupit për obligacione të mbuluara, në kundërshtim me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8;</w:t>
            </w:r>
          </w:p>
          <w:p w14:paraId="1956ABA8"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 xml:space="preserve">(i) një institucion krediti që emeton obligacione të mbuluara nuk përmbush kushtet për financimin e përbashkët të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9;</w:t>
            </w:r>
          </w:p>
          <w:p w14:paraId="2D04061A"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(j) një institucion krediti që emeton obligacione të mbuluara nuk përmbush kërkesat për përbërjen e portofolit të mbulimit, të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10;</w:t>
            </w:r>
          </w:p>
          <w:p w14:paraId="0E6AE485"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(k) një institucion krediti që emeton obligacione të mbuluara nuk përmbush kërkesat në lidhje me kontratat </w:t>
            </w:r>
            <w:proofErr w:type="spellStart"/>
            <w:r w:rsidRPr="00735452">
              <w:rPr>
                <w:rFonts w:ascii="Times New Roman" w:eastAsia="Times New Roman" w:hAnsi="Times New Roman" w:cs="Times New Roman"/>
                <w:sz w:val="20"/>
                <w:szCs w:val="20"/>
                <w:lang w:val="sq-AL"/>
              </w:rPr>
              <w:t>derivative</w:t>
            </w:r>
            <w:proofErr w:type="spellEnd"/>
            <w:r w:rsidRPr="00735452">
              <w:rPr>
                <w:rFonts w:ascii="Times New Roman" w:eastAsia="Times New Roman" w:hAnsi="Times New Roman" w:cs="Times New Roman"/>
                <w:sz w:val="20"/>
                <w:szCs w:val="20"/>
                <w:lang w:val="sq-AL"/>
              </w:rPr>
              <w:t xml:space="preserve"> në portofolin e mbulimit, të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11;</w:t>
            </w:r>
          </w:p>
          <w:p w14:paraId="35CD8A53"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(l) një institucion krediti që emeton obligacione të mbuluara nuk respekton kërkesat për ndarjen e aktiveve mbuluese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12;</w:t>
            </w:r>
          </w:p>
          <w:p w14:paraId="29405AFC"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(m) një institucion krediti që emeton obligacione të mbuluara nuk raporton informacion ose jep informacion të paplotë ose të pasaktë, në kundërshtim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14;</w:t>
            </w:r>
          </w:p>
          <w:p w14:paraId="24EF3E4E"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 një institucion krediti që emeton obligacione të mbuluara, në mënyrë të përsëritur ose të vazhdueshme, nuk arrin të mbajë rezervën e likuiditetit të portofolit të mbulimit, në kundërshtim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16;</w:t>
            </w:r>
          </w:p>
          <w:p w14:paraId="0935F820"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(o) një institucion krediti që emeton obligacione të mbuluara me struktura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xml:space="preserve"> nuk përmbush kushtet për këto struktura, të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17;</w:t>
            </w:r>
          </w:p>
          <w:p w14:paraId="767CA988"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 një institucion krediti që emeton obligacione të mbuluara nuk raporton informacion ose jep informacion të paplotë ose të pasaktë në lidhje me detyrimet e tij, në kundërshtim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nenin 21, paragrafi 2.</w:t>
            </w:r>
          </w:p>
          <w:p w14:paraId="2780B24E"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mund të vendosin të mos parashikojnë sanksione administrative ose masa të tjera administrative për shkelje që i nënshtrohen sanksioneve penale sipas ligjit të tyre kombëtar. Në këto raste, shtetet anëtare i komunikojnë Komisionit dispozitat përkatëse të së drejtës penale.</w:t>
            </w:r>
          </w:p>
        </w:tc>
        <w:tc>
          <w:tcPr>
            <w:tcW w:w="624" w:type="dxa"/>
            <w:tcBorders>
              <w:left w:val="single" w:sz="12" w:space="0" w:color="auto"/>
            </w:tcBorders>
          </w:tcPr>
          <w:p w14:paraId="0F452365" w14:textId="1C9DC7F1" w:rsidR="00787224" w:rsidRPr="00735452" w:rsidRDefault="00094DF3"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6A6B90F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41, pika 1</w:t>
            </w:r>
          </w:p>
        </w:tc>
        <w:tc>
          <w:tcPr>
            <w:tcW w:w="5130" w:type="dxa"/>
          </w:tcPr>
          <w:p w14:paraId="3BA615B3" w14:textId="3619D44F"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Pa cenuar kompetencat mbikëqyrëse të Bankës së Shqipërisë dhe Autoritetit të Mbikëqyrjes Financiare sipas legjislacionit në fuqi, Autoriteti merr masa mbikëqyrëse dhe vendos sanksione, veçmas ose në mënyrë </w:t>
            </w:r>
            <w:proofErr w:type="spellStart"/>
            <w:r w:rsidRPr="00735452">
              <w:rPr>
                <w:rFonts w:ascii="Times New Roman" w:eastAsia="Times New Roman" w:hAnsi="Times New Roman" w:cs="Times New Roman"/>
                <w:sz w:val="20"/>
                <w:szCs w:val="20"/>
                <w:lang w:val="sq-AL"/>
              </w:rPr>
              <w:t>kumulative</w:t>
            </w:r>
            <w:proofErr w:type="spellEnd"/>
            <w:r w:rsidRPr="00735452">
              <w:rPr>
                <w:rFonts w:ascii="Times New Roman" w:eastAsia="Times New Roman" w:hAnsi="Times New Roman" w:cs="Times New Roman"/>
                <w:sz w:val="20"/>
                <w:szCs w:val="20"/>
                <w:lang w:val="sq-AL"/>
              </w:rPr>
              <w:t>, ndaj institucionit të kreditit emetues, anëtarëve të organit drejtues ose çdo personi tjetër përgjegjës, në rast se institucioni i krediti:</w:t>
            </w:r>
            <w:r w:rsidRPr="00735452">
              <w:rPr>
                <w:rFonts w:ascii="Times New Roman" w:eastAsia="Times New Roman" w:hAnsi="Times New Roman" w:cs="Times New Roman"/>
                <w:sz w:val="20"/>
                <w:szCs w:val="20"/>
                <w:lang w:val="sq-AL"/>
              </w:rPr>
              <w:br/>
              <w:t>a) është autorizuar për një program të obligacioneve të mbuluara bazuar në deklarata të rreme ose mënyrave të tjera të parregullta;</w:t>
            </w:r>
            <w:r w:rsidRPr="00735452">
              <w:rPr>
                <w:rFonts w:ascii="Times New Roman" w:eastAsia="Times New Roman" w:hAnsi="Times New Roman" w:cs="Times New Roman"/>
                <w:sz w:val="20"/>
                <w:szCs w:val="20"/>
                <w:lang w:val="sq-AL"/>
              </w:rPr>
              <w:br/>
              <w:t xml:space="preserve">b) nuk përmbush më kushtet mbi bazën e të cilave është dhënë </w:t>
            </w:r>
            <w:r w:rsidR="006D4329">
              <w:rPr>
                <w:rFonts w:ascii="Times New Roman" w:eastAsia="Times New Roman" w:hAnsi="Times New Roman" w:cs="Times New Roman"/>
                <w:sz w:val="20"/>
                <w:szCs w:val="20"/>
                <w:lang w:val="sq-AL"/>
              </w:rPr>
              <w:t>miratimi</w:t>
            </w:r>
            <w:r w:rsidRPr="00735452">
              <w:rPr>
                <w:rFonts w:ascii="Times New Roman" w:eastAsia="Times New Roman" w:hAnsi="Times New Roman" w:cs="Times New Roman"/>
                <w:sz w:val="20"/>
                <w:szCs w:val="20"/>
                <w:lang w:val="sq-AL"/>
              </w:rPr>
              <w:t xml:space="preserve"> për një program të obligacioneve të mbuluara;</w:t>
            </w:r>
            <w:r w:rsidRPr="00735452">
              <w:rPr>
                <w:rFonts w:ascii="Times New Roman" w:eastAsia="Times New Roman" w:hAnsi="Times New Roman" w:cs="Times New Roman"/>
                <w:sz w:val="20"/>
                <w:szCs w:val="20"/>
                <w:lang w:val="sq-AL"/>
              </w:rPr>
              <w:br/>
              <w:t xml:space="preserve">c) emeton obligacione të mbuluara pa marrë </w:t>
            </w:r>
            <w:r w:rsidR="007246C7">
              <w:rPr>
                <w:rFonts w:ascii="Times New Roman" w:eastAsia="Times New Roman" w:hAnsi="Times New Roman" w:cs="Times New Roman"/>
                <w:sz w:val="20"/>
                <w:szCs w:val="20"/>
                <w:lang w:val="sq-AL"/>
              </w:rPr>
              <w:t>miratimin</w:t>
            </w:r>
            <w:r w:rsidRPr="00735452">
              <w:rPr>
                <w:rFonts w:ascii="Times New Roman" w:eastAsia="Times New Roman" w:hAnsi="Times New Roman" w:cs="Times New Roman"/>
                <w:sz w:val="20"/>
                <w:szCs w:val="20"/>
                <w:lang w:val="sq-AL"/>
              </w:rPr>
              <w:t xml:space="preserve"> sipas nenit 21 të këtij ligji;</w:t>
            </w:r>
            <w:r w:rsidRPr="00735452">
              <w:rPr>
                <w:rFonts w:ascii="Times New Roman" w:eastAsia="Times New Roman" w:hAnsi="Times New Roman" w:cs="Times New Roman"/>
                <w:sz w:val="20"/>
                <w:szCs w:val="20"/>
                <w:lang w:val="sq-AL"/>
              </w:rPr>
              <w:br/>
              <w:t>ç) nuk përmbush kërkesat për aktive të pranueshme sipas përcaktimeve në nenin 6 të këtij ligji;</w:t>
            </w:r>
            <w:r w:rsidRPr="00735452">
              <w:rPr>
                <w:rFonts w:ascii="Times New Roman" w:eastAsia="Times New Roman" w:hAnsi="Times New Roman" w:cs="Times New Roman"/>
                <w:sz w:val="20"/>
                <w:szCs w:val="20"/>
                <w:lang w:val="sq-AL"/>
              </w:rPr>
              <w:br/>
              <w:t xml:space="preserve">d) emeton obligacione të mbuluara që nuk janë në përputhje me dispozitat e nenit </w:t>
            </w:r>
            <w:r w:rsidR="003058AB">
              <w:rPr>
                <w:rFonts w:ascii="Times New Roman" w:eastAsia="Times New Roman" w:hAnsi="Times New Roman" w:cs="Times New Roman"/>
                <w:sz w:val="20"/>
                <w:szCs w:val="20"/>
                <w:lang w:val="sq-AL"/>
              </w:rPr>
              <w:t>5</w:t>
            </w:r>
            <w:r w:rsidRPr="00735452">
              <w:rPr>
                <w:rFonts w:ascii="Times New Roman" w:eastAsia="Times New Roman" w:hAnsi="Times New Roman" w:cs="Times New Roman"/>
                <w:sz w:val="20"/>
                <w:szCs w:val="20"/>
                <w:lang w:val="sq-AL"/>
              </w:rPr>
              <w:t xml:space="preserve"> të këtij ligji;</w:t>
            </w:r>
            <w:r w:rsidRPr="00735452">
              <w:rPr>
                <w:rFonts w:ascii="Times New Roman" w:eastAsia="Times New Roman" w:hAnsi="Times New Roman" w:cs="Times New Roman"/>
                <w:sz w:val="20"/>
                <w:szCs w:val="20"/>
                <w:lang w:val="sq-AL"/>
              </w:rPr>
              <w:br/>
              <w:t>dh) përfshin obligacionet e mbuluara në një strukturë të përbashkët brenda grupit në kundërshtim me kërkesat e nenit 7 të këtij ligji;</w:t>
            </w:r>
            <w:r w:rsidRPr="00735452">
              <w:rPr>
                <w:rFonts w:ascii="Times New Roman" w:eastAsia="Times New Roman" w:hAnsi="Times New Roman" w:cs="Times New Roman"/>
                <w:sz w:val="20"/>
                <w:szCs w:val="20"/>
                <w:lang w:val="sq-AL"/>
              </w:rPr>
              <w:br/>
              <w:t>e) nuk përmbush kushtet për financimin e përbashkët të përcaktuara në nenin 8 të këtij ligji;</w:t>
            </w:r>
            <w:r w:rsidRPr="00735452">
              <w:rPr>
                <w:rFonts w:ascii="Times New Roman" w:eastAsia="Times New Roman" w:hAnsi="Times New Roman" w:cs="Times New Roman"/>
                <w:sz w:val="20"/>
                <w:szCs w:val="20"/>
                <w:lang w:val="sq-AL"/>
              </w:rPr>
              <w:br/>
              <w:t>ë) nuk përmbush kërkesat për përbërjen e grupit të mbulimit të përcaktuara në nenin 9 të këtij ligji;</w:t>
            </w:r>
            <w:r w:rsidRPr="00735452">
              <w:rPr>
                <w:rFonts w:ascii="Times New Roman" w:eastAsia="Times New Roman" w:hAnsi="Times New Roman" w:cs="Times New Roman"/>
                <w:sz w:val="20"/>
                <w:szCs w:val="20"/>
                <w:lang w:val="sq-AL"/>
              </w:rPr>
              <w:br/>
              <w:t xml:space="preserve">f) nuk përmbush kërkesat lidhur me kontratat </w:t>
            </w:r>
            <w:proofErr w:type="spellStart"/>
            <w:r w:rsidRPr="00735452">
              <w:rPr>
                <w:rFonts w:ascii="Times New Roman" w:eastAsia="Times New Roman" w:hAnsi="Times New Roman" w:cs="Times New Roman"/>
                <w:sz w:val="20"/>
                <w:szCs w:val="20"/>
                <w:lang w:val="sq-AL"/>
              </w:rPr>
              <w:t>derivativ</w:t>
            </w:r>
            <w:r w:rsidR="0066445E">
              <w:rPr>
                <w:rFonts w:ascii="Times New Roman" w:eastAsia="Times New Roman" w:hAnsi="Times New Roman" w:cs="Times New Roman"/>
                <w:sz w:val="20"/>
                <w:szCs w:val="20"/>
                <w:lang w:val="sq-AL"/>
              </w:rPr>
              <w:t>e</w:t>
            </w:r>
            <w:proofErr w:type="spellEnd"/>
            <w:r w:rsidRPr="00735452">
              <w:rPr>
                <w:rFonts w:ascii="Times New Roman" w:eastAsia="Times New Roman" w:hAnsi="Times New Roman" w:cs="Times New Roman"/>
                <w:sz w:val="20"/>
                <w:szCs w:val="20"/>
                <w:lang w:val="sq-AL"/>
              </w:rPr>
              <w:t xml:space="preserve"> në grupin e mbulimit të përcaktuara në nenin 10 të këtij ligji;</w:t>
            </w:r>
            <w:r w:rsidRPr="00735452">
              <w:rPr>
                <w:rFonts w:ascii="Times New Roman" w:eastAsia="Times New Roman" w:hAnsi="Times New Roman" w:cs="Times New Roman"/>
                <w:sz w:val="20"/>
                <w:szCs w:val="20"/>
                <w:lang w:val="sq-AL"/>
              </w:rPr>
              <w:br/>
              <w:t>g) nuk përmbush kërkesat për ndarjen e aktiveve të mbulimit në përputhje me nenin 11 të këtij ligji;</w:t>
            </w:r>
            <w:r w:rsidRPr="00735452">
              <w:rPr>
                <w:rFonts w:ascii="Times New Roman" w:eastAsia="Times New Roman" w:hAnsi="Times New Roman" w:cs="Times New Roman"/>
                <w:sz w:val="20"/>
                <w:szCs w:val="20"/>
                <w:lang w:val="sq-AL"/>
              </w:rPr>
              <w:br/>
              <w:t>gj) nuk raporton informacion ose jep informacion të paplotë ose të pasaktë për investitorët në kundërshtim me nenin 14 të këtij ligji;</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h) në mënyrë të përsëritur ose në mënyrë të vazhdueshme, nuk mban rezervën e likuiditetit të grupit të mbulimit në kundërshtim me parashikimet e nenit 17 të këtij ligji;</w:t>
            </w:r>
            <w:r w:rsidRPr="00735452">
              <w:rPr>
                <w:rFonts w:ascii="Times New Roman" w:eastAsia="Times New Roman" w:hAnsi="Times New Roman" w:cs="Times New Roman"/>
                <w:sz w:val="20"/>
                <w:szCs w:val="20"/>
                <w:lang w:val="sq-AL"/>
              </w:rPr>
              <w:br/>
              <w:t xml:space="preserve">i) që emeton obligacione të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nuk përmbush kërkesat përkatëse të përcaktuara në nenin 18 të këtij ligji;</w:t>
            </w:r>
            <w:r w:rsidRPr="00735452">
              <w:rPr>
                <w:rFonts w:ascii="Times New Roman" w:eastAsia="Times New Roman" w:hAnsi="Times New Roman" w:cs="Times New Roman"/>
                <w:sz w:val="20"/>
                <w:szCs w:val="20"/>
                <w:lang w:val="sq-AL"/>
              </w:rPr>
              <w:br/>
              <w:t>j) nuk raporton informacion ose jep informacion të paplotë ose të pasaktë mbi detyrimet e tij në kundërshtim me parashikimet e nenit 2</w:t>
            </w:r>
            <w:r w:rsidR="004210BC" w:rsidRPr="00735452">
              <w:rPr>
                <w:rFonts w:ascii="Times New Roman" w:eastAsia="Times New Roman" w:hAnsi="Times New Roman" w:cs="Times New Roman"/>
                <w:sz w:val="20"/>
                <w:szCs w:val="20"/>
                <w:lang w:val="sq-AL"/>
              </w:rPr>
              <w:t>8</w:t>
            </w:r>
            <w:r w:rsidRPr="00735452">
              <w:rPr>
                <w:rFonts w:ascii="Times New Roman" w:eastAsia="Times New Roman" w:hAnsi="Times New Roman" w:cs="Times New Roman"/>
                <w:sz w:val="20"/>
                <w:szCs w:val="20"/>
                <w:lang w:val="sq-AL"/>
              </w:rPr>
              <w:t xml:space="preserve"> të këtij ligji;</w:t>
            </w:r>
            <w:r w:rsidRPr="00735452">
              <w:rPr>
                <w:rFonts w:ascii="Times New Roman" w:eastAsia="Times New Roman" w:hAnsi="Times New Roman" w:cs="Times New Roman"/>
                <w:sz w:val="20"/>
                <w:szCs w:val="20"/>
                <w:lang w:val="sq-AL"/>
              </w:rPr>
              <w:br/>
              <w:t>k) nuk përmbush detyrimet e tjera që rrjedhin nga ky ligj ose nga aktet nënligjore të nxjerra në zbatim të tij.</w:t>
            </w:r>
          </w:p>
        </w:tc>
        <w:tc>
          <w:tcPr>
            <w:tcW w:w="1440" w:type="dxa"/>
          </w:tcPr>
          <w:p w14:paraId="6D9B3B0F" w14:textId="3DDC3AD5"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77358FC7" w14:textId="3D544373"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77F4BAEC" w14:textId="77777777" w:rsidTr="004D61BC">
        <w:trPr>
          <w:gridAfter w:val="1"/>
          <w:wAfter w:w="14" w:type="dxa"/>
        </w:trPr>
        <w:tc>
          <w:tcPr>
            <w:tcW w:w="800" w:type="dxa"/>
            <w:tcBorders>
              <w:left w:val="single" w:sz="12" w:space="0" w:color="auto"/>
            </w:tcBorders>
          </w:tcPr>
          <w:p w14:paraId="29356DFD" w14:textId="77777777" w:rsidR="00787224" w:rsidRPr="00735452" w:rsidRDefault="00787224" w:rsidP="00787224">
            <w:pPr>
              <w:spacing w:after="0" w:line="240" w:lineRule="auto"/>
              <w:jc w:val="both"/>
              <w:rPr>
                <w:rFonts w:ascii="Times New Roman" w:hAnsi="Times New Roman" w:cs="Times New Roman"/>
                <w:sz w:val="20"/>
                <w:szCs w:val="20"/>
                <w:lang w:val="sq-AL"/>
              </w:rPr>
            </w:pPr>
          </w:p>
          <w:p w14:paraId="01C95316" w14:textId="77777777" w:rsidR="00787224" w:rsidRPr="00735452" w:rsidRDefault="00787224" w:rsidP="00787224">
            <w:pPr>
              <w:spacing w:after="0" w:line="240" w:lineRule="auto"/>
              <w:jc w:val="both"/>
              <w:rPr>
                <w:rFonts w:ascii="Times New Roman" w:hAnsi="Times New Roman" w:cs="Times New Roman"/>
                <w:sz w:val="20"/>
                <w:szCs w:val="20"/>
                <w:lang w:val="sq-AL"/>
              </w:rPr>
            </w:pPr>
          </w:p>
          <w:p w14:paraId="2385341B" w14:textId="77777777" w:rsidR="00787224" w:rsidRPr="00735452" w:rsidRDefault="00787224" w:rsidP="00787224">
            <w:pPr>
              <w:spacing w:after="0" w:line="240" w:lineRule="auto"/>
              <w:jc w:val="both"/>
              <w:rPr>
                <w:rFonts w:ascii="Times New Roman" w:hAnsi="Times New Roman" w:cs="Times New Roman"/>
                <w:sz w:val="20"/>
                <w:szCs w:val="20"/>
                <w:lang w:val="sq-AL"/>
              </w:rPr>
            </w:pPr>
          </w:p>
          <w:p w14:paraId="482CC3BB" w14:textId="77777777" w:rsidR="00787224" w:rsidRPr="00735452" w:rsidRDefault="00787224" w:rsidP="00787224">
            <w:pPr>
              <w:spacing w:after="0" w:line="240" w:lineRule="auto"/>
              <w:jc w:val="both"/>
              <w:rPr>
                <w:rFonts w:ascii="Times New Roman" w:hAnsi="Times New Roman" w:cs="Times New Roman"/>
                <w:sz w:val="20"/>
                <w:szCs w:val="20"/>
                <w:lang w:val="sq-AL"/>
              </w:rPr>
            </w:pPr>
          </w:p>
          <w:p w14:paraId="785DB831"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3E703925"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Sanksionet dhe masat e përmendura në paragrafin 1 duhet të jenë efektive, proporcionale dhe parandaluese dhe të përfshijnë të paktën sa vijon:</w:t>
            </w:r>
          </w:p>
          <w:p w14:paraId="724D1854"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tërheqjen e lejes për një program obligacionesh të mbuluara;</w:t>
            </w:r>
          </w:p>
          <w:p w14:paraId="12AB5132"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një deklaratë publike që tregon identitetin e personit fizik ose juridik dhe natyrën e shkeljes, në përputhje me nenin 24;</w:t>
            </w:r>
          </w:p>
          <w:p w14:paraId="5156963F"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një urdhër që kërkon nga personi fizik ose juridik të ndërpresë sjelljen dhe të heqë dorë nga përsëritja e saj;</w:t>
            </w:r>
          </w:p>
          <w:p w14:paraId="01CED9BD"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sanksione administrative me natyrë monetare.</w:t>
            </w:r>
          </w:p>
        </w:tc>
        <w:tc>
          <w:tcPr>
            <w:tcW w:w="624" w:type="dxa"/>
            <w:tcBorders>
              <w:left w:val="single" w:sz="12" w:space="0" w:color="auto"/>
            </w:tcBorders>
          </w:tcPr>
          <w:p w14:paraId="7783DBE2" w14:textId="00DAC532" w:rsidR="00787224" w:rsidRPr="00735452" w:rsidRDefault="006D0FCE"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8975E19"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41, pikat 2-3; Neni 42</w:t>
            </w:r>
          </w:p>
        </w:tc>
        <w:tc>
          <w:tcPr>
            <w:tcW w:w="5130" w:type="dxa"/>
          </w:tcPr>
          <w:p w14:paraId="0201AC58" w14:textId="547CD63A"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41</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2. Masat mbikëqyrëse, të parashikuara në këtë nen duhet të jenë efektive, proporcionale dhe parandaluese.</w:t>
            </w:r>
            <w:r w:rsidRPr="00735452">
              <w:rPr>
                <w:rFonts w:ascii="Times New Roman" w:eastAsia="Times New Roman" w:hAnsi="Times New Roman" w:cs="Times New Roman"/>
                <w:sz w:val="20"/>
                <w:szCs w:val="20"/>
                <w:lang w:val="sq-AL"/>
              </w:rPr>
              <w:br/>
              <w:t>3. Autoriteti për të gjitha rrethanat e përcaktuara në pikën 1 të këtij neni, mund të marrë një ose më shumë nga masat mbikëqyrëse të mëposhtme:</w:t>
            </w:r>
            <w:r w:rsidRPr="00735452">
              <w:rPr>
                <w:rFonts w:ascii="Times New Roman" w:eastAsia="Times New Roman" w:hAnsi="Times New Roman" w:cs="Times New Roman"/>
                <w:sz w:val="20"/>
                <w:szCs w:val="20"/>
                <w:lang w:val="sq-AL"/>
              </w:rPr>
              <w:br/>
              <w:t xml:space="preserve">a) revokimin e </w:t>
            </w:r>
            <w:r w:rsidR="00612F05">
              <w:rPr>
                <w:rFonts w:ascii="Times New Roman" w:eastAsia="Times New Roman" w:hAnsi="Times New Roman" w:cs="Times New Roman"/>
                <w:sz w:val="20"/>
                <w:szCs w:val="20"/>
                <w:lang w:val="sq-AL"/>
              </w:rPr>
              <w:t>miratimit</w:t>
            </w:r>
            <w:r w:rsidRPr="00735452">
              <w:rPr>
                <w:rFonts w:ascii="Times New Roman" w:eastAsia="Times New Roman" w:hAnsi="Times New Roman" w:cs="Times New Roman"/>
                <w:sz w:val="20"/>
                <w:szCs w:val="20"/>
                <w:lang w:val="sq-AL"/>
              </w:rPr>
              <w:t xml:space="preserve"> për programin e obligacioneve të mbuluara në përputhje me nenin </w:t>
            </w:r>
            <w:r w:rsidR="004210BC" w:rsidRPr="00735452">
              <w:rPr>
                <w:rFonts w:ascii="Times New Roman" w:eastAsia="Times New Roman" w:hAnsi="Times New Roman" w:cs="Times New Roman"/>
                <w:sz w:val="20"/>
                <w:szCs w:val="20"/>
                <w:lang w:val="sq-AL"/>
              </w:rPr>
              <w:t>24</w:t>
            </w:r>
            <w:r w:rsidRPr="00735452">
              <w:rPr>
                <w:rFonts w:ascii="Times New Roman" w:eastAsia="Times New Roman" w:hAnsi="Times New Roman" w:cs="Times New Roman"/>
                <w:sz w:val="20"/>
                <w:szCs w:val="20"/>
                <w:lang w:val="sq-AL"/>
              </w:rPr>
              <w:t xml:space="preserve"> të këtij ligji;</w:t>
            </w:r>
            <w:r w:rsidRPr="00735452">
              <w:rPr>
                <w:rFonts w:ascii="Times New Roman" w:eastAsia="Times New Roman" w:hAnsi="Times New Roman" w:cs="Times New Roman"/>
                <w:sz w:val="20"/>
                <w:szCs w:val="20"/>
                <w:lang w:val="sq-AL"/>
              </w:rPr>
              <w:br/>
              <w:t>b) publikimin e një deklarate që identifikon personin fizik ose juridik dhe natyrën e shkeljes;</w:t>
            </w:r>
            <w:r w:rsidRPr="00735452">
              <w:rPr>
                <w:rFonts w:ascii="Times New Roman" w:eastAsia="Times New Roman" w:hAnsi="Times New Roman" w:cs="Times New Roman"/>
                <w:sz w:val="20"/>
                <w:szCs w:val="20"/>
                <w:lang w:val="sq-AL"/>
              </w:rPr>
              <w:br/>
              <w:t>c) urdhërimin e personit fizik ose juridik për të ndërprerë shkeljen dhe mos përsëritje;</w:t>
            </w:r>
            <w:r w:rsidRPr="00735452">
              <w:rPr>
                <w:rFonts w:ascii="Times New Roman" w:eastAsia="Times New Roman" w:hAnsi="Times New Roman" w:cs="Times New Roman"/>
                <w:sz w:val="20"/>
                <w:szCs w:val="20"/>
                <w:lang w:val="sq-AL"/>
              </w:rPr>
              <w:br/>
              <w:t>ç) urdhër për korrigjimin e shkeljeve ose përmbushjen e mangësive brenda një afati të caktuar;</w:t>
            </w:r>
            <w:r w:rsidRPr="00735452">
              <w:rPr>
                <w:rFonts w:ascii="Times New Roman" w:eastAsia="Times New Roman" w:hAnsi="Times New Roman" w:cs="Times New Roman"/>
                <w:sz w:val="20"/>
                <w:szCs w:val="20"/>
                <w:lang w:val="sq-AL"/>
              </w:rPr>
              <w:br/>
              <w:t>d) pezullimin e përkohshëm të ushtrimit të funksioneve drejtuese për anëtarët e organit drejtues deri në korrigjimin e shkeljeve;</w:t>
            </w:r>
            <w:r w:rsidRPr="00735452">
              <w:rPr>
                <w:rFonts w:ascii="Times New Roman" w:eastAsia="Times New Roman" w:hAnsi="Times New Roman" w:cs="Times New Roman"/>
                <w:sz w:val="20"/>
                <w:szCs w:val="20"/>
                <w:lang w:val="sq-AL"/>
              </w:rPr>
              <w:br/>
              <w:t>dh) ndalimin e përkohshëm të emetimeve në kuadër të programit të obligacioneve të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42</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Në rastet dhe rrethanat e përcaktuara në pikën 1, të nenit 41, të këtij ligji, dhe pa përjashtuar zbatimin e masave mbikëqyrëse të parashikuara në pikën 3, të nenit 41, të këtij ligji, Autoriteti ka të drejtë të vendosë, sanksion administrative me gjobë:</w:t>
            </w:r>
            <w:r w:rsidRPr="00735452">
              <w:rPr>
                <w:rFonts w:ascii="Times New Roman" w:eastAsia="Times New Roman" w:hAnsi="Times New Roman" w:cs="Times New Roman"/>
                <w:sz w:val="20"/>
                <w:szCs w:val="20"/>
                <w:lang w:val="sq-AL"/>
              </w:rPr>
              <w:br/>
              <w:t>a) për personat fizikë, gjobë deri në 500 000 lekë;</w:t>
            </w:r>
            <w:r w:rsidRPr="00735452">
              <w:rPr>
                <w:rFonts w:ascii="Times New Roman" w:eastAsia="Times New Roman" w:hAnsi="Times New Roman" w:cs="Times New Roman"/>
                <w:sz w:val="20"/>
                <w:szCs w:val="20"/>
                <w:lang w:val="sq-AL"/>
              </w:rPr>
              <w:br/>
              <w:t xml:space="preserve">b) për personat juridikë, gjobë deri në 5 000 000 lekë, ose deri në 10 për qind të xhiros totale vjetore neto, sipas pasqyrave financiare të fundit të miratuara nga organi drejtues. Kur personi juridik është shoqëri mëmë ose filial i një shoqërie mëmë që përgatit pasqyra financiare të </w:t>
            </w:r>
            <w:proofErr w:type="spellStart"/>
            <w:r w:rsidRPr="00735452">
              <w:rPr>
                <w:rFonts w:ascii="Times New Roman" w:eastAsia="Times New Roman" w:hAnsi="Times New Roman" w:cs="Times New Roman"/>
                <w:sz w:val="20"/>
                <w:szCs w:val="20"/>
                <w:lang w:val="sq-AL"/>
              </w:rPr>
              <w:t>konsoliduara</w:t>
            </w:r>
            <w:proofErr w:type="spellEnd"/>
            <w:r w:rsidRPr="00735452">
              <w:rPr>
                <w:rFonts w:ascii="Times New Roman" w:eastAsia="Times New Roman" w:hAnsi="Times New Roman" w:cs="Times New Roman"/>
                <w:sz w:val="20"/>
                <w:szCs w:val="20"/>
                <w:lang w:val="sq-AL"/>
              </w:rPr>
              <w:t xml:space="preserve"> në përputhje me legjislacionin në fuqi për kontabilitetin dhe pasqyrat financiare, xhiroja totale vjetore neto merret nga pasqyrat financiare të </w:t>
            </w:r>
            <w:proofErr w:type="spellStart"/>
            <w:r w:rsidRPr="00735452">
              <w:rPr>
                <w:rFonts w:ascii="Times New Roman" w:eastAsia="Times New Roman" w:hAnsi="Times New Roman" w:cs="Times New Roman"/>
                <w:sz w:val="20"/>
                <w:szCs w:val="20"/>
                <w:lang w:val="sq-AL"/>
              </w:rPr>
              <w:t>konsoliduara</w:t>
            </w:r>
            <w:proofErr w:type="spellEnd"/>
            <w:r w:rsidRPr="00735452">
              <w:rPr>
                <w:rFonts w:ascii="Times New Roman" w:eastAsia="Times New Roman" w:hAnsi="Times New Roman" w:cs="Times New Roman"/>
                <w:sz w:val="20"/>
                <w:szCs w:val="20"/>
                <w:lang w:val="sq-AL"/>
              </w:rPr>
              <w:t xml:space="preserve"> të fundit të miratuara nga organi drejtues i shoqërisë mëmë;</w:t>
            </w:r>
            <w:r w:rsidRPr="00735452">
              <w:rPr>
                <w:rFonts w:ascii="Times New Roman" w:eastAsia="Times New Roman" w:hAnsi="Times New Roman" w:cs="Times New Roman"/>
                <w:sz w:val="20"/>
                <w:szCs w:val="20"/>
                <w:lang w:val="sq-AL"/>
              </w:rPr>
              <w:br/>
              <w:t>c</w:t>
            </w:r>
            <w:r w:rsidRPr="00C4305D">
              <w:rPr>
                <w:rFonts w:ascii="Times New Roman" w:eastAsia="Times New Roman" w:hAnsi="Times New Roman" w:cs="Times New Roman"/>
                <w:sz w:val="20"/>
                <w:szCs w:val="20"/>
                <w:lang w:val="sq-AL"/>
              </w:rPr>
              <w:t xml:space="preserve">) </w:t>
            </w:r>
            <w:r w:rsidR="00C4305D" w:rsidRPr="00C4305D">
              <w:rPr>
                <w:rFonts w:ascii="Times New Roman" w:eastAsia="MS Mincho" w:hAnsi="Times New Roman" w:cs="Times New Roman"/>
                <w:sz w:val="20"/>
                <w:szCs w:val="20"/>
                <w:lang w:val="sq-AL"/>
              </w:rPr>
              <w:t xml:space="preserve">gjobë deri në dyfishin e përfitimit të realizuar nga shkelja </w:t>
            </w:r>
            <w:r w:rsidR="00C4305D" w:rsidRPr="00C4305D">
              <w:rPr>
                <w:rFonts w:ascii="Times New Roman" w:eastAsia="Calibri" w:hAnsi="Times New Roman" w:cs="Times New Roman"/>
                <w:color w:val="000000"/>
                <w:sz w:val="20"/>
                <w:szCs w:val="20"/>
                <w:lang w:val="sq-AL"/>
              </w:rPr>
              <w:t xml:space="preserve">ose humbjeve të shmangura për shkak të shkeljes, kur këto </w:t>
            </w:r>
            <w:r w:rsidR="00C4305D" w:rsidRPr="00C4305D">
              <w:rPr>
                <w:rFonts w:ascii="Times New Roman" w:eastAsia="Calibri" w:hAnsi="Times New Roman" w:cs="Times New Roman"/>
                <w:color w:val="000000"/>
                <w:sz w:val="20"/>
                <w:szCs w:val="20"/>
                <w:lang w:val="sq-AL"/>
              </w:rPr>
              <w:lastRenderedPageBreak/>
              <w:t>mund të përcaktohen, cilado qoftë shuma më e madhe, sipas shkronjave “b” dhe “c” të kësaj pike.</w:t>
            </w:r>
          </w:p>
        </w:tc>
        <w:tc>
          <w:tcPr>
            <w:tcW w:w="1440" w:type="dxa"/>
          </w:tcPr>
          <w:p w14:paraId="153D557B" w14:textId="0C4A086D"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6D051B49" w14:textId="74E54173"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7F2019F5" w14:textId="77777777" w:rsidTr="004D61BC">
        <w:trPr>
          <w:gridAfter w:val="1"/>
          <w:wAfter w:w="14" w:type="dxa"/>
        </w:trPr>
        <w:tc>
          <w:tcPr>
            <w:tcW w:w="800" w:type="dxa"/>
            <w:tcBorders>
              <w:left w:val="single" w:sz="12" w:space="0" w:color="auto"/>
            </w:tcBorders>
          </w:tcPr>
          <w:p w14:paraId="02B3F63C"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4CFA1112"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gjithashtu që sanksionet dhe masat e përmendura në paragrafin 1 të zbatohen në mënyrë efektive.</w:t>
            </w:r>
          </w:p>
        </w:tc>
        <w:tc>
          <w:tcPr>
            <w:tcW w:w="624" w:type="dxa"/>
            <w:tcBorders>
              <w:left w:val="single" w:sz="12" w:space="0" w:color="auto"/>
            </w:tcBorders>
          </w:tcPr>
          <w:p w14:paraId="306DBF00" w14:textId="0758AC00" w:rsidR="00787224" w:rsidRPr="00735452" w:rsidRDefault="00082937"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7D453D36"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41, pika 2; Neni 43</w:t>
            </w:r>
          </w:p>
        </w:tc>
        <w:tc>
          <w:tcPr>
            <w:tcW w:w="5130" w:type="dxa"/>
          </w:tcPr>
          <w:p w14:paraId="644A3521"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41</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2. Masat mbikëqyrëse, të parashikuara në këtë nen duhet të jenë efektive, proporcionale dhe parandaluese.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Neni 43</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br/>
              <w:t>1.  Në përcaktimin e llojit të masës mbikëqyrëse ose të sanksionit administrativ, dhe nivelit të tij, Autoriteti merr në konsideratë, sipas rastit:</w:t>
            </w:r>
            <w:r w:rsidRPr="00735452">
              <w:rPr>
                <w:rFonts w:ascii="Times New Roman" w:eastAsia="Times New Roman" w:hAnsi="Times New Roman" w:cs="Times New Roman"/>
                <w:sz w:val="20"/>
                <w:szCs w:val="20"/>
                <w:lang w:val="sq-AL"/>
              </w:rPr>
              <w:br/>
              <w:t>a) rëndësinë dhe kohëzgjatjen e shkeljes;</w:t>
            </w:r>
            <w:r w:rsidRPr="00735452">
              <w:rPr>
                <w:rFonts w:ascii="Times New Roman" w:eastAsia="Times New Roman" w:hAnsi="Times New Roman" w:cs="Times New Roman"/>
                <w:sz w:val="20"/>
                <w:szCs w:val="20"/>
                <w:lang w:val="sq-AL"/>
              </w:rPr>
              <w:br/>
              <w:t>b) shkallën e përgjegjësisë së personit fizik ose juridik përgjegjës;</w:t>
            </w:r>
            <w:r w:rsidRPr="00735452">
              <w:rPr>
                <w:rFonts w:ascii="Times New Roman" w:eastAsia="Times New Roman" w:hAnsi="Times New Roman" w:cs="Times New Roman"/>
                <w:sz w:val="20"/>
                <w:szCs w:val="20"/>
                <w:lang w:val="sq-AL"/>
              </w:rPr>
              <w:br/>
              <w:t>c) fuqinë financiare të personit përgjegjës, duke përfshirë xhiron totale të personit juridik ose të ardhurat vjetore të personit fizik;</w:t>
            </w:r>
            <w:r w:rsidRPr="00735452">
              <w:rPr>
                <w:rFonts w:ascii="Times New Roman" w:eastAsia="Times New Roman" w:hAnsi="Times New Roman" w:cs="Times New Roman"/>
                <w:sz w:val="20"/>
                <w:szCs w:val="20"/>
                <w:lang w:val="sq-AL"/>
              </w:rPr>
              <w:br/>
              <w:t>ç) përfitimet e realizuara ose humbjet e shmangura si rezultat i shkeljes, në masën që ato mund të përcaktohen;</w:t>
            </w:r>
            <w:r w:rsidRPr="00735452">
              <w:rPr>
                <w:rFonts w:ascii="Times New Roman" w:eastAsia="Times New Roman" w:hAnsi="Times New Roman" w:cs="Times New Roman"/>
                <w:sz w:val="20"/>
                <w:szCs w:val="20"/>
                <w:lang w:val="sq-AL"/>
              </w:rPr>
              <w:br/>
              <w:t>d) dëmet e shkaktuara ndaj palëve të treta, në masën që ato mund të përcaktohen;</w:t>
            </w:r>
            <w:r w:rsidRPr="00735452">
              <w:rPr>
                <w:rFonts w:ascii="Times New Roman" w:eastAsia="Times New Roman" w:hAnsi="Times New Roman" w:cs="Times New Roman"/>
                <w:sz w:val="20"/>
                <w:szCs w:val="20"/>
                <w:lang w:val="sq-AL"/>
              </w:rPr>
              <w:br/>
              <w:t>dh) nivelin e bashkëpunimit me Autoritetin dhe Bankën e Shqipërisë;</w:t>
            </w:r>
            <w:r w:rsidRPr="00735452">
              <w:rPr>
                <w:rFonts w:ascii="Times New Roman" w:eastAsia="Times New Roman" w:hAnsi="Times New Roman" w:cs="Times New Roman"/>
                <w:sz w:val="20"/>
                <w:szCs w:val="20"/>
                <w:lang w:val="sq-AL"/>
              </w:rPr>
              <w:br/>
              <w:t>e) ekzistencën e shkeljeve të mëparshme;</w:t>
            </w:r>
            <w:r w:rsidRPr="00735452">
              <w:rPr>
                <w:rFonts w:ascii="Times New Roman" w:eastAsia="Times New Roman" w:hAnsi="Times New Roman" w:cs="Times New Roman"/>
                <w:sz w:val="20"/>
                <w:szCs w:val="20"/>
                <w:lang w:val="sq-AL"/>
              </w:rPr>
              <w:br/>
              <w:t xml:space="preserve">ë) çdo pasojë të mundshme </w:t>
            </w:r>
            <w:proofErr w:type="spellStart"/>
            <w:r w:rsidRPr="00735452">
              <w:rPr>
                <w:rFonts w:ascii="Times New Roman" w:eastAsia="Times New Roman" w:hAnsi="Times New Roman" w:cs="Times New Roman"/>
                <w:sz w:val="20"/>
                <w:szCs w:val="20"/>
                <w:lang w:val="sq-AL"/>
              </w:rPr>
              <w:t>sistemike</w:t>
            </w:r>
            <w:proofErr w:type="spellEnd"/>
            <w:r w:rsidRPr="00735452">
              <w:rPr>
                <w:rFonts w:ascii="Times New Roman" w:eastAsia="Times New Roman" w:hAnsi="Times New Roman" w:cs="Times New Roman"/>
                <w:sz w:val="20"/>
                <w:szCs w:val="20"/>
                <w:lang w:val="sq-AL"/>
              </w:rPr>
              <w:t xml:space="preserve"> të shkeljes.</w:t>
            </w:r>
            <w:r w:rsidRPr="00735452">
              <w:rPr>
                <w:rFonts w:ascii="Times New Roman" w:eastAsia="Times New Roman" w:hAnsi="Times New Roman" w:cs="Times New Roman"/>
                <w:sz w:val="20"/>
                <w:szCs w:val="20"/>
                <w:lang w:val="sq-AL"/>
              </w:rPr>
              <w:br/>
              <w:t>2. Përpara marrjes së një mase mbikëqyrëse ose vendosjes së një sanksioni administrativ me gjobë, Autoriteti i jep personit fizik ose organit drejtues apo përfaqësuesit të personit të juridik të interesuar mundësinë për t'u dëgjuar.</w:t>
            </w:r>
            <w:r w:rsidRPr="00735452">
              <w:rPr>
                <w:rFonts w:ascii="Times New Roman" w:eastAsia="Times New Roman" w:hAnsi="Times New Roman" w:cs="Times New Roman"/>
                <w:sz w:val="20"/>
                <w:szCs w:val="20"/>
                <w:lang w:val="sq-AL"/>
              </w:rPr>
              <w:br/>
              <w:t>3. Përjashtimisht, nga sa parashikohet në pikën 2 të këtij neni, masat mbikëqyrëse ose sanksionet mund të merren pa zbatimin paraprak të së drejtës për t'u dëgjuar, kur masa ka karakter urgjent dhe është e nevojshme për të parandaluar humbje të konsiderueshme për palët e treta ose dëmtime të konsiderueshme për sistemin financiar. Në këto raste, personit të interesuar i jepet mundësia për t'u dëgjuar menjëherë pas marrjes së masës dhe Autoriteti rishikon masën, kur kjo rezulton e arsyeshme.</w:t>
            </w:r>
            <w:r w:rsidRPr="00735452">
              <w:rPr>
                <w:rFonts w:ascii="Times New Roman" w:eastAsia="Times New Roman" w:hAnsi="Times New Roman" w:cs="Times New Roman"/>
                <w:sz w:val="20"/>
                <w:szCs w:val="20"/>
                <w:lang w:val="sq-AL"/>
              </w:rPr>
              <w:br/>
              <w:t xml:space="preserve">4. Vendimet e Autoritetit për marrjen e masave mbikëqyrëse </w:t>
            </w:r>
            <w:r w:rsidRPr="00735452">
              <w:rPr>
                <w:rFonts w:ascii="Times New Roman" w:eastAsia="Times New Roman" w:hAnsi="Times New Roman" w:cs="Times New Roman"/>
                <w:sz w:val="20"/>
                <w:szCs w:val="20"/>
                <w:lang w:val="sq-AL"/>
              </w:rPr>
              <w:lastRenderedPageBreak/>
              <w:t>ose vendosjen e sanksioneve administrative me gjobë duhet të jenë të arsyetuara dhe i nënshtrohen ankimit gjyqësor, në përputhje me legjislacionin në fuqi.</w:t>
            </w:r>
          </w:p>
        </w:tc>
        <w:tc>
          <w:tcPr>
            <w:tcW w:w="1440" w:type="dxa"/>
          </w:tcPr>
          <w:p w14:paraId="0DE51E37" w14:textId="0C757AFF"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9C4D4AF"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4EBE36F0" w14:textId="77777777" w:rsidTr="004D61BC">
        <w:trPr>
          <w:gridAfter w:val="1"/>
          <w:wAfter w:w="14" w:type="dxa"/>
        </w:trPr>
        <w:tc>
          <w:tcPr>
            <w:tcW w:w="800" w:type="dxa"/>
            <w:tcBorders>
              <w:left w:val="single" w:sz="12" w:space="0" w:color="auto"/>
            </w:tcBorders>
          </w:tcPr>
          <w:p w14:paraId="0D90CAC9"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06C04163"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kur përcaktojnë llojin e sanksioneve administrative ose të masave të tjera administrative dhe shumën e sanksioneve administrative monetare, autoritetet kompetente të përcaktuara sipas nenit 18, paragrafi 2, marrin në konsideratë të gjitha rrethanat e mëposhtme, kur është e nevojshme:</w:t>
            </w:r>
          </w:p>
          <w:p w14:paraId="18992791"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rëndësinë dhe kohëzgjatjen e shkeljes;</w:t>
            </w:r>
          </w:p>
          <w:p w14:paraId="468FACC8"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shkallën e përgjegjësisë së personit fizik ose juridik përgjegjës për shkeljen;</w:t>
            </w:r>
          </w:p>
          <w:p w14:paraId="10E45CF6"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forcën financiare të personit fizik ose juridik përgjegjës për shkeljen, duke përfshirë referencën te xhiroja totale e personit juridik ose të ardhurat vjetore të personit fizik;</w:t>
            </w:r>
          </w:p>
          <w:p w14:paraId="23CEF6DA"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 rëndësinë e fitimeve të përfituara ose humbjeve të shmangura për shkak të shkeljes nga personi fizik ose juridik përgjegjës për shkeljen, për aq sa këto fitime ose humbje mund të përcaktohen;</w:t>
            </w:r>
          </w:p>
          <w:p w14:paraId="55E0C67C"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(e) humbjet e shkaktuara palëve të treta nga shkelja, për aq sa këto humbje mund të përcaktohen;</w:t>
            </w:r>
          </w:p>
          <w:p w14:paraId="2B2B7337"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(f) nivelin e bashkëpunimit të personit fizik ose juridik përgjegjës për shkeljen me autoritetet kompetente të përcaktuara sipas nenit 18, paragrafi 2;</w:t>
            </w:r>
          </w:p>
          <w:p w14:paraId="3CEFDB99"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(g) çdo shkelje të mëparshme nga personi fizik ose juridik përgjegjës për shkeljen;</w:t>
            </w:r>
          </w:p>
          <w:p w14:paraId="58C85585"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(h) çdo pasojë aktuale ose të mundshme </w:t>
            </w:r>
            <w:proofErr w:type="spellStart"/>
            <w:r w:rsidRPr="00735452">
              <w:rPr>
                <w:rFonts w:ascii="Times New Roman" w:eastAsia="Times New Roman" w:hAnsi="Times New Roman" w:cs="Times New Roman"/>
                <w:sz w:val="20"/>
                <w:szCs w:val="20"/>
                <w:lang w:val="sq-AL"/>
              </w:rPr>
              <w:t>sistemike</w:t>
            </w:r>
            <w:proofErr w:type="spellEnd"/>
            <w:r w:rsidRPr="00735452">
              <w:rPr>
                <w:rFonts w:ascii="Times New Roman" w:eastAsia="Times New Roman" w:hAnsi="Times New Roman" w:cs="Times New Roman"/>
                <w:sz w:val="20"/>
                <w:szCs w:val="20"/>
                <w:lang w:val="sq-AL"/>
              </w:rPr>
              <w:t xml:space="preserve"> të shkeljes.</w:t>
            </w:r>
          </w:p>
        </w:tc>
        <w:tc>
          <w:tcPr>
            <w:tcW w:w="624" w:type="dxa"/>
            <w:tcBorders>
              <w:left w:val="single" w:sz="12" w:space="0" w:color="auto"/>
            </w:tcBorders>
          </w:tcPr>
          <w:p w14:paraId="1885C076" w14:textId="2EDC0E87" w:rsidR="00787224" w:rsidRPr="00735452" w:rsidRDefault="00082937"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E352CF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43, pika 1</w:t>
            </w:r>
          </w:p>
        </w:tc>
        <w:tc>
          <w:tcPr>
            <w:tcW w:w="5130" w:type="dxa"/>
          </w:tcPr>
          <w:p w14:paraId="390B8947"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Në përcaktimin e llojit të masës mbikëqyrëse ose të sanksionit administrativ, dhe nivelit të tij, Autoriteti merr në konsideratë, sipas rastit:</w:t>
            </w:r>
            <w:r w:rsidRPr="00735452">
              <w:rPr>
                <w:rFonts w:ascii="Times New Roman" w:eastAsia="Times New Roman" w:hAnsi="Times New Roman" w:cs="Times New Roman"/>
                <w:sz w:val="20"/>
                <w:szCs w:val="20"/>
                <w:lang w:val="sq-AL"/>
              </w:rPr>
              <w:br/>
              <w:t>a) rëndësinë dhe kohëzgjatjen e shkeljes;</w:t>
            </w:r>
            <w:r w:rsidRPr="00735452">
              <w:rPr>
                <w:rFonts w:ascii="Times New Roman" w:eastAsia="Times New Roman" w:hAnsi="Times New Roman" w:cs="Times New Roman"/>
                <w:sz w:val="20"/>
                <w:szCs w:val="20"/>
                <w:lang w:val="sq-AL"/>
              </w:rPr>
              <w:br/>
              <w:t>b) shkallën e përgjegjësisë së personit fizik ose juridik përgjegjës;</w:t>
            </w:r>
            <w:r w:rsidRPr="00735452">
              <w:rPr>
                <w:rFonts w:ascii="Times New Roman" w:eastAsia="Times New Roman" w:hAnsi="Times New Roman" w:cs="Times New Roman"/>
                <w:sz w:val="20"/>
                <w:szCs w:val="20"/>
                <w:lang w:val="sq-AL"/>
              </w:rPr>
              <w:br/>
              <w:t>c) fuqinë financiare të personit përgjegjës, duke përfshirë xhiron totale të personit juridik ose të ardhurat vjetore të personit fizik;</w:t>
            </w:r>
            <w:r w:rsidRPr="00735452">
              <w:rPr>
                <w:rFonts w:ascii="Times New Roman" w:eastAsia="Times New Roman" w:hAnsi="Times New Roman" w:cs="Times New Roman"/>
                <w:sz w:val="20"/>
                <w:szCs w:val="20"/>
                <w:lang w:val="sq-AL"/>
              </w:rPr>
              <w:br/>
              <w:t>ç) përfitimet e realizuara ose humbjet e shmangura si rezultat i shkeljes, në masën që ato mund të përcaktohen;</w:t>
            </w:r>
            <w:r w:rsidRPr="00735452">
              <w:rPr>
                <w:rFonts w:ascii="Times New Roman" w:eastAsia="Times New Roman" w:hAnsi="Times New Roman" w:cs="Times New Roman"/>
                <w:sz w:val="20"/>
                <w:szCs w:val="20"/>
                <w:lang w:val="sq-AL"/>
              </w:rPr>
              <w:br/>
              <w:t>d) dëmet e shkaktuara ndaj palëve të treta, në masën që ato mund të përcaktohen;</w:t>
            </w:r>
            <w:r w:rsidRPr="00735452">
              <w:rPr>
                <w:rFonts w:ascii="Times New Roman" w:eastAsia="Times New Roman" w:hAnsi="Times New Roman" w:cs="Times New Roman"/>
                <w:sz w:val="20"/>
                <w:szCs w:val="20"/>
                <w:lang w:val="sq-AL"/>
              </w:rPr>
              <w:br/>
              <w:t>dh) nivelin e bashkëpunimit me Autoritetin dhe Bankën e Shqipërisë;</w:t>
            </w:r>
            <w:r w:rsidRPr="00735452">
              <w:rPr>
                <w:rFonts w:ascii="Times New Roman" w:eastAsia="Times New Roman" w:hAnsi="Times New Roman" w:cs="Times New Roman"/>
                <w:sz w:val="20"/>
                <w:szCs w:val="20"/>
                <w:lang w:val="sq-AL"/>
              </w:rPr>
              <w:br/>
              <w:t>e) ekzistencën e shkeljeve të mëparshme;</w:t>
            </w:r>
            <w:r w:rsidRPr="00735452">
              <w:rPr>
                <w:rFonts w:ascii="Times New Roman" w:eastAsia="Times New Roman" w:hAnsi="Times New Roman" w:cs="Times New Roman"/>
                <w:sz w:val="20"/>
                <w:szCs w:val="20"/>
                <w:lang w:val="sq-AL"/>
              </w:rPr>
              <w:br/>
              <w:t xml:space="preserve">ë) çdo pasojë të mundshme </w:t>
            </w:r>
            <w:proofErr w:type="spellStart"/>
            <w:r w:rsidRPr="00735452">
              <w:rPr>
                <w:rFonts w:ascii="Times New Roman" w:eastAsia="Times New Roman" w:hAnsi="Times New Roman" w:cs="Times New Roman"/>
                <w:sz w:val="20"/>
                <w:szCs w:val="20"/>
                <w:lang w:val="sq-AL"/>
              </w:rPr>
              <w:t>sistemike</w:t>
            </w:r>
            <w:proofErr w:type="spellEnd"/>
            <w:r w:rsidRPr="00735452">
              <w:rPr>
                <w:rFonts w:ascii="Times New Roman" w:eastAsia="Times New Roman" w:hAnsi="Times New Roman" w:cs="Times New Roman"/>
                <w:sz w:val="20"/>
                <w:szCs w:val="20"/>
                <w:lang w:val="sq-AL"/>
              </w:rPr>
              <w:t xml:space="preserve"> të shkeljes.</w:t>
            </w:r>
          </w:p>
        </w:tc>
        <w:tc>
          <w:tcPr>
            <w:tcW w:w="1440" w:type="dxa"/>
          </w:tcPr>
          <w:p w14:paraId="0A9E3872" w14:textId="160805C9"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72E8241C"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46C4C95F" w14:textId="77777777" w:rsidTr="004D61BC">
        <w:trPr>
          <w:gridAfter w:val="1"/>
          <w:wAfter w:w="14" w:type="dxa"/>
        </w:trPr>
        <w:tc>
          <w:tcPr>
            <w:tcW w:w="800" w:type="dxa"/>
            <w:tcBorders>
              <w:left w:val="single" w:sz="12" w:space="0" w:color="auto"/>
            </w:tcBorders>
          </w:tcPr>
          <w:p w14:paraId="724E7D43"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482858A5"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dispozitat e përmendura në paragrafin 1 zbatohen ndaj personave juridikë, shtetet anëtare sigurojnë gjithashtu që autoritetet kompetente të përcaktuara sipas nenit 18, paragrafi 2, të zbatojnë sanksionet administrative dhe masat e tjera administrative të përcaktuara në paragrafin 2 të këtij neni ndaj anëtarëve të organit drejtues dhe individëve të tjerë që, sipas ligjit kombëtar, janë përgjegjës për shkeljen.</w:t>
            </w:r>
          </w:p>
        </w:tc>
        <w:tc>
          <w:tcPr>
            <w:tcW w:w="624" w:type="dxa"/>
            <w:tcBorders>
              <w:left w:val="single" w:sz="12" w:space="0" w:color="auto"/>
            </w:tcBorders>
          </w:tcPr>
          <w:p w14:paraId="4EDD7B98" w14:textId="74933F73" w:rsidR="00787224" w:rsidRPr="00735452" w:rsidRDefault="00082937"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1DB654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41, pika 1</w:t>
            </w:r>
          </w:p>
        </w:tc>
        <w:tc>
          <w:tcPr>
            <w:tcW w:w="5130" w:type="dxa"/>
          </w:tcPr>
          <w:p w14:paraId="78C89C85" w14:textId="2A96D3B9"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Pa cenuar kompetencat mbikëqyrëse të Bankës së Shqipërisë dhe Autoritetit të Mbikëqyrjes Financiare sipas legjislacionit në fuqi, Autoriteti merr masa mbikëqyrëse dhe vendos sanksione, veçmas ose në mënyrë </w:t>
            </w:r>
            <w:proofErr w:type="spellStart"/>
            <w:r w:rsidRPr="00735452">
              <w:rPr>
                <w:rFonts w:ascii="Times New Roman" w:eastAsia="Times New Roman" w:hAnsi="Times New Roman" w:cs="Times New Roman"/>
                <w:sz w:val="20"/>
                <w:szCs w:val="20"/>
                <w:lang w:val="sq-AL"/>
              </w:rPr>
              <w:t>kumulative</w:t>
            </w:r>
            <w:proofErr w:type="spellEnd"/>
            <w:r w:rsidRPr="00735452">
              <w:rPr>
                <w:rFonts w:ascii="Times New Roman" w:eastAsia="Times New Roman" w:hAnsi="Times New Roman" w:cs="Times New Roman"/>
                <w:sz w:val="20"/>
                <w:szCs w:val="20"/>
                <w:lang w:val="sq-AL"/>
              </w:rPr>
              <w:t>, ndaj institucionit të kreditit emetues, anëtarëve të organit drejtues ose çdo personi tjetër përgjegjës, në rast se institucioni i krediti:</w:t>
            </w:r>
            <w:r w:rsidRPr="00735452">
              <w:rPr>
                <w:rFonts w:ascii="Times New Roman" w:eastAsia="Times New Roman" w:hAnsi="Times New Roman" w:cs="Times New Roman"/>
                <w:sz w:val="20"/>
                <w:szCs w:val="20"/>
                <w:lang w:val="sq-AL"/>
              </w:rPr>
              <w:br/>
              <w:t>a) është autorizuar për një program të obligacioneve të mbuluara bazuar në deklarata të rreme ose mënyrave të tjera të parregullta;</w:t>
            </w:r>
            <w:r w:rsidRPr="00735452">
              <w:rPr>
                <w:rFonts w:ascii="Times New Roman" w:eastAsia="Times New Roman" w:hAnsi="Times New Roman" w:cs="Times New Roman"/>
                <w:sz w:val="20"/>
                <w:szCs w:val="20"/>
                <w:lang w:val="sq-AL"/>
              </w:rPr>
              <w:br/>
              <w:t xml:space="preserve">b) nuk përmbush më kushtet mbi bazën e të cilave është dhënë </w:t>
            </w:r>
            <w:r w:rsidR="0095681F">
              <w:rPr>
                <w:rFonts w:ascii="Times New Roman" w:eastAsia="Times New Roman" w:hAnsi="Times New Roman" w:cs="Times New Roman"/>
                <w:sz w:val="20"/>
                <w:szCs w:val="20"/>
                <w:lang w:val="sq-AL"/>
              </w:rPr>
              <w:t>miratimi</w:t>
            </w:r>
            <w:r w:rsidRPr="00735452">
              <w:rPr>
                <w:rFonts w:ascii="Times New Roman" w:eastAsia="Times New Roman" w:hAnsi="Times New Roman" w:cs="Times New Roman"/>
                <w:sz w:val="20"/>
                <w:szCs w:val="20"/>
                <w:lang w:val="sq-AL"/>
              </w:rPr>
              <w:t xml:space="preserve"> për një program të obligacioneve të mbuluara;</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c) emeton obligacione të mbuluara pa marrë </w:t>
            </w:r>
            <w:r w:rsidR="003518E8">
              <w:rPr>
                <w:rFonts w:ascii="Times New Roman" w:eastAsia="Times New Roman" w:hAnsi="Times New Roman" w:cs="Times New Roman"/>
                <w:sz w:val="20"/>
                <w:szCs w:val="20"/>
                <w:lang w:val="sq-AL"/>
              </w:rPr>
              <w:t>miratimin</w:t>
            </w:r>
            <w:r w:rsidRPr="00735452">
              <w:rPr>
                <w:rFonts w:ascii="Times New Roman" w:eastAsia="Times New Roman" w:hAnsi="Times New Roman" w:cs="Times New Roman"/>
                <w:sz w:val="20"/>
                <w:szCs w:val="20"/>
                <w:lang w:val="sq-AL"/>
              </w:rPr>
              <w:t xml:space="preserve"> sipas nenit 21 të këtij ligji;</w:t>
            </w:r>
            <w:r w:rsidRPr="00735452">
              <w:rPr>
                <w:rFonts w:ascii="Times New Roman" w:eastAsia="Times New Roman" w:hAnsi="Times New Roman" w:cs="Times New Roman"/>
                <w:sz w:val="20"/>
                <w:szCs w:val="20"/>
                <w:lang w:val="sq-AL"/>
              </w:rPr>
              <w:br/>
              <w:t>ç) nuk përmbush kërkesat për aktive të pranueshme sipas përcaktimeve në nenin 6 të këtij ligji;</w:t>
            </w:r>
            <w:r w:rsidRPr="00735452">
              <w:rPr>
                <w:rFonts w:ascii="Times New Roman" w:eastAsia="Times New Roman" w:hAnsi="Times New Roman" w:cs="Times New Roman"/>
                <w:sz w:val="20"/>
                <w:szCs w:val="20"/>
                <w:lang w:val="sq-AL"/>
              </w:rPr>
              <w:br/>
              <w:t>d) emeton obligacione të mbuluara që nuk janë të mbuluara në përputhje me dispozitat e nenit 7 të këtij ligji;</w:t>
            </w:r>
            <w:r w:rsidRPr="00735452">
              <w:rPr>
                <w:rFonts w:ascii="Times New Roman" w:eastAsia="Times New Roman" w:hAnsi="Times New Roman" w:cs="Times New Roman"/>
                <w:sz w:val="20"/>
                <w:szCs w:val="20"/>
                <w:lang w:val="sq-AL"/>
              </w:rPr>
              <w:br/>
              <w:t>dh) përfshin obligacionet e mbuluara në një strukturë të përbashkët brenda grupit në kundërshtim me kërkesat e nenit 7 të këtij ligji;</w:t>
            </w:r>
            <w:r w:rsidRPr="00735452">
              <w:rPr>
                <w:rFonts w:ascii="Times New Roman" w:eastAsia="Times New Roman" w:hAnsi="Times New Roman" w:cs="Times New Roman"/>
                <w:sz w:val="20"/>
                <w:szCs w:val="20"/>
                <w:lang w:val="sq-AL"/>
              </w:rPr>
              <w:br/>
              <w:t>e) nuk përmbush kushtet për financimin e përbashkët të përcaktuara në nenin 8 të këtij ligji;</w:t>
            </w:r>
            <w:r w:rsidRPr="00735452">
              <w:rPr>
                <w:rFonts w:ascii="Times New Roman" w:eastAsia="Times New Roman" w:hAnsi="Times New Roman" w:cs="Times New Roman"/>
                <w:sz w:val="20"/>
                <w:szCs w:val="20"/>
                <w:lang w:val="sq-AL"/>
              </w:rPr>
              <w:br/>
              <w:t>ë) nuk përmbush kërkesat për përbërjen e grupit të mbulimit të përcaktuara në nenin 9 të këtij ligji;</w:t>
            </w:r>
            <w:r w:rsidRPr="00735452">
              <w:rPr>
                <w:rFonts w:ascii="Times New Roman" w:eastAsia="Times New Roman" w:hAnsi="Times New Roman" w:cs="Times New Roman"/>
                <w:sz w:val="20"/>
                <w:szCs w:val="20"/>
                <w:lang w:val="sq-AL"/>
              </w:rPr>
              <w:br/>
              <w:t xml:space="preserve">f) nuk përmbush kërkesat lidhur me kontratat </w:t>
            </w:r>
            <w:proofErr w:type="spellStart"/>
            <w:r w:rsidRPr="00735452">
              <w:rPr>
                <w:rFonts w:ascii="Times New Roman" w:eastAsia="Times New Roman" w:hAnsi="Times New Roman" w:cs="Times New Roman"/>
                <w:sz w:val="20"/>
                <w:szCs w:val="20"/>
                <w:lang w:val="sq-AL"/>
              </w:rPr>
              <w:t>derivativë</w:t>
            </w:r>
            <w:proofErr w:type="spellEnd"/>
            <w:r w:rsidRPr="00735452">
              <w:rPr>
                <w:rFonts w:ascii="Times New Roman" w:eastAsia="Times New Roman" w:hAnsi="Times New Roman" w:cs="Times New Roman"/>
                <w:sz w:val="20"/>
                <w:szCs w:val="20"/>
                <w:lang w:val="sq-AL"/>
              </w:rPr>
              <w:t xml:space="preserve"> në grupin e mbulimit të përcaktuara në nenin 10 të këtij ligji;</w:t>
            </w:r>
            <w:r w:rsidRPr="00735452">
              <w:rPr>
                <w:rFonts w:ascii="Times New Roman" w:eastAsia="Times New Roman" w:hAnsi="Times New Roman" w:cs="Times New Roman"/>
                <w:sz w:val="20"/>
                <w:szCs w:val="20"/>
                <w:lang w:val="sq-AL"/>
              </w:rPr>
              <w:br/>
              <w:t>g) nuk përmbush kërkesat për ndarjen e aktiveve të mbulimit në përputhje me nenin 11 të këtij ligji;</w:t>
            </w:r>
            <w:r w:rsidRPr="00735452">
              <w:rPr>
                <w:rFonts w:ascii="Times New Roman" w:eastAsia="Times New Roman" w:hAnsi="Times New Roman" w:cs="Times New Roman"/>
                <w:sz w:val="20"/>
                <w:szCs w:val="20"/>
                <w:lang w:val="sq-AL"/>
              </w:rPr>
              <w:br/>
              <w:t>gj) nuk raporton informacion ose jep informacion të paplotë ose të pasaktë për investitorët në kundërshtim me nenin 14 të këtij ligji;</w:t>
            </w:r>
            <w:r w:rsidRPr="00735452">
              <w:rPr>
                <w:rFonts w:ascii="Times New Roman" w:eastAsia="Times New Roman" w:hAnsi="Times New Roman" w:cs="Times New Roman"/>
                <w:sz w:val="20"/>
                <w:szCs w:val="20"/>
                <w:lang w:val="sq-AL"/>
              </w:rPr>
              <w:br/>
              <w:t>h) në mënyrë të përsëritur ose në mënyrë të vazhdueshme, nuk mban rezervën e likuiditetit të grupit të mbulimit në kundërshtim me parashikimet e nenit 17 të këtij ligji;</w:t>
            </w:r>
            <w:r w:rsidRPr="00735452">
              <w:rPr>
                <w:rFonts w:ascii="Times New Roman" w:eastAsia="Times New Roman" w:hAnsi="Times New Roman" w:cs="Times New Roman"/>
                <w:sz w:val="20"/>
                <w:szCs w:val="20"/>
                <w:lang w:val="sq-AL"/>
              </w:rPr>
              <w:br/>
              <w:t xml:space="preserve">i) që emeton obligacione të mbuluara me strukturë të zgjatjes së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nuk përmbush kërkesat përkatëse të përcaktuara në nenin 18 të këtij ligji;</w:t>
            </w:r>
            <w:r w:rsidRPr="00735452">
              <w:rPr>
                <w:rFonts w:ascii="Times New Roman" w:eastAsia="Times New Roman" w:hAnsi="Times New Roman" w:cs="Times New Roman"/>
                <w:sz w:val="20"/>
                <w:szCs w:val="20"/>
                <w:lang w:val="sq-AL"/>
              </w:rPr>
              <w:br/>
              <w:t>j) nuk raporton informacion ose jep informacion të paplotë ose të pasaktë mbi detyrimet e tij në kundërshtim me parashikimet e nenit 21 të këtij ligji;</w:t>
            </w:r>
            <w:r w:rsidRPr="00735452">
              <w:rPr>
                <w:rFonts w:ascii="Times New Roman" w:eastAsia="Times New Roman" w:hAnsi="Times New Roman" w:cs="Times New Roman"/>
                <w:sz w:val="20"/>
                <w:szCs w:val="20"/>
                <w:lang w:val="sq-AL"/>
              </w:rPr>
              <w:br/>
              <w:t>k) nuk përmbush detyrimet e tjera që rrjedhin nga ky ligj ose nga aktet nënligjore të nxjerra në zbatim të tij.</w:t>
            </w:r>
          </w:p>
        </w:tc>
        <w:tc>
          <w:tcPr>
            <w:tcW w:w="1440" w:type="dxa"/>
          </w:tcPr>
          <w:p w14:paraId="43298AB5" w14:textId="49D3D9EB"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2BBB2D47" w14:textId="77777777" w:rsidR="003E7E51" w:rsidRPr="00735452" w:rsidRDefault="003E7E51">
            <w:pPr>
              <w:spacing w:after="0" w:line="240" w:lineRule="auto"/>
              <w:rPr>
                <w:rFonts w:ascii="Times New Roman" w:hAnsi="Times New Roman" w:cs="Times New Roman"/>
                <w:sz w:val="20"/>
                <w:szCs w:val="20"/>
                <w:lang w:val="sq-AL"/>
              </w:rPr>
            </w:pPr>
          </w:p>
        </w:tc>
      </w:tr>
      <w:tr w:rsidR="00787224" w:rsidRPr="00735452" w14:paraId="69058E17" w14:textId="77777777" w:rsidTr="004D61BC">
        <w:trPr>
          <w:gridAfter w:val="1"/>
          <w:wAfter w:w="14" w:type="dxa"/>
        </w:trPr>
        <w:tc>
          <w:tcPr>
            <w:tcW w:w="800" w:type="dxa"/>
            <w:tcBorders>
              <w:left w:val="single" w:sz="12" w:space="0" w:color="auto"/>
            </w:tcBorders>
          </w:tcPr>
          <w:p w14:paraId="066E0D6B"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6</w:t>
            </w:r>
          </w:p>
        </w:tc>
        <w:tc>
          <w:tcPr>
            <w:tcW w:w="5220" w:type="dxa"/>
            <w:tcBorders>
              <w:right w:val="single" w:sz="12" w:space="0" w:color="auto"/>
            </w:tcBorders>
          </w:tcPr>
          <w:p w14:paraId="4705756C" w14:textId="77777777" w:rsidR="00787224" w:rsidRPr="00735452" w:rsidRDefault="00787224" w:rsidP="0078722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përpara marrjes së çdo vendimi për vendosjen e sanksioneve administrative ose masave të tjera administrative, siç parashikohen në paragrafin 2, autoritetet kompetente të përcaktuara sipas nenit 18, paragrafi 2, t’i japin personit fizik ose juridik përkatës mundësinë për t’u dëgjuar. Përjashtime nga e drejta për t’u dëgjuar mund të zbatohen për miratimin e këtyre masave të tjera administrative, kur veprimi urgjent është i nevojshëm për të parandaluar humbje të konsiderueshme për palët e treta ose dëme të konsiderueshme </w:t>
            </w:r>
            <w:r w:rsidRPr="00735452">
              <w:rPr>
                <w:rFonts w:ascii="Times New Roman" w:eastAsia="Times New Roman" w:hAnsi="Times New Roman" w:cs="Times New Roman"/>
                <w:sz w:val="20"/>
                <w:szCs w:val="20"/>
                <w:lang w:val="sq-AL"/>
              </w:rPr>
              <w:lastRenderedPageBreak/>
              <w:t>për sistemin financiar. Në këto raste, personit përkatës i jepet mundësia për t’u dëgjuar sa më shpejt që të jetë e mundur pas miratimit të masës administrative dhe, kur është e nevojshme, kjo masë rishikohet.</w:t>
            </w:r>
          </w:p>
        </w:tc>
        <w:tc>
          <w:tcPr>
            <w:tcW w:w="624" w:type="dxa"/>
            <w:tcBorders>
              <w:left w:val="single" w:sz="12" w:space="0" w:color="auto"/>
            </w:tcBorders>
          </w:tcPr>
          <w:p w14:paraId="377688E0" w14:textId="32D1172F" w:rsidR="00787224" w:rsidRPr="00735452" w:rsidRDefault="00082937" w:rsidP="0078722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596DCEA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43, pikat 2-3</w:t>
            </w:r>
          </w:p>
        </w:tc>
        <w:tc>
          <w:tcPr>
            <w:tcW w:w="5130" w:type="dxa"/>
          </w:tcPr>
          <w:p w14:paraId="649D5E8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Përpara marrjes së një mase mbikëqyrëse ose vendosjes së një sanksioni administrativ me gjobë, Autoriteti i jep personit fizik ose organit drejtues apo përfaqësuesit të personit të juridik të interesuar mundësinë për t'u dëgjuar.</w:t>
            </w:r>
            <w:r w:rsidRPr="00735452">
              <w:rPr>
                <w:rFonts w:ascii="Times New Roman" w:eastAsia="Times New Roman" w:hAnsi="Times New Roman" w:cs="Times New Roman"/>
                <w:sz w:val="20"/>
                <w:szCs w:val="20"/>
                <w:lang w:val="sq-AL"/>
              </w:rPr>
              <w:br/>
              <w:t xml:space="preserve">3. Përjashtimisht, nga sa parashikohet në pikën 2 të këtij neni, masat mbikëqyrëse ose sanksionet mund të merren pa zbatimin paraprak të së drejtës për t'u dëgjuar, kur masa ka karakter urgjent dhe është e nevojshme për të parandaluar humbje të konsiderueshme për palët e treta ose dëmtime të </w:t>
            </w:r>
            <w:r w:rsidRPr="00735452">
              <w:rPr>
                <w:rFonts w:ascii="Times New Roman" w:eastAsia="Times New Roman" w:hAnsi="Times New Roman" w:cs="Times New Roman"/>
                <w:sz w:val="20"/>
                <w:szCs w:val="20"/>
                <w:lang w:val="sq-AL"/>
              </w:rPr>
              <w:lastRenderedPageBreak/>
              <w:t>konsiderueshme për sistemin financiar. Në këto raste, personit të interesuar i jepet mundësia për t'u dëgjuar menjëherë pas marrjes së masës dhe Autoriteti rishikon masën, kur kjo rezulton e arsyeshme.</w:t>
            </w:r>
          </w:p>
        </w:tc>
        <w:tc>
          <w:tcPr>
            <w:tcW w:w="1440" w:type="dxa"/>
          </w:tcPr>
          <w:p w14:paraId="0440C2BB" w14:textId="637618F8"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437B374E"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35B54FAB" w14:textId="77777777" w:rsidTr="004D61BC">
        <w:trPr>
          <w:gridAfter w:val="1"/>
          <w:wAfter w:w="14" w:type="dxa"/>
        </w:trPr>
        <w:tc>
          <w:tcPr>
            <w:tcW w:w="800" w:type="dxa"/>
            <w:tcBorders>
              <w:left w:val="single" w:sz="12" w:space="0" w:color="auto"/>
            </w:tcBorders>
          </w:tcPr>
          <w:p w14:paraId="1528F1A2"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7</w:t>
            </w:r>
          </w:p>
        </w:tc>
        <w:tc>
          <w:tcPr>
            <w:tcW w:w="5220" w:type="dxa"/>
            <w:tcBorders>
              <w:right w:val="single" w:sz="12" w:space="0" w:color="auto"/>
            </w:tcBorders>
          </w:tcPr>
          <w:p w14:paraId="5ECA8F31"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çdo vendim për vendosjen e sanksioneve administrative ose masave të tjera administrative, siç parashikohen në paragrafin 2, të jetë i arsyetuar siç duhet dhe t’i nënshtrohet të drejtës së ankimit.</w:t>
            </w:r>
          </w:p>
        </w:tc>
        <w:tc>
          <w:tcPr>
            <w:tcW w:w="624" w:type="dxa"/>
            <w:tcBorders>
              <w:left w:val="single" w:sz="12" w:space="0" w:color="auto"/>
            </w:tcBorders>
          </w:tcPr>
          <w:p w14:paraId="1BE4459C" w14:textId="1E82EA8B"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1F4F4059"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43, pika 4</w:t>
            </w:r>
          </w:p>
        </w:tc>
        <w:tc>
          <w:tcPr>
            <w:tcW w:w="5130" w:type="dxa"/>
          </w:tcPr>
          <w:p w14:paraId="3E64658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Vendimet e Autoritetit për marrjen e masave mbikëqyrëse ose vendosjen e sanksioneve administrative me gjobë duhet të jenë të arsyetuara dhe i nënshtrohen ankimit gjyqësor, në përputhje me legjislacionin në fuqi.</w:t>
            </w:r>
          </w:p>
        </w:tc>
        <w:tc>
          <w:tcPr>
            <w:tcW w:w="1440" w:type="dxa"/>
          </w:tcPr>
          <w:p w14:paraId="2C97EC06" w14:textId="1A74D805"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B465EF2"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10F80086" w14:textId="77777777" w:rsidTr="004D61BC">
        <w:trPr>
          <w:gridAfter w:val="1"/>
          <w:wAfter w:w="14" w:type="dxa"/>
        </w:trPr>
        <w:tc>
          <w:tcPr>
            <w:tcW w:w="800" w:type="dxa"/>
            <w:tcBorders>
              <w:left w:val="single" w:sz="12" w:space="0" w:color="auto"/>
            </w:tcBorders>
          </w:tcPr>
          <w:p w14:paraId="07BE203A"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24</w:t>
            </w:r>
          </w:p>
          <w:p w14:paraId="23E70107"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701F269B"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dispozitat e ligjit kombëtar që </w:t>
            </w:r>
            <w:proofErr w:type="spellStart"/>
            <w:r w:rsidRPr="00735452">
              <w:rPr>
                <w:rFonts w:ascii="Times New Roman" w:eastAsia="Times New Roman" w:hAnsi="Times New Roman" w:cs="Times New Roman"/>
                <w:sz w:val="20"/>
                <w:szCs w:val="20"/>
                <w:lang w:val="sq-AL"/>
              </w:rPr>
              <w:t>transpozojnë</w:t>
            </w:r>
            <w:proofErr w:type="spellEnd"/>
            <w:r w:rsidRPr="00735452">
              <w:rPr>
                <w:rFonts w:ascii="Times New Roman" w:eastAsia="Times New Roman" w:hAnsi="Times New Roman" w:cs="Times New Roman"/>
                <w:sz w:val="20"/>
                <w:szCs w:val="20"/>
                <w:lang w:val="sq-AL"/>
              </w:rPr>
              <w:t xml:space="preserve"> këtë Direktivë të përfshijnë rregulla që kërkojnë publikimin pa vonesa të panevojshme në faqet zyrtare të internetit të autoriteteve kompetente të përcaktuara sipas nenit 18, paragrafi 2, të sanksioneve administrative dhe masave të tjera administrative. Të njëjtat detyrime zbatohen kur një shtet anëtar vendos të parashikojë sanksione penale sipas </w:t>
            </w:r>
            <w:proofErr w:type="spellStart"/>
            <w:r w:rsidRPr="00735452">
              <w:rPr>
                <w:rFonts w:ascii="Times New Roman" w:eastAsia="Times New Roman" w:hAnsi="Times New Roman" w:cs="Times New Roman"/>
                <w:sz w:val="20"/>
                <w:szCs w:val="20"/>
                <w:lang w:val="sq-AL"/>
              </w:rPr>
              <w:t>nënparagrafit</w:t>
            </w:r>
            <w:proofErr w:type="spellEnd"/>
            <w:r w:rsidRPr="00735452">
              <w:rPr>
                <w:rFonts w:ascii="Times New Roman" w:eastAsia="Times New Roman" w:hAnsi="Times New Roman" w:cs="Times New Roman"/>
                <w:sz w:val="20"/>
                <w:szCs w:val="20"/>
                <w:lang w:val="sq-AL"/>
              </w:rPr>
              <w:t xml:space="preserve"> të dytë të nenit 23, paragrafi 1.</w:t>
            </w:r>
          </w:p>
        </w:tc>
        <w:tc>
          <w:tcPr>
            <w:tcW w:w="624" w:type="dxa"/>
            <w:tcBorders>
              <w:left w:val="single" w:sz="12" w:space="0" w:color="auto"/>
            </w:tcBorders>
          </w:tcPr>
          <w:p w14:paraId="761909EE" w14:textId="67424F57"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99EF8F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1</w:t>
            </w:r>
          </w:p>
        </w:tc>
        <w:tc>
          <w:tcPr>
            <w:tcW w:w="5130" w:type="dxa"/>
          </w:tcPr>
          <w:p w14:paraId="22C18E7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Masat mbikëqyrëse dhe sanksionet publikohen menjëherë në faqen zyrtare të Autoritetit.</w:t>
            </w:r>
          </w:p>
        </w:tc>
        <w:tc>
          <w:tcPr>
            <w:tcW w:w="1440" w:type="dxa"/>
          </w:tcPr>
          <w:p w14:paraId="768365A9" w14:textId="24025737"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29DFFCF5"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2857D8B1" w14:textId="77777777" w:rsidTr="004D61BC">
        <w:trPr>
          <w:gridAfter w:val="1"/>
          <w:wAfter w:w="14" w:type="dxa"/>
        </w:trPr>
        <w:tc>
          <w:tcPr>
            <w:tcW w:w="800" w:type="dxa"/>
            <w:tcBorders>
              <w:left w:val="single" w:sz="12" w:space="0" w:color="auto"/>
            </w:tcBorders>
          </w:tcPr>
          <w:p w14:paraId="1538CD07"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3F1E4FCC"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Rregullat e miratuara sipas paragrafit 1 kërkojnë të paktën publikimin e çdo vendimi që nuk mund të </w:t>
            </w:r>
            <w:proofErr w:type="spellStart"/>
            <w:r w:rsidRPr="00735452">
              <w:rPr>
                <w:rFonts w:ascii="Times New Roman" w:eastAsia="Times New Roman" w:hAnsi="Times New Roman" w:cs="Times New Roman"/>
                <w:sz w:val="20"/>
                <w:szCs w:val="20"/>
                <w:lang w:val="sq-AL"/>
              </w:rPr>
              <w:t>ankimohet</w:t>
            </w:r>
            <w:proofErr w:type="spellEnd"/>
            <w:r w:rsidRPr="00735452">
              <w:rPr>
                <w:rFonts w:ascii="Times New Roman" w:eastAsia="Times New Roman" w:hAnsi="Times New Roman" w:cs="Times New Roman"/>
                <w:sz w:val="20"/>
                <w:szCs w:val="20"/>
                <w:lang w:val="sq-AL"/>
              </w:rPr>
              <w:t xml:space="preserve"> ose nuk mund të </w:t>
            </w:r>
            <w:proofErr w:type="spellStart"/>
            <w:r w:rsidRPr="00735452">
              <w:rPr>
                <w:rFonts w:ascii="Times New Roman" w:eastAsia="Times New Roman" w:hAnsi="Times New Roman" w:cs="Times New Roman"/>
                <w:sz w:val="20"/>
                <w:szCs w:val="20"/>
                <w:lang w:val="sq-AL"/>
              </w:rPr>
              <w:t>ankimohet</w:t>
            </w:r>
            <w:proofErr w:type="spellEnd"/>
            <w:r w:rsidRPr="00735452">
              <w:rPr>
                <w:rFonts w:ascii="Times New Roman" w:eastAsia="Times New Roman" w:hAnsi="Times New Roman" w:cs="Times New Roman"/>
                <w:sz w:val="20"/>
                <w:szCs w:val="20"/>
                <w:lang w:val="sq-AL"/>
              </w:rPr>
              <w:t xml:space="preserve"> më, dhe që vendoset për shkelje të dispozitave të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w:t>
            </w:r>
          </w:p>
        </w:tc>
        <w:tc>
          <w:tcPr>
            <w:tcW w:w="624" w:type="dxa"/>
            <w:tcBorders>
              <w:left w:val="single" w:sz="12" w:space="0" w:color="auto"/>
            </w:tcBorders>
          </w:tcPr>
          <w:p w14:paraId="08E81F2D" w14:textId="5A235B62"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C00C19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2</w:t>
            </w:r>
          </w:p>
        </w:tc>
        <w:tc>
          <w:tcPr>
            <w:tcW w:w="5130" w:type="dxa"/>
          </w:tcPr>
          <w:p w14:paraId="540E7E5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Publikimi sipas pikës 1 të këtij neni, përfshin të paktën sanksionin apo masën mbikëqyrëse. Në rastet kur ndaj vendimit për marrjen e masës mbikëqyrëse është paraqitur ankim në gjykatën përgjegjëse, së bashku me masën mbikëqyrëse publikohet dhe fakti se ndaj saj është ushtruar ankim.</w:t>
            </w:r>
          </w:p>
        </w:tc>
        <w:tc>
          <w:tcPr>
            <w:tcW w:w="1440" w:type="dxa"/>
          </w:tcPr>
          <w:p w14:paraId="4B119EF4" w14:textId="79B8F1D5"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7E0BDE30"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4291ABCF" w14:textId="77777777" w:rsidTr="004D61BC">
        <w:trPr>
          <w:gridAfter w:val="1"/>
          <w:wAfter w:w="14" w:type="dxa"/>
        </w:trPr>
        <w:tc>
          <w:tcPr>
            <w:tcW w:w="800" w:type="dxa"/>
            <w:tcBorders>
              <w:left w:val="single" w:sz="12" w:space="0" w:color="auto"/>
            </w:tcBorders>
          </w:tcPr>
          <w:p w14:paraId="4D20BE84"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7C399AFA"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një publikim i tillë të përfshijë informacion mbi llojin dhe natyrën e shkeljes dhe identitetin e personit fizik ose juridik ndaj të cilit është vendosur sanksioni ose masa. Në varësi të paragrafit 4, shtetet anëtare sigurojnë më tej që ky informacion të publikohet pa vonesa të panevojshme pasi adresati të jetë informuar për këtë sanksion ose masë, si dhe për publikimin e vendimit që vendos atë sanksion ose masë në faqet zyrtare të internetit të autoriteteve kompetente të përcaktuara sipas nenit 18, paragrafi 2.</w:t>
            </w:r>
          </w:p>
        </w:tc>
        <w:tc>
          <w:tcPr>
            <w:tcW w:w="624" w:type="dxa"/>
            <w:tcBorders>
              <w:left w:val="single" w:sz="12" w:space="0" w:color="auto"/>
            </w:tcBorders>
          </w:tcPr>
          <w:p w14:paraId="48FB5E88" w14:textId="075A4EA4"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E666F0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3</w:t>
            </w:r>
          </w:p>
        </w:tc>
        <w:tc>
          <w:tcPr>
            <w:tcW w:w="5130" w:type="dxa"/>
          </w:tcPr>
          <w:p w14:paraId="6ABE67C3"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Publikimet përfshijnë informacion mbi llojin dhe natyrën e shkeljes, si dhe identitetin e personit fizik ose juridik ndaj të cilit është vendosur masa mbikëqyrëse ose sanksioni.</w:t>
            </w:r>
            <w:r w:rsidRPr="00735452">
              <w:rPr>
                <w:rFonts w:ascii="Times New Roman" w:eastAsia="Times New Roman" w:hAnsi="Times New Roman" w:cs="Times New Roman"/>
                <w:sz w:val="20"/>
                <w:szCs w:val="20"/>
                <w:lang w:val="sq-AL"/>
              </w:rPr>
              <w:br/>
              <w:t xml:space="preserve"> Në përputhje me pikën 4, të këtij neni, ky informacion publikohet menjëherë pasi personi ndaj të cilit është vendosur sanksioni ose është marrë masa mbikëqyrëse ka marrë dijeni për to dhe për publikimin e vendimit përkatës në faqen zyrtare të internetit  të Autoritetit.</w:t>
            </w:r>
          </w:p>
        </w:tc>
        <w:tc>
          <w:tcPr>
            <w:tcW w:w="1440" w:type="dxa"/>
          </w:tcPr>
          <w:p w14:paraId="259F865F" w14:textId="0F566B04" w:rsidR="003E7E51" w:rsidRPr="00735452" w:rsidRDefault="00BC63C3">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73F2BEE1"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3EFE02D7" w14:textId="77777777" w:rsidTr="004D61BC">
        <w:trPr>
          <w:gridAfter w:val="1"/>
          <w:wAfter w:w="14" w:type="dxa"/>
        </w:trPr>
        <w:tc>
          <w:tcPr>
            <w:tcW w:w="800" w:type="dxa"/>
            <w:tcBorders>
              <w:left w:val="single" w:sz="12" w:space="0" w:color="auto"/>
            </w:tcBorders>
          </w:tcPr>
          <w:p w14:paraId="6978F798"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60BF626D"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shtetet anëtare lejojnë publikimin e një vendimi që vendos sanksione ose masa ndaj të cilit ka një ankim të pezulluar, autoritetet kompetente të përcaktuara sipas nenit 18, paragrafi 2, publikojnë gjithashtu pa vonesa të panevojshme në faqet e tyre zyrtare të internetit informacion mbi gjendjen e ankimit dhe rezultatin e tij.</w:t>
            </w:r>
          </w:p>
        </w:tc>
        <w:tc>
          <w:tcPr>
            <w:tcW w:w="624" w:type="dxa"/>
            <w:tcBorders>
              <w:left w:val="single" w:sz="12" w:space="0" w:color="auto"/>
            </w:tcBorders>
          </w:tcPr>
          <w:p w14:paraId="292FD221" w14:textId="245CF08B"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A9D105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4</w:t>
            </w:r>
          </w:p>
        </w:tc>
        <w:tc>
          <w:tcPr>
            <w:tcW w:w="5130" w:type="dxa"/>
          </w:tcPr>
          <w:p w14:paraId="6689612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Në rastin e publikimit të vendimit me të cilin janë vendosur sanksione ose masa mbikëqyrëse, ndaj të cilit është paraqitur ankim, Autoriteti publikon menjëherë në faqen e tij zyrtare edhe informacionin mbi statusin e ankimit dhe rezultatin e tij.</w:t>
            </w:r>
          </w:p>
        </w:tc>
        <w:tc>
          <w:tcPr>
            <w:tcW w:w="1440" w:type="dxa"/>
          </w:tcPr>
          <w:p w14:paraId="3F60024F" w14:textId="271AAB0C"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14569F0"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76F2687C" w14:textId="77777777" w:rsidTr="004D61BC">
        <w:trPr>
          <w:gridAfter w:val="1"/>
          <w:wAfter w:w="14" w:type="dxa"/>
        </w:trPr>
        <w:tc>
          <w:tcPr>
            <w:tcW w:w="800" w:type="dxa"/>
            <w:tcBorders>
              <w:left w:val="single" w:sz="12" w:space="0" w:color="auto"/>
            </w:tcBorders>
          </w:tcPr>
          <w:p w14:paraId="31BFC61A"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251F9EAD"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autoritetet kompetente të përcaktuara sipas nenit 18, paragrafi 2, ta publikojnë në mënyrë anonime vendimin që vendos sanksione ose masa, dhe në </w:t>
            </w:r>
            <w:r w:rsidRPr="00735452">
              <w:rPr>
                <w:rFonts w:ascii="Times New Roman" w:eastAsia="Times New Roman" w:hAnsi="Times New Roman" w:cs="Times New Roman"/>
                <w:sz w:val="20"/>
                <w:szCs w:val="20"/>
                <w:lang w:val="sq-AL"/>
              </w:rPr>
              <w:lastRenderedPageBreak/>
              <w:t>përputhje me ligjin kombëtar, në secilën nga rrethanat e mëposhtme:</w:t>
            </w:r>
          </w:p>
          <w:p w14:paraId="49171469"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kur sanksioni ose masa vendoset ndaj një personi fizik dhe publikimi i të dhënave personale vlerësohet si </w:t>
            </w:r>
            <w:proofErr w:type="spellStart"/>
            <w:r w:rsidRPr="00735452">
              <w:rPr>
                <w:rFonts w:ascii="Times New Roman" w:eastAsia="Times New Roman" w:hAnsi="Times New Roman" w:cs="Times New Roman"/>
                <w:sz w:val="20"/>
                <w:szCs w:val="20"/>
                <w:lang w:val="sq-AL"/>
              </w:rPr>
              <w:t>joproporcional</w:t>
            </w:r>
            <w:proofErr w:type="spellEnd"/>
            <w:r w:rsidRPr="00735452">
              <w:rPr>
                <w:rFonts w:ascii="Times New Roman" w:eastAsia="Times New Roman" w:hAnsi="Times New Roman" w:cs="Times New Roman"/>
                <w:sz w:val="20"/>
                <w:szCs w:val="20"/>
                <w:lang w:val="sq-AL"/>
              </w:rPr>
              <w:t>;</w:t>
            </w:r>
          </w:p>
          <w:p w14:paraId="1576D784"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kur publikimi do të vinte në rrezik stabilitetin e tregjeve financiare ose një hetim penal në vijim;</w:t>
            </w:r>
          </w:p>
          <w:p w14:paraId="0B368E7D"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kur publikimi do të shkaktonte, për aq sa kjo mund të përcaktohet, dëm </w:t>
            </w:r>
            <w:proofErr w:type="spellStart"/>
            <w:r w:rsidRPr="00735452">
              <w:rPr>
                <w:rFonts w:ascii="Times New Roman" w:eastAsia="Times New Roman" w:hAnsi="Times New Roman" w:cs="Times New Roman"/>
                <w:sz w:val="20"/>
                <w:szCs w:val="20"/>
                <w:lang w:val="sq-AL"/>
              </w:rPr>
              <w:t>joproporcional</w:t>
            </w:r>
            <w:proofErr w:type="spellEnd"/>
            <w:r w:rsidRPr="00735452">
              <w:rPr>
                <w:rFonts w:ascii="Times New Roman" w:eastAsia="Times New Roman" w:hAnsi="Times New Roman" w:cs="Times New Roman"/>
                <w:sz w:val="20"/>
                <w:szCs w:val="20"/>
                <w:lang w:val="sq-AL"/>
              </w:rPr>
              <w:t xml:space="preserve"> për institucionet e kreditit ose personat fizikë të përfshirë.</w:t>
            </w:r>
          </w:p>
        </w:tc>
        <w:tc>
          <w:tcPr>
            <w:tcW w:w="624" w:type="dxa"/>
            <w:tcBorders>
              <w:left w:val="single" w:sz="12" w:space="0" w:color="auto"/>
            </w:tcBorders>
          </w:tcPr>
          <w:p w14:paraId="47051957" w14:textId="5CCCD51E"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29AA06D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5</w:t>
            </w:r>
          </w:p>
        </w:tc>
        <w:tc>
          <w:tcPr>
            <w:tcW w:w="5130" w:type="dxa"/>
          </w:tcPr>
          <w:p w14:paraId="7AD4E641"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Autoriteti publikon në mënyrë të </w:t>
            </w:r>
            <w:proofErr w:type="spellStart"/>
            <w:r w:rsidRPr="00735452">
              <w:rPr>
                <w:rFonts w:ascii="Times New Roman" w:eastAsia="Times New Roman" w:hAnsi="Times New Roman" w:cs="Times New Roman"/>
                <w:sz w:val="20"/>
                <w:szCs w:val="20"/>
                <w:lang w:val="sq-AL"/>
              </w:rPr>
              <w:t>anonimizuar</w:t>
            </w:r>
            <w:proofErr w:type="spellEnd"/>
            <w:r w:rsidRPr="00735452">
              <w:rPr>
                <w:rFonts w:ascii="Times New Roman" w:eastAsia="Times New Roman" w:hAnsi="Times New Roman" w:cs="Times New Roman"/>
                <w:sz w:val="20"/>
                <w:szCs w:val="20"/>
                <w:lang w:val="sq-AL"/>
              </w:rPr>
              <w:t xml:space="preserve"> vendimin me të cilin janë vendosur sanksione ose masa mbikëqyrëse në secilën nga rrethanat e mëposhtme: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a) kur sanksioni ose masa mbikëqyrëse vendoset ndaj një personi fizik dhe publikimi i të dhënave personale konsiderohet </w:t>
            </w:r>
            <w:proofErr w:type="spellStart"/>
            <w:r w:rsidRPr="00735452">
              <w:rPr>
                <w:rFonts w:ascii="Times New Roman" w:eastAsia="Times New Roman" w:hAnsi="Times New Roman" w:cs="Times New Roman"/>
                <w:sz w:val="20"/>
                <w:szCs w:val="20"/>
                <w:lang w:val="sq-AL"/>
              </w:rPr>
              <w:t>joproporcional</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b) kur publikimi do të rrezikonte stabilitetin e tregjeve financiare ose një hetim penal në vijim;</w:t>
            </w:r>
            <w:r w:rsidRPr="00735452">
              <w:rPr>
                <w:rFonts w:ascii="Times New Roman" w:eastAsia="Times New Roman" w:hAnsi="Times New Roman" w:cs="Times New Roman"/>
                <w:sz w:val="20"/>
                <w:szCs w:val="20"/>
                <w:lang w:val="sq-AL"/>
              </w:rPr>
              <w:br/>
              <w:t xml:space="preserve">c) kur publikimi do të shkaktonte, në masën që mund të përcaktohet, dëme </w:t>
            </w:r>
            <w:proofErr w:type="spellStart"/>
            <w:r w:rsidRPr="00735452">
              <w:rPr>
                <w:rFonts w:ascii="Times New Roman" w:eastAsia="Times New Roman" w:hAnsi="Times New Roman" w:cs="Times New Roman"/>
                <w:sz w:val="20"/>
                <w:szCs w:val="20"/>
                <w:lang w:val="sq-AL"/>
              </w:rPr>
              <w:t>joproporcionale</w:t>
            </w:r>
            <w:proofErr w:type="spellEnd"/>
            <w:r w:rsidRPr="00735452">
              <w:rPr>
                <w:rFonts w:ascii="Times New Roman" w:eastAsia="Times New Roman" w:hAnsi="Times New Roman" w:cs="Times New Roman"/>
                <w:sz w:val="20"/>
                <w:szCs w:val="20"/>
                <w:lang w:val="sq-AL"/>
              </w:rPr>
              <w:t xml:space="preserve"> ndaj institucioneve të kreditit ose personave fizikë të përfshirë.</w:t>
            </w:r>
          </w:p>
        </w:tc>
        <w:tc>
          <w:tcPr>
            <w:tcW w:w="1440" w:type="dxa"/>
          </w:tcPr>
          <w:p w14:paraId="54923363" w14:textId="1054BF97"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07CA4CD6"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0940FB31" w14:textId="77777777" w:rsidTr="004D61BC">
        <w:trPr>
          <w:gridAfter w:val="1"/>
          <w:wAfter w:w="14" w:type="dxa"/>
        </w:trPr>
        <w:tc>
          <w:tcPr>
            <w:tcW w:w="800" w:type="dxa"/>
            <w:tcBorders>
              <w:left w:val="single" w:sz="12" w:space="0" w:color="auto"/>
            </w:tcBorders>
          </w:tcPr>
          <w:p w14:paraId="4C9F4678"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6</w:t>
            </w:r>
          </w:p>
        </w:tc>
        <w:tc>
          <w:tcPr>
            <w:tcW w:w="5220" w:type="dxa"/>
            <w:tcBorders>
              <w:right w:val="single" w:sz="12" w:space="0" w:color="auto"/>
            </w:tcBorders>
          </w:tcPr>
          <w:p w14:paraId="155F5951"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Kur një shtet anëtar publikon në mënyrë anonime një vendim që vendos një sanksion ose masë, ai mund të lejojë shtyrjen e publikimit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përkatëse.</w:t>
            </w:r>
          </w:p>
        </w:tc>
        <w:tc>
          <w:tcPr>
            <w:tcW w:w="624" w:type="dxa"/>
            <w:tcBorders>
              <w:left w:val="single" w:sz="12" w:space="0" w:color="auto"/>
            </w:tcBorders>
          </w:tcPr>
          <w:p w14:paraId="05F2253D" w14:textId="673E05B7"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58B3A1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6</w:t>
            </w:r>
          </w:p>
        </w:tc>
        <w:tc>
          <w:tcPr>
            <w:tcW w:w="5130" w:type="dxa"/>
          </w:tcPr>
          <w:p w14:paraId="3940BFF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6. Në rastin e publikimit në mënyrë anonime  të vendimit për vendosjen e një sanksioni ose mase mbikëqyrëse , Autoriteti mund të lejojë shtyrjen e publikimit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përkatëse.</w:t>
            </w:r>
          </w:p>
        </w:tc>
        <w:tc>
          <w:tcPr>
            <w:tcW w:w="1440" w:type="dxa"/>
          </w:tcPr>
          <w:p w14:paraId="0411AD12" w14:textId="18F15531"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5293773" w14:textId="77777777" w:rsidR="003E7E51" w:rsidRPr="00735452" w:rsidRDefault="003E7E51">
            <w:pPr>
              <w:spacing w:after="0" w:line="240" w:lineRule="auto"/>
              <w:rPr>
                <w:rFonts w:ascii="Times New Roman" w:hAnsi="Times New Roman" w:cs="Times New Roman"/>
                <w:sz w:val="20"/>
                <w:szCs w:val="20"/>
                <w:lang w:val="sq-AL"/>
              </w:rPr>
            </w:pPr>
          </w:p>
        </w:tc>
      </w:tr>
      <w:tr w:rsidR="004C1834" w:rsidRPr="00735452" w14:paraId="64627C59" w14:textId="77777777" w:rsidTr="004D61BC">
        <w:trPr>
          <w:gridAfter w:val="1"/>
          <w:wAfter w:w="14" w:type="dxa"/>
        </w:trPr>
        <w:tc>
          <w:tcPr>
            <w:tcW w:w="800" w:type="dxa"/>
            <w:tcBorders>
              <w:left w:val="single" w:sz="12" w:space="0" w:color="auto"/>
            </w:tcBorders>
          </w:tcPr>
          <w:p w14:paraId="1CF1340F"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7</w:t>
            </w:r>
          </w:p>
        </w:tc>
        <w:tc>
          <w:tcPr>
            <w:tcW w:w="5220" w:type="dxa"/>
            <w:tcBorders>
              <w:right w:val="single" w:sz="12" w:space="0" w:color="auto"/>
            </w:tcBorders>
          </w:tcPr>
          <w:p w14:paraId="6C66F232" w14:textId="77777777" w:rsidR="004C1834" w:rsidRPr="00735452" w:rsidRDefault="004C1834" w:rsidP="004C1834">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çdo vendim përfundimtar gjyqësor që anulon një vendim për vendosjen e sanksionit ose masës të publikohet gjithashtu.</w:t>
            </w:r>
          </w:p>
        </w:tc>
        <w:tc>
          <w:tcPr>
            <w:tcW w:w="624" w:type="dxa"/>
            <w:tcBorders>
              <w:left w:val="single" w:sz="12" w:space="0" w:color="auto"/>
            </w:tcBorders>
          </w:tcPr>
          <w:p w14:paraId="446664B2" w14:textId="41FDD9C0" w:rsidR="004C1834" w:rsidRPr="00735452" w:rsidRDefault="00082937" w:rsidP="004C1834">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731D64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7</w:t>
            </w:r>
          </w:p>
        </w:tc>
        <w:tc>
          <w:tcPr>
            <w:tcW w:w="5130" w:type="dxa"/>
          </w:tcPr>
          <w:p w14:paraId="3DF75FC7"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7. Autoriteti publikon gjithashtu edhe vendimin gjyqësor përfundimtar i cili shfuqizon një vendim për marrjen e masës mbikëqyrëse ose vendosjen e një sanksioni .</w:t>
            </w:r>
          </w:p>
        </w:tc>
        <w:tc>
          <w:tcPr>
            <w:tcW w:w="1440" w:type="dxa"/>
          </w:tcPr>
          <w:p w14:paraId="56222F48" w14:textId="1B040604"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787CBCC3" w14:textId="77777777"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070C44CC" w14:textId="77777777" w:rsidTr="004D61BC">
        <w:trPr>
          <w:gridAfter w:val="1"/>
          <w:wAfter w:w="14" w:type="dxa"/>
        </w:trPr>
        <w:tc>
          <w:tcPr>
            <w:tcW w:w="800" w:type="dxa"/>
            <w:tcBorders>
              <w:left w:val="single" w:sz="12" w:space="0" w:color="auto"/>
            </w:tcBorders>
          </w:tcPr>
          <w:p w14:paraId="314957BF"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8</w:t>
            </w:r>
          </w:p>
        </w:tc>
        <w:tc>
          <w:tcPr>
            <w:tcW w:w="5220" w:type="dxa"/>
            <w:tcBorders>
              <w:right w:val="single" w:sz="12" w:space="0" w:color="auto"/>
            </w:tcBorders>
          </w:tcPr>
          <w:p w14:paraId="65B80610"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çdo publikim i përmendur në paragrafët 2 deri në 6 të mbetet në faqet zyrtare të internetit të autoriteteve kompetente të përcaktuara sipas nenit 18, paragrafi 2, për të paktën pesë vjet nga data e publikimit. Të dhënat personale të përfshira në publikim ruhen në faqen zyrtare të internetit vetëm për periudhën e nevojshme dhe në përputhje me rregullat e zbatueshme për mbrojtjen e të dhënave personale. Kjo periudhë ruajtjeje përcaktohet duke marrë parasysh afatet e parashkrimit të parashikuara në legjislacionin e shteteve anëtare përkatëse, por në asnjë rast nuk mund të jetë më e gjatë se dhjetë vjet.</w:t>
            </w:r>
          </w:p>
        </w:tc>
        <w:tc>
          <w:tcPr>
            <w:tcW w:w="624" w:type="dxa"/>
            <w:tcBorders>
              <w:left w:val="single" w:sz="12" w:space="0" w:color="auto"/>
            </w:tcBorders>
          </w:tcPr>
          <w:p w14:paraId="5FCD7F2F" w14:textId="34551E30" w:rsidR="00DD223C" w:rsidRPr="00735452" w:rsidRDefault="00742264"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9951313"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8</w:t>
            </w:r>
          </w:p>
        </w:tc>
        <w:tc>
          <w:tcPr>
            <w:tcW w:w="5130" w:type="dxa"/>
          </w:tcPr>
          <w:p w14:paraId="1709BA6A" w14:textId="1DBAA0B0"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8. Publikimet e parashikuara në pikat 2 deri në 6 të këtij neni, qëndrojnë në faqen zyrtare të Autoritetit për të paktën pesë vjet nga data e publikimit. Të dhënat personale të përfshira në publikim ruhen në faqen zyrtare vetëm për periudhën që është e nevojshme në përputhje me legjislacionin për mbrojtjen e të dhënave personale</w:t>
            </w:r>
            <w:r w:rsidR="00E12264" w:rsidRPr="00735452">
              <w:rPr>
                <w:lang w:val="sq-AL"/>
              </w:rPr>
              <w:t xml:space="preserve"> </w:t>
            </w:r>
            <w:r w:rsidR="00E12264" w:rsidRPr="00735452">
              <w:rPr>
                <w:rFonts w:ascii="Times New Roman" w:eastAsia="Times New Roman" w:hAnsi="Times New Roman" w:cs="Times New Roman"/>
                <w:sz w:val="20"/>
                <w:szCs w:val="20"/>
                <w:lang w:val="sq-AL"/>
              </w:rPr>
              <w:t>por në asnjë rast jo më gjatë se dhjetë vjet.</w:t>
            </w:r>
          </w:p>
        </w:tc>
        <w:tc>
          <w:tcPr>
            <w:tcW w:w="1440" w:type="dxa"/>
          </w:tcPr>
          <w:p w14:paraId="6B41274F" w14:textId="104E54DC"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D8DE162" w14:textId="69A5DD19"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14E5ECD9" w14:textId="77777777" w:rsidTr="004D61BC">
        <w:trPr>
          <w:gridAfter w:val="1"/>
          <w:wAfter w:w="14" w:type="dxa"/>
        </w:trPr>
        <w:tc>
          <w:tcPr>
            <w:tcW w:w="800" w:type="dxa"/>
            <w:tcBorders>
              <w:left w:val="single" w:sz="12" w:space="0" w:color="auto"/>
            </w:tcBorders>
          </w:tcPr>
          <w:p w14:paraId="7CB7F190"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9</w:t>
            </w:r>
          </w:p>
        </w:tc>
        <w:tc>
          <w:tcPr>
            <w:tcW w:w="5220" w:type="dxa"/>
            <w:tcBorders>
              <w:right w:val="single" w:sz="12" w:space="0" w:color="auto"/>
            </w:tcBorders>
          </w:tcPr>
          <w:p w14:paraId="37BB2F01"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Autoritetet kompetente të përcaktuara sipas nenit 18, paragrafi 2, informojnë EBA-n për çdo sanksion administrativ dhe masë tjetër administrative të vendosur, duke përfshirë, kur është e nevojshme, çdo ankim në lidhje me to dhe rezultatin e tij. Shtetet anëtare sigurojnë që këto autoritete kompetente të marrin informacion dhe hollësi për vendimin përfundimtar në lidhje me çdo sanksion penal të vendosur, të cilat këto autoritete kompetente ia paraqesin gjithashtu EBA-s.</w:t>
            </w:r>
          </w:p>
        </w:tc>
        <w:tc>
          <w:tcPr>
            <w:tcW w:w="624" w:type="dxa"/>
            <w:tcBorders>
              <w:left w:val="single" w:sz="12" w:space="0" w:color="auto"/>
            </w:tcBorders>
          </w:tcPr>
          <w:p w14:paraId="2306FF6C" w14:textId="42591E3B" w:rsidR="00DD223C" w:rsidRPr="00735452" w:rsidRDefault="00742264"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E81A5B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44, pika 9</w:t>
            </w:r>
          </w:p>
        </w:tc>
        <w:tc>
          <w:tcPr>
            <w:tcW w:w="5130" w:type="dxa"/>
          </w:tcPr>
          <w:p w14:paraId="2EBED191" w14:textId="01A7BAB2"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9. Pa cenuar dispozitat përkatëse të legjislacionit në fuqi, Autoriteti informon Autoritetin Bankar Evropian (EBA) për çdo sanksion  dhe masë mbikëqyrëse  të vendosur, duke përfshirë, kur është e zbatueshme, çdo ankim të paraqitur dhe rezultatin e tij.</w:t>
            </w:r>
            <w:r w:rsidR="00E12264" w:rsidRPr="00735452">
              <w:rPr>
                <w:lang w:val="sq-AL"/>
              </w:rPr>
              <w:t xml:space="preserve"> </w:t>
            </w:r>
            <w:r w:rsidR="00E12264" w:rsidRPr="00735452">
              <w:rPr>
                <w:rFonts w:ascii="Times New Roman" w:eastAsia="Times New Roman" w:hAnsi="Times New Roman" w:cs="Times New Roman"/>
                <w:sz w:val="20"/>
                <w:szCs w:val="20"/>
                <w:lang w:val="sq-AL"/>
              </w:rPr>
              <w:t>Autoriteti merr informacion dhe të dhëna mbi vendimet përfundimtare që parashikojnë dënime penale dhe ia përcjell ato Autoritetit Bankar Evropian (EBA).</w:t>
            </w:r>
          </w:p>
        </w:tc>
        <w:tc>
          <w:tcPr>
            <w:tcW w:w="1440" w:type="dxa"/>
          </w:tcPr>
          <w:p w14:paraId="697A8615" w14:textId="12E647B5"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C76CEBD" w14:textId="1B1FEAC4"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090FC2B9" w14:textId="77777777" w:rsidTr="004D61BC">
        <w:trPr>
          <w:gridAfter w:val="1"/>
          <w:wAfter w:w="14" w:type="dxa"/>
        </w:trPr>
        <w:tc>
          <w:tcPr>
            <w:tcW w:w="800" w:type="dxa"/>
            <w:tcBorders>
              <w:left w:val="single" w:sz="12" w:space="0" w:color="auto"/>
            </w:tcBorders>
          </w:tcPr>
          <w:p w14:paraId="53BBFF8C"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10</w:t>
            </w:r>
          </w:p>
        </w:tc>
        <w:tc>
          <w:tcPr>
            <w:tcW w:w="5220" w:type="dxa"/>
            <w:tcBorders>
              <w:right w:val="single" w:sz="12" w:space="0" w:color="auto"/>
            </w:tcBorders>
          </w:tcPr>
          <w:p w14:paraId="6E4778F8"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EBA mban një bazë të dhënash qendrore për sanksionet administrative dhe masat e tjera administrative që u komunikohen atyre. Kjo bazë të dhënash është e </w:t>
            </w:r>
            <w:proofErr w:type="spellStart"/>
            <w:r w:rsidRPr="00735452">
              <w:rPr>
                <w:rFonts w:ascii="Times New Roman" w:eastAsia="Times New Roman" w:hAnsi="Times New Roman" w:cs="Times New Roman"/>
                <w:sz w:val="20"/>
                <w:szCs w:val="20"/>
                <w:lang w:val="sq-AL"/>
              </w:rPr>
              <w:t>aksesueshme</w:t>
            </w:r>
            <w:proofErr w:type="spellEnd"/>
            <w:r w:rsidRPr="00735452">
              <w:rPr>
                <w:rFonts w:ascii="Times New Roman" w:eastAsia="Times New Roman" w:hAnsi="Times New Roman" w:cs="Times New Roman"/>
                <w:sz w:val="20"/>
                <w:szCs w:val="20"/>
                <w:lang w:val="sq-AL"/>
              </w:rPr>
              <w:t xml:space="preserve"> vetëm për autoritetet kompetente të përcaktuara sipas nenit 18, paragrafi 2, dhe përditësohet në bazë të informacionit të dhënë </w:t>
            </w:r>
            <w:r w:rsidRPr="00735452">
              <w:rPr>
                <w:rFonts w:ascii="Times New Roman" w:eastAsia="Times New Roman" w:hAnsi="Times New Roman" w:cs="Times New Roman"/>
                <w:sz w:val="20"/>
                <w:szCs w:val="20"/>
                <w:lang w:val="sq-AL"/>
              </w:rPr>
              <w:lastRenderedPageBreak/>
              <w:t>nga këto autoritete kompetente në përputhje me paragrafin 9 të këtij neni.</w:t>
            </w:r>
          </w:p>
        </w:tc>
        <w:tc>
          <w:tcPr>
            <w:tcW w:w="624" w:type="dxa"/>
            <w:tcBorders>
              <w:left w:val="single" w:sz="12" w:space="0" w:color="auto"/>
            </w:tcBorders>
          </w:tcPr>
          <w:p w14:paraId="46F8BD80" w14:textId="77777777" w:rsidR="00DD223C" w:rsidRPr="00735452" w:rsidRDefault="00DD223C" w:rsidP="00DD223C">
            <w:pPr>
              <w:spacing w:after="0" w:line="240" w:lineRule="auto"/>
              <w:jc w:val="both"/>
              <w:rPr>
                <w:rFonts w:ascii="Times New Roman" w:hAnsi="Times New Roman" w:cs="Times New Roman"/>
                <w:sz w:val="20"/>
                <w:szCs w:val="20"/>
                <w:lang w:val="sq-AL"/>
              </w:rPr>
            </w:pPr>
          </w:p>
        </w:tc>
        <w:tc>
          <w:tcPr>
            <w:tcW w:w="906" w:type="dxa"/>
          </w:tcPr>
          <w:p w14:paraId="4F8AB7A2" w14:textId="6FE9A43C"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17B39D6B" w14:textId="6CA5F2DF" w:rsidR="003E7E51" w:rsidRPr="00735452" w:rsidRDefault="009E7EC7">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N/A</w:t>
            </w:r>
          </w:p>
        </w:tc>
        <w:tc>
          <w:tcPr>
            <w:tcW w:w="1440" w:type="dxa"/>
          </w:tcPr>
          <w:p w14:paraId="60AAC3FF" w14:textId="3563482D"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122DFB56"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Detyrim institucional i EBA-s.</w:t>
            </w:r>
          </w:p>
        </w:tc>
      </w:tr>
      <w:tr w:rsidR="00DD223C" w:rsidRPr="00735452" w14:paraId="1EC72C81" w14:textId="77777777" w:rsidTr="004D61BC">
        <w:trPr>
          <w:gridAfter w:val="1"/>
          <w:wAfter w:w="14" w:type="dxa"/>
          <w:trHeight w:val="2798"/>
        </w:trPr>
        <w:tc>
          <w:tcPr>
            <w:tcW w:w="800" w:type="dxa"/>
            <w:tcBorders>
              <w:left w:val="single" w:sz="12" w:space="0" w:color="auto"/>
            </w:tcBorders>
          </w:tcPr>
          <w:p w14:paraId="3CADFAB0"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25</w:t>
            </w:r>
          </w:p>
          <w:p w14:paraId="797716B6"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68AF5015"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autoritetet kompetente të përcaktuara sipas nenit 18, paragrafi 2, të bashkëpunojnë ngushtë me autoritetet kompetente që ushtrojnë mbikëqyrjen e përgjithshme të institucioneve të kreditit, në përputhje me të drejtën përkatëse të Bashkimit të zbatueshme për këto institucione, si dhe me autoritetin e zgjidhjes në rast të zgjidhjes së një institucioni krediti që emeton obligacione të mbuluara.</w:t>
            </w:r>
          </w:p>
        </w:tc>
        <w:tc>
          <w:tcPr>
            <w:tcW w:w="624" w:type="dxa"/>
            <w:tcBorders>
              <w:left w:val="single" w:sz="12" w:space="0" w:color="auto"/>
            </w:tcBorders>
          </w:tcPr>
          <w:p w14:paraId="28A01B29" w14:textId="7C6DC448" w:rsidR="00DD223C" w:rsidRPr="00735452" w:rsidRDefault="009E7EC7"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13EAC18"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30, pika 1</w:t>
            </w:r>
          </w:p>
        </w:tc>
        <w:tc>
          <w:tcPr>
            <w:tcW w:w="5130" w:type="dxa"/>
          </w:tcPr>
          <w:p w14:paraId="7C5CD108"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Banka e Shqipërisë, në cilësinë e autoritetit mbikëqyrës të institucioneve të kreditit dhe, sipas rastit, në cilësinë e autoritetit të ndërhyrjes së jashtëzakonshme, dhe Autoriteti bashkëpunojnë ngushtë ndërmjet tyre dhe shkëmbejnë të gjitha informacionet e nevojshme për ushtrimin e detyrave të tyre mbikëqyrëse në përputhje dhe zbatim të këtij ligji, përfshirë edhe rastin e ndërhyrjes së jashtëzakonshme ndaj një institucioni krediti që emeton obligacione të mbuluara.</w:t>
            </w:r>
          </w:p>
        </w:tc>
        <w:tc>
          <w:tcPr>
            <w:tcW w:w="1440" w:type="dxa"/>
          </w:tcPr>
          <w:p w14:paraId="0FCC2894" w14:textId="366DF435"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263D753B" w14:textId="77777777"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7A0A3F99" w14:textId="77777777" w:rsidTr="004D61BC">
        <w:trPr>
          <w:gridAfter w:val="1"/>
          <w:wAfter w:w="14" w:type="dxa"/>
        </w:trPr>
        <w:tc>
          <w:tcPr>
            <w:tcW w:w="800" w:type="dxa"/>
            <w:tcBorders>
              <w:left w:val="single" w:sz="12" w:space="0" w:color="auto"/>
            </w:tcBorders>
          </w:tcPr>
          <w:p w14:paraId="5A03230F"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4564DA41"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më tej që autoritetet kompetente të përcaktuara sipas nenit 18, paragrafi 2, të bashkëpunojnë ngushtë me njëri-tjetrin. Ky bashkëpunim përfshin dhënien reciproke të çdo informacioni që është i rëndësishëm për ushtrimin e detyrave mbikëqyrëse të autoriteteve të tjera sipas dispozitave të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w:t>
            </w:r>
          </w:p>
        </w:tc>
        <w:tc>
          <w:tcPr>
            <w:tcW w:w="624" w:type="dxa"/>
            <w:tcBorders>
              <w:left w:val="single" w:sz="12" w:space="0" w:color="auto"/>
            </w:tcBorders>
          </w:tcPr>
          <w:p w14:paraId="638DBC6F" w14:textId="5D12A043" w:rsidR="00DD223C" w:rsidRPr="00735452" w:rsidRDefault="009E7EC7"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p w14:paraId="4F82C803" w14:textId="77777777" w:rsidR="00DD223C" w:rsidRPr="00735452" w:rsidRDefault="00DD223C" w:rsidP="00DD223C">
            <w:pPr>
              <w:spacing w:after="0" w:line="240" w:lineRule="auto"/>
              <w:jc w:val="both"/>
              <w:rPr>
                <w:rFonts w:ascii="Times New Roman" w:hAnsi="Times New Roman" w:cs="Times New Roman"/>
                <w:sz w:val="20"/>
                <w:szCs w:val="20"/>
                <w:lang w:val="sq-AL"/>
              </w:rPr>
            </w:pPr>
          </w:p>
          <w:p w14:paraId="67400530" w14:textId="77777777" w:rsidR="00DD223C" w:rsidRPr="00735452" w:rsidRDefault="00DD223C" w:rsidP="00DD223C">
            <w:pPr>
              <w:spacing w:after="0" w:line="240" w:lineRule="auto"/>
              <w:jc w:val="both"/>
              <w:rPr>
                <w:rFonts w:ascii="Times New Roman" w:hAnsi="Times New Roman" w:cs="Times New Roman"/>
                <w:sz w:val="20"/>
                <w:szCs w:val="20"/>
                <w:lang w:val="sq-AL"/>
              </w:rPr>
            </w:pPr>
          </w:p>
          <w:p w14:paraId="1E13E412" w14:textId="77777777" w:rsidR="00DD223C" w:rsidRPr="00735452" w:rsidRDefault="00DD223C" w:rsidP="00DD223C">
            <w:pPr>
              <w:spacing w:after="0" w:line="240" w:lineRule="auto"/>
              <w:jc w:val="both"/>
              <w:rPr>
                <w:rFonts w:ascii="Times New Roman" w:hAnsi="Times New Roman" w:cs="Times New Roman"/>
                <w:sz w:val="20"/>
                <w:szCs w:val="20"/>
                <w:lang w:val="sq-AL"/>
              </w:rPr>
            </w:pPr>
          </w:p>
          <w:p w14:paraId="7C215403" w14:textId="77777777" w:rsidR="00DD223C" w:rsidRPr="00735452" w:rsidRDefault="00DD223C" w:rsidP="00DD223C">
            <w:pPr>
              <w:spacing w:after="0" w:line="240" w:lineRule="auto"/>
              <w:jc w:val="both"/>
              <w:rPr>
                <w:rFonts w:ascii="Times New Roman" w:hAnsi="Times New Roman" w:cs="Times New Roman"/>
                <w:sz w:val="20"/>
                <w:szCs w:val="20"/>
                <w:lang w:val="sq-AL"/>
              </w:rPr>
            </w:pPr>
          </w:p>
          <w:p w14:paraId="25A0F040" w14:textId="77777777" w:rsidR="00DD223C" w:rsidRPr="00735452" w:rsidRDefault="00DD223C" w:rsidP="00DD223C">
            <w:pPr>
              <w:spacing w:after="0" w:line="240" w:lineRule="auto"/>
              <w:jc w:val="both"/>
              <w:rPr>
                <w:rFonts w:ascii="Times New Roman" w:hAnsi="Times New Roman" w:cs="Times New Roman"/>
                <w:sz w:val="20"/>
                <w:szCs w:val="20"/>
                <w:lang w:val="sq-AL"/>
              </w:rPr>
            </w:pPr>
          </w:p>
        </w:tc>
        <w:tc>
          <w:tcPr>
            <w:tcW w:w="906" w:type="dxa"/>
          </w:tcPr>
          <w:p w14:paraId="2A2D9627"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30, pika 2</w:t>
            </w:r>
          </w:p>
        </w:tc>
        <w:tc>
          <w:tcPr>
            <w:tcW w:w="5130" w:type="dxa"/>
          </w:tcPr>
          <w:p w14:paraId="31E613E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 Banka e Shqipërisë dhe Autoriteti bashkëpunojnë edhe me autoritetet përgjegjëse të shteteve anëtare të caktuara për rregullimin dhe mbikëqyrjen e emetimit të obligacioneve të mbuluara dhe mbikëqyrjen publike të tyre. në përputhje me legjislacionin e tyre në fuqi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legjislacionin e Bashkimit Evropian për Obligacionet e Mbuluara.</w:t>
            </w:r>
          </w:p>
        </w:tc>
        <w:tc>
          <w:tcPr>
            <w:tcW w:w="1440" w:type="dxa"/>
          </w:tcPr>
          <w:p w14:paraId="62969EE5" w14:textId="7B2D94ED"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475A9B72" w14:textId="77777777"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1E327588" w14:textId="77777777" w:rsidTr="004D61BC">
        <w:trPr>
          <w:gridAfter w:val="1"/>
          <w:wAfter w:w="14" w:type="dxa"/>
        </w:trPr>
        <w:tc>
          <w:tcPr>
            <w:tcW w:w="800" w:type="dxa"/>
            <w:tcBorders>
              <w:left w:val="single" w:sz="12" w:space="0" w:color="auto"/>
            </w:tcBorders>
          </w:tcPr>
          <w:p w14:paraId="7636D2F4"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3047DCF1"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Për qëllimet e fjalisë së dytë të paragrafit 2 të këtij neni, shtetet anëtare sigurojnë që autoritetet kompetente të përcaktuara sipas nenit 18, paragrafi 2, të komunikojnë:</w:t>
            </w:r>
          </w:p>
          <w:p w14:paraId="4FF3DE98"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të gjithë informacionin përkatës, me kërkesë të një autoriteti tjetër kompetent të përcaktuar sipas nenit 18, paragrafi 2; dhe</w:t>
            </w:r>
          </w:p>
          <w:p w14:paraId="59AF4D47"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me nismën e tyre, çdo informacion thelbësor te autoritetet e tjera kompetente të përcaktuara sipas nenit 18, paragrafi 2, në shtete të tjera anëtare</w:t>
            </w:r>
          </w:p>
        </w:tc>
        <w:tc>
          <w:tcPr>
            <w:tcW w:w="624" w:type="dxa"/>
            <w:tcBorders>
              <w:left w:val="single" w:sz="12" w:space="0" w:color="auto"/>
            </w:tcBorders>
          </w:tcPr>
          <w:p w14:paraId="35347163" w14:textId="005D54C2" w:rsidR="00DD223C" w:rsidRPr="00735452" w:rsidRDefault="009E7EC7"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7EEBF9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30, pika 3</w:t>
            </w:r>
          </w:p>
        </w:tc>
        <w:tc>
          <w:tcPr>
            <w:tcW w:w="5130" w:type="dxa"/>
          </w:tcPr>
          <w:p w14:paraId="5D3857B9" w14:textId="24FCF3BA"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Për qëllim të pikave 1 dhe 2 të këtij neni, bashkëpunimi përfshin:</w:t>
            </w:r>
            <w:r w:rsidRPr="00735452">
              <w:rPr>
                <w:rFonts w:ascii="Times New Roman" w:eastAsia="Times New Roman" w:hAnsi="Times New Roman" w:cs="Times New Roman"/>
                <w:sz w:val="20"/>
                <w:szCs w:val="20"/>
                <w:lang w:val="sq-AL"/>
              </w:rPr>
              <w:br/>
              <w:t xml:space="preserve">a) dhënien  e të gjitha informacioneve përkatëse me kërkesë të Autoritetit, Bankës së Shqipërisë ose një autoriteti tjetër përgjegjës të përmendur në pikën </w:t>
            </w:r>
            <w:r w:rsidR="00DE60C5">
              <w:rPr>
                <w:rFonts w:ascii="Times New Roman" w:eastAsia="Times New Roman" w:hAnsi="Times New Roman" w:cs="Times New Roman"/>
                <w:sz w:val="20"/>
                <w:szCs w:val="20"/>
                <w:lang w:val="sq-AL"/>
              </w:rPr>
              <w:t>2</w:t>
            </w:r>
            <w:r w:rsidRPr="00735452">
              <w:rPr>
                <w:rFonts w:ascii="Times New Roman" w:eastAsia="Times New Roman" w:hAnsi="Times New Roman" w:cs="Times New Roman"/>
                <w:sz w:val="20"/>
                <w:szCs w:val="20"/>
                <w:lang w:val="sq-AL"/>
              </w:rPr>
              <w:t>, të këtij neni;</w:t>
            </w:r>
            <w:r w:rsidRPr="00735452">
              <w:rPr>
                <w:rFonts w:ascii="Times New Roman" w:eastAsia="Times New Roman" w:hAnsi="Times New Roman" w:cs="Times New Roman"/>
                <w:sz w:val="20"/>
                <w:szCs w:val="20"/>
                <w:lang w:val="sq-AL"/>
              </w:rPr>
              <w:br/>
              <w:t>b) dhënien me iniciativë të vet, të çdo informacioni thelbësor tek autoritete të tjera përgjegjëse të shteteve anëtare të caktuara si autoritet përgjegjës për rregullimin e emetimit dhe mbikëqyrjen e obligacioneve të mbuluara sipas legjislacionit përkatës në fuqi.</w:t>
            </w:r>
          </w:p>
        </w:tc>
        <w:tc>
          <w:tcPr>
            <w:tcW w:w="1440" w:type="dxa"/>
          </w:tcPr>
          <w:p w14:paraId="558A2E92" w14:textId="75B7223D"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31297321" w14:textId="77777777"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198D17CF" w14:textId="77777777" w:rsidTr="004D61BC">
        <w:trPr>
          <w:gridAfter w:val="1"/>
          <w:wAfter w:w="14" w:type="dxa"/>
        </w:trPr>
        <w:tc>
          <w:tcPr>
            <w:tcW w:w="800" w:type="dxa"/>
            <w:tcBorders>
              <w:left w:val="single" w:sz="12" w:space="0" w:color="auto"/>
            </w:tcBorders>
          </w:tcPr>
          <w:p w14:paraId="10D3B342"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24909E14"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gjithashtu që autoritetet kompetente të përcaktuara sipas nenit 18, paragrafi 2, të bashkëpunojnë me EBA-n ose, kur është e nevojshme, me Autoritetin Evropian Mbikëqyrës (Autoriteti Evropian i Letrave me Vlerë dhe Tregjeve), i krijuar me Rregulloren (BE) nr. 1095/2010 të Parlamentit Evropian dhe të Këshillit, për qëllimet e kësaj Direktive.</w:t>
            </w:r>
          </w:p>
        </w:tc>
        <w:tc>
          <w:tcPr>
            <w:tcW w:w="624" w:type="dxa"/>
            <w:tcBorders>
              <w:left w:val="single" w:sz="12" w:space="0" w:color="auto"/>
            </w:tcBorders>
          </w:tcPr>
          <w:p w14:paraId="5B0D3A75" w14:textId="50A98ACD" w:rsidR="00DD223C" w:rsidRPr="00735452" w:rsidRDefault="009E7EC7"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588888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30, pika 4</w:t>
            </w:r>
          </w:p>
        </w:tc>
        <w:tc>
          <w:tcPr>
            <w:tcW w:w="5130" w:type="dxa"/>
          </w:tcPr>
          <w:p w14:paraId="01E962DB"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4. Për qëllim të zbatimit të dispozitave të këtij ligji, Banka e Shqipërisë dhe Autoriteti bashkëpunojnë me Autoritetin Evropian për Bankat (EBA) dhe, sipas rastit, me Autoritetin Evropian për Tregjet dhe Titujt (ESMA).</w:t>
            </w:r>
          </w:p>
        </w:tc>
        <w:tc>
          <w:tcPr>
            <w:tcW w:w="1440" w:type="dxa"/>
          </w:tcPr>
          <w:p w14:paraId="7182228E" w14:textId="37A1474B"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287487DE" w14:textId="77777777" w:rsidR="003E7E51" w:rsidRPr="00735452" w:rsidRDefault="003E7E51">
            <w:pPr>
              <w:spacing w:after="0" w:line="240" w:lineRule="auto"/>
              <w:rPr>
                <w:rFonts w:ascii="Times New Roman" w:hAnsi="Times New Roman" w:cs="Times New Roman"/>
                <w:sz w:val="20"/>
                <w:szCs w:val="20"/>
                <w:lang w:val="sq-AL"/>
              </w:rPr>
            </w:pPr>
          </w:p>
        </w:tc>
      </w:tr>
      <w:tr w:rsidR="00DD223C" w:rsidRPr="00735452" w14:paraId="34A47BC0" w14:textId="77777777" w:rsidTr="004D61BC">
        <w:trPr>
          <w:gridAfter w:val="1"/>
          <w:wAfter w:w="14" w:type="dxa"/>
        </w:trPr>
        <w:tc>
          <w:tcPr>
            <w:tcW w:w="800" w:type="dxa"/>
            <w:tcBorders>
              <w:left w:val="single" w:sz="12" w:space="0" w:color="auto"/>
            </w:tcBorders>
          </w:tcPr>
          <w:p w14:paraId="54D7109A"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59A4CAD2" w14:textId="77777777" w:rsidR="00DD223C" w:rsidRPr="00735452" w:rsidRDefault="00DD223C" w:rsidP="00DD223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Për qëllimet e këtij neni, informacioni konsiderohet thelbësor nëse mund të ndikojë materialisht në vlerësimin e emetimit të obligacioneve të mbuluara në një shtet tjetër anëtar.</w:t>
            </w:r>
          </w:p>
        </w:tc>
        <w:tc>
          <w:tcPr>
            <w:tcW w:w="624" w:type="dxa"/>
            <w:tcBorders>
              <w:left w:val="single" w:sz="12" w:space="0" w:color="auto"/>
            </w:tcBorders>
          </w:tcPr>
          <w:p w14:paraId="2205C331" w14:textId="24DF19F6" w:rsidR="00DD223C" w:rsidRPr="00735452" w:rsidRDefault="009E7EC7" w:rsidP="00DD223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21DEDAA"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30, pika 5</w:t>
            </w:r>
          </w:p>
        </w:tc>
        <w:tc>
          <w:tcPr>
            <w:tcW w:w="5130" w:type="dxa"/>
          </w:tcPr>
          <w:p w14:paraId="61337BCE"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5. Për qëllim të këtij neni, informacioni konsiderohet thelbësor nëse ndikon në mënyrë të rëndësishme në </w:t>
            </w:r>
            <w:r w:rsidRPr="00735452">
              <w:rPr>
                <w:rFonts w:ascii="Times New Roman" w:eastAsia="Times New Roman" w:hAnsi="Times New Roman" w:cs="Times New Roman"/>
                <w:sz w:val="20"/>
                <w:szCs w:val="20"/>
                <w:lang w:val="sq-AL"/>
              </w:rPr>
              <w:lastRenderedPageBreak/>
              <w:t>vlerësimin e emetimit të obligacioneve të mbuluara, përfshirë edhe emetimin  në një shtet tjetër anëtar.</w:t>
            </w:r>
          </w:p>
        </w:tc>
        <w:tc>
          <w:tcPr>
            <w:tcW w:w="1440" w:type="dxa"/>
          </w:tcPr>
          <w:p w14:paraId="0F218101" w14:textId="3C606D85"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135EBDCF" w14:textId="77777777" w:rsidR="003E7E51" w:rsidRPr="00735452" w:rsidRDefault="003E7E51">
            <w:pPr>
              <w:spacing w:after="0" w:line="240" w:lineRule="auto"/>
              <w:rPr>
                <w:rFonts w:ascii="Times New Roman" w:hAnsi="Times New Roman" w:cs="Times New Roman"/>
                <w:sz w:val="20"/>
                <w:szCs w:val="20"/>
                <w:lang w:val="sq-AL"/>
              </w:rPr>
            </w:pPr>
          </w:p>
        </w:tc>
      </w:tr>
      <w:tr w:rsidR="00956CA8" w:rsidRPr="00735452" w14:paraId="593AB322" w14:textId="77777777" w:rsidTr="004D61BC">
        <w:trPr>
          <w:gridAfter w:val="1"/>
          <w:wAfter w:w="14" w:type="dxa"/>
        </w:trPr>
        <w:tc>
          <w:tcPr>
            <w:tcW w:w="800" w:type="dxa"/>
            <w:tcBorders>
              <w:left w:val="single" w:sz="12" w:space="0" w:color="auto"/>
            </w:tcBorders>
          </w:tcPr>
          <w:p w14:paraId="252C4E84"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26</w:t>
            </w:r>
          </w:p>
          <w:p w14:paraId="2FCCE8A8"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6306528A"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informacioni i mëposhtëm të publikohet nga autoritetet kompetente të përcaktuara sipas nenit 18, paragrafi 2, në faqet e tyre zyrtare të internetit:</w:t>
            </w:r>
          </w:p>
          <w:p w14:paraId="04996C5A"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tekstet e ligjeve, rregulloreve, rregullave administrative dhe udhëzimeve të përgjithshme të tyre, të miratuara në lidhje me emetimin e obligacioneve të mbuluara;</w:t>
            </w:r>
          </w:p>
          <w:p w14:paraId="0CDE619C"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listën e institucioneve të kreditit të lejuara të emetojnë obligacione të mbuluara;</w:t>
            </w:r>
          </w:p>
          <w:p w14:paraId="4A5357E4"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listën e obligacioneve të mbuluara që kanë të drejtë të përdorin etiketën “</w:t>
            </w:r>
            <w:proofErr w:type="spellStart"/>
            <w:r w:rsidRPr="00735452">
              <w:rPr>
                <w:rFonts w:ascii="Times New Roman" w:eastAsia="Times New Roman" w:hAnsi="Times New Roman" w:cs="Times New Roman"/>
                <w:sz w:val="20"/>
                <w:szCs w:val="20"/>
                <w:lang w:val="sq-AL"/>
              </w:rPr>
              <w:t>European</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Covered</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Bond</w:t>
            </w:r>
            <w:proofErr w:type="spellEnd"/>
            <w:r w:rsidRPr="00735452">
              <w:rPr>
                <w:rFonts w:ascii="Times New Roman" w:eastAsia="Times New Roman" w:hAnsi="Times New Roman" w:cs="Times New Roman"/>
                <w:sz w:val="20"/>
                <w:szCs w:val="20"/>
                <w:lang w:val="sq-AL"/>
              </w:rPr>
              <w:t>” dhe listën e obligacioneve të mbuluara që kanë të drejtë të përdorin etiketën “</w:t>
            </w:r>
            <w:proofErr w:type="spellStart"/>
            <w:r w:rsidRPr="00735452">
              <w:rPr>
                <w:rFonts w:ascii="Times New Roman" w:eastAsia="Times New Roman" w:hAnsi="Times New Roman" w:cs="Times New Roman"/>
                <w:sz w:val="20"/>
                <w:szCs w:val="20"/>
                <w:lang w:val="sq-AL"/>
              </w:rPr>
              <w:t>European</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Covered</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Bond</w:t>
            </w:r>
            <w:proofErr w:type="spellEnd"/>
            <w:r w:rsidRPr="00735452">
              <w:rPr>
                <w:rFonts w:ascii="Times New Roman" w:eastAsia="Times New Roman" w:hAnsi="Times New Roman" w:cs="Times New Roman"/>
                <w:sz w:val="20"/>
                <w:szCs w:val="20"/>
                <w:lang w:val="sq-AL"/>
              </w:rPr>
              <w:t xml:space="preserve"> (Premium)”.</w:t>
            </w:r>
          </w:p>
        </w:tc>
        <w:tc>
          <w:tcPr>
            <w:tcW w:w="624" w:type="dxa"/>
            <w:tcBorders>
              <w:left w:val="single" w:sz="12" w:space="0" w:color="auto"/>
            </w:tcBorders>
          </w:tcPr>
          <w:p w14:paraId="7A5FA4D5" w14:textId="7D395B79" w:rsidR="00956CA8" w:rsidRPr="00735452" w:rsidRDefault="009E7EC7" w:rsidP="00956CA8">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2438BDF"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31, pika 1</w:t>
            </w:r>
          </w:p>
        </w:tc>
        <w:tc>
          <w:tcPr>
            <w:tcW w:w="5130" w:type="dxa"/>
          </w:tcPr>
          <w:p w14:paraId="3459B3AB"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1. Banka e Shqipërisë dhe Autoriteti publikojnë në faqet e tyre zyrtare të internetit të paktën informacionet e mëposhtme:</w:t>
            </w:r>
            <w:r w:rsidRPr="00735452">
              <w:rPr>
                <w:rFonts w:ascii="Times New Roman" w:eastAsia="Times New Roman" w:hAnsi="Times New Roman" w:cs="Times New Roman"/>
                <w:sz w:val="20"/>
                <w:szCs w:val="20"/>
                <w:lang w:val="sq-AL"/>
              </w:rPr>
              <w:br/>
              <w:t xml:space="preserve">a) ligjet, aktet nënligjore, </w:t>
            </w:r>
            <w:proofErr w:type="spellStart"/>
            <w:r w:rsidRPr="00735452">
              <w:rPr>
                <w:rFonts w:ascii="Times New Roman" w:eastAsia="Times New Roman" w:hAnsi="Times New Roman" w:cs="Times New Roman"/>
                <w:sz w:val="20"/>
                <w:szCs w:val="20"/>
                <w:lang w:val="sq-AL"/>
              </w:rPr>
              <w:t>regullore</w:t>
            </w:r>
            <w:proofErr w:type="spellEnd"/>
            <w:r w:rsidRPr="00735452">
              <w:rPr>
                <w:rFonts w:ascii="Times New Roman" w:eastAsia="Times New Roman" w:hAnsi="Times New Roman" w:cs="Times New Roman"/>
                <w:sz w:val="20"/>
                <w:szCs w:val="20"/>
                <w:lang w:val="sq-AL"/>
              </w:rPr>
              <w:t xml:space="preserve"> dhe udhëzime të përgjithshme të miratuara në lidhje me emetimin e obligacioneve të mbuluara;</w:t>
            </w:r>
            <w:r w:rsidRPr="00735452">
              <w:rPr>
                <w:rFonts w:ascii="Times New Roman" w:eastAsia="Times New Roman" w:hAnsi="Times New Roman" w:cs="Times New Roman"/>
                <w:sz w:val="20"/>
                <w:szCs w:val="20"/>
                <w:lang w:val="sq-AL"/>
              </w:rPr>
              <w:br/>
              <w:t>b) listën e institucioneve të kreditit të autorizuara për të emetuar obligacione të mbuluara;</w:t>
            </w:r>
            <w:r w:rsidRPr="00735452">
              <w:rPr>
                <w:rFonts w:ascii="Times New Roman" w:eastAsia="Times New Roman" w:hAnsi="Times New Roman" w:cs="Times New Roman"/>
                <w:sz w:val="20"/>
                <w:szCs w:val="20"/>
                <w:lang w:val="sq-AL"/>
              </w:rPr>
              <w:br/>
              <w:t>c) listën e obligacioneve të mbuluara që kanë të drejtë të përdorin emërtimin “obligacion evropian i mbuluar” dhe listën e obligacioneve të mbuluara që kanë të drejtë të përdorin emërtimin “obligacion evropian i mbuluar (Premium)”.</w:t>
            </w:r>
          </w:p>
        </w:tc>
        <w:tc>
          <w:tcPr>
            <w:tcW w:w="1440" w:type="dxa"/>
          </w:tcPr>
          <w:p w14:paraId="704E6FCD" w14:textId="3FABE3C3"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C23ECA8" w14:textId="77777777" w:rsidR="003E7E51" w:rsidRPr="00735452" w:rsidRDefault="003E7E51">
            <w:pPr>
              <w:spacing w:after="0" w:line="240" w:lineRule="auto"/>
              <w:rPr>
                <w:rFonts w:ascii="Times New Roman" w:hAnsi="Times New Roman" w:cs="Times New Roman"/>
                <w:sz w:val="20"/>
                <w:szCs w:val="20"/>
                <w:lang w:val="sq-AL"/>
              </w:rPr>
            </w:pPr>
          </w:p>
        </w:tc>
      </w:tr>
      <w:tr w:rsidR="00956CA8" w:rsidRPr="00735452" w14:paraId="64BDF920" w14:textId="77777777" w:rsidTr="004D61BC">
        <w:trPr>
          <w:gridAfter w:val="1"/>
          <w:wAfter w:w="14" w:type="dxa"/>
        </w:trPr>
        <w:tc>
          <w:tcPr>
            <w:tcW w:w="800" w:type="dxa"/>
            <w:tcBorders>
              <w:left w:val="single" w:sz="12" w:space="0" w:color="auto"/>
            </w:tcBorders>
          </w:tcPr>
          <w:p w14:paraId="3BF711D8"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107453ED"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Informacioni i publikuar në përputhje me paragrafin 1 duhet të jetë i mjaftueshëm për të mundësuar një krahasim kuptimplotë të qasjeve të ndjekura nga autoritetet kompetente të ndryshme të shteteve anëtare, të përcaktuara sipas nenit 18, paragrafi 2. Ky informacion përditësohet për të pasqyruar çdo ndryshim</w:t>
            </w:r>
          </w:p>
        </w:tc>
        <w:tc>
          <w:tcPr>
            <w:tcW w:w="624" w:type="dxa"/>
            <w:tcBorders>
              <w:left w:val="single" w:sz="12" w:space="0" w:color="auto"/>
            </w:tcBorders>
          </w:tcPr>
          <w:p w14:paraId="59C47760" w14:textId="31DFBA05" w:rsidR="00956CA8" w:rsidRPr="00735452" w:rsidRDefault="009E7EC7" w:rsidP="00956CA8">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1247444"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31, pika 2</w:t>
            </w:r>
          </w:p>
        </w:tc>
        <w:tc>
          <w:tcPr>
            <w:tcW w:w="5130" w:type="dxa"/>
          </w:tcPr>
          <w:p w14:paraId="4E8D3F1A"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Informacioni i publikuar sipas pikës 1 të këtij neni, duhet të jetë i mjaftueshëm për të mundësuar një krahasim domethënës të qasjeve të autoriteteve përgjegjëse të shteteve anëtare që janë caktuar për rregullimin e emetimit dhe mbikëqyrjes së obligacioneve të mbuluara.</w:t>
            </w:r>
          </w:p>
        </w:tc>
        <w:tc>
          <w:tcPr>
            <w:tcW w:w="1440" w:type="dxa"/>
          </w:tcPr>
          <w:p w14:paraId="1BBA9F97" w14:textId="7A7F402E"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18920D8" w14:textId="77777777" w:rsidR="003E7E51" w:rsidRPr="00735452" w:rsidRDefault="003E7E51">
            <w:pPr>
              <w:spacing w:after="0" w:line="240" w:lineRule="auto"/>
              <w:rPr>
                <w:rFonts w:ascii="Times New Roman" w:hAnsi="Times New Roman" w:cs="Times New Roman"/>
                <w:sz w:val="20"/>
                <w:szCs w:val="20"/>
                <w:lang w:val="sq-AL"/>
              </w:rPr>
            </w:pPr>
          </w:p>
        </w:tc>
      </w:tr>
      <w:tr w:rsidR="00956CA8" w:rsidRPr="00735452" w14:paraId="6B5D816D" w14:textId="77777777" w:rsidTr="004D61BC">
        <w:trPr>
          <w:gridAfter w:val="1"/>
          <w:wAfter w:w="14" w:type="dxa"/>
        </w:trPr>
        <w:tc>
          <w:tcPr>
            <w:tcW w:w="800" w:type="dxa"/>
            <w:tcBorders>
              <w:left w:val="single" w:sz="12" w:space="0" w:color="auto"/>
            </w:tcBorders>
          </w:tcPr>
          <w:p w14:paraId="670B27B9"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31FFE203"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Autoritetet kompetente të përcaktuara sipas nenit 18, paragrafi 2, e njoftojnë EBA-n çdo vit për listën e institucioneve të kreditit të përmendura në shkronjën (b) të paragrafit 1 dhe listat e obligacioneve të mbuluara të përmendura në shkronjën (c) të paragrafit 1.</w:t>
            </w:r>
          </w:p>
        </w:tc>
        <w:tc>
          <w:tcPr>
            <w:tcW w:w="624" w:type="dxa"/>
            <w:tcBorders>
              <w:left w:val="single" w:sz="12" w:space="0" w:color="auto"/>
            </w:tcBorders>
          </w:tcPr>
          <w:p w14:paraId="408E65F5" w14:textId="4FB6DC1E" w:rsidR="00956CA8" w:rsidRPr="00735452" w:rsidRDefault="009E7EC7" w:rsidP="00956CA8">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1EA2BD1"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31, pikat 3-4</w:t>
            </w:r>
          </w:p>
        </w:tc>
        <w:tc>
          <w:tcPr>
            <w:tcW w:w="5130" w:type="dxa"/>
          </w:tcPr>
          <w:p w14:paraId="7F9FB329"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Banka e Shqipërisë dhe Autoriteti përditësojnë menjëherë informacionin e publikuar sipas këtij neni për të pasqyruar çdo ndryshim.</w:t>
            </w:r>
            <w:r w:rsidRPr="00735452">
              <w:rPr>
                <w:rFonts w:ascii="Times New Roman" w:eastAsia="Times New Roman" w:hAnsi="Times New Roman" w:cs="Times New Roman"/>
                <w:sz w:val="20"/>
                <w:szCs w:val="20"/>
                <w:lang w:val="sq-AL"/>
              </w:rPr>
              <w:br/>
              <w:t>4. Autoriteti njofton çdo vit Autoritetin Evropian Bankar (EBA) për listën e institucioneve të kreditit të përmendura në pikën 1, shkronja “b” të këtij neni, dhe për listat e obligacioneve të mbuluara të përmendura në pikën 1, shkronja “c”, të këtij neni.</w:t>
            </w:r>
          </w:p>
        </w:tc>
        <w:tc>
          <w:tcPr>
            <w:tcW w:w="1440" w:type="dxa"/>
          </w:tcPr>
          <w:p w14:paraId="2CA91B9D" w14:textId="45065B35"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E952947" w14:textId="77777777" w:rsidR="003E7E51" w:rsidRPr="00735452" w:rsidRDefault="003E7E51">
            <w:pPr>
              <w:spacing w:after="0" w:line="240" w:lineRule="auto"/>
              <w:rPr>
                <w:rFonts w:ascii="Times New Roman" w:hAnsi="Times New Roman" w:cs="Times New Roman"/>
                <w:sz w:val="20"/>
                <w:szCs w:val="20"/>
                <w:lang w:val="sq-AL"/>
              </w:rPr>
            </w:pPr>
          </w:p>
        </w:tc>
      </w:tr>
      <w:tr w:rsidR="00956CA8" w:rsidRPr="00735452" w14:paraId="78BA47AC" w14:textId="77777777" w:rsidTr="004D61BC">
        <w:trPr>
          <w:gridAfter w:val="1"/>
          <w:wAfter w:w="14" w:type="dxa"/>
        </w:trPr>
        <w:tc>
          <w:tcPr>
            <w:tcW w:w="800" w:type="dxa"/>
            <w:tcBorders>
              <w:left w:val="single" w:sz="12" w:space="0" w:color="auto"/>
            </w:tcBorders>
          </w:tcPr>
          <w:p w14:paraId="7D3B1D84"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26 (a)</w:t>
            </w:r>
          </w:p>
          <w:p w14:paraId="5FE858F2"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6FA92FD3"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Nga data 10 janar 2030, shtetet anëtare sigurojnë që, kur bëjnë publik çdo informacion të përmendur në nenin 14 të kësaj Direktive, institucionet e kreditit të lejuara të emetojnë obligacione të mbuluara ta paraqesin atë informacion, në të njëjtën kohë, te organi përkatës i mbledhjes së të dhënave, të përmendur në paragrafin 3 të këtij neni, me qëllim që ai të bëhet i </w:t>
            </w:r>
            <w:proofErr w:type="spellStart"/>
            <w:r w:rsidRPr="00735452">
              <w:rPr>
                <w:rFonts w:ascii="Times New Roman" w:eastAsia="Times New Roman" w:hAnsi="Times New Roman" w:cs="Times New Roman"/>
                <w:sz w:val="20"/>
                <w:szCs w:val="20"/>
                <w:lang w:val="sq-AL"/>
              </w:rPr>
              <w:t>aksesueshëm</w:t>
            </w:r>
            <w:proofErr w:type="spellEnd"/>
            <w:r w:rsidRPr="00735452">
              <w:rPr>
                <w:rFonts w:ascii="Times New Roman" w:eastAsia="Times New Roman" w:hAnsi="Times New Roman" w:cs="Times New Roman"/>
                <w:sz w:val="20"/>
                <w:szCs w:val="20"/>
                <w:lang w:val="sq-AL"/>
              </w:rPr>
              <w:t xml:space="preserve"> në pikën e vetme evropiane të </w:t>
            </w:r>
            <w:proofErr w:type="spellStart"/>
            <w:r w:rsidRPr="00735452">
              <w:rPr>
                <w:rFonts w:ascii="Times New Roman" w:eastAsia="Times New Roman" w:hAnsi="Times New Roman" w:cs="Times New Roman"/>
                <w:sz w:val="20"/>
                <w:szCs w:val="20"/>
                <w:lang w:val="sq-AL"/>
              </w:rPr>
              <w:t>aksesit</w:t>
            </w:r>
            <w:proofErr w:type="spellEnd"/>
            <w:r w:rsidRPr="00735452">
              <w:rPr>
                <w:rFonts w:ascii="Times New Roman" w:eastAsia="Times New Roman" w:hAnsi="Times New Roman" w:cs="Times New Roman"/>
                <w:sz w:val="20"/>
                <w:szCs w:val="20"/>
                <w:lang w:val="sq-AL"/>
              </w:rPr>
              <w:t xml:space="preserve"> (ESAP), e krijuar sipas Rregullores (BE) 2023/2859 të Parlamentit Evropian dhe të Këshillit.</w:t>
            </w:r>
          </w:p>
          <w:p w14:paraId="489CB1C8"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informacioni të përmbushë kërkesat e mëposhtme:</w:t>
            </w:r>
          </w:p>
          <w:p w14:paraId="3E5D1083"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 xml:space="preserve">(a) të paraqitet në një format të </w:t>
            </w:r>
            <w:proofErr w:type="spellStart"/>
            <w:r w:rsidRPr="00735452">
              <w:rPr>
                <w:rFonts w:ascii="Times New Roman" w:eastAsia="Times New Roman" w:hAnsi="Times New Roman" w:cs="Times New Roman"/>
                <w:sz w:val="20"/>
                <w:szCs w:val="20"/>
                <w:lang w:val="sq-AL"/>
              </w:rPr>
              <w:t>nxjerrshëm</w:t>
            </w:r>
            <w:proofErr w:type="spellEnd"/>
            <w:r w:rsidRPr="00735452">
              <w:rPr>
                <w:rFonts w:ascii="Times New Roman" w:eastAsia="Times New Roman" w:hAnsi="Times New Roman" w:cs="Times New Roman"/>
                <w:sz w:val="20"/>
                <w:szCs w:val="20"/>
                <w:lang w:val="sq-AL"/>
              </w:rPr>
              <w:t xml:space="preserve">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sipas përkufizimit në nenin 2, pika 3, të Rregullores (BE) 2023/2859, ose, kur kërkohet nga e drejta e Bashkimit, në një format të lexueshëm nga makineritë, sipas përkufizimit në nenin 2, pika 4, të asaj rregulloreje;</w:t>
            </w:r>
          </w:p>
          <w:p w14:paraId="134F36AD"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të shoqërohet me </w:t>
            </w:r>
            <w:proofErr w:type="spellStart"/>
            <w:r w:rsidRPr="00735452">
              <w:rPr>
                <w:rFonts w:ascii="Times New Roman" w:eastAsia="Times New Roman" w:hAnsi="Times New Roman" w:cs="Times New Roman"/>
                <w:sz w:val="20"/>
                <w:szCs w:val="20"/>
                <w:lang w:val="sq-AL"/>
              </w:rPr>
              <w:t>metadata</w:t>
            </w:r>
            <w:proofErr w:type="spellEnd"/>
            <w:r w:rsidRPr="00735452">
              <w:rPr>
                <w:rFonts w:ascii="Times New Roman" w:eastAsia="Times New Roman" w:hAnsi="Times New Roman" w:cs="Times New Roman"/>
                <w:sz w:val="20"/>
                <w:szCs w:val="20"/>
                <w:lang w:val="sq-AL"/>
              </w:rPr>
              <w:t>-t e mëposhtme:</w:t>
            </w:r>
          </w:p>
          <w:p w14:paraId="60F15074"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(i) të gjitha emrat e institucionit të kreditit të lejuar për të emetuar obligacione të mbuluara, të cilit i referohet informacioni;</w:t>
            </w:r>
          </w:p>
          <w:p w14:paraId="24A86888"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identifikuesin e personit juridik të institucionit të kreditit të lejuar për të emetuar obligacione të mbuluara, siç përcaktohet sipas nenit 7, paragrafi 4, shkronja (b), të Rregullores (BE) 2023/2859;</w:t>
            </w:r>
          </w:p>
          <w:p w14:paraId="6BBEDC94"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madhësinë e institucionit të kreditit të lejuar për të emetuar obligacione të mbuluara sipas kategorive, siç përcaktohet sipas nenit 7, paragrafi 4, shkronja (d), të asaj rregulloreje;</w:t>
            </w:r>
          </w:p>
          <w:p w14:paraId="14211C4B"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iv</w:t>
            </w:r>
            <w:proofErr w:type="spellEnd"/>
            <w:r w:rsidRPr="00735452">
              <w:rPr>
                <w:rFonts w:ascii="Times New Roman" w:eastAsia="Times New Roman" w:hAnsi="Times New Roman" w:cs="Times New Roman"/>
                <w:sz w:val="20"/>
                <w:szCs w:val="20"/>
                <w:lang w:val="sq-AL"/>
              </w:rPr>
              <w:t>) llojin e informacionit, të klasifikuar sipas nenit 7, paragrafi 4, shkronja (c), të asaj rregulloreje;</w:t>
            </w:r>
          </w:p>
          <w:p w14:paraId="55472CE8" w14:textId="77777777" w:rsidR="00956CA8" w:rsidRPr="00735452" w:rsidRDefault="00956CA8" w:rsidP="00956CA8">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(v) një tregues nëse informacioni përmban të dhëna personale.</w:t>
            </w:r>
          </w:p>
        </w:tc>
        <w:tc>
          <w:tcPr>
            <w:tcW w:w="624" w:type="dxa"/>
            <w:tcBorders>
              <w:left w:val="single" w:sz="12" w:space="0" w:color="auto"/>
            </w:tcBorders>
          </w:tcPr>
          <w:p w14:paraId="26929AF2" w14:textId="3870A420" w:rsidR="00956CA8" w:rsidRPr="00735452" w:rsidRDefault="009E7EC7" w:rsidP="00956CA8">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614F078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 pikat 1-2</w:t>
            </w:r>
          </w:p>
        </w:tc>
        <w:tc>
          <w:tcPr>
            <w:tcW w:w="5130" w:type="dxa"/>
          </w:tcPr>
          <w:p w14:paraId="2FDFFF03"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Institucionet e kreditit që janë autorizuar për emetimin e obligacioneve të mbuluara, gjatë publikimit të informacionit të parashikuar në nenin 14, të këtij ligji, e paraqesin njëkohësisht këtë informacion pranë Autoritetit, me qëllim që ai të bëhet i </w:t>
            </w:r>
            <w:proofErr w:type="spellStart"/>
            <w:r w:rsidRPr="00735452">
              <w:rPr>
                <w:rFonts w:ascii="Times New Roman" w:eastAsia="Times New Roman" w:hAnsi="Times New Roman" w:cs="Times New Roman"/>
                <w:sz w:val="20"/>
                <w:szCs w:val="20"/>
                <w:lang w:val="sq-AL"/>
              </w:rPr>
              <w:t>disponueshëm</w:t>
            </w:r>
            <w:proofErr w:type="spellEnd"/>
            <w:r w:rsidRPr="00735452">
              <w:rPr>
                <w:rFonts w:ascii="Times New Roman" w:eastAsia="Times New Roman" w:hAnsi="Times New Roman" w:cs="Times New Roman"/>
                <w:sz w:val="20"/>
                <w:szCs w:val="20"/>
                <w:lang w:val="sq-AL"/>
              </w:rPr>
              <w:t xml:space="preserve"> në Pikën e Vetme Evropiane të </w:t>
            </w:r>
            <w:proofErr w:type="spellStart"/>
            <w:r w:rsidRPr="00735452">
              <w:rPr>
                <w:rFonts w:ascii="Times New Roman" w:eastAsia="Times New Roman" w:hAnsi="Times New Roman" w:cs="Times New Roman"/>
                <w:sz w:val="20"/>
                <w:szCs w:val="20"/>
                <w:lang w:val="sq-AL"/>
              </w:rPr>
              <w:t>Aksesit</w:t>
            </w:r>
            <w:proofErr w:type="spellEnd"/>
            <w:r w:rsidRPr="00735452">
              <w:rPr>
                <w:rFonts w:ascii="Times New Roman" w:eastAsia="Times New Roman" w:hAnsi="Times New Roman" w:cs="Times New Roman"/>
                <w:sz w:val="20"/>
                <w:szCs w:val="20"/>
                <w:lang w:val="sq-AL"/>
              </w:rPr>
              <w:t xml:space="preserve"> (ESAP), të krijuar në përputhje me rregulloren  (BE) 2023/2859.</w:t>
            </w:r>
            <w:r w:rsidRPr="00735452">
              <w:rPr>
                <w:rFonts w:ascii="Times New Roman" w:eastAsia="Times New Roman" w:hAnsi="Times New Roman" w:cs="Times New Roman"/>
                <w:sz w:val="20"/>
                <w:szCs w:val="20"/>
                <w:lang w:val="sq-AL"/>
              </w:rPr>
              <w:br/>
              <w:t>2. Informacioni sipas pikës 1, të këtij neni duhet:</w:t>
            </w:r>
            <w:r w:rsidRPr="00735452">
              <w:rPr>
                <w:rFonts w:ascii="Times New Roman" w:eastAsia="Times New Roman" w:hAnsi="Times New Roman" w:cs="Times New Roman"/>
                <w:sz w:val="20"/>
                <w:szCs w:val="20"/>
                <w:lang w:val="sq-AL"/>
              </w:rPr>
              <w:br/>
              <w:t xml:space="preserve">a) të paraqitet në një format që mundëson nxjerrjen dhe përpunimin e të dhënave sipas përkufizimit në nenin 2, pika 3, të rregullores (BE) 2023/2859, ose, kur kërkohet nga e drejta e Bashkimit Evropian, në një format të lexueshëm nga </w:t>
            </w:r>
            <w:r w:rsidRPr="00735452">
              <w:rPr>
                <w:rFonts w:ascii="Times New Roman" w:eastAsia="Times New Roman" w:hAnsi="Times New Roman" w:cs="Times New Roman"/>
                <w:sz w:val="20"/>
                <w:szCs w:val="20"/>
                <w:lang w:val="sq-AL"/>
              </w:rPr>
              <w:lastRenderedPageBreak/>
              <w:t>pajisjet sipas nenit 2, pika 4, të së njëjtës rregullore;</w:t>
            </w:r>
            <w:r w:rsidRPr="00735452">
              <w:rPr>
                <w:rFonts w:ascii="Times New Roman" w:eastAsia="Times New Roman" w:hAnsi="Times New Roman" w:cs="Times New Roman"/>
                <w:sz w:val="20"/>
                <w:szCs w:val="20"/>
                <w:lang w:val="sq-AL"/>
              </w:rPr>
              <w:br/>
              <w:t>b) të shoqërohet me të dhënat e mëposhtme (</w:t>
            </w:r>
            <w:proofErr w:type="spellStart"/>
            <w:r w:rsidRPr="00735452">
              <w:rPr>
                <w:rFonts w:ascii="Times New Roman" w:eastAsia="Times New Roman" w:hAnsi="Times New Roman" w:cs="Times New Roman"/>
                <w:sz w:val="20"/>
                <w:szCs w:val="20"/>
                <w:lang w:val="sq-AL"/>
              </w:rPr>
              <w:t>Metadata</w:t>
            </w:r>
            <w:proofErr w:type="spellEnd"/>
            <w:r w:rsidRPr="00735452">
              <w:rPr>
                <w:rFonts w:ascii="Times New Roman" w:eastAsia="Times New Roman" w:hAnsi="Times New Roman" w:cs="Times New Roman"/>
                <w:sz w:val="20"/>
                <w:szCs w:val="20"/>
                <w:lang w:val="sq-AL"/>
              </w:rPr>
              <w:t>):</w:t>
            </w:r>
            <w:r w:rsidRPr="00735452">
              <w:rPr>
                <w:rFonts w:ascii="Times New Roman" w:eastAsia="Times New Roman" w:hAnsi="Times New Roman" w:cs="Times New Roman"/>
                <w:sz w:val="20"/>
                <w:szCs w:val="20"/>
                <w:lang w:val="sq-AL"/>
              </w:rPr>
              <w:br/>
              <w:t>(i) emrin e institucionit të kreditit të autorizuar për emetimin e obligacioneve të mbuluara, me të cilin lidhet informacioni;</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identifikuesin unik të personit juridik (LEI) të institucionit të kreditit, sipas nenit 7, pika 4, shkronja “b”, të rregullores (BE) 2023/2859;</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madhësinë e institucionit të kreditit të autorizuar për të emetuar obligacione të mbuluara sipas kategorive përkatëse, në përputhje me nenin 7, pika 4, shkronja “d”, të së njëjtës rregullore;</w:t>
            </w:r>
            <w:r w:rsidRPr="00735452">
              <w:rPr>
                <w:rFonts w:ascii="Times New Roman" w:eastAsia="Times New Roman" w:hAnsi="Times New Roman" w:cs="Times New Roman"/>
                <w:sz w:val="20"/>
                <w:szCs w:val="20"/>
                <w:lang w:val="sq-AL"/>
              </w:rPr>
              <w:br/>
              <w:t>(</w:t>
            </w:r>
            <w:proofErr w:type="spellStart"/>
            <w:r w:rsidRPr="00735452">
              <w:rPr>
                <w:rFonts w:ascii="Times New Roman" w:eastAsia="Times New Roman" w:hAnsi="Times New Roman" w:cs="Times New Roman"/>
                <w:sz w:val="20"/>
                <w:szCs w:val="20"/>
                <w:lang w:val="sq-AL"/>
              </w:rPr>
              <w:t>iv</w:t>
            </w:r>
            <w:proofErr w:type="spellEnd"/>
            <w:r w:rsidRPr="00735452">
              <w:rPr>
                <w:rFonts w:ascii="Times New Roman" w:eastAsia="Times New Roman" w:hAnsi="Times New Roman" w:cs="Times New Roman"/>
                <w:sz w:val="20"/>
                <w:szCs w:val="20"/>
                <w:lang w:val="sq-AL"/>
              </w:rPr>
              <w:t>) llojin e informacionit, sipas klasifikimit të përcaktuar në nenin 7, pika 4, shkronja “c”, të së njëjtës rregullore;</w:t>
            </w:r>
            <w:r w:rsidRPr="00735452">
              <w:rPr>
                <w:rFonts w:ascii="Times New Roman" w:eastAsia="Times New Roman" w:hAnsi="Times New Roman" w:cs="Times New Roman"/>
                <w:sz w:val="20"/>
                <w:szCs w:val="20"/>
                <w:lang w:val="sq-AL"/>
              </w:rPr>
              <w:br/>
              <w:t>(v) një tregues nëse informacioni përmban të dhëna personale.</w:t>
            </w:r>
          </w:p>
        </w:tc>
        <w:tc>
          <w:tcPr>
            <w:tcW w:w="1440" w:type="dxa"/>
          </w:tcPr>
          <w:p w14:paraId="3F46E870" w14:textId="4E7CACF2"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1E4FDC11" w14:textId="77777777" w:rsidR="003E7E51" w:rsidRPr="00735452" w:rsidRDefault="003E7E51">
            <w:pPr>
              <w:spacing w:after="0" w:line="240" w:lineRule="auto"/>
              <w:rPr>
                <w:rFonts w:ascii="Times New Roman" w:hAnsi="Times New Roman" w:cs="Times New Roman"/>
                <w:sz w:val="20"/>
                <w:szCs w:val="20"/>
                <w:lang w:val="sq-AL"/>
              </w:rPr>
            </w:pPr>
          </w:p>
        </w:tc>
      </w:tr>
      <w:tr w:rsidR="001E7953" w:rsidRPr="00735452" w14:paraId="62400716" w14:textId="77777777" w:rsidTr="004D61BC">
        <w:trPr>
          <w:gridAfter w:val="1"/>
          <w:wAfter w:w="14" w:type="dxa"/>
        </w:trPr>
        <w:tc>
          <w:tcPr>
            <w:tcW w:w="800" w:type="dxa"/>
            <w:tcBorders>
              <w:left w:val="single" w:sz="12" w:space="0" w:color="auto"/>
            </w:tcBorders>
          </w:tcPr>
          <w:p w14:paraId="1D5C86F9"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01B2D11B"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Për qëllimet e paragrafit 1, shkronja (b), nënndarja (</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shtetet anëtare sigurojnë që institucionet e kreditit të lejuara për të emetuar obligacione të mbuluara të marrin një identifikues personi juridik.</w:t>
            </w:r>
          </w:p>
        </w:tc>
        <w:tc>
          <w:tcPr>
            <w:tcW w:w="624" w:type="dxa"/>
            <w:tcBorders>
              <w:left w:val="single" w:sz="12" w:space="0" w:color="auto"/>
            </w:tcBorders>
          </w:tcPr>
          <w:p w14:paraId="440CB9B2" w14:textId="21B773C9" w:rsidR="001E7953" w:rsidRPr="00735452" w:rsidRDefault="00C439E1" w:rsidP="001E7953">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373CC70C"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 pika 3</w:t>
            </w:r>
          </w:p>
        </w:tc>
        <w:tc>
          <w:tcPr>
            <w:tcW w:w="5130" w:type="dxa"/>
          </w:tcPr>
          <w:p w14:paraId="31ACD8A0"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3. Për qëllim të pikës 2, shkronja “b”, </w:t>
            </w:r>
            <w:proofErr w:type="spellStart"/>
            <w:r w:rsidRPr="00735452">
              <w:rPr>
                <w:rFonts w:ascii="Times New Roman" w:eastAsia="Times New Roman" w:hAnsi="Times New Roman" w:cs="Times New Roman"/>
                <w:sz w:val="20"/>
                <w:szCs w:val="20"/>
                <w:lang w:val="sq-AL"/>
              </w:rPr>
              <w:t>nënparagrafi</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të këtij neni, institucionet e kreditit që janë lejuar  të emetojnë obligacione të mbuluara pajisen me një kod unik identifikimi të personit juridik (LEI).</w:t>
            </w:r>
          </w:p>
        </w:tc>
        <w:tc>
          <w:tcPr>
            <w:tcW w:w="1440" w:type="dxa"/>
          </w:tcPr>
          <w:p w14:paraId="4EFF2D9E" w14:textId="43AD241D"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2E85E8C8" w14:textId="77777777" w:rsidR="003E7E51" w:rsidRPr="00735452" w:rsidRDefault="003E7E51">
            <w:pPr>
              <w:spacing w:after="0" w:line="240" w:lineRule="auto"/>
              <w:rPr>
                <w:rFonts w:ascii="Times New Roman" w:hAnsi="Times New Roman" w:cs="Times New Roman"/>
                <w:sz w:val="20"/>
                <w:szCs w:val="20"/>
                <w:lang w:val="sq-AL"/>
              </w:rPr>
            </w:pPr>
          </w:p>
        </w:tc>
      </w:tr>
      <w:tr w:rsidR="001E7953" w:rsidRPr="00735452" w14:paraId="4681F007" w14:textId="77777777" w:rsidTr="004D61BC">
        <w:trPr>
          <w:gridAfter w:val="1"/>
          <w:wAfter w:w="14" w:type="dxa"/>
        </w:trPr>
        <w:tc>
          <w:tcPr>
            <w:tcW w:w="800" w:type="dxa"/>
            <w:tcBorders>
              <w:left w:val="single" w:sz="12" w:space="0" w:color="auto"/>
            </w:tcBorders>
          </w:tcPr>
          <w:p w14:paraId="4D5CCD4E"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7C3CFBE7"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Deri më 9 janar 2030, me qëllim që informacioni i përmendur në paragrafin 1 të këtij neni të bëhet i </w:t>
            </w:r>
            <w:proofErr w:type="spellStart"/>
            <w:r w:rsidRPr="00735452">
              <w:rPr>
                <w:rFonts w:ascii="Times New Roman" w:eastAsia="Times New Roman" w:hAnsi="Times New Roman" w:cs="Times New Roman"/>
                <w:sz w:val="20"/>
                <w:szCs w:val="20"/>
                <w:lang w:val="sq-AL"/>
              </w:rPr>
              <w:t>aksesueshëm</w:t>
            </w:r>
            <w:proofErr w:type="spellEnd"/>
            <w:r w:rsidRPr="00735452">
              <w:rPr>
                <w:rFonts w:ascii="Times New Roman" w:eastAsia="Times New Roman" w:hAnsi="Times New Roman" w:cs="Times New Roman"/>
                <w:sz w:val="20"/>
                <w:szCs w:val="20"/>
                <w:lang w:val="sq-AL"/>
              </w:rPr>
              <w:t xml:space="preserve"> në ESAP, shtetet anëtare caktojnë të paktën një organ mbledhjeje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sipas përkufizimit në nenin 2, pika 2, të Rregullores (BE) 2023/2859, dhe njoftojnë ESMA-n për këtë.</w:t>
            </w:r>
          </w:p>
        </w:tc>
        <w:tc>
          <w:tcPr>
            <w:tcW w:w="624" w:type="dxa"/>
            <w:tcBorders>
              <w:left w:val="single" w:sz="12" w:space="0" w:color="auto"/>
            </w:tcBorders>
          </w:tcPr>
          <w:p w14:paraId="4A98D390" w14:textId="79F6DAE8" w:rsidR="001E7953" w:rsidRPr="00735452" w:rsidRDefault="00C439E1" w:rsidP="001E7953">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63F924E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 pikat 4-5</w:t>
            </w:r>
          </w:p>
        </w:tc>
        <w:tc>
          <w:tcPr>
            <w:tcW w:w="5130" w:type="dxa"/>
          </w:tcPr>
          <w:p w14:paraId="6808EFAE"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4. Autoriteti është organi përgjegjës për grumbullimin e informacionit dhe për ta bërë atë të </w:t>
            </w:r>
            <w:proofErr w:type="spellStart"/>
            <w:r w:rsidRPr="00735452">
              <w:rPr>
                <w:rFonts w:ascii="Times New Roman" w:eastAsia="Times New Roman" w:hAnsi="Times New Roman" w:cs="Times New Roman"/>
                <w:sz w:val="20"/>
                <w:szCs w:val="20"/>
                <w:lang w:val="sq-AL"/>
              </w:rPr>
              <w:t>disponueshëm</w:t>
            </w:r>
            <w:proofErr w:type="spellEnd"/>
            <w:r w:rsidRPr="00735452">
              <w:rPr>
                <w:rFonts w:ascii="Times New Roman" w:eastAsia="Times New Roman" w:hAnsi="Times New Roman" w:cs="Times New Roman"/>
                <w:sz w:val="20"/>
                <w:szCs w:val="20"/>
                <w:lang w:val="sq-AL"/>
              </w:rPr>
              <w:t xml:space="preserve"> në ESAP.</w:t>
            </w:r>
            <w:r w:rsidRPr="00735452">
              <w:rPr>
                <w:rFonts w:ascii="Times New Roman" w:eastAsia="Times New Roman" w:hAnsi="Times New Roman" w:cs="Times New Roman"/>
                <w:sz w:val="20"/>
                <w:szCs w:val="20"/>
                <w:lang w:val="sq-AL"/>
              </w:rPr>
              <w:br/>
              <w:t>5. Autoriteti njofton Autoritetin Evropian për Tregjet dhe Titujt (ESMA) për caktimin e tij si organ grumbullues në përputhje me parashikimet në këtë nen.</w:t>
            </w:r>
          </w:p>
        </w:tc>
        <w:tc>
          <w:tcPr>
            <w:tcW w:w="1440" w:type="dxa"/>
          </w:tcPr>
          <w:p w14:paraId="39DFD089" w14:textId="527F0933"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5A4FE7F1" w14:textId="77777777" w:rsidR="003E7E51" w:rsidRPr="00735452" w:rsidRDefault="003E7E51">
            <w:pPr>
              <w:spacing w:after="0" w:line="240" w:lineRule="auto"/>
              <w:rPr>
                <w:rFonts w:ascii="Times New Roman" w:hAnsi="Times New Roman" w:cs="Times New Roman"/>
                <w:sz w:val="20"/>
                <w:szCs w:val="20"/>
                <w:lang w:val="sq-AL"/>
              </w:rPr>
            </w:pPr>
          </w:p>
        </w:tc>
      </w:tr>
      <w:tr w:rsidR="001E7953" w:rsidRPr="00735452" w14:paraId="44E2C1E8" w14:textId="77777777" w:rsidTr="004D61BC">
        <w:trPr>
          <w:gridAfter w:val="1"/>
          <w:wAfter w:w="14" w:type="dxa"/>
        </w:trPr>
        <w:tc>
          <w:tcPr>
            <w:tcW w:w="800" w:type="dxa"/>
            <w:tcBorders>
              <w:left w:val="single" w:sz="12" w:space="0" w:color="auto"/>
            </w:tcBorders>
          </w:tcPr>
          <w:p w14:paraId="01E21077"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589E697D"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Nga data 10 janar 2030, shtetet anëtare sigurojnë që informacioni i përmendur në nenin 24 dhe në nenin 26, paragrafi 1, shkronjat (b) dhe (c), të kësaj Direktive të bëhet i </w:t>
            </w:r>
            <w:proofErr w:type="spellStart"/>
            <w:r w:rsidRPr="00735452">
              <w:rPr>
                <w:rFonts w:ascii="Times New Roman" w:eastAsia="Times New Roman" w:hAnsi="Times New Roman" w:cs="Times New Roman"/>
                <w:sz w:val="20"/>
                <w:szCs w:val="20"/>
                <w:lang w:val="sq-AL"/>
              </w:rPr>
              <w:t>aksesueshëm</w:t>
            </w:r>
            <w:proofErr w:type="spellEnd"/>
            <w:r w:rsidRPr="00735452">
              <w:rPr>
                <w:rFonts w:ascii="Times New Roman" w:eastAsia="Times New Roman" w:hAnsi="Times New Roman" w:cs="Times New Roman"/>
                <w:sz w:val="20"/>
                <w:szCs w:val="20"/>
                <w:lang w:val="sq-AL"/>
              </w:rPr>
              <w:t xml:space="preserve"> në ESAP. Për këtë qëllim, organi i mbledhjes së të dhënave sipas përkufizimit në nenin 2, pika 2, të Rregullores (BE) 2023/2859 është autoriteti kompetent.</w:t>
            </w:r>
          </w:p>
          <w:p w14:paraId="5041CC75"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ky informacion të përmbushë kërkesat e mëposhtme:</w:t>
            </w:r>
          </w:p>
          <w:p w14:paraId="074D9281"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të paraqitet në një format të </w:t>
            </w:r>
            <w:proofErr w:type="spellStart"/>
            <w:r w:rsidRPr="00735452">
              <w:rPr>
                <w:rFonts w:ascii="Times New Roman" w:eastAsia="Times New Roman" w:hAnsi="Times New Roman" w:cs="Times New Roman"/>
                <w:sz w:val="20"/>
                <w:szCs w:val="20"/>
                <w:lang w:val="sq-AL"/>
              </w:rPr>
              <w:t>nxjerrshëm</w:t>
            </w:r>
            <w:proofErr w:type="spellEnd"/>
            <w:r w:rsidRPr="00735452">
              <w:rPr>
                <w:rFonts w:ascii="Times New Roman" w:eastAsia="Times New Roman" w:hAnsi="Times New Roman" w:cs="Times New Roman"/>
                <w:sz w:val="20"/>
                <w:szCs w:val="20"/>
                <w:lang w:val="sq-AL"/>
              </w:rPr>
              <w:t xml:space="preserve"> të </w:t>
            </w:r>
            <w:proofErr w:type="spellStart"/>
            <w:r w:rsidRPr="00735452">
              <w:rPr>
                <w:rFonts w:ascii="Times New Roman" w:eastAsia="Times New Roman" w:hAnsi="Times New Roman" w:cs="Times New Roman"/>
                <w:sz w:val="20"/>
                <w:szCs w:val="20"/>
                <w:lang w:val="sq-AL"/>
              </w:rPr>
              <w:t>të</w:t>
            </w:r>
            <w:proofErr w:type="spellEnd"/>
            <w:r w:rsidRPr="00735452">
              <w:rPr>
                <w:rFonts w:ascii="Times New Roman" w:eastAsia="Times New Roman" w:hAnsi="Times New Roman" w:cs="Times New Roman"/>
                <w:sz w:val="20"/>
                <w:szCs w:val="20"/>
                <w:lang w:val="sq-AL"/>
              </w:rPr>
              <w:t xml:space="preserve"> dhënave, sipas përkufizimit në nenin 2, pika 3, të Rregullores (BE) 2023/2859;</w:t>
            </w:r>
          </w:p>
          <w:p w14:paraId="45FA04DA"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të shoqërohet me </w:t>
            </w:r>
            <w:proofErr w:type="spellStart"/>
            <w:r w:rsidRPr="00735452">
              <w:rPr>
                <w:rFonts w:ascii="Times New Roman" w:eastAsia="Times New Roman" w:hAnsi="Times New Roman" w:cs="Times New Roman"/>
                <w:sz w:val="20"/>
                <w:szCs w:val="20"/>
                <w:lang w:val="sq-AL"/>
              </w:rPr>
              <w:t>metadata</w:t>
            </w:r>
            <w:proofErr w:type="spellEnd"/>
            <w:r w:rsidRPr="00735452">
              <w:rPr>
                <w:rFonts w:ascii="Times New Roman" w:eastAsia="Times New Roman" w:hAnsi="Times New Roman" w:cs="Times New Roman"/>
                <w:sz w:val="20"/>
                <w:szCs w:val="20"/>
                <w:lang w:val="sq-AL"/>
              </w:rPr>
              <w:t>-t e mëposhtme:</w:t>
            </w:r>
          </w:p>
          <w:p w14:paraId="2398FC8F"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(i) të gjitha emrat e institucionit të kreditit të lejuar për të emetuar obligacione të mbuluara, të cilit i referohet informacioni;</w:t>
            </w:r>
          </w:p>
          <w:p w14:paraId="3F1DB9DD"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w:t>
            </w:r>
            <w:proofErr w:type="spellEnd"/>
            <w:r w:rsidRPr="00735452">
              <w:rPr>
                <w:rFonts w:ascii="Times New Roman" w:eastAsia="Times New Roman" w:hAnsi="Times New Roman" w:cs="Times New Roman"/>
                <w:sz w:val="20"/>
                <w:szCs w:val="20"/>
                <w:lang w:val="sq-AL"/>
              </w:rPr>
              <w:t xml:space="preserve">) kur është i </w:t>
            </w:r>
            <w:proofErr w:type="spellStart"/>
            <w:r w:rsidRPr="00735452">
              <w:rPr>
                <w:rFonts w:ascii="Times New Roman" w:eastAsia="Times New Roman" w:hAnsi="Times New Roman" w:cs="Times New Roman"/>
                <w:sz w:val="20"/>
                <w:szCs w:val="20"/>
                <w:lang w:val="sq-AL"/>
              </w:rPr>
              <w:t>disponueshëm</w:t>
            </w:r>
            <w:proofErr w:type="spellEnd"/>
            <w:r w:rsidRPr="00735452">
              <w:rPr>
                <w:rFonts w:ascii="Times New Roman" w:eastAsia="Times New Roman" w:hAnsi="Times New Roman" w:cs="Times New Roman"/>
                <w:sz w:val="20"/>
                <w:szCs w:val="20"/>
                <w:lang w:val="sq-AL"/>
              </w:rPr>
              <w:t>, identifikuesin e personit juridik të institucionit të kreditit të lejuar për të emetuar obligacione të mbuluara, siç përcaktohet sipas nenit 7, paragrafi 4, shkronja (b), të Rregullores (BE) 2023/2859;</w:t>
            </w:r>
          </w:p>
          <w:p w14:paraId="72702ACC"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iii</w:t>
            </w:r>
            <w:proofErr w:type="spellEnd"/>
            <w:r w:rsidRPr="00735452">
              <w:rPr>
                <w:rFonts w:ascii="Times New Roman" w:eastAsia="Times New Roman" w:hAnsi="Times New Roman" w:cs="Times New Roman"/>
                <w:sz w:val="20"/>
                <w:szCs w:val="20"/>
                <w:lang w:val="sq-AL"/>
              </w:rPr>
              <w:t>) llojin e informacionit, të klasifikuar sipas nenit 7, paragrafi 4, shkronja (c), të asaj rregulloreje;</w:t>
            </w:r>
          </w:p>
          <w:p w14:paraId="5426DA4E" w14:textId="77777777" w:rsidR="001E7953" w:rsidRPr="00735452" w:rsidRDefault="001E7953" w:rsidP="001E7953">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w:t>
            </w:r>
            <w:proofErr w:type="spellStart"/>
            <w:r w:rsidRPr="00735452">
              <w:rPr>
                <w:rFonts w:ascii="Times New Roman" w:eastAsia="Times New Roman" w:hAnsi="Times New Roman" w:cs="Times New Roman"/>
                <w:sz w:val="20"/>
                <w:szCs w:val="20"/>
                <w:lang w:val="sq-AL"/>
              </w:rPr>
              <w:t>iv</w:t>
            </w:r>
            <w:proofErr w:type="spellEnd"/>
            <w:r w:rsidRPr="00735452">
              <w:rPr>
                <w:rFonts w:ascii="Times New Roman" w:eastAsia="Times New Roman" w:hAnsi="Times New Roman" w:cs="Times New Roman"/>
                <w:sz w:val="20"/>
                <w:szCs w:val="20"/>
                <w:lang w:val="sq-AL"/>
              </w:rPr>
              <w:t>) një tregues nëse informacioni përmban të dhëna personale.</w:t>
            </w:r>
          </w:p>
        </w:tc>
        <w:tc>
          <w:tcPr>
            <w:tcW w:w="624" w:type="dxa"/>
            <w:tcBorders>
              <w:left w:val="single" w:sz="12" w:space="0" w:color="auto"/>
            </w:tcBorders>
          </w:tcPr>
          <w:p w14:paraId="7191C876" w14:textId="3563A07A" w:rsidR="001E7953" w:rsidRPr="00735452" w:rsidRDefault="00C439E1" w:rsidP="001E7953">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00C446D0"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 pika 6</w:t>
            </w:r>
          </w:p>
        </w:tc>
        <w:tc>
          <w:tcPr>
            <w:tcW w:w="5130" w:type="dxa"/>
          </w:tcPr>
          <w:p w14:paraId="04DD5B6E" w14:textId="5A79188B"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6. Informacionet që lidhen me mbikëqyrjen dhe </w:t>
            </w:r>
            <w:r w:rsidR="000E553B">
              <w:rPr>
                <w:rFonts w:ascii="Times New Roman" w:eastAsia="Times New Roman" w:hAnsi="Times New Roman" w:cs="Times New Roman"/>
                <w:sz w:val="20"/>
                <w:szCs w:val="20"/>
                <w:lang w:val="sq-AL"/>
              </w:rPr>
              <w:t>miratimin</w:t>
            </w:r>
            <w:r w:rsidRPr="00735452">
              <w:rPr>
                <w:rFonts w:ascii="Times New Roman" w:eastAsia="Times New Roman" w:hAnsi="Times New Roman" w:cs="Times New Roman"/>
                <w:sz w:val="20"/>
                <w:szCs w:val="20"/>
                <w:lang w:val="sq-AL"/>
              </w:rPr>
              <w:t xml:space="preserve"> e institucioneve të kreditit për emetimin e obligacioneve të mbuluara, si dhe informacionet e parashikuara në nenin </w:t>
            </w:r>
            <w:r w:rsidR="004210BC" w:rsidRPr="00735452">
              <w:rPr>
                <w:rFonts w:ascii="Times New Roman" w:eastAsia="Times New Roman" w:hAnsi="Times New Roman" w:cs="Times New Roman"/>
                <w:sz w:val="20"/>
                <w:szCs w:val="20"/>
                <w:lang w:val="sq-AL"/>
              </w:rPr>
              <w:t xml:space="preserve">44 </w:t>
            </w:r>
            <w:r w:rsidRPr="00735452">
              <w:rPr>
                <w:rFonts w:ascii="Times New Roman" w:eastAsia="Times New Roman" w:hAnsi="Times New Roman" w:cs="Times New Roman"/>
                <w:sz w:val="20"/>
                <w:szCs w:val="20"/>
                <w:lang w:val="sq-AL"/>
              </w:rPr>
              <w:t xml:space="preserve">dhe nenin </w:t>
            </w:r>
            <w:r w:rsidR="004210BC" w:rsidRPr="00735452">
              <w:rPr>
                <w:rFonts w:ascii="Times New Roman" w:eastAsia="Times New Roman" w:hAnsi="Times New Roman" w:cs="Times New Roman"/>
                <w:sz w:val="20"/>
                <w:szCs w:val="20"/>
                <w:lang w:val="sq-AL"/>
              </w:rPr>
              <w:t>31</w:t>
            </w:r>
            <w:r w:rsidRPr="00735452">
              <w:rPr>
                <w:rFonts w:ascii="Times New Roman" w:eastAsia="Times New Roman" w:hAnsi="Times New Roman" w:cs="Times New Roman"/>
                <w:sz w:val="20"/>
                <w:szCs w:val="20"/>
                <w:lang w:val="sq-AL"/>
              </w:rPr>
              <w:t xml:space="preserve"> pika 1, shkronjat “b” dhe “c” të ligjit, bëhen të </w:t>
            </w:r>
            <w:proofErr w:type="spellStart"/>
            <w:r w:rsidRPr="00735452">
              <w:rPr>
                <w:rFonts w:ascii="Times New Roman" w:eastAsia="Times New Roman" w:hAnsi="Times New Roman" w:cs="Times New Roman"/>
                <w:sz w:val="20"/>
                <w:szCs w:val="20"/>
                <w:lang w:val="sq-AL"/>
              </w:rPr>
              <w:t>disponueshme</w:t>
            </w:r>
            <w:proofErr w:type="spellEnd"/>
            <w:r w:rsidRPr="00735452">
              <w:rPr>
                <w:rFonts w:ascii="Times New Roman" w:eastAsia="Times New Roman" w:hAnsi="Times New Roman" w:cs="Times New Roman"/>
                <w:sz w:val="20"/>
                <w:szCs w:val="20"/>
                <w:lang w:val="sq-AL"/>
              </w:rPr>
              <w:t xml:space="preserve"> në ESAP në përputhje me kërkesat e formatit dhe të dhënat  e përcaktuara në këtë nen.</w:t>
            </w:r>
          </w:p>
        </w:tc>
        <w:tc>
          <w:tcPr>
            <w:tcW w:w="1440" w:type="dxa"/>
          </w:tcPr>
          <w:p w14:paraId="3B09317A" w14:textId="42420338"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ABBE23A" w14:textId="7BF6EC61" w:rsidR="003E7E51" w:rsidRPr="00735452" w:rsidRDefault="003E7E51">
            <w:pPr>
              <w:spacing w:after="0" w:line="240" w:lineRule="auto"/>
              <w:rPr>
                <w:rFonts w:ascii="Times New Roman" w:hAnsi="Times New Roman" w:cs="Times New Roman"/>
                <w:sz w:val="20"/>
                <w:szCs w:val="20"/>
                <w:lang w:val="sq-AL"/>
              </w:rPr>
            </w:pPr>
          </w:p>
        </w:tc>
      </w:tr>
      <w:tr w:rsidR="0081618C" w:rsidRPr="00735452" w14:paraId="74F384F1" w14:textId="77777777" w:rsidTr="004D61BC">
        <w:trPr>
          <w:gridAfter w:val="1"/>
          <w:wAfter w:w="14" w:type="dxa"/>
        </w:trPr>
        <w:tc>
          <w:tcPr>
            <w:tcW w:w="800" w:type="dxa"/>
            <w:tcBorders>
              <w:left w:val="single" w:sz="12" w:space="0" w:color="auto"/>
            </w:tcBorders>
          </w:tcPr>
          <w:p w14:paraId="4A35BE44"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5</w:t>
            </w:r>
          </w:p>
        </w:tc>
        <w:tc>
          <w:tcPr>
            <w:tcW w:w="5220" w:type="dxa"/>
            <w:tcBorders>
              <w:right w:val="single" w:sz="12" w:space="0" w:color="auto"/>
            </w:tcBorders>
          </w:tcPr>
          <w:p w14:paraId="0AD12081"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Me qëllim garantimin e mbledhjes dhe administrimit efikas të informacionit të paraqitur në përputhje me paragrafin 1, EBA harton </w:t>
            </w:r>
            <w:proofErr w:type="spellStart"/>
            <w:r w:rsidRPr="00735452">
              <w:rPr>
                <w:rFonts w:ascii="Times New Roman" w:eastAsia="Times New Roman" w:hAnsi="Times New Roman" w:cs="Times New Roman"/>
                <w:sz w:val="20"/>
                <w:szCs w:val="20"/>
                <w:lang w:val="sq-AL"/>
              </w:rPr>
              <w:t>projektstandardet</w:t>
            </w:r>
            <w:proofErr w:type="spellEnd"/>
            <w:r w:rsidRPr="00735452">
              <w:rPr>
                <w:rFonts w:ascii="Times New Roman" w:eastAsia="Times New Roman" w:hAnsi="Times New Roman" w:cs="Times New Roman"/>
                <w:sz w:val="20"/>
                <w:szCs w:val="20"/>
                <w:lang w:val="sq-AL"/>
              </w:rPr>
              <w:t xml:space="preserve"> teknike zbatuese për të specifikuar sa vijon:</w:t>
            </w:r>
          </w:p>
          <w:p w14:paraId="13D8BAA0"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çdo </w:t>
            </w:r>
            <w:proofErr w:type="spellStart"/>
            <w:r w:rsidRPr="00735452">
              <w:rPr>
                <w:rFonts w:ascii="Times New Roman" w:eastAsia="Times New Roman" w:hAnsi="Times New Roman" w:cs="Times New Roman"/>
                <w:sz w:val="20"/>
                <w:szCs w:val="20"/>
                <w:lang w:val="sq-AL"/>
              </w:rPr>
              <w:t>metadata</w:t>
            </w:r>
            <w:proofErr w:type="spellEnd"/>
            <w:r w:rsidRPr="00735452">
              <w:rPr>
                <w:rFonts w:ascii="Times New Roman" w:eastAsia="Times New Roman" w:hAnsi="Times New Roman" w:cs="Times New Roman"/>
                <w:sz w:val="20"/>
                <w:szCs w:val="20"/>
                <w:lang w:val="sq-AL"/>
              </w:rPr>
              <w:t xml:space="preserve"> tjetër që duhet të shoqërojë informacionin;</w:t>
            </w:r>
          </w:p>
          <w:p w14:paraId="7C7C43B8"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strukturimin e të dhënave brenda informacionit;</w:t>
            </w:r>
          </w:p>
          <w:p w14:paraId="463EE181"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(c) për cilin informacion kërkohet një format i lexueshëm nga makineritë dhe, në raste të tilla, cili format i lexueshëm nga makineritë duhet të përdoret.</w:t>
            </w:r>
          </w:p>
          <w:p w14:paraId="755DEED9"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Për qëllimet e shkronjës (c), EBA vlerëson avantazhet dhe </w:t>
            </w:r>
            <w:proofErr w:type="spellStart"/>
            <w:r w:rsidRPr="00735452">
              <w:rPr>
                <w:rFonts w:ascii="Times New Roman" w:eastAsia="Times New Roman" w:hAnsi="Times New Roman" w:cs="Times New Roman"/>
                <w:sz w:val="20"/>
                <w:szCs w:val="20"/>
                <w:lang w:val="sq-AL"/>
              </w:rPr>
              <w:t>disavantazhet</w:t>
            </w:r>
            <w:proofErr w:type="spellEnd"/>
            <w:r w:rsidRPr="00735452">
              <w:rPr>
                <w:rFonts w:ascii="Times New Roman" w:eastAsia="Times New Roman" w:hAnsi="Times New Roman" w:cs="Times New Roman"/>
                <w:sz w:val="20"/>
                <w:szCs w:val="20"/>
                <w:lang w:val="sq-AL"/>
              </w:rPr>
              <w:t xml:space="preserve"> e formateve të ndryshme të lexueshme nga makineritë dhe kryen testime të përshtatshme në terren.</w:t>
            </w:r>
          </w:p>
          <w:p w14:paraId="2FA0E4A2"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EBA ia paraqet Komisionit këto </w:t>
            </w:r>
            <w:proofErr w:type="spellStart"/>
            <w:r w:rsidRPr="00735452">
              <w:rPr>
                <w:rFonts w:ascii="Times New Roman" w:eastAsia="Times New Roman" w:hAnsi="Times New Roman" w:cs="Times New Roman"/>
                <w:sz w:val="20"/>
                <w:szCs w:val="20"/>
                <w:lang w:val="sq-AL"/>
              </w:rPr>
              <w:t>projektstandarde</w:t>
            </w:r>
            <w:proofErr w:type="spellEnd"/>
            <w:r w:rsidRPr="00735452">
              <w:rPr>
                <w:rFonts w:ascii="Times New Roman" w:eastAsia="Times New Roman" w:hAnsi="Times New Roman" w:cs="Times New Roman"/>
                <w:sz w:val="20"/>
                <w:szCs w:val="20"/>
                <w:lang w:val="sq-AL"/>
              </w:rPr>
              <w:t xml:space="preserve"> teknike </w:t>
            </w:r>
            <w:proofErr w:type="spellStart"/>
            <w:r w:rsidRPr="00735452">
              <w:rPr>
                <w:rFonts w:ascii="Times New Roman" w:eastAsia="Times New Roman" w:hAnsi="Times New Roman" w:cs="Times New Roman"/>
                <w:sz w:val="20"/>
                <w:szCs w:val="20"/>
                <w:lang w:val="sq-AL"/>
              </w:rPr>
              <w:t>zbatuese.Komisionit</w:t>
            </w:r>
            <w:proofErr w:type="spellEnd"/>
            <w:r w:rsidRPr="00735452">
              <w:rPr>
                <w:rFonts w:ascii="Times New Roman" w:eastAsia="Times New Roman" w:hAnsi="Times New Roman" w:cs="Times New Roman"/>
                <w:sz w:val="20"/>
                <w:szCs w:val="20"/>
                <w:lang w:val="sq-AL"/>
              </w:rPr>
              <w:t xml:space="preserve"> i jepet kompetenca për të miratuar standardet teknike zbatuese të përmendura në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parë të këtij paragrafi, në përputhje me nenin 15 të Rregullores (BE) nr. 1093/2010.</w:t>
            </w:r>
          </w:p>
        </w:tc>
        <w:tc>
          <w:tcPr>
            <w:tcW w:w="624" w:type="dxa"/>
            <w:tcBorders>
              <w:left w:val="single" w:sz="12" w:space="0" w:color="auto"/>
            </w:tcBorders>
          </w:tcPr>
          <w:p w14:paraId="4A6FE09C" w14:textId="292CE258" w:rsidR="0081618C" w:rsidRPr="00735452" w:rsidRDefault="00C439E1" w:rsidP="0081618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41089EA2"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 pika 7, shkronjat “a”-“c”</w:t>
            </w:r>
          </w:p>
        </w:tc>
        <w:tc>
          <w:tcPr>
            <w:tcW w:w="5130" w:type="dxa"/>
          </w:tcPr>
          <w:p w14:paraId="02BA7E27"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të dhënat (</w:t>
            </w:r>
            <w:proofErr w:type="spellStart"/>
            <w:r w:rsidRPr="00735452">
              <w:rPr>
                <w:rFonts w:ascii="Times New Roman" w:eastAsia="Times New Roman" w:hAnsi="Times New Roman" w:cs="Times New Roman"/>
                <w:sz w:val="20"/>
                <w:szCs w:val="20"/>
                <w:lang w:val="sq-AL"/>
              </w:rPr>
              <w:t>metadata</w:t>
            </w:r>
            <w:proofErr w:type="spellEnd"/>
            <w:r w:rsidRPr="00735452">
              <w:rPr>
                <w:rFonts w:ascii="Times New Roman" w:eastAsia="Times New Roman" w:hAnsi="Times New Roman" w:cs="Times New Roman"/>
                <w:sz w:val="20"/>
                <w:szCs w:val="20"/>
                <w:lang w:val="sq-AL"/>
              </w:rPr>
              <w:t>) shtesë që shoqërojnë informacionin;</w:t>
            </w:r>
            <w:r w:rsidRPr="00735452">
              <w:rPr>
                <w:rFonts w:ascii="Times New Roman" w:eastAsia="Times New Roman" w:hAnsi="Times New Roman" w:cs="Times New Roman"/>
                <w:sz w:val="20"/>
                <w:szCs w:val="20"/>
                <w:lang w:val="sq-AL"/>
              </w:rPr>
              <w:br/>
              <w:t>b) strukturën e të dhënave të informacionit;</w:t>
            </w:r>
            <w:r w:rsidRPr="00735452">
              <w:rPr>
                <w:rFonts w:ascii="Times New Roman" w:eastAsia="Times New Roman" w:hAnsi="Times New Roman" w:cs="Times New Roman"/>
                <w:sz w:val="20"/>
                <w:szCs w:val="20"/>
                <w:lang w:val="sq-AL"/>
              </w:rPr>
              <w:br/>
              <w:t>c) informacionet për të cilat kërkohet një format i lexueshëm nga makina dhe formatin përkatës që do të përdoret;  dhe</w:t>
            </w:r>
          </w:p>
        </w:tc>
        <w:tc>
          <w:tcPr>
            <w:tcW w:w="1440" w:type="dxa"/>
          </w:tcPr>
          <w:p w14:paraId="478654B7" w14:textId="15F9D58C"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076CD351" w14:textId="77777777" w:rsidR="003E7E51" w:rsidRPr="00735452" w:rsidRDefault="003E7E51">
            <w:pPr>
              <w:spacing w:after="0" w:line="240" w:lineRule="auto"/>
              <w:rPr>
                <w:rFonts w:ascii="Times New Roman" w:hAnsi="Times New Roman" w:cs="Times New Roman"/>
                <w:sz w:val="20"/>
                <w:szCs w:val="20"/>
                <w:lang w:val="sq-AL"/>
              </w:rPr>
            </w:pPr>
          </w:p>
        </w:tc>
      </w:tr>
      <w:tr w:rsidR="0081618C" w:rsidRPr="00735452" w14:paraId="1DD33BB3" w14:textId="77777777" w:rsidTr="004D61BC">
        <w:trPr>
          <w:gridAfter w:val="1"/>
          <w:wAfter w:w="14" w:type="dxa"/>
        </w:trPr>
        <w:tc>
          <w:tcPr>
            <w:tcW w:w="800" w:type="dxa"/>
            <w:tcBorders>
              <w:left w:val="single" w:sz="12" w:space="0" w:color="auto"/>
            </w:tcBorders>
          </w:tcPr>
          <w:p w14:paraId="3D400C6F"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6</w:t>
            </w:r>
          </w:p>
        </w:tc>
        <w:tc>
          <w:tcPr>
            <w:tcW w:w="5220" w:type="dxa"/>
            <w:tcBorders>
              <w:right w:val="single" w:sz="12" w:space="0" w:color="auto"/>
            </w:tcBorders>
          </w:tcPr>
          <w:p w14:paraId="5D29D3F7"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Kur është e nevojshme, EBA miraton udhëzime për të siguruar që </w:t>
            </w:r>
            <w:proofErr w:type="spellStart"/>
            <w:r w:rsidRPr="00735452">
              <w:rPr>
                <w:rFonts w:ascii="Times New Roman" w:eastAsia="Times New Roman" w:hAnsi="Times New Roman" w:cs="Times New Roman"/>
                <w:sz w:val="20"/>
                <w:szCs w:val="20"/>
                <w:lang w:val="sq-AL"/>
              </w:rPr>
              <w:t>metadata</w:t>
            </w:r>
            <w:proofErr w:type="spellEnd"/>
            <w:r w:rsidRPr="00735452">
              <w:rPr>
                <w:rFonts w:ascii="Times New Roman" w:eastAsia="Times New Roman" w:hAnsi="Times New Roman" w:cs="Times New Roman"/>
                <w:sz w:val="20"/>
                <w:szCs w:val="20"/>
                <w:lang w:val="sq-AL"/>
              </w:rPr>
              <w:t xml:space="preserve">-t e paraqitura në përputhje me paragrafin 5,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parë, shkronja (a), të jenë të sakta.</w:t>
            </w:r>
          </w:p>
        </w:tc>
        <w:tc>
          <w:tcPr>
            <w:tcW w:w="624" w:type="dxa"/>
            <w:tcBorders>
              <w:left w:val="single" w:sz="12" w:space="0" w:color="auto"/>
            </w:tcBorders>
          </w:tcPr>
          <w:p w14:paraId="28B59C2C" w14:textId="0E0F9A5F" w:rsidR="0081618C" w:rsidRPr="00735452" w:rsidRDefault="00C439E1" w:rsidP="0081618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5A351DF9"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15, pika 7, shkronja “ç”</w:t>
            </w:r>
          </w:p>
        </w:tc>
        <w:tc>
          <w:tcPr>
            <w:tcW w:w="5130" w:type="dxa"/>
          </w:tcPr>
          <w:p w14:paraId="42CBB911"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ç) garantimin që të dhënat (</w:t>
            </w:r>
            <w:proofErr w:type="spellStart"/>
            <w:r w:rsidRPr="00735452">
              <w:rPr>
                <w:rFonts w:ascii="Times New Roman" w:eastAsia="Times New Roman" w:hAnsi="Times New Roman" w:cs="Times New Roman"/>
                <w:sz w:val="20"/>
                <w:szCs w:val="20"/>
                <w:lang w:val="sq-AL"/>
              </w:rPr>
              <w:t>metadatat</w:t>
            </w:r>
            <w:proofErr w:type="spellEnd"/>
            <w:r w:rsidRPr="00735452">
              <w:rPr>
                <w:rFonts w:ascii="Times New Roman" w:eastAsia="Times New Roman" w:hAnsi="Times New Roman" w:cs="Times New Roman"/>
                <w:sz w:val="20"/>
                <w:szCs w:val="20"/>
                <w:lang w:val="sq-AL"/>
              </w:rPr>
              <w:t>) e paraqitura në përputhje me këtë nen janë të sakta dhe të plota.</w:t>
            </w:r>
          </w:p>
        </w:tc>
        <w:tc>
          <w:tcPr>
            <w:tcW w:w="1440" w:type="dxa"/>
          </w:tcPr>
          <w:p w14:paraId="1C879253" w14:textId="132EB7F4"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18054921" w14:textId="77777777" w:rsidR="003E7E51" w:rsidRPr="00735452" w:rsidRDefault="003E7E51">
            <w:pPr>
              <w:spacing w:after="0" w:line="240" w:lineRule="auto"/>
              <w:rPr>
                <w:rFonts w:ascii="Times New Roman" w:hAnsi="Times New Roman" w:cs="Times New Roman"/>
                <w:sz w:val="20"/>
                <w:szCs w:val="20"/>
                <w:lang w:val="sq-AL"/>
              </w:rPr>
            </w:pPr>
          </w:p>
        </w:tc>
      </w:tr>
      <w:tr w:rsidR="0081618C" w:rsidRPr="00735452" w14:paraId="08E84580" w14:textId="77777777" w:rsidTr="004D61BC">
        <w:trPr>
          <w:gridAfter w:val="1"/>
          <w:wAfter w:w="14" w:type="dxa"/>
        </w:trPr>
        <w:tc>
          <w:tcPr>
            <w:tcW w:w="800" w:type="dxa"/>
            <w:tcBorders>
              <w:left w:val="single" w:sz="12" w:space="0" w:color="auto"/>
            </w:tcBorders>
          </w:tcPr>
          <w:p w14:paraId="4BA60B28"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27</w:t>
            </w:r>
          </w:p>
          <w:p w14:paraId="3C06E229"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6F1F168F"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etiketa “</w:t>
            </w:r>
            <w:proofErr w:type="spellStart"/>
            <w:r w:rsidRPr="00735452">
              <w:rPr>
                <w:rFonts w:ascii="Times New Roman" w:eastAsia="Times New Roman" w:hAnsi="Times New Roman" w:cs="Times New Roman"/>
                <w:sz w:val="20"/>
                <w:szCs w:val="20"/>
                <w:lang w:val="sq-AL"/>
              </w:rPr>
              <w:t>European</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Covered</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Bond</w:t>
            </w:r>
            <w:proofErr w:type="spellEnd"/>
            <w:r w:rsidRPr="00735452">
              <w:rPr>
                <w:rFonts w:ascii="Times New Roman" w:eastAsia="Times New Roman" w:hAnsi="Times New Roman" w:cs="Times New Roman"/>
                <w:sz w:val="20"/>
                <w:szCs w:val="20"/>
                <w:lang w:val="sq-AL"/>
              </w:rPr>
              <w:t xml:space="preserve">” dhe përkthimi i saj zyrtar në të gjitha gjuhët zyrtare të Bashkimit të përdoret vetëm për obligacionet e mbuluara që përmbushin kërkesat e përcaktuara në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w:t>
            </w:r>
          </w:p>
        </w:tc>
        <w:tc>
          <w:tcPr>
            <w:tcW w:w="624" w:type="dxa"/>
            <w:tcBorders>
              <w:left w:val="single" w:sz="12" w:space="0" w:color="auto"/>
            </w:tcBorders>
          </w:tcPr>
          <w:p w14:paraId="16B159B9" w14:textId="42331AE0" w:rsidR="0081618C" w:rsidRPr="00735452" w:rsidRDefault="00C439E1" w:rsidP="0081618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t>0.1</w:t>
            </w:r>
          </w:p>
        </w:tc>
        <w:tc>
          <w:tcPr>
            <w:tcW w:w="906" w:type="dxa"/>
          </w:tcPr>
          <w:p w14:paraId="2CCBC5BB"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45, pika 2</w:t>
            </w:r>
          </w:p>
        </w:tc>
        <w:tc>
          <w:tcPr>
            <w:tcW w:w="5130" w:type="dxa"/>
          </w:tcPr>
          <w:p w14:paraId="206D6144"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2. Emërtimi “obligacion evropian i mbuluar” dhe përkthimi i tij zyrtar në të gjitha gjuhët zyrtare të Bashkimit Evropian përdoret vetëm për obligacionet e mbuluara që përmbushin kërkesat e përcaktuara në këtë ligj.</w:t>
            </w:r>
          </w:p>
        </w:tc>
        <w:tc>
          <w:tcPr>
            <w:tcW w:w="1440" w:type="dxa"/>
          </w:tcPr>
          <w:p w14:paraId="1F392860" w14:textId="639DDF23"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t>P</w:t>
            </w:r>
          </w:p>
        </w:tc>
        <w:tc>
          <w:tcPr>
            <w:tcW w:w="1437" w:type="dxa"/>
            <w:tcBorders>
              <w:right w:val="single" w:sz="12" w:space="0" w:color="auto"/>
            </w:tcBorders>
          </w:tcPr>
          <w:p w14:paraId="6ECEA6F7" w14:textId="77777777" w:rsidR="003E7E51" w:rsidRPr="00735452" w:rsidRDefault="003E7E51">
            <w:pPr>
              <w:spacing w:after="0" w:line="240" w:lineRule="auto"/>
              <w:rPr>
                <w:rFonts w:ascii="Times New Roman" w:hAnsi="Times New Roman" w:cs="Times New Roman"/>
                <w:sz w:val="20"/>
                <w:szCs w:val="20"/>
                <w:lang w:val="sq-AL"/>
              </w:rPr>
            </w:pPr>
          </w:p>
        </w:tc>
      </w:tr>
      <w:tr w:rsidR="0081618C" w:rsidRPr="00735452" w14:paraId="79319E37" w14:textId="77777777" w:rsidTr="004D61BC">
        <w:trPr>
          <w:gridAfter w:val="1"/>
          <w:wAfter w:w="14" w:type="dxa"/>
        </w:trPr>
        <w:tc>
          <w:tcPr>
            <w:tcW w:w="800" w:type="dxa"/>
            <w:tcBorders>
              <w:left w:val="single" w:sz="12" w:space="0" w:color="auto"/>
            </w:tcBorders>
          </w:tcPr>
          <w:p w14:paraId="51BEE50A"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23658A8D"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sigurojnë që etiketa “</w:t>
            </w:r>
            <w:proofErr w:type="spellStart"/>
            <w:r w:rsidRPr="00735452">
              <w:rPr>
                <w:rFonts w:ascii="Times New Roman" w:eastAsia="Times New Roman" w:hAnsi="Times New Roman" w:cs="Times New Roman"/>
                <w:sz w:val="20"/>
                <w:szCs w:val="20"/>
                <w:lang w:val="sq-AL"/>
              </w:rPr>
              <w:t>European</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Covered</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Bond</w:t>
            </w:r>
            <w:proofErr w:type="spellEnd"/>
            <w:r w:rsidRPr="00735452">
              <w:rPr>
                <w:rFonts w:ascii="Times New Roman" w:eastAsia="Times New Roman" w:hAnsi="Times New Roman" w:cs="Times New Roman"/>
                <w:sz w:val="20"/>
                <w:szCs w:val="20"/>
                <w:lang w:val="sq-AL"/>
              </w:rPr>
              <w:t xml:space="preserve"> (Premium)” dhe përkthimi i saj zyrtar në të gjitha gjuhët zyrtare të Bashkimit të përdoret vetëm për obligacionet e mbuluara që përmbushin kërkesat e përcaktuara në dispozitat e ligjit </w:t>
            </w:r>
            <w:r w:rsidRPr="00735452">
              <w:rPr>
                <w:rFonts w:ascii="Times New Roman" w:eastAsia="Times New Roman" w:hAnsi="Times New Roman" w:cs="Times New Roman"/>
                <w:sz w:val="20"/>
                <w:szCs w:val="20"/>
                <w:lang w:val="sq-AL"/>
              </w:rPr>
              <w:lastRenderedPageBreak/>
              <w:t xml:space="preserve">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 dhe që përmbushin kërkesat e nenit 129 të Rregullores (BE) nr. 575/2013, e ndryshuar me Rregulloren (BE) 2019/2160 të Parlamentit Evropian dhe të Këshillit.</w:t>
            </w:r>
          </w:p>
        </w:tc>
        <w:tc>
          <w:tcPr>
            <w:tcW w:w="624" w:type="dxa"/>
            <w:tcBorders>
              <w:left w:val="single" w:sz="12" w:space="0" w:color="auto"/>
            </w:tcBorders>
          </w:tcPr>
          <w:p w14:paraId="0980F581" w14:textId="7DABD3D7" w:rsidR="0081618C" w:rsidRPr="00735452" w:rsidRDefault="00C439E1" w:rsidP="0081618C">
            <w:pPr>
              <w:spacing w:after="0" w:line="240" w:lineRule="auto"/>
              <w:jc w:val="both"/>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0.1</w:t>
            </w:r>
          </w:p>
        </w:tc>
        <w:tc>
          <w:tcPr>
            <w:tcW w:w="906" w:type="dxa"/>
          </w:tcPr>
          <w:p w14:paraId="335704C5" w14:textId="77777777" w:rsidR="003E7E51" w:rsidRPr="00735452" w:rsidRDefault="00B82C36">
            <w:pPr>
              <w:spacing w:after="0" w:line="240" w:lineRule="auto"/>
              <w:jc w:val="center"/>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45, pika 3</w:t>
            </w:r>
          </w:p>
        </w:tc>
        <w:tc>
          <w:tcPr>
            <w:tcW w:w="5130" w:type="dxa"/>
          </w:tcPr>
          <w:p w14:paraId="2C5EC82B" w14:textId="77777777"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3. Emërtimi “obligacion evropian i mbuluar (Premium)” dhe përkthimi i tij zyrtar në të gjitha gjuhët zyrtare të Bashkimit Evropian përdoret vetëm për obligacionet e mbuluara që:</w:t>
            </w:r>
            <w:r w:rsidRPr="00735452">
              <w:rPr>
                <w:rFonts w:ascii="Times New Roman" w:eastAsia="Times New Roman" w:hAnsi="Times New Roman" w:cs="Times New Roman"/>
                <w:sz w:val="20"/>
                <w:szCs w:val="20"/>
                <w:lang w:val="sq-AL"/>
              </w:rPr>
              <w:br/>
              <w:t xml:space="preserve">    a) përmbushin kërkesat e përcaktuara në këtë ligj; dhe</w:t>
            </w:r>
            <w:r w:rsidRPr="00735452">
              <w:rPr>
                <w:rFonts w:ascii="Times New Roman" w:eastAsia="Times New Roman" w:hAnsi="Times New Roman" w:cs="Times New Roman"/>
                <w:sz w:val="20"/>
                <w:szCs w:val="20"/>
                <w:lang w:val="sq-AL"/>
              </w:rPr>
              <w:br/>
            </w:r>
            <w:r w:rsidRPr="00735452">
              <w:rPr>
                <w:rFonts w:ascii="Times New Roman" w:eastAsia="Times New Roman" w:hAnsi="Times New Roman" w:cs="Times New Roman"/>
                <w:sz w:val="20"/>
                <w:szCs w:val="20"/>
                <w:lang w:val="sq-AL"/>
              </w:rPr>
              <w:lastRenderedPageBreak/>
              <w:t xml:space="preserve">    b)  përmbushin kërkesat e  nenit 129 të Rregullores (BE) nr. 575/2013, të ndryshuar me Rregulloren (BE) 2019/2160.</w:t>
            </w:r>
          </w:p>
        </w:tc>
        <w:tc>
          <w:tcPr>
            <w:tcW w:w="1440" w:type="dxa"/>
          </w:tcPr>
          <w:p w14:paraId="4B31E1DA" w14:textId="45F2FE3A" w:rsidR="003E7E51" w:rsidRPr="00735452" w:rsidRDefault="00B60D26">
            <w:pPr>
              <w:spacing w:after="0" w:line="240" w:lineRule="auto"/>
              <w:jc w:val="center"/>
              <w:rPr>
                <w:rFonts w:ascii="Times New Roman" w:hAnsi="Times New Roman" w:cs="Times New Roman"/>
                <w:sz w:val="20"/>
                <w:szCs w:val="20"/>
                <w:lang w:val="sq-AL"/>
              </w:rPr>
            </w:pPr>
            <w:r>
              <w:rPr>
                <w:rFonts w:ascii="Times New Roman" w:eastAsia="Times New Roman" w:hAnsi="Times New Roman" w:cs="Times New Roman"/>
                <w:sz w:val="20"/>
                <w:szCs w:val="20"/>
                <w:lang w:val="sq-AL"/>
              </w:rPr>
              <w:lastRenderedPageBreak/>
              <w:t>P</w:t>
            </w:r>
          </w:p>
        </w:tc>
        <w:tc>
          <w:tcPr>
            <w:tcW w:w="1437" w:type="dxa"/>
            <w:tcBorders>
              <w:right w:val="single" w:sz="12" w:space="0" w:color="auto"/>
            </w:tcBorders>
          </w:tcPr>
          <w:p w14:paraId="53B245EE" w14:textId="77777777" w:rsidR="003E7E51" w:rsidRPr="00735452" w:rsidRDefault="003E7E51">
            <w:pPr>
              <w:spacing w:after="0" w:line="240" w:lineRule="auto"/>
              <w:rPr>
                <w:rFonts w:ascii="Times New Roman" w:hAnsi="Times New Roman" w:cs="Times New Roman"/>
                <w:sz w:val="20"/>
                <w:szCs w:val="20"/>
                <w:lang w:val="sq-AL"/>
              </w:rPr>
            </w:pPr>
          </w:p>
        </w:tc>
      </w:tr>
      <w:tr w:rsidR="0081618C" w:rsidRPr="00735452" w14:paraId="771C17A8" w14:textId="77777777" w:rsidTr="004D61BC">
        <w:trPr>
          <w:gridAfter w:val="1"/>
          <w:wAfter w:w="14" w:type="dxa"/>
        </w:trPr>
        <w:tc>
          <w:tcPr>
            <w:tcW w:w="800" w:type="dxa"/>
            <w:tcBorders>
              <w:left w:val="single" w:sz="12" w:space="0" w:color="auto"/>
            </w:tcBorders>
          </w:tcPr>
          <w:p w14:paraId="7F8F8D40"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28</w:t>
            </w:r>
          </w:p>
        </w:tc>
        <w:tc>
          <w:tcPr>
            <w:tcW w:w="5220" w:type="dxa"/>
            <w:tcBorders>
              <w:right w:val="single" w:sz="12" w:space="0" w:color="auto"/>
            </w:tcBorders>
          </w:tcPr>
          <w:p w14:paraId="412AD865" w14:textId="77777777" w:rsidR="0081618C" w:rsidRPr="00735452" w:rsidRDefault="0081618C" w:rsidP="0081618C">
            <w:pPr>
              <w:pStyle w:val="Heading3"/>
              <w:spacing w:before="0" w:after="0" w:line="240" w:lineRule="auto"/>
              <w:jc w:val="both"/>
              <w:rPr>
                <w:rFonts w:ascii="Times New Roman" w:eastAsiaTheme="minorEastAsia" w:hAnsi="Times New Roman" w:cs="Times New Roman"/>
                <w:color w:val="auto"/>
                <w:sz w:val="20"/>
                <w:szCs w:val="20"/>
                <w:lang w:val="sq-AL"/>
              </w:rPr>
            </w:pPr>
            <w:r w:rsidRPr="00735452">
              <w:rPr>
                <w:rFonts w:ascii="Times New Roman" w:eastAsiaTheme="minorEastAsia" w:hAnsi="Times New Roman" w:cs="Times New Roman"/>
                <w:color w:val="auto"/>
                <w:sz w:val="20"/>
                <w:szCs w:val="20"/>
                <w:lang w:val="sq-AL"/>
              </w:rPr>
              <w:t>Ndryshimi i Direktivës 2009/65/KE:</w:t>
            </w:r>
          </w:p>
          <w:p w14:paraId="23BC762E"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52, paragrafi 4, i Direktivës 2009/65/KE ndryshohet si më poshtë:</w:t>
            </w:r>
          </w:p>
          <w:p w14:paraId="100E943C"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(1) </w:t>
            </w:r>
            <w:proofErr w:type="spellStart"/>
            <w:r w:rsidRPr="00735452">
              <w:rPr>
                <w:rFonts w:ascii="Times New Roman" w:eastAsia="Times New Roman" w:hAnsi="Times New Roman" w:cs="Times New Roman"/>
                <w:sz w:val="20"/>
                <w:szCs w:val="20"/>
                <w:lang w:val="sq-AL"/>
              </w:rPr>
              <w:t>nënparagrafi</w:t>
            </w:r>
            <w:proofErr w:type="spellEnd"/>
            <w:r w:rsidRPr="00735452">
              <w:rPr>
                <w:rFonts w:ascii="Times New Roman" w:eastAsia="Times New Roman" w:hAnsi="Times New Roman" w:cs="Times New Roman"/>
                <w:sz w:val="20"/>
                <w:szCs w:val="20"/>
                <w:lang w:val="sq-AL"/>
              </w:rPr>
              <w:t xml:space="preserve"> i parë zëvendësohet me tekstin e mëposhtëm:</w:t>
            </w:r>
          </w:p>
          <w:p w14:paraId="1A598D41"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“4. Shtetet anëtare mund të rrisin kufirin prej 5% të përcaktuar në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parë të paragrafit 1 deri në një maksimum prej 25% kur obligacionet janë emetuar përpara 8 korrikut 2022 dhe përmbushnin kërkesat e përcaktuara në këtë paragraf, siç zbatoheshin në datën e emetimit të tyre, ose kur obligacionet përfshihen në përkufizimin e obligacioneve të mbuluara në nenin 3, pika 1, të Direktivës (BE) 2019/2162 të Parlamentit Evropian dhe të Këshillit (*).</w:t>
            </w:r>
          </w:p>
          <w:p w14:paraId="788CA6B7"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Direktiva (BE) 2019/2162 e Parlamentit Evropian dhe e Këshillit, e datës 27 nëntor 2019, mbi emetimin e obligacioneve të mbuluara dhe mbikëqyrjen publike të obligacioneve të mbuluara, si dhe për ndryshimin e Direktivave 2009/65/KE dhe 2014/59/BE (GZ L 328, 18.12.2019, f. 29).”;</w:t>
            </w:r>
          </w:p>
          <w:p w14:paraId="46E4ABD9"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(2) </w:t>
            </w:r>
            <w:proofErr w:type="spellStart"/>
            <w:r w:rsidRPr="00735452">
              <w:rPr>
                <w:rFonts w:ascii="Times New Roman" w:eastAsia="Times New Roman" w:hAnsi="Times New Roman" w:cs="Times New Roman"/>
                <w:sz w:val="20"/>
                <w:szCs w:val="20"/>
                <w:lang w:val="sq-AL"/>
              </w:rPr>
              <w:t>nënparagrafi</w:t>
            </w:r>
            <w:proofErr w:type="spellEnd"/>
            <w:r w:rsidRPr="00735452">
              <w:rPr>
                <w:rFonts w:ascii="Times New Roman" w:eastAsia="Times New Roman" w:hAnsi="Times New Roman" w:cs="Times New Roman"/>
                <w:sz w:val="20"/>
                <w:szCs w:val="20"/>
                <w:lang w:val="sq-AL"/>
              </w:rPr>
              <w:t xml:space="preserve"> i tretë shfuqizohet.</w:t>
            </w:r>
          </w:p>
        </w:tc>
        <w:tc>
          <w:tcPr>
            <w:tcW w:w="624" w:type="dxa"/>
            <w:tcBorders>
              <w:left w:val="single" w:sz="12" w:space="0" w:color="auto"/>
            </w:tcBorders>
          </w:tcPr>
          <w:p w14:paraId="4DA176ED" w14:textId="77777777" w:rsidR="0081618C" w:rsidRPr="00735452" w:rsidRDefault="0081618C" w:rsidP="0081618C">
            <w:pPr>
              <w:spacing w:after="0" w:line="240" w:lineRule="auto"/>
              <w:jc w:val="both"/>
              <w:rPr>
                <w:rFonts w:ascii="Times New Roman" w:hAnsi="Times New Roman" w:cs="Times New Roman"/>
                <w:sz w:val="20"/>
                <w:szCs w:val="20"/>
                <w:lang w:val="sq-AL"/>
              </w:rPr>
            </w:pPr>
          </w:p>
        </w:tc>
        <w:tc>
          <w:tcPr>
            <w:tcW w:w="906" w:type="dxa"/>
          </w:tcPr>
          <w:p w14:paraId="465C4CCC" w14:textId="44FDC2A0"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5DFAFAC2" w14:textId="2B62E801"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0072DDB7" w14:textId="2F089DAA"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767F3225" w14:textId="77777777" w:rsidR="00C439E1" w:rsidRPr="00735452" w:rsidRDefault="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51B064E9" w14:textId="18725DA5" w:rsidR="003E7E51" w:rsidRPr="00735452" w:rsidRDefault="00B82C36">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r w:rsidR="0081618C" w:rsidRPr="00735452" w14:paraId="44C22F7F" w14:textId="77777777" w:rsidTr="004D61BC">
        <w:trPr>
          <w:gridAfter w:val="1"/>
          <w:wAfter w:w="14" w:type="dxa"/>
        </w:trPr>
        <w:tc>
          <w:tcPr>
            <w:tcW w:w="800" w:type="dxa"/>
            <w:tcBorders>
              <w:left w:val="single" w:sz="12" w:space="0" w:color="auto"/>
            </w:tcBorders>
          </w:tcPr>
          <w:p w14:paraId="0BC48B9C"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29</w:t>
            </w:r>
          </w:p>
        </w:tc>
        <w:tc>
          <w:tcPr>
            <w:tcW w:w="5220" w:type="dxa"/>
            <w:tcBorders>
              <w:right w:val="single" w:sz="12" w:space="0" w:color="auto"/>
            </w:tcBorders>
          </w:tcPr>
          <w:p w14:paraId="0E2C91A7"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Ndryshimi i Direktivës 2014/59/BE</w:t>
            </w:r>
          </w:p>
          <w:p w14:paraId="5EDC6D10"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Në nenin 2, paragrafi 1, të Direktivës 2014/59/BE, pika 96 zëvendësohet me tekstin e mëposhtëm:</w:t>
            </w:r>
          </w:p>
          <w:p w14:paraId="4950DDE5"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“(96) ‘obligacion i mbuluar’ nënkupton një obligacion të mbuluar sipas përkufizimit në nenin 3, pika 1, të Direktivës (BE) 2019/2162 të Parlamentit Evropian dhe të Këshillit (*), ose, në lidhje me një instrument që është emetuar përpara 8 korrikut 2022, një obligacion siç përmendet në nenin 52, paragrafi 4, të Direktivës 2009/65/KE të Parlamentit Evropian dhe të Këshillit (), siç zbatohej në datën e emetimit të tij;</w:t>
            </w:r>
          </w:p>
          <w:p w14:paraId="3E5D874A"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___________</w:t>
            </w:r>
          </w:p>
          <w:p w14:paraId="251BE758"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Direktiva (BE) 2019/2162 e Parlamentit Evropian dhe e Këshillit, e datës 27 nëntor 2019, mbi emetimin e obligacioneve të mbuluara dhe mbikëqyrjen publike të obligacioneve të mbuluara, si dhe për ndryshimin e Direktivave 2009/65/KE dhe 2014/59/BE (GZ L 328, 18.12.2019, f. 29).</w:t>
            </w:r>
          </w:p>
          <w:p w14:paraId="3A86DD0E"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Direktiva 2009/65/KE e Parlamentit Evropian dhe e Këshillit, e datës 13 korrik 2009, mbi bashkërendimin e ligjeve, </w:t>
            </w:r>
            <w:r w:rsidRPr="00735452">
              <w:rPr>
                <w:rFonts w:ascii="Times New Roman" w:eastAsia="Times New Roman" w:hAnsi="Times New Roman" w:cs="Times New Roman"/>
                <w:sz w:val="20"/>
                <w:szCs w:val="20"/>
                <w:lang w:val="sq-AL"/>
              </w:rPr>
              <w:lastRenderedPageBreak/>
              <w:t xml:space="preserve">rregulloreve dhe dispozitave administrative në lidhje me ndërmarrjet për investim kolektiv në tituj të </w:t>
            </w:r>
            <w:proofErr w:type="spellStart"/>
            <w:r w:rsidRPr="00735452">
              <w:rPr>
                <w:rFonts w:ascii="Times New Roman" w:eastAsia="Times New Roman" w:hAnsi="Times New Roman" w:cs="Times New Roman"/>
                <w:sz w:val="20"/>
                <w:szCs w:val="20"/>
                <w:lang w:val="sq-AL"/>
              </w:rPr>
              <w:t>transferueshëm</w:t>
            </w:r>
            <w:proofErr w:type="spellEnd"/>
            <w:r w:rsidRPr="00735452">
              <w:rPr>
                <w:rFonts w:ascii="Times New Roman" w:eastAsia="Times New Roman" w:hAnsi="Times New Roman" w:cs="Times New Roman"/>
                <w:sz w:val="20"/>
                <w:szCs w:val="20"/>
                <w:lang w:val="sq-AL"/>
              </w:rPr>
              <w:t xml:space="preserve"> (UCITS) (GZ L 302, 17.11.2009, f. 32).”</w:t>
            </w:r>
          </w:p>
        </w:tc>
        <w:tc>
          <w:tcPr>
            <w:tcW w:w="624" w:type="dxa"/>
            <w:tcBorders>
              <w:left w:val="single" w:sz="12" w:space="0" w:color="auto"/>
            </w:tcBorders>
          </w:tcPr>
          <w:p w14:paraId="62DB43DE" w14:textId="77777777" w:rsidR="0081618C" w:rsidRPr="00735452" w:rsidRDefault="0081618C" w:rsidP="0081618C">
            <w:pPr>
              <w:spacing w:after="0" w:line="240" w:lineRule="auto"/>
              <w:jc w:val="both"/>
              <w:rPr>
                <w:rFonts w:ascii="Times New Roman" w:hAnsi="Times New Roman" w:cs="Times New Roman"/>
                <w:sz w:val="20"/>
                <w:szCs w:val="20"/>
                <w:lang w:val="sq-AL"/>
              </w:rPr>
            </w:pPr>
          </w:p>
        </w:tc>
        <w:tc>
          <w:tcPr>
            <w:tcW w:w="906" w:type="dxa"/>
          </w:tcPr>
          <w:p w14:paraId="10C77710" w14:textId="2739312E"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4F2F6B5E" w14:textId="7630B0B0"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6936C4B8" w14:textId="533D56DF"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1FA8546E"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7525C34C" w14:textId="17BBCB44"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r w:rsidR="0081618C" w:rsidRPr="00735452" w14:paraId="6A575A38" w14:textId="77777777" w:rsidTr="004D61BC">
        <w:trPr>
          <w:gridAfter w:val="1"/>
          <w:wAfter w:w="14" w:type="dxa"/>
        </w:trPr>
        <w:tc>
          <w:tcPr>
            <w:tcW w:w="800" w:type="dxa"/>
            <w:tcBorders>
              <w:left w:val="single" w:sz="12" w:space="0" w:color="auto"/>
            </w:tcBorders>
          </w:tcPr>
          <w:p w14:paraId="68A502C3"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30</w:t>
            </w:r>
          </w:p>
          <w:p w14:paraId="1D67D4B3"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3357930C"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obligacionet e mbuluara të emetuara përpara 8 korrikut 2022, që përmbushin kërkesat e përcaktuara në nenin 52, paragrafi 4, të Direktivës 2009/65/KE, siç zbatohej në datën e emetimit të tyre, të mos i nënshtrohen kërkesave të përcaktuara në nenet 5 deri në 12 dhe nenet 15, 16, 17 dhe 19 të kësaj Direktive, por të mund të vazhdojnë të referohen si obligacione të mbuluara në përputhje me këtë Direktivë deri në </w:t>
            </w:r>
            <w:proofErr w:type="spellStart"/>
            <w:r w:rsidRPr="00735452">
              <w:rPr>
                <w:rFonts w:ascii="Times New Roman" w:eastAsia="Times New Roman" w:hAnsi="Times New Roman" w:cs="Times New Roman"/>
                <w:sz w:val="20"/>
                <w:szCs w:val="20"/>
                <w:lang w:val="sq-AL"/>
              </w:rPr>
              <w:t>maturimin</w:t>
            </w:r>
            <w:proofErr w:type="spellEnd"/>
            <w:r w:rsidRPr="00735452">
              <w:rPr>
                <w:rFonts w:ascii="Times New Roman" w:eastAsia="Times New Roman" w:hAnsi="Times New Roman" w:cs="Times New Roman"/>
                <w:sz w:val="20"/>
                <w:szCs w:val="20"/>
                <w:lang w:val="sq-AL"/>
              </w:rPr>
              <w:t xml:space="preserve"> e tyre.</w:t>
            </w:r>
          </w:p>
          <w:p w14:paraId="41B0F9CB"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Shtetet anëtare sigurojnë që autoritetet kompetente të përcaktuara sipas nenit 18, paragrafi 2, të kësaj Direktive të monitorojnë pajtueshmërinë e obligacioneve të mbuluara të emetuara përpara 8 korrikut 2022 me kërkesat e përcaktuara në nenin 52, paragrafi 4, të Direktivës 2009/65/KE, siç zbatohej në datën e emetimit të tyre, si dhe me kërkesat e kësaj Direktive, për aq sa ato janë të zbatueshme në përputhje me </w:t>
            </w:r>
            <w:proofErr w:type="spellStart"/>
            <w:r w:rsidRPr="00735452">
              <w:rPr>
                <w:rFonts w:ascii="Times New Roman" w:eastAsia="Times New Roman" w:hAnsi="Times New Roman" w:cs="Times New Roman"/>
                <w:sz w:val="20"/>
                <w:szCs w:val="20"/>
                <w:lang w:val="sq-AL"/>
              </w:rPr>
              <w:t>nënparagrafin</w:t>
            </w:r>
            <w:proofErr w:type="spellEnd"/>
            <w:r w:rsidRPr="00735452">
              <w:rPr>
                <w:rFonts w:ascii="Times New Roman" w:eastAsia="Times New Roman" w:hAnsi="Times New Roman" w:cs="Times New Roman"/>
                <w:sz w:val="20"/>
                <w:szCs w:val="20"/>
                <w:lang w:val="sq-AL"/>
              </w:rPr>
              <w:t xml:space="preserve"> e parë të këtij paragrafi.</w:t>
            </w:r>
          </w:p>
        </w:tc>
        <w:tc>
          <w:tcPr>
            <w:tcW w:w="624" w:type="dxa"/>
            <w:tcBorders>
              <w:left w:val="single" w:sz="12" w:space="0" w:color="auto"/>
            </w:tcBorders>
          </w:tcPr>
          <w:p w14:paraId="3D6BB0B2" w14:textId="77777777" w:rsidR="0081618C" w:rsidRPr="00735452" w:rsidRDefault="0081618C" w:rsidP="0081618C">
            <w:pPr>
              <w:spacing w:after="0" w:line="240" w:lineRule="auto"/>
              <w:jc w:val="both"/>
              <w:rPr>
                <w:rFonts w:ascii="Times New Roman" w:hAnsi="Times New Roman" w:cs="Times New Roman"/>
                <w:sz w:val="20"/>
                <w:szCs w:val="20"/>
                <w:lang w:val="sq-AL"/>
              </w:rPr>
            </w:pPr>
          </w:p>
        </w:tc>
        <w:tc>
          <w:tcPr>
            <w:tcW w:w="906" w:type="dxa"/>
          </w:tcPr>
          <w:p w14:paraId="67666F3C" w14:textId="44F75130"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5FC63114" w14:textId="43EB90D2"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5155B5C4" w14:textId="7EAB0685"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3FBCB908"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602AF073" w14:textId="46134F75"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r w:rsidR="0081618C" w:rsidRPr="00735452" w14:paraId="3BB89AD8" w14:textId="77777777" w:rsidTr="004D61BC">
        <w:trPr>
          <w:gridAfter w:val="1"/>
          <w:wAfter w:w="14" w:type="dxa"/>
          <w:trHeight w:val="1610"/>
        </w:trPr>
        <w:tc>
          <w:tcPr>
            <w:tcW w:w="800" w:type="dxa"/>
            <w:tcBorders>
              <w:left w:val="single" w:sz="12" w:space="0" w:color="auto"/>
            </w:tcBorders>
          </w:tcPr>
          <w:p w14:paraId="342D0C82"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3F459BDC"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mund ta zbatojnë paragrafin 1 edhe për emetimet shtesë (</w:t>
            </w:r>
            <w:proofErr w:type="spellStart"/>
            <w:r w:rsidRPr="00735452">
              <w:rPr>
                <w:rFonts w:ascii="Times New Roman" w:eastAsia="Times New Roman" w:hAnsi="Times New Roman" w:cs="Times New Roman"/>
                <w:sz w:val="20"/>
                <w:szCs w:val="20"/>
                <w:lang w:val="sq-AL"/>
              </w:rPr>
              <w:t>tap</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issues</w:t>
            </w:r>
            <w:proofErr w:type="spellEnd"/>
            <w:r w:rsidRPr="00735452">
              <w:rPr>
                <w:rFonts w:ascii="Times New Roman" w:eastAsia="Times New Roman" w:hAnsi="Times New Roman" w:cs="Times New Roman"/>
                <w:sz w:val="20"/>
                <w:szCs w:val="20"/>
                <w:lang w:val="sq-AL"/>
              </w:rPr>
              <w:t>) të obligacioneve të mbuluara, për të cilat hapja e ISIN-it është përpara 8 korrikut 2022, për deri në 24 muaj pas asaj date, me kusht që këto emetime të përmbushin të gjitha kërkesat e mëposhtme:</w:t>
            </w:r>
          </w:p>
          <w:p w14:paraId="6C792F72"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(a) data e </w:t>
            </w:r>
            <w:proofErr w:type="spellStart"/>
            <w:r w:rsidRPr="00735452">
              <w:rPr>
                <w:rFonts w:ascii="Times New Roman" w:eastAsia="Times New Roman" w:hAnsi="Times New Roman" w:cs="Times New Roman"/>
                <w:sz w:val="20"/>
                <w:szCs w:val="20"/>
                <w:lang w:val="sq-AL"/>
              </w:rPr>
              <w:t>maturimit</w:t>
            </w:r>
            <w:proofErr w:type="spellEnd"/>
            <w:r w:rsidRPr="00735452">
              <w:rPr>
                <w:rFonts w:ascii="Times New Roman" w:eastAsia="Times New Roman" w:hAnsi="Times New Roman" w:cs="Times New Roman"/>
                <w:sz w:val="20"/>
                <w:szCs w:val="20"/>
                <w:lang w:val="sq-AL"/>
              </w:rPr>
              <w:t xml:space="preserve"> të obligacionit të mbuluar është përpara 8 korrikut 2027;</w:t>
            </w:r>
          </w:p>
          <w:p w14:paraId="001E112B"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(b) madhësia totale e emetimeve shtesë të kryera pas 8 korrikut 2022 nuk tejkalon dyfishin e madhësisë totale të obligacioneve të mbuluara në qarkullim në atë datë;</w:t>
            </w:r>
          </w:p>
          <w:p w14:paraId="1C854FB4"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madhësia totale e emetimit të obligacionit të mbuluar në </w:t>
            </w:r>
            <w:proofErr w:type="spellStart"/>
            <w:r w:rsidRPr="00735452">
              <w:rPr>
                <w:rFonts w:ascii="Times New Roman" w:eastAsia="Times New Roman" w:hAnsi="Times New Roman" w:cs="Times New Roman"/>
                <w:sz w:val="20"/>
                <w:szCs w:val="20"/>
                <w:lang w:val="sq-AL"/>
              </w:rPr>
              <w:t>maturim</w:t>
            </w:r>
            <w:proofErr w:type="spellEnd"/>
            <w:r w:rsidRPr="00735452">
              <w:rPr>
                <w:rFonts w:ascii="Times New Roman" w:eastAsia="Times New Roman" w:hAnsi="Times New Roman" w:cs="Times New Roman"/>
                <w:sz w:val="20"/>
                <w:szCs w:val="20"/>
                <w:lang w:val="sq-AL"/>
              </w:rPr>
              <w:t xml:space="preserve"> nuk tejkalon 6 000 000 000 euro ose shumën ekuivalente në monedhën vendase;</w:t>
            </w:r>
          </w:p>
          <w:p w14:paraId="414F5EE5" w14:textId="77777777" w:rsidR="0081618C" w:rsidRPr="00735452" w:rsidRDefault="0081618C" w:rsidP="0081618C">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aktivet </w:t>
            </w:r>
            <w:proofErr w:type="spellStart"/>
            <w:r w:rsidRPr="00735452">
              <w:rPr>
                <w:rFonts w:ascii="Times New Roman" w:eastAsia="Times New Roman" w:hAnsi="Times New Roman" w:cs="Times New Roman"/>
                <w:sz w:val="20"/>
                <w:szCs w:val="20"/>
                <w:lang w:val="sq-AL"/>
              </w:rPr>
              <w:t>kolaterali</w:t>
            </w:r>
            <w:proofErr w:type="spellEnd"/>
            <w:r w:rsidRPr="00735452">
              <w:rPr>
                <w:rFonts w:ascii="Times New Roman" w:eastAsia="Times New Roman" w:hAnsi="Times New Roman" w:cs="Times New Roman"/>
                <w:sz w:val="20"/>
                <w:szCs w:val="20"/>
                <w:lang w:val="sq-AL"/>
              </w:rPr>
              <w:t xml:space="preserve"> ndodhen në shtetin anëtar që zbaton paragrafin 1 për emetimet shtesë të obligacioneve të mbuluara.</w:t>
            </w:r>
          </w:p>
        </w:tc>
        <w:tc>
          <w:tcPr>
            <w:tcW w:w="624" w:type="dxa"/>
            <w:tcBorders>
              <w:left w:val="single" w:sz="12" w:space="0" w:color="auto"/>
            </w:tcBorders>
          </w:tcPr>
          <w:p w14:paraId="1CF84964" w14:textId="77777777" w:rsidR="0081618C" w:rsidRPr="00735452" w:rsidRDefault="0081618C" w:rsidP="0081618C">
            <w:pPr>
              <w:spacing w:after="0" w:line="240" w:lineRule="auto"/>
              <w:jc w:val="both"/>
              <w:rPr>
                <w:rFonts w:ascii="Times New Roman" w:hAnsi="Times New Roman" w:cs="Times New Roman"/>
                <w:sz w:val="20"/>
                <w:szCs w:val="20"/>
                <w:lang w:val="sq-AL"/>
              </w:rPr>
            </w:pPr>
          </w:p>
        </w:tc>
        <w:tc>
          <w:tcPr>
            <w:tcW w:w="906" w:type="dxa"/>
          </w:tcPr>
          <w:p w14:paraId="7C243EC4" w14:textId="3F1FAE7B" w:rsidR="003E7E51" w:rsidRPr="00735452" w:rsidRDefault="003E7E51" w:rsidP="00C439E1">
            <w:pPr>
              <w:spacing w:after="0" w:line="240" w:lineRule="auto"/>
              <w:rPr>
                <w:rFonts w:ascii="Times New Roman" w:hAnsi="Times New Roman" w:cs="Times New Roman"/>
                <w:sz w:val="20"/>
                <w:szCs w:val="20"/>
                <w:lang w:val="sq-AL"/>
              </w:rPr>
            </w:pPr>
          </w:p>
        </w:tc>
        <w:tc>
          <w:tcPr>
            <w:tcW w:w="5130" w:type="dxa"/>
          </w:tcPr>
          <w:p w14:paraId="1588E34F" w14:textId="439D0987"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N/A</w:t>
            </w:r>
          </w:p>
        </w:tc>
        <w:tc>
          <w:tcPr>
            <w:tcW w:w="1440" w:type="dxa"/>
          </w:tcPr>
          <w:p w14:paraId="3F851C26" w14:textId="7A834FFD"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1DA15FE7"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7095BE76" w14:textId="52E8F1FD"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r w:rsidR="003C3377" w:rsidRPr="00735452" w14:paraId="024E8768" w14:textId="77777777" w:rsidTr="004D61BC">
        <w:trPr>
          <w:gridAfter w:val="1"/>
          <w:wAfter w:w="14" w:type="dxa"/>
        </w:trPr>
        <w:tc>
          <w:tcPr>
            <w:tcW w:w="800" w:type="dxa"/>
            <w:tcBorders>
              <w:left w:val="single" w:sz="12" w:space="0" w:color="auto"/>
            </w:tcBorders>
          </w:tcPr>
          <w:p w14:paraId="3419328D"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31</w:t>
            </w:r>
          </w:p>
          <w:p w14:paraId="45B51C25"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500597E0"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Deri më 8 korrik 2024, Komisioni, në bashkëpunim të ngushtë me EBA-n, i paraqet Parlamentit Evropian dhe Këshillit një raport, së bashku me një propozim legjislativ, kur është e përshtatshme, nëse dhe, në rast afirmativ, si mund të vendoset një regjim ekuivalence për institucionet e kreditit të vendeve të treta që emetojnë obligacione të mbuluara dhe për investitorët </w:t>
            </w:r>
            <w:r w:rsidRPr="00735452">
              <w:rPr>
                <w:rFonts w:ascii="Times New Roman" w:eastAsia="Times New Roman" w:hAnsi="Times New Roman" w:cs="Times New Roman"/>
                <w:sz w:val="20"/>
                <w:szCs w:val="20"/>
                <w:lang w:val="sq-AL"/>
              </w:rPr>
              <w:lastRenderedPageBreak/>
              <w:t>në këto obligacione të mbuluara, duke marrë parasysh zhvillimet ndërkombëtare në fushën e obligacioneve të mbuluara, veçanërisht zhvillimin e kuadrove legjislative në vendet e treta.</w:t>
            </w:r>
          </w:p>
        </w:tc>
        <w:tc>
          <w:tcPr>
            <w:tcW w:w="624" w:type="dxa"/>
            <w:tcBorders>
              <w:left w:val="single" w:sz="12" w:space="0" w:color="auto"/>
            </w:tcBorders>
          </w:tcPr>
          <w:p w14:paraId="01A03D74"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7B622CC8" w14:textId="2C292A2D" w:rsidR="003E7E51" w:rsidRPr="00735452" w:rsidRDefault="003E7E51" w:rsidP="00C439E1">
            <w:pPr>
              <w:spacing w:after="0" w:line="240" w:lineRule="auto"/>
              <w:rPr>
                <w:rFonts w:ascii="Times New Roman" w:hAnsi="Times New Roman" w:cs="Times New Roman"/>
                <w:sz w:val="20"/>
                <w:szCs w:val="20"/>
                <w:lang w:val="sq-AL"/>
              </w:rPr>
            </w:pPr>
          </w:p>
        </w:tc>
        <w:tc>
          <w:tcPr>
            <w:tcW w:w="5130" w:type="dxa"/>
          </w:tcPr>
          <w:p w14:paraId="005CE3DB" w14:textId="3CE2BAB4"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069DF67E" w14:textId="2D95DCED"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37B5F21B"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75060083" w14:textId="5A15C874"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Dispozitë përfundimtare e Direktivës</w:t>
            </w:r>
          </w:p>
        </w:tc>
      </w:tr>
      <w:tr w:rsidR="003C3377" w:rsidRPr="00735452" w14:paraId="763870D9" w14:textId="77777777" w:rsidTr="004D61BC">
        <w:trPr>
          <w:gridAfter w:val="1"/>
          <w:wAfter w:w="14" w:type="dxa"/>
        </w:trPr>
        <w:tc>
          <w:tcPr>
            <w:tcW w:w="800" w:type="dxa"/>
            <w:tcBorders>
              <w:left w:val="single" w:sz="12" w:space="0" w:color="auto"/>
            </w:tcBorders>
          </w:tcPr>
          <w:p w14:paraId="19AD5E00"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2AFBE8D7"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 Deri më 8 korrik 2025, Komisioni, në bashkëpunim të ngushtë me EBA-n, i paraqet Parlamentit Evropian dhe Këshillit një raport mbi zbatimin e kësaj Direktive në lidhje me nivelin e mbrojtjes së investitorëve dhe mbi zhvillimet lidhur me emetimin e obligacioneve të mbuluara në Bashkim. Raporti përfshin çdo rekomandim për veprime të mëtejshme. Raporti përfshin informacion mbi:</w:t>
            </w:r>
          </w:p>
          <w:p w14:paraId="1D204B7C"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 zhvillimet në lidhje me numrin e lejeve për emetimin e obligacioneve të mbuluara;</w:t>
            </w:r>
          </w:p>
          <w:p w14:paraId="7AFCA38B"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(b) zhvillimet në lidhje me numrin e obligacioneve të mbuluara të emetuara në përputhje me dispozitat e ligjit kombëtar që </w:t>
            </w:r>
            <w:proofErr w:type="spellStart"/>
            <w:r w:rsidRPr="00735452">
              <w:rPr>
                <w:rFonts w:ascii="Times New Roman" w:eastAsia="Times New Roman" w:hAnsi="Times New Roman" w:cs="Times New Roman"/>
                <w:sz w:val="20"/>
                <w:szCs w:val="20"/>
                <w:lang w:val="sq-AL"/>
              </w:rPr>
              <w:t>transpozon</w:t>
            </w:r>
            <w:proofErr w:type="spellEnd"/>
            <w:r w:rsidRPr="00735452">
              <w:rPr>
                <w:rFonts w:ascii="Times New Roman" w:eastAsia="Times New Roman" w:hAnsi="Times New Roman" w:cs="Times New Roman"/>
                <w:sz w:val="20"/>
                <w:szCs w:val="20"/>
                <w:lang w:val="sq-AL"/>
              </w:rPr>
              <w:t xml:space="preserve"> këtë Direktivë dhe me nenin 129 të Rregullores (BE) nr. 575/2013;</w:t>
            </w:r>
          </w:p>
          <w:p w14:paraId="491B00FC"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(c) zhvillimet në lidhje me aktivet që garantojnë me </w:t>
            </w:r>
            <w:proofErr w:type="spellStart"/>
            <w:r w:rsidRPr="00735452">
              <w:rPr>
                <w:rFonts w:ascii="Times New Roman" w:eastAsia="Times New Roman" w:hAnsi="Times New Roman" w:cs="Times New Roman"/>
                <w:sz w:val="20"/>
                <w:szCs w:val="20"/>
                <w:lang w:val="sq-AL"/>
              </w:rPr>
              <w:t>kolateral</w:t>
            </w:r>
            <w:proofErr w:type="spellEnd"/>
            <w:r w:rsidRPr="00735452">
              <w:rPr>
                <w:rFonts w:ascii="Times New Roman" w:eastAsia="Times New Roman" w:hAnsi="Times New Roman" w:cs="Times New Roman"/>
                <w:sz w:val="20"/>
                <w:szCs w:val="20"/>
                <w:lang w:val="sq-AL"/>
              </w:rPr>
              <w:t xml:space="preserve"> emetimin e obligacioneve të mbuluara;</w:t>
            </w:r>
          </w:p>
          <w:p w14:paraId="2C019632"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 zhvillimet në lidhje me nivelin e </w:t>
            </w:r>
            <w:proofErr w:type="spellStart"/>
            <w:r w:rsidRPr="00735452">
              <w:rPr>
                <w:rFonts w:ascii="Times New Roman" w:eastAsia="Times New Roman" w:hAnsi="Times New Roman" w:cs="Times New Roman"/>
                <w:sz w:val="20"/>
                <w:szCs w:val="20"/>
                <w:lang w:val="sq-AL"/>
              </w:rPr>
              <w:t>mbikolateralizimit</w:t>
            </w:r>
            <w:proofErr w:type="spellEnd"/>
            <w:r w:rsidRPr="00735452">
              <w:rPr>
                <w:rFonts w:ascii="Times New Roman" w:eastAsia="Times New Roman" w:hAnsi="Times New Roman" w:cs="Times New Roman"/>
                <w:sz w:val="20"/>
                <w:szCs w:val="20"/>
                <w:lang w:val="sq-AL"/>
              </w:rPr>
              <w:t>;</w:t>
            </w:r>
          </w:p>
          <w:p w14:paraId="53EBBD0D"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(e) investimet ndërkufitare në obligacione të mbuluara, përfshirë investimet hyrëse nga dhe investimet dalëse drejt vendeve të treta;</w:t>
            </w:r>
          </w:p>
          <w:p w14:paraId="15C0811B"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(f) zhvillimet në lidhje me emetimin e obligacioneve të mbuluara me struktura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w:t>
            </w:r>
          </w:p>
          <w:p w14:paraId="15259312"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(g) zhvillimet në lidhje me rreziqet dhe përfitimet nga përdorimi i ekspozimeve të përmendura në nenin 129, paragrafi 1, të Rregullores (BE) nr. 575/2013;</w:t>
            </w:r>
          </w:p>
          <w:p w14:paraId="5D87DE19"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(h) funksionimin e tregjeve të obligacioneve të mbuluara.</w:t>
            </w:r>
          </w:p>
        </w:tc>
        <w:tc>
          <w:tcPr>
            <w:tcW w:w="624" w:type="dxa"/>
            <w:tcBorders>
              <w:left w:val="single" w:sz="12" w:space="0" w:color="auto"/>
            </w:tcBorders>
          </w:tcPr>
          <w:p w14:paraId="406046A4"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4882C816" w14:textId="10AC2938"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5C42CAE8" w14:textId="4B5B6AFB"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096F1B19" w14:textId="3A89BAAA"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1745F9FA"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066F4861" w14:textId="7293A07E"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r w:rsidR="003C3377" w:rsidRPr="00735452" w14:paraId="3C4B31AB" w14:textId="77777777" w:rsidTr="004D61BC">
        <w:trPr>
          <w:gridAfter w:val="1"/>
          <w:wAfter w:w="14" w:type="dxa"/>
        </w:trPr>
        <w:tc>
          <w:tcPr>
            <w:tcW w:w="800" w:type="dxa"/>
            <w:tcBorders>
              <w:left w:val="single" w:sz="12" w:space="0" w:color="auto"/>
            </w:tcBorders>
          </w:tcPr>
          <w:p w14:paraId="6E4E3D33"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3</w:t>
            </w:r>
          </w:p>
        </w:tc>
        <w:tc>
          <w:tcPr>
            <w:tcW w:w="5220" w:type="dxa"/>
            <w:tcBorders>
              <w:right w:val="single" w:sz="12" w:space="0" w:color="auto"/>
            </w:tcBorders>
          </w:tcPr>
          <w:p w14:paraId="4A8EBDD8"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Deri më 8 korrik 2024, shtetet anëtare i transmetojnë Komisionit informacionin mbi çështjet e renditura në paragrafin 2.</w:t>
            </w:r>
          </w:p>
        </w:tc>
        <w:tc>
          <w:tcPr>
            <w:tcW w:w="624" w:type="dxa"/>
            <w:tcBorders>
              <w:left w:val="single" w:sz="12" w:space="0" w:color="auto"/>
            </w:tcBorders>
          </w:tcPr>
          <w:p w14:paraId="6115EC19"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210F52C0" w14:textId="5C265B51"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63E65728" w14:textId="402CE978"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16AA7758" w14:textId="36745F9B"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4D44167E" w14:textId="77777777" w:rsidR="00C439E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 xml:space="preserve">Nuk kërkon </w:t>
            </w:r>
            <w:proofErr w:type="spellStart"/>
            <w:r w:rsidRPr="00735452">
              <w:rPr>
                <w:rFonts w:ascii="Times New Roman" w:hAnsi="Times New Roman" w:cs="Times New Roman"/>
                <w:sz w:val="20"/>
                <w:szCs w:val="20"/>
                <w:lang w:val="sq-AL"/>
              </w:rPr>
              <w:t>transpozim</w:t>
            </w:r>
            <w:proofErr w:type="spellEnd"/>
            <w:r w:rsidRPr="00735452">
              <w:rPr>
                <w:rFonts w:ascii="Times New Roman" w:hAnsi="Times New Roman" w:cs="Times New Roman"/>
                <w:sz w:val="20"/>
                <w:szCs w:val="20"/>
                <w:lang w:val="sq-AL"/>
              </w:rPr>
              <w:t xml:space="preserve"> në legjislacionin kombëtar.</w:t>
            </w:r>
          </w:p>
          <w:p w14:paraId="24B12E55" w14:textId="481FD064"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Dispozitë përfundimtare e Direktivës</w:t>
            </w:r>
          </w:p>
        </w:tc>
      </w:tr>
      <w:tr w:rsidR="003C3377" w:rsidRPr="00735452" w14:paraId="695FA104" w14:textId="77777777" w:rsidTr="004D61BC">
        <w:trPr>
          <w:gridAfter w:val="1"/>
          <w:wAfter w:w="14" w:type="dxa"/>
        </w:trPr>
        <w:tc>
          <w:tcPr>
            <w:tcW w:w="800" w:type="dxa"/>
            <w:tcBorders>
              <w:left w:val="single" w:sz="12" w:space="0" w:color="auto"/>
            </w:tcBorders>
          </w:tcPr>
          <w:p w14:paraId="2BBD4F34"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4</w:t>
            </w:r>
          </w:p>
        </w:tc>
        <w:tc>
          <w:tcPr>
            <w:tcW w:w="5220" w:type="dxa"/>
            <w:tcBorders>
              <w:right w:val="single" w:sz="12" w:space="0" w:color="auto"/>
            </w:tcBorders>
          </w:tcPr>
          <w:p w14:paraId="18944ED1"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Deri më 8 korrik 2024, pasi të ketë porositur dhe marrë një studim që vlerëson rreziqet dhe përfitimet që rrjedhin nga obligacionet e mbuluara me struktura me maturitet të </w:t>
            </w:r>
            <w:proofErr w:type="spellStart"/>
            <w:r w:rsidRPr="00735452">
              <w:rPr>
                <w:rFonts w:ascii="Times New Roman" w:eastAsia="Times New Roman" w:hAnsi="Times New Roman" w:cs="Times New Roman"/>
                <w:sz w:val="20"/>
                <w:szCs w:val="20"/>
                <w:lang w:val="sq-AL"/>
              </w:rPr>
              <w:t>zgjatshëm</w:t>
            </w:r>
            <w:proofErr w:type="spellEnd"/>
            <w:r w:rsidRPr="00735452">
              <w:rPr>
                <w:rFonts w:ascii="Times New Roman" w:eastAsia="Times New Roman" w:hAnsi="Times New Roman" w:cs="Times New Roman"/>
                <w:sz w:val="20"/>
                <w:szCs w:val="20"/>
                <w:lang w:val="sq-AL"/>
              </w:rPr>
              <w:t xml:space="preserve"> dhe pas konsultimit me EBA-n, Komisioni miraton </w:t>
            </w:r>
            <w:r w:rsidRPr="00735452">
              <w:rPr>
                <w:rFonts w:ascii="Times New Roman" w:eastAsia="Times New Roman" w:hAnsi="Times New Roman" w:cs="Times New Roman"/>
                <w:sz w:val="20"/>
                <w:szCs w:val="20"/>
                <w:lang w:val="sq-AL"/>
              </w:rPr>
              <w:lastRenderedPageBreak/>
              <w:t>një raport dhe ia paraqet atë studim dhe atë raport Parlamentit Evropian dhe Këshillit, së bashku me një propozim legjislativ, kur është e përshtatshme.</w:t>
            </w:r>
          </w:p>
        </w:tc>
        <w:tc>
          <w:tcPr>
            <w:tcW w:w="624" w:type="dxa"/>
            <w:tcBorders>
              <w:left w:val="single" w:sz="12" w:space="0" w:color="auto"/>
            </w:tcBorders>
          </w:tcPr>
          <w:p w14:paraId="0CA06200"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7FDC44B5" w14:textId="7CDB830B"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4044C220" w14:textId="7F6070A9"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28D80E88" w14:textId="38B20220"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4FF5840A" w14:textId="77777777" w:rsidR="00C439E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 xml:space="preserve">Nuk kërkon </w:t>
            </w:r>
            <w:proofErr w:type="spellStart"/>
            <w:r w:rsidRPr="00735452">
              <w:rPr>
                <w:rFonts w:ascii="Times New Roman" w:hAnsi="Times New Roman" w:cs="Times New Roman"/>
                <w:sz w:val="20"/>
                <w:szCs w:val="20"/>
                <w:lang w:val="sq-AL"/>
              </w:rPr>
              <w:t>transpozim</w:t>
            </w:r>
            <w:proofErr w:type="spellEnd"/>
            <w:r w:rsidRPr="00735452">
              <w:rPr>
                <w:rFonts w:ascii="Times New Roman" w:hAnsi="Times New Roman" w:cs="Times New Roman"/>
                <w:sz w:val="20"/>
                <w:szCs w:val="20"/>
                <w:lang w:val="sq-AL"/>
              </w:rPr>
              <w:t xml:space="preserve"> në legjislacionin kombëtar.</w:t>
            </w:r>
          </w:p>
          <w:p w14:paraId="03B24722" w14:textId="18D75F4F"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lastRenderedPageBreak/>
              <w:t>Dispozitë përfundimtare e Direktivës</w:t>
            </w:r>
          </w:p>
        </w:tc>
      </w:tr>
      <w:tr w:rsidR="003C3377" w:rsidRPr="00735452" w14:paraId="677C7420" w14:textId="77777777" w:rsidTr="004D61BC">
        <w:trPr>
          <w:gridAfter w:val="1"/>
          <w:wAfter w:w="14" w:type="dxa"/>
        </w:trPr>
        <w:tc>
          <w:tcPr>
            <w:tcW w:w="800" w:type="dxa"/>
            <w:tcBorders>
              <w:left w:val="single" w:sz="12" w:space="0" w:color="auto"/>
            </w:tcBorders>
          </w:tcPr>
          <w:p w14:paraId="14B1031A"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lastRenderedPageBreak/>
              <w:t>Pika 5</w:t>
            </w:r>
          </w:p>
        </w:tc>
        <w:tc>
          <w:tcPr>
            <w:tcW w:w="5220" w:type="dxa"/>
            <w:tcBorders>
              <w:right w:val="single" w:sz="12" w:space="0" w:color="auto"/>
            </w:tcBorders>
          </w:tcPr>
          <w:p w14:paraId="65D0BE75"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Deri më 8 korrik 2024, Komisioni miraton një raport mbi mundësinë e krijimit të një instrumenti me regres të dyfishtë të quajtur </w:t>
            </w:r>
            <w:proofErr w:type="spellStart"/>
            <w:r w:rsidRPr="00735452">
              <w:rPr>
                <w:rFonts w:ascii="Times New Roman" w:eastAsia="Times New Roman" w:hAnsi="Times New Roman" w:cs="Times New Roman"/>
                <w:sz w:val="20"/>
                <w:szCs w:val="20"/>
                <w:lang w:val="sq-AL"/>
              </w:rPr>
              <w:t>European</w:t>
            </w:r>
            <w:proofErr w:type="spellEnd"/>
            <w:r w:rsidRPr="00735452">
              <w:rPr>
                <w:rFonts w:ascii="Times New Roman" w:eastAsia="Times New Roman" w:hAnsi="Times New Roman" w:cs="Times New Roman"/>
                <w:sz w:val="20"/>
                <w:szCs w:val="20"/>
                <w:lang w:val="sq-AL"/>
              </w:rPr>
              <w:t xml:space="preserve"> </w:t>
            </w:r>
            <w:proofErr w:type="spellStart"/>
            <w:r w:rsidRPr="00735452">
              <w:rPr>
                <w:rFonts w:ascii="Times New Roman" w:eastAsia="Times New Roman" w:hAnsi="Times New Roman" w:cs="Times New Roman"/>
                <w:sz w:val="20"/>
                <w:szCs w:val="20"/>
                <w:lang w:val="sq-AL"/>
              </w:rPr>
              <w:t>Secured</w:t>
            </w:r>
            <w:proofErr w:type="spellEnd"/>
            <w:r w:rsidRPr="00735452">
              <w:rPr>
                <w:rFonts w:ascii="Times New Roman" w:eastAsia="Times New Roman" w:hAnsi="Times New Roman" w:cs="Times New Roman"/>
                <w:sz w:val="20"/>
                <w:szCs w:val="20"/>
                <w:lang w:val="sq-AL"/>
              </w:rPr>
              <w:t xml:space="preserve"> Notes. Komisioni ia paraqet atë raport Parlamentit Evropian dhe Këshillit, së bashku me një propozim legjislativ, kur është e përshtatshme.</w:t>
            </w:r>
          </w:p>
        </w:tc>
        <w:tc>
          <w:tcPr>
            <w:tcW w:w="624" w:type="dxa"/>
            <w:tcBorders>
              <w:left w:val="single" w:sz="12" w:space="0" w:color="auto"/>
            </w:tcBorders>
          </w:tcPr>
          <w:p w14:paraId="14276952"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470027F6" w14:textId="1ED26826"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6C09D28B" w14:textId="702EBAE4"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4FDF17F4" w14:textId="72CDABD1"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34364377" w14:textId="77777777" w:rsidR="00C439E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 xml:space="preserve">Nuk kërkon </w:t>
            </w:r>
            <w:proofErr w:type="spellStart"/>
            <w:r w:rsidRPr="00735452">
              <w:rPr>
                <w:rFonts w:ascii="Times New Roman" w:hAnsi="Times New Roman" w:cs="Times New Roman"/>
                <w:sz w:val="20"/>
                <w:szCs w:val="20"/>
                <w:lang w:val="sq-AL"/>
              </w:rPr>
              <w:t>transpozim</w:t>
            </w:r>
            <w:proofErr w:type="spellEnd"/>
            <w:r w:rsidRPr="00735452">
              <w:rPr>
                <w:rFonts w:ascii="Times New Roman" w:hAnsi="Times New Roman" w:cs="Times New Roman"/>
                <w:sz w:val="20"/>
                <w:szCs w:val="20"/>
                <w:lang w:val="sq-AL"/>
              </w:rPr>
              <w:t xml:space="preserve"> në legjislacionin kombëtar.</w:t>
            </w:r>
          </w:p>
          <w:p w14:paraId="3CA6D66A" w14:textId="20C6EFBE"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Dispozitë përfundimtare e Direktivës</w:t>
            </w:r>
          </w:p>
        </w:tc>
      </w:tr>
      <w:tr w:rsidR="003C3377" w:rsidRPr="00735452" w14:paraId="593FC015" w14:textId="77777777" w:rsidTr="004D61BC">
        <w:trPr>
          <w:gridAfter w:val="1"/>
          <w:wAfter w:w="14" w:type="dxa"/>
        </w:trPr>
        <w:tc>
          <w:tcPr>
            <w:tcW w:w="800" w:type="dxa"/>
            <w:tcBorders>
              <w:left w:val="single" w:sz="12" w:space="0" w:color="auto"/>
            </w:tcBorders>
          </w:tcPr>
          <w:p w14:paraId="2C7FE4BD"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32</w:t>
            </w:r>
          </w:p>
          <w:p w14:paraId="4176FCD4"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1</w:t>
            </w:r>
          </w:p>
        </w:tc>
        <w:tc>
          <w:tcPr>
            <w:tcW w:w="5220" w:type="dxa"/>
            <w:tcBorders>
              <w:right w:val="single" w:sz="12" w:space="0" w:color="auto"/>
            </w:tcBorders>
          </w:tcPr>
          <w:p w14:paraId="0CCE2683"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miratojnë dhe publikojnë, deri më 8 korrik 2021, ligjet, rregulloret dhe dispozitat administrative të nevojshme për t’u pajtuar me këtë Direktivë. Ato njoftojnë menjëherë Komisionin për këtë.</w:t>
            </w:r>
          </w:p>
          <w:p w14:paraId="5BA82CBB"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Ato i zbatojnë këto masa, më së voni, nga 8 korriku 2022.</w:t>
            </w:r>
          </w:p>
          <w:p w14:paraId="5DC8E42A"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Kur shtetet anëtare miratojnë këto masa, ato përmbajnë një referencë ndaj kësaj Direktive ose shoqërohen me një referencë të tillë në rastin e publikimit të tyre zyrtar. Mënyrat e bërjes së një reference të tillë përcaktohen nga shtetet anëtare.</w:t>
            </w:r>
          </w:p>
        </w:tc>
        <w:tc>
          <w:tcPr>
            <w:tcW w:w="624" w:type="dxa"/>
            <w:tcBorders>
              <w:left w:val="single" w:sz="12" w:space="0" w:color="auto"/>
            </w:tcBorders>
          </w:tcPr>
          <w:p w14:paraId="7EE5FE1D"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58529D16" w14:textId="6D2D1E06"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74614D40" w14:textId="34264EFC"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53DD7E8B" w14:textId="4EA30A9C"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517836D1" w14:textId="77777777" w:rsidR="00C439E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 xml:space="preserve">Nuk kërkon </w:t>
            </w:r>
            <w:proofErr w:type="spellStart"/>
            <w:r w:rsidRPr="00735452">
              <w:rPr>
                <w:rFonts w:ascii="Times New Roman" w:hAnsi="Times New Roman" w:cs="Times New Roman"/>
                <w:sz w:val="20"/>
                <w:szCs w:val="20"/>
                <w:lang w:val="sq-AL"/>
              </w:rPr>
              <w:t>transpozim</w:t>
            </w:r>
            <w:proofErr w:type="spellEnd"/>
            <w:r w:rsidRPr="00735452">
              <w:rPr>
                <w:rFonts w:ascii="Times New Roman" w:hAnsi="Times New Roman" w:cs="Times New Roman"/>
                <w:sz w:val="20"/>
                <w:szCs w:val="20"/>
                <w:lang w:val="sq-AL"/>
              </w:rPr>
              <w:t xml:space="preserve"> në legjislacionin kombëtar.</w:t>
            </w:r>
          </w:p>
          <w:p w14:paraId="734C82B8" w14:textId="0BDBCC9E"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Dispozitë përfundimtare e Direktivës</w:t>
            </w:r>
          </w:p>
        </w:tc>
      </w:tr>
      <w:tr w:rsidR="003C3377" w:rsidRPr="00735452" w14:paraId="572F0165" w14:textId="77777777" w:rsidTr="004D61BC">
        <w:trPr>
          <w:gridAfter w:val="1"/>
          <w:wAfter w:w="14" w:type="dxa"/>
        </w:trPr>
        <w:tc>
          <w:tcPr>
            <w:tcW w:w="800" w:type="dxa"/>
            <w:tcBorders>
              <w:left w:val="single" w:sz="12" w:space="0" w:color="auto"/>
            </w:tcBorders>
          </w:tcPr>
          <w:p w14:paraId="7DB8CD8D"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Pika 2</w:t>
            </w:r>
          </w:p>
        </w:tc>
        <w:tc>
          <w:tcPr>
            <w:tcW w:w="5220" w:type="dxa"/>
            <w:tcBorders>
              <w:right w:val="single" w:sz="12" w:space="0" w:color="auto"/>
            </w:tcBorders>
          </w:tcPr>
          <w:p w14:paraId="35B297F4"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Shtetet anëtare i komunikojnë Komisionit tekstin e masave kryesore të së drejtës kombëtare që ato miratojnë në fushën e mbuluar nga kjo Direktivë.</w:t>
            </w:r>
          </w:p>
          <w:p w14:paraId="1F7C3DB0"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7C575ECD"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3EDCE4D2" w14:textId="042D2CE5"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3B4319FE" w14:textId="3862EFEE"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1848E69D" w14:textId="654F666B"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2122D75F" w14:textId="77777777" w:rsidR="00C439E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 xml:space="preserve">Nuk kërkon </w:t>
            </w:r>
            <w:proofErr w:type="spellStart"/>
            <w:r w:rsidRPr="00735452">
              <w:rPr>
                <w:rFonts w:ascii="Times New Roman" w:hAnsi="Times New Roman" w:cs="Times New Roman"/>
                <w:sz w:val="20"/>
                <w:szCs w:val="20"/>
                <w:lang w:val="sq-AL"/>
              </w:rPr>
              <w:t>transpozim</w:t>
            </w:r>
            <w:proofErr w:type="spellEnd"/>
            <w:r w:rsidRPr="00735452">
              <w:rPr>
                <w:rFonts w:ascii="Times New Roman" w:hAnsi="Times New Roman" w:cs="Times New Roman"/>
                <w:sz w:val="20"/>
                <w:szCs w:val="20"/>
                <w:lang w:val="sq-AL"/>
              </w:rPr>
              <w:t xml:space="preserve"> në legjislacionin kombëtar.</w:t>
            </w:r>
          </w:p>
          <w:p w14:paraId="3FC3D77F" w14:textId="50AD1F11"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Dispozitë përfundimtare e Direktivës</w:t>
            </w:r>
          </w:p>
        </w:tc>
      </w:tr>
      <w:tr w:rsidR="003C3377" w:rsidRPr="00735452" w14:paraId="2E2A6ACC" w14:textId="77777777" w:rsidTr="004D61BC">
        <w:trPr>
          <w:gridAfter w:val="1"/>
          <w:wAfter w:w="14" w:type="dxa"/>
        </w:trPr>
        <w:tc>
          <w:tcPr>
            <w:tcW w:w="800" w:type="dxa"/>
            <w:tcBorders>
              <w:left w:val="single" w:sz="12" w:space="0" w:color="auto"/>
            </w:tcBorders>
          </w:tcPr>
          <w:p w14:paraId="41556CDD"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33</w:t>
            </w:r>
          </w:p>
        </w:tc>
        <w:tc>
          <w:tcPr>
            <w:tcW w:w="5220" w:type="dxa"/>
            <w:tcBorders>
              <w:right w:val="single" w:sz="12" w:space="0" w:color="auto"/>
            </w:tcBorders>
          </w:tcPr>
          <w:p w14:paraId="053E26B7"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Kjo Direktivë hyn në fuqi në ditën e njëzetë pas publikimit të saj në Fletoren Zyrtare të Bashkimit Evropian.</w:t>
            </w:r>
          </w:p>
          <w:p w14:paraId="3C5FF872"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624" w:type="dxa"/>
            <w:tcBorders>
              <w:left w:val="single" w:sz="12" w:space="0" w:color="auto"/>
            </w:tcBorders>
          </w:tcPr>
          <w:p w14:paraId="48CB0F92"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Pr>
          <w:p w14:paraId="31212BEE" w14:textId="3402D20A"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Pr>
          <w:p w14:paraId="609F25C5" w14:textId="2DE9F6C0"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Pr>
          <w:p w14:paraId="5478EE60" w14:textId="68BB4954"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right w:val="single" w:sz="12" w:space="0" w:color="auto"/>
            </w:tcBorders>
          </w:tcPr>
          <w:p w14:paraId="788F10E1"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3E5DC3B9" w14:textId="23878924" w:rsidR="003E7E51" w:rsidRPr="00735452"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r w:rsidR="003C3377" w:rsidRPr="00DF12A5" w14:paraId="188610A9" w14:textId="77777777" w:rsidTr="004D61BC">
        <w:trPr>
          <w:gridAfter w:val="1"/>
          <w:wAfter w:w="14" w:type="dxa"/>
        </w:trPr>
        <w:tc>
          <w:tcPr>
            <w:tcW w:w="800" w:type="dxa"/>
            <w:tcBorders>
              <w:left w:val="single" w:sz="12" w:space="0" w:color="auto"/>
              <w:bottom w:val="single" w:sz="12" w:space="0" w:color="auto"/>
            </w:tcBorders>
          </w:tcPr>
          <w:p w14:paraId="2C4FDEBD"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Neni 34</w:t>
            </w:r>
          </w:p>
        </w:tc>
        <w:tc>
          <w:tcPr>
            <w:tcW w:w="5220" w:type="dxa"/>
            <w:tcBorders>
              <w:bottom w:val="single" w:sz="12" w:space="0" w:color="auto"/>
              <w:right w:val="single" w:sz="12" w:space="0" w:color="auto"/>
            </w:tcBorders>
          </w:tcPr>
          <w:p w14:paraId="0F20CF35" w14:textId="77777777" w:rsidR="003C3377" w:rsidRPr="00735452" w:rsidRDefault="003C3377" w:rsidP="003C3377">
            <w:pPr>
              <w:spacing w:after="0" w:line="240" w:lineRule="auto"/>
              <w:jc w:val="both"/>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Kjo Direktivë u drejtohet shteteve anëtare.</w:t>
            </w:r>
          </w:p>
          <w:p w14:paraId="78B9CFDC"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624" w:type="dxa"/>
            <w:tcBorders>
              <w:left w:val="single" w:sz="12" w:space="0" w:color="auto"/>
              <w:bottom w:val="single" w:sz="12" w:space="0" w:color="auto"/>
            </w:tcBorders>
          </w:tcPr>
          <w:p w14:paraId="0B682030" w14:textId="77777777" w:rsidR="003C3377" w:rsidRPr="00735452" w:rsidRDefault="003C3377" w:rsidP="003C3377">
            <w:pPr>
              <w:spacing w:after="0" w:line="240" w:lineRule="auto"/>
              <w:jc w:val="both"/>
              <w:rPr>
                <w:rFonts w:ascii="Times New Roman" w:hAnsi="Times New Roman" w:cs="Times New Roman"/>
                <w:sz w:val="20"/>
                <w:szCs w:val="20"/>
                <w:lang w:val="sq-AL"/>
              </w:rPr>
            </w:pPr>
          </w:p>
        </w:tc>
        <w:tc>
          <w:tcPr>
            <w:tcW w:w="906" w:type="dxa"/>
            <w:tcBorders>
              <w:bottom w:val="single" w:sz="12" w:space="0" w:color="auto"/>
            </w:tcBorders>
          </w:tcPr>
          <w:p w14:paraId="34A78F41" w14:textId="02BE7094" w:rsidR="003E7E51" w:rsidRPr="00735452" w:rsidRDefault="003E7E51">
            <w:pPr>
              <w:spacing w:after="0" w:line="240" w:lineRule="auto"/>
              <w:jc w:val="center"/>
              <w:rPr>
                <w:rFonts w:ascii="Times New Roman" w:hAnsi="Times New Roman" w:cs="Times New Roman"/>
                <w:sz w:val="20"/>
                <w:szCs w:val="20"/>
                <w:lang w:val="sq-AL"/>
              </w:rPr>
            </w:pPr>
          </w:p>
        </w:tc>
        <w:tc>
          <w:tcPr>
            <w:tcW w:w="5130" w:type="dxa"/>
            <w:tcBorders>
              <w:bottom w:val="single" w:sz="12" w:space="0" w:color="auto"/>
            </w:tcBorders>
          </w:tcPr>
          <w:p w14:paraId="1B2F84D6" w14:textId="76AAFE88" w:rsidR="003E7E51" w:rsidRPr="00735452" w:rsidRDefault="00C439E1">
            <w:pPr>
              <w:spacing w:after="0" w:line="240" w:lineRule="auto"/>
              <w:rPr>
                <w:rFonts w:ascii="Times New Roman" w:hAnsi="Times New Roman" w:cs="Times New Roman"/>
                <w:sz w:val="20"/>
                <w:szCs w:val="20"/>
                <w:lang w:val="sq-AL"/>
              </w:rPr>
            </w:pPr>
            <w:r w:rsidRPr="00735452">
              <w:rPr>
                <w:rFonts w:ascii="Times New Roman" w:hAnsi="Times New Roman" w:cs="Times New Roman"/>
                <w:sz w:val="20"/>
                <w:szCs w:val="20"/>
                <w:lang w:val="sq-AL"/>
              </w:rPr>
              <w:t>N/A</w:t>
            </w:r>
          </w:p>
        </w:tc>
        <w:tc>
          <w:tcPr>
            <w:tcW w:w="1440" w:type="dxa"/>
            <w:tcBorders>
              <w:bottom w:val="single" w:sz="12" w:space="0" w:color="auto"/>
            </w:tcBorders>
          </w:tcPr>
          <w:p w14:paraId="0907BF84" w14:textId="26065616" w:rsidR="003E7E51" w:rsidRPr="00735452" w:rsidRDefault="003E7E51">
            <w:pPr>
              <w:spacing w:after="0" w:line="240" w:lineRule="auto"/>
              <w:jc w:val="center"/>
              <w:rPr>
                <w:rFonts w:ascii="Times New Roman" w:hAnsi="Times New Roman" w:cs="Times New Roman"/>
                <w:sz w:val="20"/>
                <w:szCs w:val="20"/>
                <w:lang w:val="sq-AL"/>
              </w:rPr>
            </w:pPr>
          </w:p>
        </w:tc>
        <w:tc>
          <w:tcPr>
            <w:tcW w:w="1437" w:type="dxa"/>
            <w:tcBorders>
              <w:bottom w:val="single" w:sz="12" w:space="0" w:color="auto"/>
              <w:right w:val="single" w:sz="12" w:space="0" w:color="auto"/>
            </w:tcBorders>
          </w:tcPr>
          <w:p w14:paraId="11D180CB" w14:textId="77777777" w:rsidR="00C439E1" w:rsidRPr="00735452" w:rsidRDefault="00C439E1" w:rsidP="00C439E1">
            <w:pPr>
              <w:spacing w:after="0" w:line="240" w:lineRule="auto"/>
              <w:rPr>
                <w:rFonts w:ascii="Times New Roman" w:eastAsia="Times New Roman" w:hAnsi="Times New Roman" w:cs="Times New Roman"/>
                <w:sz w:val="20"/>
                <w:szCs w:val="20"/>
                <w:lang w:val="sq-AL"/>
              </w:rPr>
            </w:pPr>
            <w:r w:rsidRPr="00735452">
              <w:rPr>
                <w:rFonts w:ascii="Times New Roman" w:eastAsia="Times New Roman" w:hAnsi="Times New Roman" w:cs="Times New Roman"/>
                <w:sz w:val="20"/>
                <w:szCs w:val="20"/>
                <w:lang w:val="sq-AL"/>
              </w:rPr>
              <w:t xml:space="preserve">Nuk kërkon </w:t>
            </w:r>
            <w:proofErr w:type="spellStart"/>
            <w:r w:rsidRPr="00735452">
              <w:rPr>
                <w:rFonts w:ascii="Times New Roman" w:eastAsia="Times New Roman" w:hAnsi="Times New Roman" w:cs="Times New Roman"/>
                <w:sz w:val="20"/>
                <w:szCs w:val="20"/>
                <w:lang w:val="sq-AL"/>
              </w:rPr>
              <w:t>transpozim</w:t>
            </w:r>
            <w:proofErr w:type="spellEnd"/>
            <w:r w:rsidRPr="00735452">
              <w:rPr>
                <w:rFonts w:ascii="Times New Roman" w:eastAsia="Times New Roman" w:hAnsi="Times New Roman" w:cs="Times New Roman"/>
                <w:sz w:val="20"/>
                <w:szCs w:val="20"/>
                <w:lang w:val="sq-AL"/>
              </w:rPr>
              <w:t xml:space="preserve"> në legjislacionin kombëtar.</w:t>
            </w:r>
          </w:p>
          <w:p w14:paraId="094AE028" w14:textId="2D46ABE3" w:rsidR="003E7E51" w:rsidRPr="00DF12A5" w:rsidRDefault="00C439E1" w:rsidP="00C439E1">
            <w:pPr>
              <w:spacing w:after="0" w:line="240" w:lineRule="auto"/>
              <w:rPr>
                <w:rFonts w:ascii="Times New Roman" w:hAnsi="Times New Roman" w:cs="Times New Roman"/>
                <w:sz w:val="20"/>
                <w:szCs w:val="20"/>
                <w:lang w:val="sq-AL"/>
              </w:rPr>
            </w:pPr>
            <w:r w:rsidRPr="00735452">
              <w:rPr>
                <w:rFonts w:ascii="Times New Roman" w:eastAsia="Times New Roman" w:hAnsi="Times New Roman" w:cs="Times New Roman"/>
                <w:sz w:val="20"/>
                <w:szCs w:val="20"/>
                <w:lang w:val="sq-AL"/>
              </w:rPr>
              <w:t>Dispozitë përfundimtare e Direktivës</w:t>
            </w:r>
          </w:p>
        </w:tc>
      </w:tr>
    </w:tbl>
    <w:p w14:paraId="6A39EAB9" w14:textId="77777777" w:rsidR="0006234F" w:rsidRPr="00DF12A5" w:rsidRDefault="0006234F" w:rsidP="001A1B6A">
      <w:pPr>
        <w:spacing w:line="240" w:lineRule="auto"/>
        <w:jc w:val="both"/>
        <w:rPr>
          <w:rFonts w:ascii="Times New Roman" w:hAnsi="Times New Roman" w:cs="Times New Roman"/>
          <w:sz w:val="20"/>
          <w:szCs w:val="20"/>
          <w:lang w:val="sq-AL"/>
        </w:rPr>
      </w:pPr>
    </w:p>
    <w:sectPr w:rsidR="0006234F" w:rsidRPr="00DF12A5" w:rsidSect="00C5003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CA3E9" w14:textId="77777777" w:rsidR="001B4585" w:rsidRDefault="001B4585" w:rsidP="00C0737B">
      <w:pPr>
        <w:spacing w:after="0" w:line="240" w:lineRule="auto"/>
      </w:pPr>
      <w:r>
        <w:separator/>
      </w:r>
    </w:p>
  </w:endnote>
  <w:endnote w:type="continuationSeparator" w:id="0">
    <w:p w14:paraId="00CAB0BC" w14:textId="77777777" w:rsidR="001B4585" w:rsidRDefault="001B4585" w:rsidP="00C0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B6510" w14:textId="77777777" w:rsidR="001B4585" w:rsidRDefault="001B4585" w:rsidP="00C0737B">
      <w:pPr>
        <w:spacing w:after="0" w:line="240" w:lineRule="auto"/>
      </w:pPr>
      <w:r>
        <w:separator/>
      </w:r>
    </w:p>
  </w:footnote>
  <w:footnote w:type="continuationSeparator" w:id="0">
    <w:p w14:paraId="26E7DFEF" w14:textId="77777777" w:rsidR="001B4585" w:rsidRDefault="001B4585" w:rsidP="00C07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114"/>
    <w:multiLevelType w:val="multilevel"/>
    <w:tmpl w:val="0292187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5AC4B1D"/>
    <w:multiLevelType w:val="hybridMultilevel"/>
    <w:tmpl w:val="7DD86250"/>
    <w:lvl w:ilvl="0" w:tplc="9CC6C680">
      <w:start w:val="1"/>
      <w:numFmt w:val="lowerLetter"/>
      <w:lvlText w:val="%1)"/>
      <w:lvlJc w:val="left"/>
      <w:pPr>
        <w:ind w:left="720" w:hanging="360"/>
      </w:pPr>
      <w:rPr>
        <w:rFonts w:ascii="Aptos" w:hAnsi="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436A1"/>
    <w:multiLevelType w:val="multilevel"/>
    <w:tmpl w:val="0122C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C07E21"/>
    <w:multiLevelType w:val="multilevel"/>
    <w:tmpl w:val="2A740B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120C4"/>
    <w:multiLevelType w:val="hybridMultilevel"/>
    <w:tmpl w:val="808E6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A51D3"/>
    <w:multiLevelType w:val="multilevel"/>
    <w:tmpl w:val="CA9C44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8233B58"/>
    <w:multiLevelType w:val="hybridMultilevel"/>
    <w:tmpl w:val="0C52179C"/>
    <w:lvl w:ilvl="0" w:tplc="B98EF63C">
      <w:start w:val="1"/>
      <w:numFmt w:val="decimal"/>
      <w:lvlText w:val="%1."/>
      <w:lvlJc w:val="left"/>
      <w:pPr>
        <w:ind w:left="1350" w:hanging="360"/>
      </w:pPr>
      <w:rPr>
        <w:rFonts w:ascii="Aptos" w:hAnsi="Aptos" w:hint="default"/>
        <w:color w:val="000000" w:themeColor="text1"/>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9E2282E"/>
    <w:multiLevelType w:val="hybridMultilevel"/>
    <w:tmpl w:val="23643E50"/>
    <w:lvl w:ilvl="0" w:tplc="5A328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F16B6E"/>
    <w:multiLevelType w:val="multilevel"/>
    <w:tmpl w:val="E59AD1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A2700CF"/>
    <w:multiLevelType w:val="multilevel"/>
    <w:tmpl w:val="6C2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01690"/>
    <w:multiLevelType w:val="multilevel"/>
    <w:tmpl w:val="AD82D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21B6"/>
    <w:multiLevelType w:val="multilevel"/>
    <w:tmpl w:val="07C0B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944FD8"/>
    <w:multiLevelType w:val="multilevel"/>
    <w:tmpl w:val="B134C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B2478A"/>
    <w:multiLevelType w:val="hybridMultilevel"/>
    <w:tmpl w:val="E1FC0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067988"/>
    <w:multiLevelType w:val="multilevel"/>
    <w:tmpl w:val="45E60A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1A0182"/>
    <w:multiLevelType w:val="multilevel"/>
    <w:tmpl w:val="0F6CE9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E65F65"/>
    <w:multiLevelType w:val="multilevel"/>
    <w:tmpl w:val="D9E6F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253A96"/>
    <w:multiLevelType w:val="hybridMultilevel"/>
    <w:tmpl w:val="62F4B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320ACD"/>
    <w:multiLevelType w:val="hybridMultilevel"/>
    <w:tmpl w:val="4254F870"/>
    <w:lvl w:ilvl="0" w:tplc="04090017">
      <w:start w:val="1"/>
      <w:numFmt w:val="lowerLetter"/>
      <w:lvlText w:val="%1)"/>
      <w:lvlJc w:val="left"/>
      <w:pPr>
        <w:ind w:left="720" w:hanging="360"/>
      </w:pPr>
      <w:rPr>
        <w:rFont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64F13E8"/>
    <w:multiLevelType w:val="hybridMultilevel"/>
    <w:tmpl w:val="5F1410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7E1CE0"/>
    <w:multiLevelType w:val="multilevel"/>
    <w:tmpl w:val="D2D861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462E5B"/>
    <w:multiLevelType w:val="hybridMultilevel"/>
    <w:tmpl w:val="517A3E00"/>
    <w:lvl w:ilvl="0" w:tplc="93A6F126">
      <w:start w:val="1"/>
      <w:numFmt w:val="decimal"/>
      <w:lvlText w:val="%1."/>
      <w:lvlJc w:val="left"/>
      <w:pPr>
        <w:ind w:left="720" w:hanging="360"/>
      </w:pPr>
      <w:rPr>
        <w:rFonts w:ascii="Aptos" w:hAnsi="Apto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1F0E1F"/>
    <w:multiLevelType w:val="hybridMultilevel"/>
    <w:tmpl w:val="89981EB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1AE438F"/>
    <w:multiLevelType w:val="multilevel"/>
    <w:tmpl w:val="F68626DE"/>
    <w:lvl w:ilvl="0">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24" w15:restartNumberingAfterBreak="0">
    <w:nsid w:val="540B7A04"/>
    <w:multiLevelType w:val="multilevel"/>
    <w:tmpl w:val="8B0610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81F777F"/>
    <w:multiLevelType w:val="multilevel"/>
    <w:tmpl w:val="195E8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955648B"/>
    <w:multiLevelType w:val="hybridMultilevel"/>
    <w:tmpl w:val="E90E5864"/>
    <w:lvl w:ilvl="0" w:tplc="D2EAF102">
      <w:start w:val="1"/>
      <w:numFmt w:val="decimal"/>
      <w:lvlText w:val="%1."/>
      <w:lvlJc w:val="left"/>
      <w:pPr>
        <w:ind w:left="720" w:hanging="360"/>
      </w:pPr>
      <w:rPr>
        <w:rFonts w:ascii="Aptos" w:hAnsi="Aptos" w:hint="default"/>
        <w:color w:val="000000" w:themeColor="text1"/>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BD00E6"/>
    <w:multiLevelType w:val="multilevel"/>
    <w:tmpl w:val="69D48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BE2451"/>
    <w:multiLevelType w:val="hybridMultilevel"/>
    <w:tmpl w:val="70726316"/>
    <w:lvl w:ilvl="0" w:tplc="D1B813D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BB6507"/>
    <w:multiLevelType w:val="multilevel"/>
    <w:tmpl w:val="140C7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E16391"/>
    <w:multiLevelType w:val="hybridMultilevel"/>
    <w:tmpl w:val="B6C883D8"/>
    <w:lvl w:ilvl="0" w:tplc="5E52D680">
      <w:start w:val="1"/>
      <w:numFmt w:val="decimal"/>
      <w:lvlText w:val="%1."/>
      <w:lvlJc w:val="left"/>
      <w:pPr>
        <w:ind w:left="720" w:hanging="360"/>
      </w:pPr>
      <w:rPr>
        <w:rFonts w:ascii="Aptos" w:hAnsi="Apto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7E676C"/>
    <w:multiLevelType w:val="hybridMultilevel"/>
    <w:tmpl w:val="DDA46562"/>
    <w:lvl w:ilvl="0" w:tplc="72BAB178">
      <w:start w:val="1"/>
      <w:numFmt w:val="decimal"/>
      <w:lvlText w:val="%1."/>
      <w:lvlJc w:val="left"/>
      <w:pPr>
        <w:ind w:left="720" w:hanging="360"/>
      </w:pPr>
      <w:rPr>
        <w:rFonts w:ascii="Aptos" w:hAnsi="Aptos" w:hint="default"/>
        <w:color w:val="000000" w:themeColor="text1"/>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C7109F7"/>
    <w:multiLevelType w:val="hybridMultilevel"/>
    <w:tmpl w:val="766EE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A056B3"/>
    <w:multiLevelType w:val="hybridMultilevel"/>
    <w:tmpl w:val="E4704FB6"/>
    <w:lvl w:ilvl="0" w:tplc="970663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E6D19A1"/>
    <w:multiLevelType w:val="multilevel"/>
    <w:tmpl w:val="FB50C1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297649"/>
    <w:multiLevelType w:val="multilevel"/>
    <w:tmpl w:val="E59AD1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71615D64"/>
    <w:multiLevelType w:val="multilevel"/>
    <w:tmpl w:val="2A2EA9DE"/>
    <w:lvl w:ilvl="0">
      <w:start w:val="2"/>
      <w:numFmt w:val="decimal"/>
      <w:lvlText w:val="%1."/>
      <w:lvlJc w:val="left"/>
      <w:pPr>
        <w:tabs>
          <w:tab w:val="num" w:pos="540"/>
        </w:tabs>
        <w:ind w:left="5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986807"/>
    <w:multiLevelType w:val="hybridMultilevel"/>
    <w:tmpl w:val="89981EBE"/>
    <w:lvl w:ilvl="0" w:tplc="6B9A8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5A4593E"/>
    <w:multiLevelType w:val="hybridMultilevel"/>
    <w:tmpl w:val="1E66A90C"/>
    <w:lvl w:ilvl="0" w:tplc="7870F7F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9" w15:restartNumberingAfterBreak="0">
    <w:nsid w:val="7822158F"/>
    <w:multiLevelType w:val="multilevel"/>
    <w:tmpl w:val="6DAE0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FA7B6A"/>
    <w:multiLevelType w:val="hybridMultilevel"/>
    <w:tmpl w:val="50F2A576"/>
    <w:lvl w:ilvl="0" w:tplc="07163AE8">
      <w:start w:val="1"/>
      <w:numFmt w:val="decimal"/>
      <w:lvlText w:val="%1."/>
      <w:lvlJc w:val="left"/>
      <w:pPr>
        <w:ind w:left="720" w:hanging="360"/>
      </w:pPr>
      <w:rPr>
        <w:rFonts w:ascii="Aptos" w:hAnsi="Aptos" w:hint="default"/>
        <w:color w:val="000000" w:themeColor="text1"/>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4187936">
    <w:abstractNumId w:val="17"/>
  </w:num>
  <w:num w:numId="2" w16cid:durableId="683021877">
    <w:abstractNumId w:val="3"/>
  </w:num>
  <w:num w:numId="3" w16cid:durableId="1567304240">
    <w:abstractNumId w:val="15"/>
  </w:num>
  <w:num w:numId="4" w16cid:durableId="670716610">
    <w:abstractNumId w:val="27"/>
  </w:num>
  <w:num w:numId="5" w16cid:durableId="1308631472">
    <w:abstractNumId w:val="11"/>
  </w:num>
  <w:num w:numId="6" w16cid:durableId="77757352">
    <w:abstractNumId w:val="2"/>
  </w:num>
  <w:num w:numId="7" w16cid:durableId="1165440354">
    <w:abstractNumId w:val="4"/>
  </w:num>
  <w:num w:numId="8" w16cid:durableId="561217418">
    <w:abstractNumId w:val="25"/>
  </w:num>
  <w:num w:numId="9" w16cid:durableId="580525897">
    <w:abstractNumId w:val="29"/>
  </w:num>
  <w:num w:numId="10" w16cid:durableId="1149134148">
    <w:abstractNumId w:val="10"/>
  </w:num>
  <w:num w:numId="11" w16cid:durableId="1799369627">
    <w:abstractNumId w:val="12"/>
  </w:num>
  <w:num w:numId="12" w16cid:durableId="901210386">
    <w:abstractNumId w:val="34"/>
  </w:num>
  <w:num w:numId="13" w16cid:durableId="952250694">
    <w:abstractNumId w:val="20"/>
  </w:num>
  <w:num w:numId="14" w16cid:durableId="404302966">
    <w:abstractNumId w:val="36"/>
  </w:num>
  <w:num w:numId="15" w16cid:durableId="1333483061">
    <w:abstractNumId w:val="39"/>
  </w:num>
  <w:num w:numId="16" w16cid:durableId="327635582">
    <w:abstractNumId w:val="16"/>
  </w:num>
  <w:num w:numId="17" w16cid:durableId="794444471">
    <w:abstractNumId w:val="0"/>
  </w:num>
  <w:num w:numId="18" w16cid:durableId="969557975">
    <w:abstractNumId w:val="38"/>
  </w:num>
  <w:num w:numId="19" w16cid:durableId="1864129935">
    <w:abstractNumId w:val="9"/>
  </w:num>
  <w:num w:numId="20" w16cid:durableId="704989241">
    <w:abstractNumId w:val="35"/>
  </w:num>
  <w:num w:numId="21" w16cid:durableId="44526516">
    <w:abstractNumId w:val="8"/>
  </w:num>
  <w:num w:numId="22" w16cid:durableId="1841118675">
    <w:abstractNumId w:val="24"/>
  </w:num>
  <w:num w:numId="23" w16cid:durableId="702678888">
    <w:abstractNumId w:val="5"/>
  </w:num>
  <w:num w:numId="24" w16cid:durableId="831217417">
    <w:abstractNumId w:val="14"/>
  </w:num>
  <w:num w:numId="25" w16cid:durableId="1068723038">
    <w:abstractNumId w:val="32"/>
  </w:num>
  <w:num w:numId="26" w16cid:durableId="1764177998">
    <w:abstractNumId w:val="37"/>
  </w:num>
  <w:num w:numId="27" w16cid:durableId="1888566030">
    <w:abstractNumId w:val="22"/>
  </w:num>
  <w:num w:numId="28" w16cid:durableId="739330913">
    <w:abstractNumId w:val="1"/>
  </w:num>
  <w:num w:numId="29" w16cid:durableId="1971088920">
    <w:abstractNumId w:val="40"/>
  </w:num>
  <w:num w:numId="30" w16cid:durableId="1693260445">
    <w:abstractNumId w:val="19"/>
  </w:num>
  <w:num w:numId="31" w16cid:durableId="2108695138">
    <w:abstractNumId w:val="26"/>
  </w:num>
  <w:num w:numId="32" w16cid:durableId="1211527401">
    <w:abstractNumId w:val="13"/>
  </w:num>
  <w:num w:numId="33" w16cid:durableId="393159706">
    <w:abstractNumId w:val="21"/>
  </w:num>
  <w:num w:numId="34" w16cid:durableId="14430812">
    <w:abstractNumId w:val="18"/>
  </w:num>
  <w:num w:numId="35" w16cid:durableId="1239634196">
    <w:abstractNumId w:val="7"/>
  </w:num>
  <w:num w:numId="36" w16cid:durableId="1701931306">
    <w:abstractNumId w:val="33"/>
  </w:num>
  <w:num w:numId="37" w16cid:durableId="1631666173">
    <w:abstractNumId w:val="6"/>
  </w:num>
  <w:num w:numId="38" w16cid:durableId="1981113041">
    <w:abstractNumId w:val="30"/>
  </w:num>
  <w:num w:numId="39" w16cid:durableId="1869954486">
    <w:abstractNumId w:val="31"/>
  </w:num>
  <w:num w:numId="40" w16cid:durableId="1950383860">
    <w:abstractNumId w:val="28"/>
  </w:num>
  <w:num w:numId="41" w16cid:durableId="11284283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5D8"/>
    <w:rsid w:val="00000190"/>
    <w:rsid w:val="00001A4C"/>
    <w:rsid w:val="00001ECD"/>
    <w:rsid w:val="00002057"/>
    <w:rsid w:val="00002700"/>
    <w:rsid w:val="00002AA3"/>
    <w:rsid w:val="000052A6"/>
    <w:rsid w:val="00007D68"/>
    <w:rsid w:val="00007DAE"/>
    <w:rsid w:val="000102BE"/>
    <w:rsid w:val="00010D04"/>
    <w:rsid w:val="000144A7"/>
    <w:rsid w:val="00015E73"/>
    <w:rsid w:val="00022CC9"/>
    <w:rsid w:val="0002602F"/>
    <w:rsid w:val="000277F4"/>
    <w:rsid w:val="000278E3"/>
    <w:rsid w:val="00030E63"/>
    <w:rsid w:val="00031D52"/>
    <w:rsid w:val="00031E3B"/>
    <w:rsid w:val="00034A0C"/>
    <w:rsid w:val="000405D8"/>
    <w:rsid w:val="000413BF"/>
    <w:rsid w:val="00041FCC"/>
    <w:rsid w:val="0004205D"/>
    <w:rsid w:val="000420EF"/>
    <w:rsid w:val="000424D6"/>
    <w:rsid w:val="00042A78"/>
    <w:rsid w:val="0004442A"/>
    <w:rsid w:val="00045676"/>
    <w:rsid w:val="00046189"/>
    <w:rsid w:val="0004698F"/>
    <w:rsid w:val="00053DEC"/>
    <w:rsid w:val="0006234F"/>
    <w:rsid w:val="0007409C"/>
    <w:rsid w:val="00075CEC"/>
    <w:rsid w:val="000768EB"/>
    <w:rsid w:val="00076BB6"/>
    <w:rsid w:val="000809B8"/>
    <w:rsid w:val="00080EC8"/>
    <w:rsid w:val="000812FE"/>
    <w:rsid w:val="00082937"/>
    <w:rsid w:val="000858AA"/>
    <w:rsid w:val="00087C9E"/>
    <w:rsid w:val="000905E4"/>
    <w:rsid w:val="00094DF3"/>
    <w:rsid w:val="00095F38"/>
    <w:rsid w:val="000A06E4"/>
    <w:rsid w:val="000A188C"/>
    <w:rsid w:val="000A1F0D"/>
    <w:rsid w:val="000A2F1C"/>
    <w:rsid w:val="000A5400"/>
    <w:rsid w:val="000A781C"/>
    <w:rsid w:val="000A7DA5"/>
    <w:rsid w:val="000B21F1"/>
    <w:rsid w:val="000C1A64"/>
    <w:rsid w:val="000C227B"/>
    <w:rsid w:val="000C38BF"/>
    <w:rsid w:val="000C47B2"/>
    <w:rsid w:val="000C7A1D"/>
    <w:rsid w:val="000D2A11"/>
    <w:rsid w:val="000D2E43"/>
    <w:rsid w:val="000D3B9B"/>
    <w:rsid w:val="000D432C"/>
    <w:rsid w:val="000D7469"/>
    <w:rsid w:val="000E0E5D"/>
    <w:rsid w:val="000E119E"/>
    <w:rsid w:val="000E25B9"/>
    <w:rsid w:val="000E4427"/>
    <w:rsid w:val="000E4D82"/>
    <w:rsid w:val="000E553B"/>
    <w:rsid w:val="000E5AFA"/>
    <w:rsid w:val="000E6988"/>
    <w:rsid w:val="000F07C8"/>
    <w:rsid w:val="000F31FD"/>
    <w:rsid w:val="000F4A66"/>
    <w:rsid w:val="000F58FB"/>
    <w:rsid w:val="000F59D3"/>
    <w:rsid w:val="000F74A9"/>
    <w:rsid w:val="0010099E"/>
    <w:rsid w:val="001022FA"/>
    <w:rsid w:val="00102F3C"/>
    <w:rsid w:val="00103B1F"/>
    <w:rsid w:val="00105887"/>
    <w:rsid w:val="00106CA1"/>
    <w:rsid w:val="00106DCF"/>
    <w:rsid w:val="00107415"/>
    <w:rsid w:val="001106C0"/>
    <w:rsid w:val="00112FC9"/>
    <w:rsid w:val="0011319A"/>
    <w:rsid w:val="0011368D"/>
    <w:rsid w:val="00114943"/>
    <w:rsid w:val="00115A2A"/>
    <w:rsid w:val="00115F14"/>
    <w:rsid w:val="00117784"/>
    <w:rsid w:val="001203B7"/>
    <w:rsid w:val="001229BF"/>
    <w:rsid w:val="00124580"/>
    <w:rsid w:val="00126C13"/>
    <w:rsid w:val="001271CA"/>
    <w:rsid w:val="00131356"/>
    <w:rsid w:val="001372A4"/>
    <w:rsid w:val="001428D4"/>
    <w:rsid w:val="0014334D"/>
    <w:rsid w:val="00144D6B"/>
    <w:rsid w:val="00146E0F"/>
    <w:rsid w:val="00155436"/>
    <w:rsid w:val="001566B0"/>
    <w:rsid w:val="00161D64"/>
    <w:rsid w:val="00163692"/>
    <w:rsid w:val="00163A77"/>
    <w:rsid w:val="00163DBC"/>
    <w:rsid w:val="001640E6"/>
    <w:rsid w:val="00164C00"/>
    <w:rsid w:val="00171345"/>
    <w:rsid w:val="00171F7E"/>
    <w:rsid w:val="00172173"/>
    <w:rsid w:val="00180116"/>
    <w:rsid w:val="0018193F"/>
    <w:rsid w:val="00181FA2"/>
    <w:rsid w:val="001829E4"/>
    <w:rsid w:val="00184398"/>
    <w:rsid w:val="00185EFA"/>
    <w:rsid w:val="00186074"/>
    <w:rsid w:val="00193B0D"/>
    <w:rsid w:val="00195769"/>
    <w:rsid w:val="0019622D"/>
    <w:rsid w:val="00196591"/>
    <w:rsid w:val="00196852"/>
    <w:rsid w:val="00196B83"/>
    <w:rsid w:val="001A09ED"/>
    <w:rsid w:val="001A0A1C"/>
    <w:rsid w:val="001A13C1"/>
    <w:rsid w:val="001A1812"/>
    <w:rsid w:val="001A1B6A"/>
    <w:rsid w:val="001A1E98"/>
    <w:rsid w:val="001A5AB3"/>
    <w:rsid w:val="001B15A2"/>
    <w:rsid w:val="001B1650"/>
    <w:rsid w:val="001B4585"/>
    <w:rsid w:val="001B56F9"/>
    <w:rsid w:val="001B7792"/>
    <w:rsid w:val="001C3292"/>
    <w:rsid w:val="001C7D36"/>
    <w:rsid w:val="001D1D8C"/>
    <w:rsid w:val="001D3E67"/>
    <w:rsid w:val="001D4310"/>
    <w:rsid w:val="001D5D4B"/>
    <w:rsid w:val="001D665A"/>
    <w:rsid w:val="001D7353"/>
    <w:rsid w:val="001E0CEB"/>
    <w:rsid w:val="001E0D62"/>
    <w:rsid w:val="001E1D13"/>
    <w:rsid w:val="001E4EF9"/>
    <w:rsid w:val="001E7953"/>
    <w:rsid w:val="001F0341"/>
    <w:rsid w:val="001F0E54"/>
    <w:rsid w:val="001F1C4C"/>
    <w:rsid w:val="001F3493"/>
    <w:rsid w:val="001F37A9"/>
    <w:rsid w:val="001F3EED"/>
    <w:rsid w:val="001F54E0"/>
    <w:rsid w:val="001F7AC4"/>
    <w:rsid w:val="00201653"/>
    <w:rsid w:val="00202515"/>
    <w:rsid w:val="00202A84"/>
    <w:rsid w:val="002073C5"/>
    <w:rsid w:val="00207433"/>
    <w:rsid w:val="0021504A"/>
    <w:rsid w:val="00216D3D"/>
    <w:rsid w:val="00220B84"/>
    <w:rsid w:val="00221480"/>
    <w:rsid w:val="00222F6C"/>
    <w:rsid w:val="00223E79"/>
    <w:rsid w:val="00225A1E"/>
    <w:rsid w:val="00226EF4"/>
    <w:rsid w:val="00230C84"/>
    <w:rsid w:val="00231A16"/>
    <w:rsid w:val="0023259E"/>
    <w:rsid w:val="00232DE3"/>
    <w:rsid w:val="00233512"/>
    <w:rsid w:val="00234F50"/>
    <w:rsid w:val="00235A26"/>
    <w:rsid w:val="00237992"/>
    <w:rsid w:val="00241B21"/>
    <w:rsid w:val="00241BB0"/>
    <w:rsid w:val="002420D1"/>
    <w:rsid w:val="00244E42"/>
    <w:rsid w:val="00245321"/>
    <w:rsid w:val="002500BD"/>
    <w:rsid w:val="002512E8"/>
    <w:rsid w:val="002544DB"/>
    <w:rsid w:val="0025668F"/>
    <w:rsid w:val="00261738"/>
    <w:rsid w:val="00261844"/>
    <w:rsid w:val="002654CA"/>
    <w:rsid w:val="002663E0"/>
    <w:rsid w:val="00270952"/>
    <w:rsid w:val="00270EF6"/>
    <w:rsid w:val="002713DB"/>
    <w:rsid w:val="00271DE1"/>
    <w:rsid w:val="00273D9C"/>
    <w:rsid w:val="002744B7"/>
    <w:rsid w:val="002757D9"/>
    <w:rsid w:val="0028362D"/>
    <w:rsid w:val="00283E23"/>
    <w:rsid w:val="002848D1"/>
    <w:rsid w:val="0028522F"/>
    <w:rsid w:val="00287CCC"/>
    <w:rsid w:val="002922B2"/>
    <w:rsid w:val="0029415D"/>
    <w:rsid w:val="002A3D07"/>
    <w:rsid w:val="002A3FE1"/>
    <w:rsid w:val="002A50C9"/>
    <w:rsid w:val="002A65D4"/>
    <w:rsid w:val="002A7161"/>
    <w:rsid w:val="002B07DD"/>
    <w:rsid w:val="002B2264"/>
    <w:rsid w:val="002B433A"/>
    <w:rsid w:val="002B6C6D"/>
    <w:rsid w:val="002B7695"/>
    <w:rsid w:val="002C1264"/>
    <w:rsid w:val="002C13FA"/>
    <w:rsid w:val="002C3EDE"/>
    <w:rsid w:val="002C6CEA"/>
    <w:rsid w:val="002C76A1"/>
    <w:rsid w:val="002D033B"/>
    <w:rsid w:val="002D1C8E"/>
    <w:rsid w:val="002D6E8A"/>
    <w:rsid w:val="002E0893"/>
    <w:rsid w:val="002F1104"/>
    <w:rsid w:val="002F2514"/>
    <w:rsid w:val="002F3DAE"/>
    <w:rsid w:val="002F484C"/>
    <w:rsid w:val="002F61AF"/>
    <w:rsid w:val="002F7584"/>
    <w:rsid w:val="002F7B73"/>
    <w:rsid w:val="003058AB"/>
    <w:rsid w:val="00305986"/>
    <w:rsid w:val="00310C79"/>
    <w:rsid w:val="00311D02"/>
    <w:rsid w:val="00312BA7"/>
    <w:rsid w:val="00313349"/>
    <w:rsid w:val="003136AD"/>
    <w:rsid w:val="00315DB8"/>
    <w:rsid w:val="00316C04"/>
    <w:rsid w:val="00323A43"/>
    <w:rsid w:val="00323E48"/>
    <w:rsid w:val="00323E6F"/>
    <w:rsid w:val="00324BF3"/>
    <w:rsid w:val="003261C5"/>
    <w:rsid w:val="003324C7"/>
    <w:rsid w:val="00333259"/>
    <w:rsid w:val="0033331C"/>
    <w:rsid w:val="00333F8C"/>
    <w:rsid w:val="003358BF"/>
    <w:rsid w:val="00335997"/>
    <w:rsid w:val="00340C1C"/>
    <w:rsid w:val="00342694"/>
    <w:rsid w:val="003430C8"/>
    <w:rsid w:val="00344E3E"/>
    <w:rsid w:val="00344F00"/>
    <w:rsid w:val="00345DED"/>
    <w:rsid w:val="00346203"/>
    <w:rsid w:val="00347EEE"/>
    <w:rsid w:val="003518E8"/>
    <w:rsid w:val="00354615"/>
    <w:rsid w:val="00355E13"/>
    <w:rsid w:val="003562D0"/>
    <w:rsid w:val="00356356"/>
    <w:rsid w:val="003579A1"/>
    <w:rsid w:val="00367727"/>
    <w:rsid w:val="00372704"/>
    <w:rsid w:val="00373841"/>
    <w:rsid w:val="003744FA"/>
    <w:rsid w:val="00382B15"/>
    <w:rsid w:val="003839F2"/>
    <w:rsid w:val="00383EB4"/>
    <w:rsid w:val="00386097"/>
    <w:rsid w:val="003863EF"/>
    <w:rsid w:val="0039178C"/>
    <w:rsid w:val="00392B24"/>
    <w:rsid w:val="00394EB1"/>
    <w:rsid w:val="00396441"/>
    <w:rsid w:val="003966C4"/>
    <w:rsid w:val="003A361A"/>
    <w:rsid w:val="003A3E5D"/>
    <w:rsid w:val="003A4D02"/>
    <w:rsid w:val="003A508D"/>
    <w:rsid w:val="003A53AD"/>
    <w:rsid w:val="003A63DD"/>
    <w:rsid w:val="003B199D"/>
    <w:rsid w:val="003B1E31"/>
    <w:rsid w:val="003B4F3D"/>
    <w:rsid w:val="003B7074"/>
    <w:rsid w:val="003C1B6E"/>
    <w:rsid w:val="003C3377"/>
    <w:rsid w:val="003C36A3"/>
    <w:rsid w:val="003C37A7"/>
    <w:rsid w:val="003C46B1"/>
    <w:rsid w:val="003C5147"/>
    <w:rsid w:val="003C68B9"/>
    <w:rsid w:val="003C7736"/>
    <w:rsid w:val="003D1272"/>
    <w:rsid w:val="003D297C"/>
    <w:rsid w:val="003D36FA"/>
    <w:rsid w:val="003D535F"/>
    <w:rsid w:val="003D79A3"/>
    <w:rsid w:val="003E1741"/>
    <w:rsid w:val="003E1F2C"/>
    <w:rsid w:val="003E4014"/>
    <w:rsid w:val="003E5614"/>
    <w:rsid w:val="003E56E1"/>
    <w:rsid w:val="003E7E51"/>
    <w:rsid w:val="003F334A"/>
    <w:rsid w:val="003F41C1"/>
    <w:rsid w:val="003F463A"/>
    <w:rsid w:val="003F4864"/>
    <w:rsid w:val="003F6FD8"/>
    <w:rsid w:val="003F74C8"/>
    <w:rsid w:val="00400E0B"/>
    <w:rsid w:val="004039C3"/>
    <w:rsid w:val="00404166"/>
    <w:rsid w:val="0040603D"/>
    <w:rsid w:val="0040666A"/>
    <w:rsid w:val="00415067"/>
    <w:rsid w:val="0041508B"/>
    <w:rsid w:val="00415505"/>
    <w:rsid w:val="00417604"/>
    <w:rsid w:val="00420DF5"/>
    <w:rsid w:val="00420F6E"/>
    <w:rsid w:val="004210BC"/>
    <w:rsid w:val="004217DD"/>
    <w:rsid w:val="004238D3"/>
    <w:rsid w:val="004255CB"/>
    <w:rsid w:val="0042585C"/>
    <w:rsid w:val="00425ACC"/>
    <w:rsid w:val="00433264"/>
    <w:rsid w:val="00433AEC"/>
    <w:rsid w:val="00435308"/>
    <w:rsid w:val="00436F37"/>
    <w:rsid w:val="0044079B"/>
    <w:rsid w:val="00441782"/>
    <w:rsid w:val="00442FA1"/>
    <w:rsid w:val="00444B53"/>
    <w:rsid w:val="0044628D"/>
    <w:rsid w:val="00446860"/>
    <w:rsid w:val="00447DE6"/>
    <w:rsid w:val="00450A06"/>
    <w:rsid w:val="00453D20"/>
    <w:rsid w:val="00454256"/>
    <w:rsid w:val="004564E4"/>
    <w:rsid w:val="00465882"/>
    <w:rsid w:val="00466A61"/>
    <w:rsid w:val="004677B1"/>
    <w:rsid w:val="00467828"/>
    <w:rsid w:val="00470A14"/>
    <w:rsid w:val="00471693"/>
    <w:rsid w:val="0047612C"/>
    <w:rsid w:val="0047618C"/>
    <w:rsid w:val="00476874"/>
    <w:rsid w:val="00476C92"/>
    <w:rsid w:val="0048392B"/>
    <w:rsid w:val="004844A6"/>
    <w:rsid w:val="00487F56"/>
    <w:rsid w:val="004903B0"/>
    <w:rsid w:val="00491BA0"/>
    <w:rsid w:val="00492058"/>
    <w:rsid w:val="004929A0"/>
    <w:rsid w:val="00494FBB"/>
    <w:rsid w:val="00495AB5"/>
    <w:rsid w:val="00496E3F"/>
    <w:rsid w:val="0049724E"/>
    <w:rsid w:val="004A20A4"/>
    <w:rsid w:val="004A3278"/>
    <w:rsid w:val="004A5C3B"/>
    <w:rsid w:val="004A5D53"/>
    <w:rsid w:val="004A5F5B"/>
    <w:rsid w:val="004A6DB4"/>
    <w:rsid w:val="004B3115"/>
    <w:rsid w:val="004B31BB"/>
    <w:rsid w:val="004B62FB"/>
    <w:rsid w:val="004B73DD"/>
    <w:rsid w:val="004B7569"/>
    <w:rsid w:val="004B7610"/>
    <w:rsid w:val="004C0216"/>
    <w:rsid w:val="004C1834"/>
    <w:rsid w:val="004C2052"/>
    <w:rsid w:val="004C2C24"/>
    <w:rsid w:val="004C40FF"/>
    <w:rsid w:val="004C4A0F"/>
    <w:rsid w:val="004C5000"/>
    <w:rsid w:val="004C5347"/>
    <w:rsid w:val="004C6043"/>
    <w:rsid w:val="004C63E4"/>
    <w:rsid w:val="004C6A48"/>
    <w:rsid w:val="004C750B"/>
    <w:rsid w:val="004D4877"/>
    <w:rsid w:val="004D4EDF"/>
    <w:rsid w:val="004D59E7"/>
    <w:rsid w:val="004D5B31"/>
    <w:rsid w:val="004D61BC"/>
    <w:rsid w:val="004E0E6D"/>
    <w:rsid w:val="004E3CCD"/>
    <w:rsid w:val="004E46A3"/>
    <w:rsid w:val="004E6416"/>
    <w:rsid w:val="004E6CFF"/>
    <w:rsid w:val="004F0917"/>
    <w:rsid w:val="004F2E95"/>
    <w:rsid w:val="004F42CE"/>
    <w:rsid w:val="0050003B"/>
    <w:rsid w:val="0050176F"/>
    <w:rsid w:val="005017EA"/>
    <w:rsid w:val="00503918"/>
    <w:rsid w:val="00503EB1"/>
    <w:rsid w:val="00504FCE"/>
    <w:rsid w:val="005055F8"/>
    <w:rsid w:val="005061D7"/>
    <w:rsid w:val="00507F8D"/>
    <w:rsid w:val="00510215"/>
    <w:rsid w:val="005104F4"/>
    <w:rsid w:val="00510F29"/>
    <w:rsid w:val="005130E0"/>
    <w:rsid w:val="00517E74"/>
    <w:rsid w:val="00522297"/>
    <w:rsid w:val="0052268B"/>
    <w:rsid w:val="00525976"/>
    <w:rsid w:val="00527E36"/>
    <w:rsid w:val="00533219"/>
    <w:rsid w:val="00535290"/>
    <w:rsid w:val="005362BE"/>
    <w:rsid w:val="00536D2E"/>
    <w:rsid w:val="00540E6C"/>
    <w:rsid w:val="00541C2D"/>
    <w:rsid w:val="00542756"/>
    <w:rsid w:val="005431E6"/>
    <w:rsid w:val="00544811"/>
    <w:rsid w:val="00544893"/>
    <w:rsid w:val="00544ED4"/>
    <w:rsid w:val="005451B2"/>
    <w:rsid w:val="00545755"/>
    <w:rsid w:val="005508E5"/>
    <w:rsid w:val="00557D5A"/>
    <w:rsid w:val="00560164"/>
    <w:rsid w:val="00560885"/>
    <w:rsid w:val="00562F96"/>
    <w:rsid w:val="00563572"/>
    <w:rsid w:val="0056386B"/>
    <w:rsid w:val="00565690"/>
    <w:rsid w:val="00565A50"/>
    <w:rsid w:val="00565A91"/>
    <w:rsid w:val="00566F01"/>
    <w:rsid w:val="00573772"/>
    <w:rsid w:val="0057657E"/>
    <w:rsid w:val="005807B1"/>
    <w:rsid w:val="00581236"/>
    <w:rsid w:val="00581936"/>
    <w:rsid w:val="0058717C"/>
    <w:rsid w:val="005876A0"/>
    <w:rsid w:val="00591DC0"/>
    <w:rsid w:val="005A17F6"/>
    <w:rsid w:val="005A1979"/>
    <w:rsid w:val="005A21F8"/>
    <w:rsid w:val="005A3C31"/>
    <w:rsid w:val="005A4CB6"/>
    <w:rsid w:val="005B05C9"/>
    <w:rsid w:val="005B19A4"/>
    <w:rsid w:val="005B21A4"/>
    <w:rsid w:val="005B2DB3"/>
    <w:rsid w:val="005B3047"/>
    <w:rsid w:val="005B7ADD"/>
    <w:rsid w:val="005C0B7B"/>
    <w:rsid w:val="005C1EFE"/>
    <w:rsid w:val="005C2C58"/>
    <w:rsid w:val="005C3A99"/>
    <w:rsid w:val="005C4A6B"/>
    <w:rsid w:val="005C6D3B"/>
    <w:rsid w:val="005C7569"/>
    <w:rsid w:val="005D09D6"/>
    <w:rsid w:val="005D2C74"/>
    <w:rsid w:val="005D2EB6"/>
    <w:rsid w:val="005D2F65"/>
    <w:rsid w:val="005D34DF"/>
    <w:rsid w:val="005D4002"/>
    <w:rsid w:val="005D4521"/>
    <w:rsid w:val="005D49B8"/>
    <w:rsid w:val="005D519D"/>
    <w:rsid w:val="005D5C87"/>
    <w:rsid w:val="005D60C7"/>
    <w:rsid w:val="005D63CD"/>
    <w:rsid w:val="005E02D9"/>
    <w:rsid w:val="005E103E"/>
    <w:rsid w:val="005E1788"/>
    <w:rsid w:val="005E2DB7"/>
    <w:rsid w:val="005F0D2B"/>
    <w:rsid w:val="005F34DA"/>
    <w:rsid w:val="005F716C"/>
    <w:rsid w:val="005F7969"/>
    <w:rsid w:val="00601DB4"/>
    <w:rsid w:val="0060424D"/>
    <w:rsid w:val="00604639"/>
    <w:rsid w:val="00606432"/>
    <w:rsid w:val="00611C7D"/>
    <w:rsid w:val="00612F05"/>
    <w:rsid w:val="00614C02"/>
    <w:rsid w:val="0061600B"/>
    <w:rsid w:val="006164A3"/>
    <w:rsid w:val="006203DB"/>
    <w:rsid w:val="006206E8"/>
    <w:rsid w:val="0062074C"/>
    <w:rsid w:val="006245D5"/>
    <w:rsid w:val="0062565E"/>
    <w:rsid w:val="006261B6"/>
    <w:rsid w:val="0062712E"/>
    <w:rsid w:val="006312BE"/>
    <w:rsid w:val="00632208"/>
    <w:rsid w:val="006336CE"/>
    <w:rsid w:val="00634591"/>
    <w:rsid w:val="00634EDD"/>
    <w:rsid w:val="00634FAF"/>
    <w:rsid w:val="006356F0"/>
    <w:rsid w:val="0063734B"/>
    <w:rsid w:val="00643001"/>
    <w:rsid w:val="006433BD"/>
    <w:rsid w:val="0064489D"/>
    <w:rsid w:val="00645997"/>
    <w:rsid w:val="0064670F"/>
    <w:rsid w:val="00647767"/>
    <w:rsid w:val="0065028E"/>
    <w:rsid w:val="00650FBC"/>
    <w:rsid w:val="0065223F"/>
    <w:rsid w:val="0065306A"/>
    <w:rsid w:val="006531F1"/>
    <w:rsid w:val="00653C1A"/>
    <w:rsid w:val="0065486D"/>
    <w:rsid w:val="00655E83"/>
    <w:rsid w:val="00656A37"/>
    <w:rsid w:val="0065769B"/>
    <w:rsid w:val="00657A38"/>
    <w:rsid w:val="00660748"/>
    <w:rsid w:val="0066445E"/>
    <w:rsid w:val="006674F3"/>
    <w:rsid w:val="00667C3A"/>
    <w:rsid w:val="00674241"/>
    <w:rsid w:val="00674293"/>
    <w:rsid w:val="00681C1C"/>
    <w:rsid w:val="00682F1A"/>
    <w:rsid w:val="00684652"/>
    <w:rsid w:val="0068495A"/>
    <w:rsid w:val="00684A27"/>
    <w:rsid w:val="00690194"/>
    <w:rsid w:val="00690863"/>
    <w:rsid w:val="00690A3C"/>
    <w:rsid w:val="006930F9"/>
    <w:rsid w:val="006945EC"/>
    <w:rsid w:val="00695079"/>
    <w:rsid w:val="00695C1C"/>
    <w:rsid w:val="00695DF3"/>
    <w:rsid w:val="006A030D"/>
    <w:rsid w:val="006A1C0C"/>
    <w:rsid w:val="006A368F"/>
    <w:rsid w:val="006A4A5F"/>
    <w:rsid w:val="006A4EC5"/>
    <w:rsid w:val="006A619E"/>
    <w:rsid w:val="006B3E43"/>
    <w:rsid w:val="006B44BE"/>
    <w:rsid w:val="006B4951"/>
    <w:rsid w:val="006B6738"/>
    <w:rsid w:val="006B6E3E"/>
    <w:rsid w:val="006B6E7B"/>
    <w:rsid w:val="006C5001"/>
    <w:rsid w:val="006D0FCE"/>
    <w:rsid w:val="006D42EA"/>
    <w:rsid w:val="006D4329"/>
    <w:rsid w:val="006D51A7"/>
    <w:rsid w:val="006F56FF"/>
    <w:rsid w:val="006F579B"/>
    <w:rsid w:val="006F7618"/>
    <w:rsid w:val="00703EEE"/>
    <w:rsid w:val="007046BD"/>
    <w:rsid w:val="0070481F"/>
    <w:rsid w:val="0070496C"/>
    <w:rsid w:val="0071700C"/>
    <w:rsid w:val="00717A8A"/>
    <w:rsid w:val="00717D18"/>
    <w:rsid w:val="00717DF1"/>
    <w:rsid w:val="00721787"/>
    <w:rsid w:val="00722B2A"/>
    <w:rsid w:val="007230BE"/>
    <w:rsid w:val="007246C7"/>
    <w:rsid w:val="00724D4B"/>
    <w:rsid w:val="007256BD"/>
    <w:rsid w:val="007262FB"/>
    <w:rsid w:val="00733701"/>
    <w:rsid w:val="00734034"/>
    <w:rsid w:val="007345AB"/>
    <w:rsid w:val="0073492C"/>
    <w:rsid w:val="00735438"/>
    <w:rsid w:val="00735452"/>
    <w:rsid w:val="00735941"/>
    <w:rsid w:val="00737A39"/>
    <w:rsid w:val="0074130A"/>
    <w:rsid w:val="00742264"/>
    <w:rsid w:val="00742685"/>
    <w:rsid w:val="007432F5"/>
    <w:rsid w:val="00746AE8"/>
    <w:rsid w:val="007475D2"/>
    <w:rsid w:val="007500DB"/>
    <w:rsid w:val="0075134D"/>
    <w:rsid w:val="00751469"/>
    <w:rsid w:val="00754A79"/>
    <w:rsid w:val="007553BF"/>
    <w:rsid w:val="00755C9B"/>
    <w:rsid w:val="007562BD"/>
    <w:rsid w:val="00757217"/>
    <w:rsid w:val="0076055D"/>
    <w:rsid w:val="00761E3B"/>
    <w:rsid w:val="00762398"/>
    <w:rsid w:val="00763EBC"/>
    <w:rsid w:val="00765ABA"/>
    <w:rsid w:val="00767C40"/>
    <w:rsid w:val="007711E2"/>
    <w:rsid w:val="00771275"/>
    <w:rsid w:val="00772362"/>
    <w:rsid w:val="00773CDA"/>
    <w:rsid w:val="007816DB"/>
    <w:rsid w:val="0078236C"/>
    <w:rsid w:val="00787224"/>
    <w:rsid w:val="00790DA6"/>
    <w:rsid w:val="007911C1"/>
    <w:rsid w:val="00791D07"/>
    <w:rsid w:val="0079300F"/>
    <w:rsid w:val="00795215"/>
    <w:rsid w:val="007968A8"/>
    <w:rsid w:val="007976AB"/>
    <w:rsid w:val="007A0904"/>
    <w:rsid w:val="007A1CA1"/>
    <w:rsid w:val="007A2C56"/>
    <w:rsid w:val="007A3124"/>
    <w:rsid w:val="007A4D8B"/>
    <w:rsid w:val="007A5719"/>
    <w:rsid w:val="007A5F52"/>
    <w:rsid w:val="007A70B8"/>
    <w:rsid w:val="007B2807"/>
    <w:rsid w:val="007B2E5D"/>
    <w:rsid w:val="007C07D8"/>
    <w:rsid w:val="007C1197"/>
    <w:rsid w:val="007C4625"/>
    <w:rsid w:val="007D1A40"/>
    <w:rsid w:val="007D3B48"/>
    <w:rsid w:val="007D439D"/>
    <w:rsid w:val="007D4E00"/>
    <w:rsid w:val="007E172A"/>
    <w:rsid w:val="007E17C3"/>
    <w:rsid w:val="007E23D8"/>
    <w:rsid w:val="007E402E"/>
    <w:rsid w:val="007E471F"/>
    <w:rsid w:val="007E71A3"/>
    <w:rsid w:val="007E7B74"/>
    <w:rsid w:val="007F4484"/>
    <w:rsid w:val="007F5285"/>
    <w:rsid w:val="007F58B6"/>
    <w:rsid w:val="007F6E40"/>
    <w:rsid w:val="007F7E1E"/>
    <w:rsid w:val="00800A2D"/>
    <w:rsid w:val="008040FC"/>
    <w:rsid w:val="008043D8"/>
    <w:rsid w:val="00805799"/>
    <w:rsid w:val="00806174"/>
    <w:rsid w:val="008155DD"/>
    <w:rsid w:val="0081618C"/>
    <w:rsid w:val="00826BA9"/>
    <w:rsid w:val="00831FB7"/>
    <w:rsid w:val="00834746"/>
    <w:rsid w:val="00837CF2"/>
    <w:rsid w:val="00842603"/>
    <w:rsid w:val="00844615"/>
    <w:rsid w:val="00844780"/>
    <w:rsid w:val="0084634C"/>
    <w:rsid w:val="008527AF"/>
    <w:rsid w:val="00852D17"/>
    <w:rsid w:val="00852E87"/>
    <w:rsid w:val="008564E7"/>
    <w:rsid w:val="00856C15"/>
    <w:rsid w:val="008571D3"/>
    <w:rsid w:val="00857252"/>
    <w:rsid w:val="00860C36"/>
    <w:rsid w:val="0086188C"/>
    <w:rsid w:val="00861C9D"/>
    <w:rsid w:val="00864B9E"/>
    <w:rsid w:val="00865068"/>
    <w:rsid w:val="0086726F"/>
    <w:rsid w:val="008700EF"/>
    <w:rsid w:val="00870892"/>
    <w:rsid w:val="00870E24"/>
    <w:rsid w:val="00871865"/>
    <w:rsid w:val="00874618"/>
    <w:rsid w:val="00874ECF"/>
    <w:rsid w:val="008757F9"/>
    <w:rsid w:val="008776B3"/>
    <w:rsid w:val="00880760"/>
    <w:rsid w:val="00880787"/>
    <w:rsid w:val="0088080D"/>
    <w:rsid w:val="00884B34"/>
    <w:rsid w:val="00885E2E"/>
    <w:rsid w:val="008865A6"/>
    <w:rsid w:val="0088775A"/>
    <w:rsid w:val="00887B22"/>
    <w:rsid w:val="00890B26"/>
    <w:rsid w:val="008941E0"/>
    <w:rsid w:val="008946AD"/>
    <w:rsid w:val="00895391"/>
    <w:rsid w:val="00895ACF"/>
    <w:rsid w:val="008A3851"/>
    <w:rsid w:val="008A4338"/>
    <w:rsid w:val="008A46C4"/>
    <w:rsid w:val="008A5677"/>
    <w:rsid w:val="008A5CE2"/>
    <w:rsid w:val="008A71ED"/>
    <w:rsid w:val="008A7904"/>
    <w:rsid w:val="008B0897"/>
    <w:rsid w:val="008B393D"/>
    <w:rsid w:val="008B4245"/>
    <w:rsid w:val="008B4468"/>
    <w:rsid w:val="008B4692"/>
    <w:rsid w:val="008B6E73"/>
    <w:rsid w:val="008C1024"/>
    <w:rsid w:val="008C1F48"/>
    <w:rsid w:val="008C450D"/>
    <w:rsid w:val="008C565E"/>
    <w:rsid w:val="008D07A5"/>
    <w:rsid w:val="008D2D8D"/>
    <w:rsid w:val="008D6F5B"/>
    <w:rsid w:val="008E17E1"/>
    <w:rsid w:val="008E3699"/>
    <w:rsid w:val="008E4A58"/>
    <w:rsid w:val="008E53C4"/>
    <w:rsid w:val="008E7F68"/>
    <w:rsid w:val="008F1BA7"/>
    <w:rsid w:val="008F1E4A"/>
    <w:rsid w:val="008F73E9"/>
    <w:rsid w:val="0090321D"/>
    <w:rsid w:val="00906CC6"/>
    <w:rsid w:val="0091242A"/>
    <w:rsid w:val="009139F4"/>
    <w:rsid w:val="00916C90"/>
    <w:rsid w:val="00920C1D"/>
    <w:rsid w:val="00922659"/>
    <w:rsid w:val="009230B5"/>
    <w:rsid w:val="00923DBB"/>
    <w:rsid w:val="009251FC"/>
    <w:rsid w:val="0093087F"/>
    <w:rsid w:val="00932BC5"/>
    <w:rsid w:val="00932ED3"/>
    <w:rsid w:val="00933E50"/>
    <w:rsid w:val="0093751F"/>
    <w:rsid w:val="00942FA2"/>
    <w:rsid w:val="009509DD"/>
    <w:rsid w:val="00954AD8"/>
    <w:rsid w:val="00955C58"/>
    <w:rsid w:val="0095681F"/>
    <w:rsid w:val="00956CA8"/>
    <w:rsid w:val="00956F6B"/>
    <w:rsid w:val="00957218"/>
    <w:rsid w:val="00963897"/>
    <w:rsid w:val="009667A3"/>
    <w:rsid w:val="00970B4C"/>
    <w:rsid w:val="00970C03"/>
    <w:rsid w:val="00972280"/>
    <w:rsid w:val="0097311E"/>
    <w:rsid w:val="009732F9"/>
    <w:rsid w:val="00973F4C"/>
    <w:rsid w:val="0097590F"/>
    <w:rsid w:val="00975E5B"/>
    <w:rsid w:val="00977EA1"/>
    <w:rsid w:val="00980472"/>
    <w:rsid w:val="0098228B"/>
    <w:rsid w:val="00982A15"/>
    <w:rsid w:val="00982E29"/>
    <w:rsid w:val="009862CF"/>
    <w:rsid w:val="00986803"/>
    <w:rsid w:val="00990612"/>
    <w:rsid w:val="00991C58"/>
    <w:rsid w:val="00991C73"/>
    <w:rsid w:val="00992032"/>
    <w:rsid w:val="00992940"/>
    <w:rsid w:val="0099357D"/>
    <w:rsid w:val="00993B03"/>
    <w:rsid w:val="00994460"/>
    <w:rsid w:val="00995AEB"/>
    <w:rsid w:val="009A45EE"/>
    <w:rsid w:val="009B08B5"/>
    <w:rsid w:val="009B2145"/>
    <w:rsid w:val="009C031F"/>
    <w:rsid w:val="009C4C1F"/>
    <w:rsid w:val="009C5E2F"/>
    <w:rsid w:val="009C6A1E"/>
    <w:rsid w:val="009C737A"/>
    <w:rsid w:val="009D3523"/>
    <w:rsid w:val="009D777E"/>
    <w:rsid w:val="009E03F7"/>
    <w:rsid w:val="009E04D5"/>
    <w:rsid w:val="009E10FB"/>
    <w:rsid w:val="009E221B"/>
    <w:rsid w:val="009E51B8"/>
    <w:rsid w:val="009E542D"/>
    <w:rsid w:val="009E667D"/>
    <w:rsid w:val="009E69C2"/>
    <w:rsid w:val="009E7BF7"/>
    <w:rsid w:val="009E7EC7"/>
    <w:rsid w:val="009F4955"/>
    <w:rsid w:val="00A007BF"/>
    <w:rsid w:val="00A024AD"/>
    <w:rsid w:val="00A02EAA"/>
    <w:rsid w:val="00A04E33"/>
    <w:rsid w:val="00A05B1D"/>
    <w:rsid w:val="00A1324F"/>
    <w:rsid w:val="00A15198"/>
    <w:rsid w:val="00A16BE4"/>
    <w:rsid w:val="00A16F2D"/>
    <w:rsid w:val="00A17032"/>
    <w:rsid w:val="00A200D5"/>
    <w:rsid w:val="00A206C7"/>
    <w:rsid w:val="00A20CB9"/>
    <w:rsid w:val="00A220B0"/>
    <w:rsid w:val="00A2295F"/>
    <w:rsid w:val="00A25EB8"/>
    <w:rsid w:val="00A27726"/>
    <w:rsid w:val="00A31267"/>
    <w:rsid w:val="00A34EAB"/>
    <w:rsid w:val="00A34FCC"/>
    <w:rsid w:val="00A359A0"/>
    <w:rsid w:val="00A37900"/>
    <w:rsid w:val="00A4118D"/>
    <w:rsid w:val="00A42E23"/>
    <w:rsid w:val="00A46F27"/>
    <w:rsid w:val="00A47BFA"/>
    <w:rsid w:val="00A51D18"/>
    <w:rsid w:val="00A5409C"/>
    <w:rsid w:val="00A543C6"/>
    <w:rsid w:val="00A56708"/>
    <w:rsid w:val="00A610C6"/>
    <w:rsid w:val="00A63FFA"/>
    <w:rsid w:val="00A64804"/>
    <w:rsid w:val="00A66F64"/>
    <w:rsid w:val="00A70D10"/>
    <w:rsid w:val="00A726FE"/>
    <w:rsid w:val="00A7459E"/>
    <w:rsid w:val="00A7625B"/>
    <w:rsid w:val="00A80306"/>
    <w:rsid w:val="00A80B34"/>
    <w:rsid w:val="00A81F5C"/>
    <w:rsid w:val="00A848B2"/>
    <w:rsid w:val="00A87241"/>
    <w:rsid w:val="00A87875"/>
    <w:rsid w:val="00A87AE7"/>
    <w:rsid w:val="00A87DEC"/>
    <w:rsid w:val="00A909C5"/>
    <w:rsid w:val="00A93F95"/>
    <w:rsid w:val="00A94319"/>
    <w:rsid w:val="00A947A6"/>
    <w:rsid w:val="00AA0F1B"/>
    <w:rsid w:val="00AA3DBC"/>
    <w:rsid w:val="00AA4E9B"/>
    <w:rsid w:val="00AA65DD"/>
    <w:rsid w:val="00AA7670"/>
    <w:rsid w:val="00AB0CD2"/>
    <w:rsid w:val="00AB1941"/>
    <w:rsid w:val="00AB2184"/>
    <w:rsid w:val="00AB4582"/>
    <w:rsid w:val="00AB62FD"/>
    <w:rsid w:val="00AB6A68"/>
    <w:rsid w:val="00AC0F98"/>
    <w:rsid w:val="00AC1F81"/>
    <w:rsid w:val="00AC1F99"/>
    <w:rsid w:val="00AC26FC"/>
    <w:rsid w:val="00AC48E2"/>
    <w:rsid w:val="00AC4F7A"/>
    <w:rsid w:val="00AD03FA"/>
    <w:rsid w:val="00AD17C3"/>
    <w:rsid w:val="00AD1BC3"/>
    <w:rsid w:val="00AD3D3C"/>
    <w:rsid w:val="00AD519B"/>
    <w:rsid w:val="00AD6912"/>
    <w:rsid w:val="00AD79C1"/>
    <w:rsid w:val="00AD7EC7"/>
    <w:rsid w:val="00AE2E43"/>
    <w:rsid w:val="00AE794F"/>
    <w:rsid w:val="00AF13E0"/>
    <w:rsid w:val="00AF4B54"/>
    <w:rsid w:val="00AF5B32"/>
    <w:rsid w:val="00AF62D9"/>
    <w:rsid w:val="00AF739B"/>
    <w:rsid w:val="00AF7D36"/>
    <w:rsid w:val="00B00999"/>
    <w:rsid w:val="00B03302"/>
    <w:rsid w:val="00B033BB"/>
    <w:rsid w:val="00B10158"/>
    <w:rsid w:val="00B11C16"/>
    <w:rsid w:val="00B11E3B"/>
    <w:rsid w:val="00B1412A"/>
    <w:rsid w:val="00B148E8"/>
    <w:rsid w:val="00B15D5D"/>
    <w:rsid w:val="00B15FB9"/>
    <w:rsid w:val="00B20C43"/>
    <w:rsid w:val="00B2390E"/>
    <w:rsid w:val="00B239D4"/>
    <w:rsid w:val="00B2406E"/>
    <w:rsid w:val="00B2455C"/>
    <w:rsid w:val="00B27761"/>
    <w:rsid w:val="00B368C9"/>
    <w:rsid w:val="00B372CD"/>
    <w:rsid w:val="00B40160"/>
    <w:rsid w:val="00B433B2"/>
    <w:rsid w:val="00B436E8"/>
    <w:rsid w:val="00B44455"/>
    <w:rsid w:val="00B4528E"/>
    <w:rsid w:val="00B47E7C"/>
    <w:rsid w:val="00B51E37"/>
    <w:rsid w:val="00B52938"/>
    <w:rsid w:val="00B546CF"/>
    <w:rsid w:val="00B54703"/>
    <w:rsid w:val="00B55716"/>
    <w:rsid w:val="00B55AE7"/>
    <w:rsid w:val="00B568C7"/>
    <w:rsid w:val="00B56E60"/>
    <w:rsid w:val="00B5721D"/>
    <w:rsid w:val="00B60D26"/>
    <w:rsid w:val="00B60DCF"/>
    <w:rsid w:val="00B628AB"/>
    <w:rsid w:val="00B63607"/>
    <w:rsid w:val="00B64E57"/>
    <w:rsid w:val="00B65437"/>
    <w:rsid w:val="00B67A6C"/>
    <w:rsid w:val="00B705D5"/>
    <w:rsid w:val="00B70AAA"/>
    <w:rsid w:val="00B70ED4"/>
    <w:rsid w:val="00B71407"/>
    <w:rsid w:val="00B72965"/>
    <w:rsid w:val="00B73E18"/>
    <w:rsid w:val="00B740BE"/>
    <w:rsid w:val="00B7543F"/>
    <w:rsid w:val="00B77A1F"/>
    <w:rsid w:val="00B80581"/>
    <w:rsid w:val="00B82C36"/>
    <w:rsid w:val="00B82DB8"/>
    <w:rsid w:val="00B832DA"/>
    <w:rsid w:val="00B83A70"/>
    <w:rsid w:val="00B8412A"/>
    <w:rsid w:val="00B84156"/>
    <w:rsid w:val="00B86A3B"/>
    <w:rsid w:val="00B90DE0"/>
    <w:rsid w:val="00B92ABD"/>
    <w:rsid w:val="00B95ECA"/>
    <w:rsid w:val="00B9635D"/>
    <w:rsid w:val="00B97E34"/>
    <w:rsid w:val="00BA1EB0"/>
    <w:rsid w:val="00BA530E"/>
    <w:rsid w:val="00BA6763"/>
    <w:rsid w:val="00BA7AD7"/>
    <w:rsid w:val="00BB1AFE"/>
    <w:rsid w:val="00BB3B68"/>
    <w:rsid w:val="00BB61B0"/>
    <w:rsid w:val="00BB66D4"/>
    <w:rsid w:val="00BC00B0"/>
    <w:rsid w:val="00BC0EBE"/>
    <w:rsid w:val="00BC2D19"/>
    <w:rsid w:val="00BC2EB8"/>
    <w:rsid w:val="00BC4155"/>
    <w:rsid w:val="00BC4ED2"/>
    <w:rsid w:val="00BC63C3"/>
    <w:rsid w:val="00BC7220"/>
    <w:rsid w:val="00BC7B3C"/>
    <w:rsid w:val="00BD03DA"/>
    <w:rsid w:val="00BD0756"/>
    <w:rsid w:val="00BD2157"/>
    <w:rsid w:val="00BD25DF"/>
    <w:rsid w:val="00BD2C23"/>
    <w:rsid w:val="00BD509C"/>
    <w:rsid w:val="00BD58B3"/>
    <w:rsid w:val="00BD58EF"/>
    <w:rsid w:val="00BD5962"/>
    <w:rsid w:val="00BD5BD8"/>
    <w:rsid w:val="00BD6F38"/>
    <w:rsid w:val="00BD7F57"/>
    <w:rsid w:val="00BE10D2"/>
    <w:rsid w:val="00BE247D"/>
    <w:rsid w:val="00BE25F4"/>
    <w:rsid w:val="00BF0719"/>
    <w:rsid w:val="00BF123E"/>
    <w:rsid w:val="00BF5060"/>
    <w:rsid w:val="00BF5765"/>
    <w:rsid w:val="00BF6199"/>
    <w:rsid w:val="00C00E74"/>
    <w:rsid w:val="00C03AA0"/>
    <w:rsid w:val="00C057C8"/>
    <w:rsid w:val="00C0737B"/>
    <w:rsid w:val="00C07FA6"/>
    <w:rsid w:val="00C12629"/>
    <w:rsid w:val="00C12CA0"/>
    <w:rsid w:val="00C175F8"/>
    <w:rsid w:val="00C219F2"/>
    <w:rsid w:val="00C23A74"/>
    <w:rsid w:val="00C24F55"/>
    <w:rsid w:val="00C252FD"/>
    <w:rsid w:val="00C2551F"/>
    <w:rsid w:val="00C274B0"/>
    <w:rsid w:val="00C336FC"/>
    <w:rsid w:val="00C34D2F"/>
    <w:rsid w:val="00C3749C"/>
    <w:rsid w:val="00C377E2"/>
    <w:rsid w:val="00C4305D"/>
    <w:rsid w:val="00C439E1"/>
    <w:rsid w:val="00C44A16"/>
    <w:rsid w:val="00C464D5"/>
    <w:rsid w:val="00C46EBE"/>
    <w:rsid w:val="00C5003D"/>
    <w:rsid w:val="00C50E52"/>
    <w:rsid w:val="00C535CF"/>
    <w:rsid w:val="00C55F02"/>
    <w:rsid w:val="00C570B5"/>
    <w:rsid w:val="00C640FA"/>
    <w:rsid w:val="00C655BE"/>
    <w:rsid w:val="00C6578D"/>
    <w:rsid w:val="00C66EE6"/>
    <w:rsid w:val="00C70B3A"/>
    <w:rsid w:val="00C71D00"/>
    <w:rsid w:val="00C762B1"/>
    <w:rsid w:val="00C77AB6"/>
    <w:rsid w:val="00C8587C"/>
    <w:rsid w:val="00C85D2C"/>
    <w:rsid w:val="00C87430"/>
    <w:rsid w:val="00C92934"/>
    <w:rsid w:val="00C92DCA"/>
    <w:rsid w:val="00C94C78"/>
    <w:rsid w:val="00C95164"/>
    <w:rsid w:val="00C95A0D"/>
    <w:rsid w:val="00CA33E1"/>
    <w:rsid w:val="00CA68A2"/>
    <w:rsid w:val="00CA6FFB"/>
    <w:rsid w:val="00CB044C"/>
    <w:rsid w:val="00CB056B"/>
    <w:rsid w:val="00CB313A"/>
    <w:rsid w:val="00CB4071"/>
    <w:rsid w:val="00CB75E5"/>
    <w:rsid w:val="00CB7740"/>
    <w:rsid w:val="00CC0CF7"/>
    <w:rsid w:val="00CC16E1"/>
    <w:rsid w:val="00CC1FBB"/>
    <w:rsid w:val="00CC2B70"/>
    <w:rsid w:val="00CC3FBE"/>
    <w:rsid w:val="00CC5FF2"/>
    <w:rsid w:val="00CC7D53"/>
    <w:rsid w:val="00CD1FFD"/>
    <w:rsid w:val="00CD3FE0"/>
    <w:rsid w:val="00CE0781"/>
    <w:rsid w:val="00CE14DB"/>
    <w:rsid w:val="00CE5552"/>
    <w:rsid w:val="00CE79C7"/>
    <w:rsid w:val="00CF0637"/>
    <w:rsid w:val="00CF10EA"/>
    <w:rsid w:val="00CF3B43"/>
    <w:rsid w:val="00CF431F"/>
    <w:rsid w:val="00CF6E4A"/>
    <w:rsid w:val="00CF78B6"/>
    <w:rsid w:val="00CF7A02"/>
    <w:rsid w:val="00D00B7B"/>
    <w:rsid w:val="00D00F57"/>
    <w:rsid w:val="00D05968"/>
    <w:rsid w:val="00D07B7D"/>
    <w:rsid w:val="00D15CA4"/>
    <w:rsid w:val="00D15EC2"/>
    <w:rsid w:val="00D15FBC"/>
    <w:rsid w:val="00D16FBF"/>
    <w:rsid w:val="00D172BD"/>
    <w:rsid w:val="00D20E64"/>
    <w:rsid w:val="00D20ECC"/>
    <w:rsid w:val="00D22772"/>
    <w:rsid w:val="00D229B7"/>
    <w:rsid w:val="00D240F4"/>
    <w:rsid w:val="00D25556"/>
    <w:rsid w:val="00D266B5"/>
    <w:rsid w:val="00D26A72"/>
    <w:rsid w:val="00D330A2"/>
    <w:rsid w:val="00D350D7"/>
    <w:rsid w:val="00D36343"/>
    <w:rsid w:val="00D3747A"/>
    <w:rsid w:val="00D37C25"/>
    <w:rsid w:val="00D37F81"/>
    <w:rsid w:val="00D40608"/>
    <w:rsid w:val="00D417B6"/>
    <w:rsid w:val="00D4392D"/>
    <w:rsid w:val="00D46781"/>
    <w:rsid w:val="00D46E3B"/>
    <w:rsid w:val="00D4797F"/>
    <w:rsid w:val="00D50F76"/>
    <w:rsid w:val="00D51C2A"/>
    <w:rsid w:val="00D533C4"/>
    <w:rsid w:val="00D538B7"/>
    <w:rsid w:val="00D5657E"/>
    <w:rsid w:val="00D63F82"/>
    <w:rsid w:val="00D677AD"/>
    <w:rsid w:val="00D700E4"/>
    <w:rsid w:val="00D70231"/>
    <w:rsid w:val="00D7028B"/>
    <w:rsid w:val="00D72304"/>
    <w:rsid w:val="00D72334"/>
    <w:rsid w:val="00D80701"/>
    <w:rsid w:val="00D823D2"/>
    <w:rsid w:val="00D8371C"/>
    <w:rsid w:val="00D84CFC"/>
    <w:rsid w:val="00D85312"/>
    <w:rsid w:val="00D85ECA"/>
    <w:rsid w:val="00D8659A"/>
    <w:rsid w:val="00D9190A"/>
    <w:rsid w:val="00D92798"/>
    <w:rsid w:val="00D94812"/>
    <w:rsid w:val="00D959F1"/>
    <w:rsid w:val="00DA06F1"/>
    <w:rsid w:val="00DA07CE"/>
    <w:rsid w:val="00DA38DB"/>
    <w:rsid w:val="00DA45A8"/>
    <w:rsid w:val="00DA7E94"/>
    <w:rsid w:val="00DB144C"/>
    <w:rsid w:val="00DB1548"/>
    <w:rsid w:val="00DB1AE5"/>
    <w:rsid w:val="00DB218F"/>
    <w:rsid w:val="00DB4E91"/>
    <w:rsid w:val="00DC0417"/>
    <w:rsid w:val="00DC0ABE"/>
    <w:rsid w:val="00DC1E34"/>
    <w:rsid w:val="00DC27B5"/>
    <w:rsid w:val="00DC2C84"/>
    <w:rsid w:val="00DC5F13"/>
    <w:rsid w:val="00DC6AE6"/>
    <w:rsid w:val="00DD1041"/>
    <w:rsid w:val="00DD223C"/>
    <w:rsid w:val="00DD2A9C"/>
    <w:rsid w:val="00DD5B16"/>
    <w:rsid w:val="00DD5D8A"/>
    <w:rsid w:val="00DD6DFF"/>
    <w:rsid w:val="00DE038D"/>
    <w:rsid w:val="00DE0539"/>
    <w:rsid w:val="00DE0956"/>
    <w:rsid w:val="00DE60C5"/>
    <w:rsid w:val="00DE61D3"/>
    <w:rsid w:val="00DF12A5"/>
    <w:rsid w:val="00DF4073"/>
    <w:rsid w:val="00DF603E"/>
    <w:rsid w:val="00DF7249"/>
    <w:rsid w:val="00E0373F"/>
    <w:rsid w:val="00E04DD9"/>
    <w:rsid w:val="00E05DBF"/>
    <w:rsid w:val="00E103F5"/>
    <w:rsid w:val="00E12113"/>
    <w:rsid w:val="00E12264"/>
    <w:rsid w:val="00E13A9F"/>
    <w:rsid w:val="00E13E89"/>
    <w:rsid w:val="00E1538C"/>
    <w:rsid w:val="00E15FB1"/>
    <w:rsid w:val="00E17A65"/>
    <w:rsid w:val="00E21050"/>
    <w:rsid w:val="00E22695"/>
    <w:rsid w:val="00E228BE"/>
    <w:rsid w:val="00E22B97"/>
    <w:rsid w:val="00E2385E"/>
    <w:rsid w:val="00E27057"/>
    <w:rsid w:val="00E31FD2"/>
    <w:rsid w:val="00E330E3"/>
    <w:rsid w:val="00E35F01"/>
    <w:rsid w:val="00E41B7B"/>
    <w:rsid w:val="00E42081"/>
    <w:rsid w:val="00E42793"/>
    <w:rsid w:val="00E42AAE"/>
    <w:rsid w:val="00E42B02"/>
    <w:rsid w:val="00E435B4"/>
    <w:rsid w:val="00E43C6C"/>
    <w:rsid w:val="00E44203"/>
    <w:rsid w:val="00E445F5"/>
    <w:rsid w:val="00E50F54"/>
    <w:rsid w:val="00E565FA"/>
    <w:rsid w:val="00E5673A"/>
    <w:rsid w:val="00E6039C"/>
    <w:rsid w:val="00E61278"/>
    <w:rsid w:val="00E62E0F"/>
    <w:rsid w:val="00E660E1"/>
    <w:rsid w:val="00E6750A"/>
    <w:rsid w:val="00E67CDD"/>
    <w:rsid w:val="00E708DE"/>
    <w:rsid w:val="00E718A8"/>
    <w:rsid w:val="00E72F45"/>
    <w:rsid w:val="00E73427"/>
    <w:rsid w:val="00E75734"/>
    <w:rsid w:val="00E80ABB"/>
    <w:rsid w:val="00E86F6F"/>
    <w:rsid w:val="00E87788"/>
    <w:rsid w:val="00E91D75"/>
    <w:rsid w:val="00E9539D"/>
    <w:rsid w:val="00EA0833"/>
    <w:rsid w:val="00EA0926"/>
    <w:rsid w:val="00EA09CD"/>
    <w:rsid w:val="00EA134C"/>
    <w:rsid w:val="00EA1CB1"/>
    <w:rsid w:val="00EA286A"/>
    <w:rsid w:val="00EA2FD6"/>
    <w:rsid w:val="00EA6E3E"/>
    <w:rsid w:val="00EB2C51"/>
    <w:rsid w:val="00EC3770"/>
    <w:rsid w:val="00EC3C49"/>
    <w:rsid w:val="00EC3D7F"/>
    <w:rsid w:val="00EC6A30"/>
    <w:rsid w:val="00EC6DF6"/>
    <w:rsid w:val="00EC7109"/>
    <w:rsid w:val="00ED0CD8"/>
    <w:rsid w:val="00ED1330"/>
    <w:rsid w:val="00ED14D8"/>
    <w:rsid w:val="00ED1B31"/>
    <w:rsid w:val="00ED2092"/>
    <w:rsid w:val="00ED4429"/>
    <w:rsid w:val="00ED6450"/>
    <w:rsid w:val="00EE1BA6"/>
    <w:rsid w:val="00EE2B5C"/>
    <w:rsid w:val="00EE3CC6"/>
    <w:rsid w:val="00EE57BC"/>
    <w:rsid w:val="00EE721A"/>
    <w:rsid w:val="00EE7833"/>
    <w:rsid w:val="00EF05DB"/>
    <w:rsid w:val="00EF302A"/>
    <w:rsid w:val="00EF4341"/>
    <w:rsid w:val="00EF490F"/>
    <w:rsid w:val="00EF5C97"/>
    <w:rsid w:val="00F01938"/>
    <w:rsid w:val="00F03136"/>
    <w:rsid w:val="00F04210"/>
    <w:rsid w:val="00F06A3A"/>
    <w:rsid w:val="00F13163"/>
    <w:rsid w:val="00F15D08"/>
    <w:rsid w:val="00F2040C"/>
    <w:rsid w:val="00F23180"/>
    <w:rsid w:val="00F2327F"/>
    <w:rsid w:val="00F27724"/>
    <w:rsid w:val="00F2781B"/>
    <w:rsid w:val="00F30386"/>
    <w:rsid w:val="00F3039D"/>
    <w:rsid w:val="00F30510"/>
    <w:rsid w:val="00F30CE3"/>
    <w:rsid w:val="00F31198"/>
    <w:rsid w:val="00F312DA"/>
    <w:rsid w:val="00F31C9F"/>
    <w:rsid w:val="00F31EE6"/>
    <w:rsid w:val="00F34181"/>
    <w:rsid w:val="00F34D58"/>
    <w:rsid w:val="00F3645F"/>
    <w:rsid w:val="00F4503F"/>
    <w:rsid w:val="00F50E49"/>
    <w:rsid w:val="00F513C2"/>
    <w:rsid w:val="00F51BCA"/>
    <w:rsid w:val="00F51BCC"/>
    <w:rsid w:val="00F51EFC"/>
    <w:rsid w:val="00F521AB"/>
    <w:rsid w:val="00F52229"/>
    <w:rsid w:val="00F54EEF"/>
    <w:rsid w:val="00F5601F"/>
    <w:rsid w:val="00F56462"/>
    <w:rsid w:val="00F574A7"/>
    <w:rsid w:val="00F61028"/>
    <w:rsid w:val="00F63521"/>
    <w:rsid w:val="00F646BA"/>
    <w:rsid w:val="00F73758"/>
    <w:rsid w:val="00F75C69"/>
    <w:rsid w:val="00F76851"/>
    <w:rsid w:val="00F778B7"/>
    <w:rsid w:val="00F77907"/>
    <w:rsid w:val="00F77A42"/>
    <w:rsid w:val="00F77C31"/>
    <w:rsid w:val="00F80A01"/>
    <w:rsid w:val="00F81160"/>
    <w:rsid w:val="00F81669"/>
    <w:rsid w:val="00F8379B"/>
    <w:rsid w:val="00F839DF"/>
    <w:rsid w:val="00F84E5E"/>
    <w:rsid w:val="00F86FE2"/>
    <w:rsid w:val="00F87277"/>
    <w:rsid w:val="00F9063D"/>
    <w:rsid w:val="00F91A1F"/>
    <w:rsid w:val="00F91D08"/>
    <w:rsid w:val="00F931A7"/>
    <w:rsid w:val="00F97611"/>
    <w:rsid w:val="00F97BD8"/>
    <w:rsid w:val="00FA04A5"/>
    <w:rsid w:val="00FA2824"/>
    <w:rsid w:val="00FA48B5"/>
    <w:rsid w:val="00FA492E"/>
    <w:rsid w:val="00FA506F"/>
    <w:rsid w:val="00FA70F8"/>
    <w:rsid w:val="00FB2B71"/>
    <w:rsid w:val="00FB3A45"/>
    <w:rsid w:val="00FB4D36"/>
    <w:rsid w:val="00FB60CB"/>
    <w:rsid w:val="00FB717C"/>
    <w:rsid w:val="00FB71B9"/>
    <w:rsid w:val="00FC0058"/>
    <w:rsid w:val="00FC00BA"/>
    <w:rsid w:val="00FC1782"/>
    <w:rsid w:val="00FC53B4"/>
    <w:rsid w:val="00FC5D74"/>
    <w:rsid w:val="00FD116F"/>
    <w:rsid w:val="00FD3EB8"/>
    <w:rsid w:val="00FD6F45"/>
    <w:rsid w:val="00FE0679"/>
    <w:rsid w:val="00FE2AB6"/>
    <w:rsid w:val="00FF5A04"/>
    <w:rsid w:val="00FF619B"/>
    <w:rsid w:val="00FF652A"/>
    <w:rsid w:val="00FF7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D9BA"/>
  <w15:chartTrackingRefBased/>
  <w15:docId w15:val="{8FC0105F-FD26-42F8-9462-692627CB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9E1"/>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040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0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0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0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0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0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0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0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0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0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0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0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0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0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0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0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05D8"/>
    <w:rPr>
      <w:rFonts w:eastAsiaTheme="majorEastAsia" w:cstheme="majorBidi"/>
      <w:color w:val="272727" w:themeColor="text1" w:themeTint="D8"/>
    </w:rPr>
  </w:style>
  <w:style w:type="paragraph" w:styleId="Title">
    <w:name w:val="Title"/>
    <w:basedOn w:val="Normal"/>
    <w:next w:val="Normal"/>
    <w:link w:val="TitleChar"/>
    <w:uiPriority w:val="10"/>
    <w:qFormat/>
    <w:rsid w:val="00040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0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0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0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05D8"/>
    <w:pPr>
      <w:spacing w:before="160"/>
      <w:jc w:val="center"/>
    </w:pPr>
    <w:rPr>
      <w:i/>
      <w:iCs/>
      <w:color w:val="404040" w:themeColor="text1" w:themeTint="BF"/>
    </w:rPr>
  </w:style>
  <w:style w:type="character" w:customStyle="1" w:styleId="QuoteChar">
    <w:name w:val="Quote Char"/>
    <w:basedOn w:val="DefaultParagraphFont"/>
    <w:link w:val="Quote"/>
    <w:uiPriority w:val="29"/>
    <w:rsid w:val="000405D8"/>
    <w:rPr>
      <w:i/>
      <w:iCs/>
      <w:color w:val="404040" w:themeColor="text1" w:themeTint="BF"/>
    </w:rPr>
  </w:style>
  <w:style w:type="paragraph" w:styleId="ListParagraph">
    <w:name w:val="List Paragraph"/>
    <w:basedOn w:val="Normal"/>
    <w:uiPriority w:val="34"/>
    <w:qFormat/>
    <w:rsid w:val="000405D8"/>
    <w:pPr>
      <w:ind w:left="720"/>
      <w:contextualSpacing/>
    </w:pPr>
  </w:style>
  <w:style w:type="character" w:styleId="IntenseEmphasis">
    <w:name w:val="Intense Emphasis"/>
    <w:basedOn w:val="DefaultParagraphFont"/>
    <w:uiPriority w:val="21"/>
    <w:qFormat/>
    <w:rsid w:val="000405D8"/>
    <w:rPr>
      <w:i/>
      <w:iCs/>
      <w:color w:val="0F4761" w:themeColor="accent1" w:themeShade="BF"/>
    </w:rPr>
  </w:style>
  <w:style w:type="paragraph" w:styleId="IntenseQuote">
    <w:name w:val="Intense Quote"/>
    <w:basedOn w:val="Normal"/>
    <w:next w:val="Normal"/>
    <w:link w:val="IntenseQuoteChar"/>
    <w:uiPriority w:val="30"/>
    <w:qFormat/>
    <w:rsid w:val="00040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05D8"/>
    <w:rPr>
      <w:i/>
      <w:iCs/>
      <w:color w:val="0F4761" w:themeColor="accent1" w:themeShade="BF"/>
    </w:rPr>
  </w:style>
  <w:style w:type="character" w:styleId="IntenseReference">
    <w:name w:val="Intense Reference"/>
    <w:basedOn w:val="DefaultParagraphFont"/>
    <w:uiPriority w:val="32"/>
    <w:qFormat/>
    <w:rsid w:val="000405D8"/>
    <w:rPr>
      <w:b/>
      <w:bCs/>
      <w:smallCaps/>
      <w:color w:val="0F4761" w:themeColor="accent1" w:themeShade="BF"/>
      <w:spacing w:val="5"/>
    </w:rPr>
  </w:style>
  <w:style w:type="table" w:styleId="TableGrid">
    <w:name w:val="Table Grid"/>
    <w:basedOn w:val="TableNormal"/>
    <w:uiPriority w:val="59"/>
    <w:rsid w:val="00C5003D"/>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228B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D4429"/>
    <w:pPr>
      <w:spacing w:after="0" w:line="240" w:lineRule="auto"/>
    </w:pPr>
    <w:rPr>
      <w:rFonts w:eastAsiaTheme="minorEastAsia"/>
      <w:kern w:val="0"/>
      <w:sz w:val="22"/>
      <w:szCs w:val="22"/>
      <w14:ligatures w14:val="none"/>
    </w:rPr>
  </w:style>
  <w:style w:type="character" w:styleId="Strong">
    <w:name w:val="Strong"/>
    <w:basedOn w:val="DefaultParagraphFont"/>
    <w:uiPriority w:val="22"/>
    <w:qFormat/>
    <w:rsid w:val="00FA506F"/>
    <w:rPr>
      <w:b/>
      <w:bCs/>
    </w:rPr>
  </w:style>
  <w:style w:type="paragraph" w:styleId="Header">
    <w:name w:val="header"/>
    <w:basedOn w:val="Normal"/>
    <w:link w:val="HeaderChar"/>
    <w:uiPriority w:val="99"/>
    <w:unhideWhenUsed/>
    <w:rsid w:val="00C07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37B"/>
    <w:rPr>
      <w:rFonts w:eastAsiaTheme="minorEastAsia"/>
      <w:kern w:val="0"/>
      <w:sz w:val="22"/>
      <w:szCs w:val="22"/>
      <w14:ligatures w14:val="none"/>
    </w:rPr>
  </w:style>
  <w:style w:type="paragraph" w:styleId="Footer">
    <w:name w:val="footer"/>
    <w:basedOn w:val="Normal"/>
    <w:link w:val="FooterChar"/>
    <w:uiPriority w:val="99"/>
    <w:unhideWhenUsed/>
    <w:rsid w:val="00C07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37B"/>
    <w:rPr>
      <w:rFonts w:eastAsiaTheme="minorEastAsia"/>
      <w:kern w:val="0"/>
      <w:sz w:val="22"/>
      <w:szCs w:val="22"/>
      <w14:ligatures w14:val="none"/>
    </w:rPr>
  </w:style>
  <w:style w:type="paragraph" w:customStyle="1" w:styleId="isselectedend">
    <w:name w:val="isselectedend"/>
    <w:basedOn w:val="Normal"/>
    <w:rsid w:val="00D533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8724">
      <w:bodyDiv w:val="1"/>
      <w:marLeft w:val="0"/>
      <w:marRight w:val="0"/>
      <w:marTop w:val="0"/>
      <w:marBottom w:val="0"/>
      <w:divBdr>
        <w:top w:val="none" w:sz="0" w:space="0" w:color="auto"/>
        <w:left w:val="none" w:sz="0" w:space="0" w:color="auto"/>
        <w:bottom w:val="none" w:sz="0" w:space="0" w:color="auto"/>
        <w:right w:val="none" w:sz="0" w:space="0" w:color="auto"/>
      </w:divBdr>
    </w:div>
    <w:div w:id="15350142">
      <w:bodyDiv w:val="1"/>
      <w:marLeft w:val="0"/>
      <w:marRight w:val="0"/>
      <w:marTop w:val="0"/>
      <w:marBottom w:val="0"/>
      <w:divBdr>
        <w:top w:val="none" w:sz="0" w:space="0" w:color="auto"/>
        <w:left w:val="none" w:sz="0" w:space="0" w:color="auto"/>
        <w:bottom w:val="none" w:sz="0" w:space="0" w:color="auto"/>
        <w:right w:val="none" w:sz="0" w:space="0" w:color="auto"/>
      </w:divBdr>
    </w:div>
    <w:div w:id="24720574">
      <w:bodyDiv w:val="1"/>
      <w:marLeft w:val="0"/>
      <w:marRight w:val="0"/>
      <w:marTop w:val="0"/>
      <w:marBottom w:val="0"/>
      <w:divBdr>
        <w:top w:val="none" w:sz="0" w:space="0" w:color="auto"/>
        <w:left w:val="none" w:sz="0" w:space="0" w:color="auto"/>
        <w:bottom w:val="none" w:sz="0" w:space="0" w:color="auto"/>
        <w:right w:val="none" w:sz="0" w:space="0" w:color="auto"/>
      </w:divBdr>
    </w:div>
    <w:div w:id="44331965">
      <w:bodyDiv w:val="1"/>
      <w:marLeft w:val="0"/>
      <w:marRight w:val="0"/>
      <w:marTop w:val="0"/>
      <w:marBottom w:val="0"/>
      <w:divBdr>
        <w:top w:val="none" w:sz="0" w:space="0" w:color="auto"/>
        <w:left w:val="none" w:sz="0" w:space="0" w:color="auto"/>
        <w:bottom w:val="none" w:sz="0" w:space="0" w:color="auto"/>
        <w:right w:val="none" w:sz="0" w:space="0" w:color="auto"/>
      </w:divBdr>
    </w:div>
    <w:div w:id="73628279">
      <w:bodyDiv w:val="1"/>
      <w:marLeft w:val="0"/>
      <w:marRight w:val="0"/>
      <w:marTop w:val="0"/>
      <w:marBottom w:val="0"/>
      <w:divBdr>
        <w:top w:val="none" w:sz="0" w:space="0" w:color="auto"/>
        <w:left w:val="none" w:sz="0" w:space="0" w:color="auto"/>
        <w:bottom w:val="none" w:sz="0" w:space="0" w:color="auto"/>
        <w:right w:val="none" w:sz="0" w:space="0" w:color="auto"/>
      </w:divBdr>
    </w:div>
    <w:div w:id="130948208">
      <w:bodyDiv w:val="1"/>
      <w:marLeft w:val="0"/>
      <w:marRight w:val="0"/>
      <w:marTop w:val="0"/>
      <w:marBottom w:val="0"/>
      <w:divBdr>
        <w:top w:val="none" w:sz="0" w:space="0" w:color="auto"/>
        <w:left w:val="none" w:sz="0" w:space="0" w:color="auto"/>
        <w:bottom w:val="none" w:sz="0" w:space="0" w:color="auto"/>
        <w:right w:val="none" w:sz="0" w:space="0" w:color="auto"/>
      </w:divBdr>
    </w:div>
    <w:div w:id="131409748">
      <w:bodyDiv w:val="1"/>
      <w:marLeft w:val="0"/>
      <w:marRight w:val="0"/>
      <w:marTop w:val="0"/>
      <w:marBottom w:val="0"/>
      <w:divBdr>
        <w:top w:val="none" w:sz="0" w:space="0" w:color="auto"/>
        <w:left w:val="none" w:sz="0" w:space="0" w:color="auto"/>
        <w:bottom w:val="none" w:sz="0" w:space="0" w:color="auto"/>
        <w:right w:val="none" w:sz="0" w:space="0" w:color="auto"/>
      </w:divBdr>
    </w:div>
    <w:div w:id="190607443">
      <w:bodyDiv w:val="1"/>
      <w:marLeft w:val="0"/>
      <w:marRight w:val="0"/>
      <w:marTop w:val="0"/>
      <w:marBottom w:val="0"/>
      <w:divBdr>
        <w:top w:val="none" w:sz="0" w:space="0" w:color="auto"/>
        <w:left w:val="none" w:sz="0" w:space="0" w:color="auto"/>
        <w:bottom w:val="none" w:sz="0" w:space="0" w:color="auto"/>
        <w:right w:val="none" w:sz="0" w:space="0" w:color="auto"/>
      </w:divBdr>
    </w:div>
    <w:div w:id="209340456">
      <w:bodyDiv w:val="1"/>
      <w:marLeft w:val="0"/>
      <w:marRight w:val="0"/>
      <w:marTop w:val="0"/>
      <w:marBottom w:val="0"/>
      <w:divBdr>
        <w:top w:val="none" w:sz="0" w:space="0" w:color="auto"/>
        <w:left w:val="none" w:sz="0" w:space="0" w:color="auto"/>
        <w:bottom w:val="none" w:sz="0" w:space="0" w:color="auto"/>
        <w:right w:val="none" w:sz="0" w:space="0" w:color="auto"/>
      </w:divBdr>
    </w:div>
    <w:div w:id="222713856">
      <w:bodyDiv w:val="1"/>
      <w:marLeft w:val="0"/>
      <w:marRight w:val="0"/>
      <w:marTop w:val="0"/>
      <w:marBottom w:val="0"/>
      <w:divBdr>
        <w:top w:val="none" w:sz="0" w:space="0" w:color="auto"/>
        <w:left w:val="none" w:sz="0" w:space="0" w:color="auto"/>
        <w:bottom w:val="none" w:sz="0" w:space="0" w:color="auto"/>
        <w:right w:val="none" w:sz="0" w:space="0" w:color="auto"/>
      </w:divBdr>
    </w:div>
    <w:div w:id="275138303">
      <w:bodyDiv w:val="1"/>
      <w:marLeft w:val="0"/>
      <w:marRight w:val="0"/>
      <w:marTop w:val="0"/>
      <w:marBottom w:val="0"/>
      <w:divBdr>
        <w:top w:val="none" w:sz="0" w:space="0" w:color="auto"/>
        <w:left w:val="none" w:sz="0" w:space="0" w:color="auto"/>
        <w:bottom w:val="none" w:sz="0" w:space="0" w:color="auto"/>
        <w:right w:val="none" w:sz="0" w:space="0" w:color="auto"/>
      </w:divBdr>
    </w:div>
    <w:div w:id="277415234">
      <w:bodyDiv w:val="1"/>
      <w:marLeft w:val="0"/>
      <w:marRight w:val="0"/>
      <w:marTop w:val="0"/>
      <w:marBottom w:val="0"/>
      <w:divBdr>
        <w:top w:val="none" w:sz="0" w:space="0" w:color="auto"/>
        <w:left w:val="none" w:sz="0" w:space="0" w:color="auto"/>
        <w:bottom w:val="none" w:sz="0" w:space="0" w:color="auto"/>
        <w:right w:val="none" w:sz="0" w:space="0" w:color="auto"/>
      </w:divBdr>
    </w:div>
    <w:div w:id="292250402">
      <w:bodyDiv w:val="1"/>
      <w:marLeft w:val="0"/>
      <w:marRight w:val="0"/>
      <w:marTop w:val="0"/>
      <w:marBottom w:val="0"/>
      <w:divBdr>
        <w:top w:val="none" w:sz="0" w:space="0" w:color="auto"/>
        <w:left w:val="none" w:sz="0" w:space="0" w:color="auto"/>
        <w:bottom w:val="none" w:sz="0" w:space="0" w:color="auto"/>
        <w:right w:val="none" w:sz="0" w:space="0" w:color="auto"/>
      </w:divBdr>
    </w:div>
    <w:div w:id="382608183">
      <w:bodyDiv w:val="1"/>
      <w:marLeft w:val="0"/>
      <w:marRight w:val="0"/>
      <w:marTop w:val="0"/>
      <w:marBottom w:val="0"/>
      <w:divBdr>
        <w:top w:val="none" w:sz="0" w:space="0" w:color="auto"/>
        <w:left w:val="none" w:sz="0" w:space="0" w:color="auto"/>
        <w:bottom w:val="none" w:sz="0" w:space="0" w:color="auto"/>
        <w:right w:val="none" w:sz="0" w:space="0" w:color="auto"/>
      </w:divBdr>
    </w:div>
    <w:div w:id="409549289">
      <w:bodyDiv w:val="1"/>
      <w:marLeft w:val="0"/>
      <w:marRight w:val="0"/>
      <w:marTop w:val="0"/>
      <w:marBottom w:val="0"/>
      <w:divBdr>
        <w:top w:val="none" w:sz="0" w:space="0" w:color="auto"/>
        <w:left w:val="none" w:sz="0" w:space="0" w:color="auto"/>
        <w:bottom w:val="none" w:sz="0" w:space="0" w:color="auto"/>
        <w:right w:val="none" w:sz="0" w:space="0" w:color="auto"/>
      </w:divBdr>
    </w:div>
    <w:div w:id="501551882">
      <w:bodyDiv w:val="1"/>
      <w:marLeft w:val="0"/>
      <w:marRight w:val="0"/>
      <w:marTop w:val="0"/>
      <w:marBottom w:val="0"/>
      <w:divBdr>
        <w:top w:val="none" w:sz="0" w:space="0" w:color="auto"/>
        <w:left w:val="none" w:sz="0" w:space="0" w:color="auto"/>
        <w:bottom w:val="none" w:sz="0" w:space="0" w:color="auto"/>
        <w:right w:val="none" w:sz="0" w:space="0" w:color="auto"/>
      </w:divBdr>
    </w:div>
    <w:div w:id="528645716">
      <w:bodyDiv w:val="1"/>
      <w:marLeft w:val="0"/>
      <w:marRight w:val="0"/>
      <w:marTop w:val="0"/>
      <w:marBottom w:val="0"/>
      <w:divBdr>
        <w:top w:val="none" w:sz="0" w:space="0" w:color="auto"/>
        <w:left w:val="none" w:sz="0" w:space="0" w:color="auto"/>
        <w:bottom w:val="none" w:sz="0" w:space="0" w:color="auto"/>
        <w:right w:val="none" w:sz="0" w:space="0" w:color="auto"/>
      </w:divBdr>
    </w:div>
    <w:div w:id="542836216">
      <w:bodyDiv w:val="1"/>
      <w:marLeft w:val="0"/>
      <w:marRight w:val="0"/>
      <w:marTop w:val="0"/>
      <w:marBottom w:val="0"/>
      <w:divBdr>
        <w:top w:val="none" w:sz="0" w:space="0" w:color="auto"/>
        <w:left w:val="none" w:sz="0" w:space="0" w:color="auto"/>
        <w:bottom w:val="none" w:sz="0" w:space="0" w:color="auto"/>
        <w:right w:val="none" w:sz="0" w:space="0" w:color="auto"/>
      </w:divBdr>
    </w:div>
    <w:div w:id="544564784">
      <w:bodyDiv w:val="1"/>
      <w:marLeft w:val="0"/>
      <w:marRight w:val="0"/>
      <w:marTop w:val="0"/>
      <w:marBottom w:val="0"/>
      <w:divBdr>
        <w:top w:val="none" w:sz="0" w:space="0" w:color="auto"/>
        <w:left w:val="none" w:sz="0" w:space="0" w:color="auto"/>
        <w:bottom w:val="none" w:sz="0" w:space="0" w:color="auto"/>
        <w:right w:val="none" w:sz="0" w:space="0" w:color="auto"/>
      </w:divBdr>
    </w:div>
    <w:div w:id="550921307">
      <w:bodyDiv w:val="1"/>
      <w:marLeft w:val="0"/>
      <w:marRight w:val="0"/>
      <w:marTop w:val="0"/>
      <w:marBottom w:val="0"/>
      <w:divBdr>
        <w:top w:val="none" w:sz="0" w:space="0" w:color="auto"/>
        <w:left w:val="none" w:sz="0" w:space="0" w:color="auto"/>
        <w:bottom w:val="none" w:sz="0" w:space="0" w:color="auto"/>
        <w:right w:val="none" w:sz="0" w:space="0" w:color="auto"/>
      </w:divBdr>
    </w:div>
    <w:div w:id="582950921">
      <w:bodyDiv w:val="1"/>
      <w:marLeft w:val="0"/>
      <w:marRight w:val="0"/>
      <w:marTop w:val="0"/>
      <w:marBottom w:val="0"/>
      <w:divBdr>
        <w:top w:val="none" w:sz="0" w:space="0" w:color="auto"/>
        <w:left w:val="none" w:sz="0" w:space="0" w:color="auto"/>
        <w:bottom w:val="none" w:sz="0" w:space="0" w:color="auto"/>
        <w:right w:val="none" w:sz="0" w:space="0" w:color="auto"/>
      </w:divBdr>
    </w:div>
    <w:div w:id="587737711">
      <w:bodyDiv w:val="1"/>
      <w:marLeft w:val="0"/>
      <w:marRight w:val="0"/>
      <w:marTop w:val="0"/>
      <w:marBottom w:val="0"/>
      <w:divBdr>
        <w:top w:val="none" w:sz="0" w:space="0" w:color="auto"/>
        <w:left w:val="none" w:sz="0" w:space="0" w:color="auto"/>
        <w:bottom w:val="none" w:sz="0" w:space="0" w:color="auto"/>
        <w:right w:val="none" w:sz="0" w:space="0" w:color="auto"/>
      </w:divBdr>
    </w:div>
    <w:div w:id="623580258">
      <w:bodyDiv w:val="1"/>
      <w:marLeft w:val="0"/>
      <w:marRight w:val="0"/>
      <w:marTop w:val="0"/>
      <w:marBottom w:val="0"/>
      <w:divBdr>
        <w:top w:val="none" w:sz="0" w:space="0" w:color="auto"/>
        <w:left w:val="none" w:sz="0" w:space="0" w:color="auto"/>
        <w:bottom w:val="none" w:sz="0" w:space="0" w:color="auto"/>
        <w:right w:val="none" w:sz="0" w:space="0" w:color="auto"/>
      </w:divBdr>
      <w:divsChild>
        <w:div w:id="1397121862">
          <w:marLeft w:val="0"/>
          <w:marRight w:val="0"/>
          <w:marTop w:val="0"/>
          <w:marBottom w:val="0"/>
          <w:divBdr>
            <w:top w:val="none" w:sz="0" w:space="0" w:color="auto"/>
            <w:left w:val="none" w:sz="0" w:space="0" w:color="auto"/>
            <w:bottom w:val="none" w:sz="0" w:space="0" w:color="auto"/>
            <w:right w:val="none" w:sz="0" w:space="0" w:color="auto"/>
          </w:divBdr>
          <w:divsChild>
            <w:div w:id="604458639">
              <w:marLeft w:val="0"/>
              <w:marRight w:val="0"/>
              <w:marTop w:val="0"/>
              <w:marBottom w:val="0"/>
              <w:divBdr>
                <w:top w:val="none" w:sz="0" w:space="0" w:color="auto"/>
                <w:left w:val="none" w:sz="0" w:space="0" w:color="auto"/>
                <w:bottom w:val="none" w:sz="0" w:space="0" w:color="auto"/>
                <w:right w:val="none" w:sz="0" w:space="0" w:color="auto"/>
              </w:divBdr>
              <w:divsChild>
                <w:div w:id="396127010">
                  <w:marLeft w:val="0"/>
                  <w:marRight w:val="0"/>
                  <w:marTop w:val="0"/>
                  <w:marBottom w:val="0"/>
                  <w:divBdr>
                    <w:top w:val="none" w:sz="0" w:space="0" w:color="auto"/>
                    <w:left w:val="none" w:sz="0" w:space="0" w:color="auto"/>
                    <w:bottom w:val="none" w:sz="0" w:space="0" w:color="auto"/>
                    <w:right w:val="none" w:sz="0" w:space="0" w:color="auto"/>
                  </w:divBdr>
                  <w:divsChild>
                    <w:div w:id="564685822">
                      <w:marLeft w:val="0"/>
                      <w:marRight w:val="0"/>
                      <w:marTop w:val="0"/>
                      <w:marBottom w:val="0"/>
                      <w:divBdr>
                        <w:top w:val="none" w:sz="0" w:space="0" w:color="auto"/>
                        <w:left w:val="none" w:sz="0" w:space="0" w:color="auto"/>
                        <w:bottom w:val="none" w:sz="0" w:space="0" w:color="auto"/>
                        <w:right w:val="none" w:sz="0" w:space="0" w:color="auto"/>
                      </w:divBdr>
                      <w:divsChild>
                        <w:div w:id="1905729">
                          <w:marLeft w:val="0"/>
                          <w:marRight w:val="0"/>
                          <w:marTop w:val="0"/>
                          <w:marBottom w:val="0"/>
                          <w:divBdr>
                            <w:top w:val="none" w:sz="0" w:space="0" w:color="auto"/>
                            <w:left w:val="none" w:sz="0" w:space="0" w:color="auto"/>
                            <w:bottom w:val="none" w:sz="0" w:space="0" w:color="auto"/>
                            <w:right w:val="none" w:sz="0" w:space="0" w:color="auto"/>
                          </w:divBdr>
                          <w:divsChild>
                            <w:div w:id="1625307730">
                              <w:marLeft w:val="0"/>
                              <w:marRight w:val="0"/>
                              <w:marTop w:val="0"/>
                              <w:marBottom w:val="0"/>
                              <w:divBdr>
                                <w:top w:val="none" w:sz="0" w:space="0" w:color="auto"/>
                                <w:left w:val="none" w:sz="0" w:space="0" w:color="auto"/>
                                <w:bottom w:val="none" w:sz="0" w:space="0" w:color="auto"/>
                                <w:right w:val="none" w:sz="0" w:space="0" w:color="auto"/>
                              </w:divBdr>
                              <w:divsChild>
                                <w:div w:id="3772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326143">
      <w:bodyDiv w:val="1"/>
      <w:marLeft w:val="0"/>
      <w:marRight w:val="0"/>
      <w:marTop w:val="0"/>
      <w:marBottom w:val="0"/>
      <w:divBdr>
        <w:top w:val="none" w:sz="0" w:space="0" w:color="auto"/>
        <w:left w:val="none" w:sz="0" w:space="0" w:color="auto"/>
        <w:bottom w:val="none" w:sz="0" w:space="0" w:color="auto"/>
        <w:right w:val="none" w:sz="0" w:space="0" w:color="auto"/>
      </w:divBdr>
    </w:div>
    <w:div w:id="660960846">
      <w:bodyDiv w:val="1"/>
      <w:marLeft w:val="0"/>
      <w:marRight w:val="0"/>
      <w:marTop w:val="0"/>
      <w:marBottom w:val="0"/>
      <w:divBdr>
        <w:top w:val="none" w:sz="0" w:space="0" w:color="auto"/>
        <w:left w:val="none" w:sz="0" w:space="0" w:color="auto"/>
        <w:bottom w:val="none" w:sz="0" w:space="0" w:color="auto"/>
        <w:right w:val="none" w:sz="0" w:space="0" w:color="auto"/>
      </w:divBdr>
    </w:div>
    <w:div w:id="684944397">
      <w:bodyDiv w:val="1"/>
      <w:marLeft w:val="0"/>
      <w:marRight w:val="0"/>
      <w:marTop w:val="0"/>
      <w:marBottom w:val="0"/>
      <w:divBdr>
        <w:top w:val="none" w:sz="0" w:space="0" w:color="auto"/>
        <w:left w:val="none" w:sz="0" w:space="0" w:color="auto"/>
        <w:bottom w:val="none" w:sz="0" w:space="0" w:color="auto"/>
        <w:right w:val="none" w:sz="0" w:space="0" w:color="auto"/>
      </w:divBdr>
      <w:divsChild>
        <w:div w:id="656031703">
          <w:marLeft w:val="0"/>
          <w:marRight w:val="0"/>
          <w:marTop w:val="0"/>
          <w:marBottom w:val="0"/>
          <w:divBdr>
            <w:top w:val="none" w:sz="0" w:space="0" w:color="auto"/>
            <w:left w:val="none" w:sz="0" w:space="0" w:color="auto"/>
            <w:bottom w:val="none" w:sz="0" w:space="0" w:color="auto"/>
            <w:right w:val="none" w:sz="0" w:space="0" w:color="auto"/>
          </w:divBdr>
          <w:divsChild>
            <w:div w:id="1377386795">
              <w:marLeft w:val="0"/>
              <w:marRight w:val="0"/>
              <w:marTop w:val="0"/>
              <w:marBottom w:val="0"/>
              <w:divBdr>
                <w:top w:val="none" w:sz="0" w:space="0" w:color="auto"/>
                <w:left w:val="none" w:sz="0" w:space="0" w:color="auto"/>
                <w:bottom w:val="none" w:sz="0" w:space="0" w:color="auto"/>
                <w:right w:val="none" w:sz="0" w:space="0" w:color="auto"/>
              </w:divBdr>
              <w:divsChild>
                <w:div w:id="963270177">
                  <w:marLeft w:val="0"/>
                  <w:marRight w:val="0"/>
                  <w:marTop w:val="0"/>
                  <w:marBottom w:val="0"/>
                  <w:divBdr>
                    <w:top w:val="none" w:sz="0" w:space="0" w:color="auto"/>
                    <w:left w:val="none" w:sz="0" w:space="0" w:color="auto"/>
                    <w:bottom w:val="none" w:sz="0" w:space="0" w:color="auto"/>
                    <w:right w:val="none" w:sz="0" w:space="0" w:color="auto"/>
                  </w:divBdr>
                  <w:divsChild>
                    <w:div w:id="873076939">
                      <w:marLeft w:val="0"/>
                      <w:marRight w:val="0"/>
                      <w:marTop w:val="0"/>
                      <w:marBottom w:val="0"/>
                      <w:divBdr>
                        <w:top w:val="none" w:sz="0" w:space="0" w:color="auto"/>
                        <w:left w:val="none" w:sz="0" w:space="0" w:color="auto"/>
                        <w:bottom w:val="none" w:sz="0" w:space="0" w:color="auto"/>
                        <w:right w:val="none" w:sz="0" w:space="0" w:color="auto"/>
                      </w:divBdr>
                      <w:divsChild>
                        <w:div w:id="2109613213">
                          <w:marLeft w:val="0"/>
                          <w:marRight w:val="0"/>
                          <w:marTop w:val="0"/>
                          <w:marBottom w:val="0"/>
                          <w:divBdr>
                            <w:top w:val="none" w:sz="0" w:space="0" w:color="auto"/>
                            <w:left w:val="none" w:sz="0" w:space="0" w:color="auto"/>
                            <w:bottom w:val="none" w:sz="0" w:space="0" w:color="auto"/>
                            <w:right w:val="none" w:sz="0" w:space="0" w:color="auto"/>
                          </w:divBdr>
                          <w:divsChild>
                            <w:div w:id="8738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520318">
      <w:bodyDiv w:val="1"/>
      <w:marLeft w:val="0"/>
      <w:marRight w:val="0"/>
      <w:marTop w:val="0"/>
      <w:marBottom w:val="0"/>
      <w:divBdr>
        <w:top w:val="none" w:sz="0" w:space="0" w:color="auto"/>
        <w:left w:val="none" w:sz="0" w:space="0" w:color="auto"/>
        <w:bottom w:val="none" w:sz="0" w:space="0" w:color="auto"/>
        <w:right w:val="none" w:sz="0" w:space="0" w:color="auto"/>
      </w:divBdr>
    </w:div>
    <w:div w:id="689067792">
      <w:bodyDiv w:val="1"/>
      <w:marLeft w:val="0"/>
      <w:marRight w:val="0"/>
      <w:marTop w:val="0"/>
      <w:marBottom w:val="0"/>
      <w:divBdr>
        <w:top w:val="none" w:sz="0" w:space="0" w:color="auto"/>
        <w:left w:val="none" w:sz="0" w:space="0" w:color="auto"/>
        <w:bottom w:val="none" w:sz="0" w:space="0" w:color="auto"/>
        <w:right w:val="none" w:sz="0" w:space="0" w:color="auto"/>
      </w:divBdr>
    </w:div>
    <w:div w:id="696540583">
      <w:bodyDiv w:val="1"/>
      <w:marLeft w:val="0"/>
      <w:marRight w:val="0"/>
      <w:marTop w:val="0"/>
      <w:marBottom w:val="0"/>
      <w:divBdr>
        <w:top w:val="none" w:sz="0" w:space="0" w:color="auto"/>
        <w:left w:val="none" w:sz="0" w:space="0" w:color="auto"/>
        <w:bottom w:val="none" w:sz="0" w:space="0" w:color="auto"/>
        <w:right w:val="none" w:sz="0" w:space="0" w:color="auto"/>
      </w:divBdr>
    </w:div>
    <w:div w:id="700010862">
      <w:bodyDiv w:val="1"/>
      <w:marLeft w:val="0"/>
      <w:marRight w:val="0"/>
      <w:marTop w:val="0"/>
      <w:marBottom w:val="0"/>
      <w:divBdr>
        <w:top w:val="none" w:sz="0" w:space="0" w:color="auto"/>
        <w:left w:val="none" w:sz="0" w:space="0" w:color="auto"/>
        <w:bottom w:val="none" w:sz="0" w:space="0" w:color="auto"/>
        <w:right w:val="none" w:sz="0" w:space="0" w:color="auto"/>
      </w:divBdr>
    </w:div>
    <w:div w:id="745298297">
      <w:bodyDiv w:val="1"/>
      <w:marLeft w:val="0"/>
      <w:marRight w:val="0"/>
      <w:marTop w:val="0"/>
      <w:marBottom w:val="0"/>
      <w:divBdr>
        <w:top w:val="none" w:sz="0" w:space="0" w:color="auto"/>
        <w:left w:val="none" w:sz="0" w:space="0" w:color="auto"/>
        <w:bottom w:val="none" w:sz="0" w:space="0" w:color="auto"/>
        <w:right w:val="none" w:sz="0" w:space="0" w:color="auto"/>
      </w:divBdr>
    </w:div>
    <w:div w:id="778373302">
      <w:bodyDiv w:val="1"/>
      <w:marLeft w:val="0"/>
      <w:marRight w:val="0"/>
      <w:marTop w:val="0"/>
      <w:marBottom w:val="0"/>
      <w:divBdr>
        <w:top w:val="none" w:sz="0" w:space="0" w:color="auto"/>
        <w:left w:val="none" w:sz="0" w:space="0" w:color="auto"/>
        <w:bottom w:val="none" w:sz="0" w:space="0" w:color="auto"/>
        <w:right w:val="none" w:sz="0" w:space="0" w:color="auto"/>
      </w:divBdr>
    </w:div>
    <w:div w:id="779683584">
      <w:bodyDiv w:val="1"/>
      <w:marLeft w:val="0"/>
      <w:marRight w:val="0"/>
      <w:marTop w:val="0"/>
      <w:marBottom w:val="0"/>
      <w:divBdr>
        <w:top w:val="none" w:sz="0" w:space="0" w:color="auto"/>
        <w:left w:val="none" w:sz="0" w:space="0" w:color="auto"/>
        <w:bottom w:val="none" w:sz="0" w:space="0" w:color="auto"/>
        <w:right w:val="none" w:sz="0" w:space="0" w:color="auto"/>
      </w:divBdr>
    </w:div>
    <w:div w:id="784232521">
      <w:bodyDiv w:val="1"/>
      <w:marLeft w:val="0"/>
      <w:marRight w:val="0"/>
      <w:marTop w:val="0"/>
      <w:marBottom w:val="0"/>
      <w:divBdr>
        <w:top w:val="none" w:sz="0" w:space="0" w:color="auto"/>
        <w:left w:val="none" w:sz="0" w:space="0" w:color="auto"/>
        <w:bottom w:val="none" w:sz="0" w:space="0" w:color="auto"/>
        <w:right w:val="none" w:sz="0" w:space="0" w:color="auto"/>
      </w:divBdr>
    </w:div>
    <w:div w:id="792945697">
      <w:bodyDiv w:val="1"/>
      <w:marLeft w:val="0"/>
      <w:marRight w:val="0"/>
      <w:marTop w:val="0"/>
      <w:marBottom w:val="0"/>
      <w:divBdr>
        <w:top w:val="none" w:sz="0" w:space="0" w:color="auto"/>
        <w:left w:val="none" w:sz="0" w:space="0" w:color="auto"/>
        <w:bottom w:val="none" w:sz="0" w:space="0" w:color="auto"/>
        <w:right w:val="none" w:sz="0" w:space="0" w:color="auto"/>
      </w:divBdr>
    </w:div>
    <w:div w:id="809858206">
      <w:bodyDiv w:val="1"/>
      <w:marLeft w:val="0"/>
      <w:marRight w:val="0"/>
      <w:marTop w:val="0"/>
      <w:marBottom w:val="0"/>
      <w:divBdr>
        <w:top w:val="none" w:sz="0" w:space="0" w:color="auto"/>
        <w:left w:val="none" w:sz="0" w:space="0" w:color="auto"/>
        <w:bottom w:val="none" w:sz="0" w:space="0" w:color="auto"/>
        <w:right w:val="none" w:sz="0" w:space="0" w:color="auto"/>
      </w:divBdr>
    </w:div>
    <w:div w:id="825898943">
      <w:bodyDiv w:val="1"/>
      <w:marLeft w:val="0"/>
      <w:marRight w:val="0"/>
      <w:marTop w:val="0"/>
      <w:marBottom w:val="0"/>
      <w:divBdr>
        <w:top w:val="none" w:sz="0" w:space="0" w:color="auto"/>
        <w:left w:val="none" w:sz="0" w:space="0" w:color="auto"/>
        <w:bottom w:val="none" w:sz="0" w:space="0" w:color="auto"/>
        <w:right w:val="none" w:sz="0" w:space="0" w:color="auto"/>
      </w:divBdr>
    </w:div>
    <w:div w:id="852575166">
      <w:bodyDiv w:val="1"/>
      <w:marLeft w:val="0"/>
      <w:marRight w:val="0"/>
      <w:marTop w:val="0"/>
      <w:marBottom w:val="0"/>
      <w:divBdr>
        <w:top w:val="none" w:sz="0" w:space="0" w:color="auto"/>
        <w:left w:val="none" w:sz="0" w:space="0" w:color="auto"/>
        <w:bottom w:val="none" w:sz="0" w:space="0" w:color="auto"/>
        <w:right w:val="none" w:sz="0" w:space="0" w:color="auto"/>
      </w:divBdr>
    </w:div>
    <w:div w:id="864632789">
      <w:bodyDiv w:val="1"/>
      <w:marLeft w:val="0"/>
      <w:marRight w:val="0"/>
      <w:marTop w:val="0"/>
      <w:marBottom w:val="0"/>
      <w:divBdr>
        <w:top w:val="none" w:sz="0" w:space="0" w:color="auto"/>
        <w:left w:val="none" w:sz="0" w:space="0" w:color="auto"/>
        <w:bottom w:val="none" w:sz="0" w:space="0" w:color="auto"/>
        <w:right w:val="none" w:sz="0" w:space="0" w:color="auto"/>
      </w:divBdr>
    </w:div>
    <w:div w:id="892698019">
      <w:bodyDiv w:val="1"/>
      <w:marLeft w:val="0"/>
      <w:marRight w:val="0"/>
      <w:marTop w:val="0"/>
      <w:marBottom w:val="0"/>
      <w:divBdr>
        <w:top w:val="none" w:sz="0" w:space="0" w:color="auto"/>
        <w:left w:val="none" w:sz="0" w:space="0" w:color="auto"/>
        <w:bottom w:val="none" w:sz="0" w:space="0" w:color="auto"/>
        <w:right w:val="none" w:sz="0" w:space="0" w:color="auto"/>
      </w:divBdr>
    </w:div>
    <w:div w:id="900678438">
      <w:bodyDiv w:val="1"/>
      <w:marLeft w:val="0"/>
      <w:marRight w:val="0"/>
      <w:marTop w:val="0"/>
      <w:marBottom w:val="0"/>
      <w:divBdr>
        <w:top w:val="none" w:sz="0" w:space="0" w:color="auto"/>
        <w:left w:val="none" w:sz="0" w:space="0" w:color="auto"/>
        <w:bottom w:val="none" w:sz="0" w:space="0" w:color="auto"/>
        <w:right w:val="none" w:sz="0" w:space="0" w:color="auto"/>
      </w:divBdr>
    </w:div>
    <w:div w:id="904602536">
      <w:bodyDiv w:val="1"/>
      <w:marLeft w:val="0"/>
      <w:marRight w:val="0"/>
      <w:marTop w:val="0"/>
      <w:marBottom w:val="0"/>
      <w:divBdr>
        <w:top w:val="none" w:sz="0" w:space="0" w:color="auto"/>
        <w:left w:val="none" w:sz="0" w:space="0" w:color="auto"/>
        <w:bottom w:val="none" w:sz="0" w:space="0" w:color="auto"/>
        <w:right w:val="none" w:sz="0" w:space="0" w:color="auto"/>
      </w:divBdr>
      <w:divsChild>
        <w:div w:id="1200632563">
          <w:marLeft w:val="0"/>
          <w:marRight w:val="0"/>
          <w:marTop w:val="0"/>
          <w:marBottom w:val="0"/>
          <w:divBdr>
            <w:top w:val="none" w:sz="0" w:space="0" w:color="auto"/>
            <w:left w:val="none" w:sz="0" w:space="0" w:color="auto"/>
            <w:bottom w:val="none" w:sz="0" w:space="0" w:color="auto"/>
            <w:right w:val="none" w:sz="0" w:space="0" w:color="auto"/>
          </w:divBdr>
          <w:divsChild>
            <w:div w:id="1705011239">
              <w:marLeft w:val="0"/>
              <w:marRight w:val="0"/>
              <w:marTop w:val="0"/>
              <w:marBottom w:val="0"/>
              <w:divBdr>
                <w:top w:val="none" w:sz="0" w:space="0" w:color="auto"/>
                <w:left w:val="none" w:sz="0" w:space="0" w:color="auto"/>
                <w:bottom w:val="none" w:sz="0" w:space="0" w:color="auto"/>
                <w:right w:val="none" w:sz="0" w:space="0" w:color="auto"/>
              </w:divBdr>
              <w:divsChild>
                <w:div w:id="1145659241">
                  <w:marLeft w:val="0"/>
                  <w:marRight w:val="0"/>
                  <w:marTop w:val="0"/>
                  <w:marBottom w:val="0"/>
                  <w:divBdr>
                    <w:top w:val="none" w:sz="0" w:space="0" w:color="auto"/>
                    <w:left w:val="none" w:sz="0" w:space="0" w:color="auto"/>
                    <w:bottom w:val="none" w:sz="0" w:space="0" w:color="auto"/>
                    <w:right w:val="none" w:sz="0" w:space="0" w:color="auto"/>
                  </w:divBdr>
                  <w:divsChild>
                    <w:div w:id="290136381">
                      <w:marLeft w:val="0"/>
                      <w:marRight w:val="0"/>
                      <w:marTop w:val="0"/>
                      <w:marBottom w:val="0"/>
                      <w:divBdr>
                        <w:top w:val="none" w:sz="0" w:space="0" w:color="auto"/>
                        <w:left w:val="none" w:sz="0" w:space="0" w:color="auto"/>
                        <w:bottom w:val="none" w:sz="0" w:space="0" w:color="auto"/>
                        <w:right w:val="none" w:sz="0" w:space="0" w:color="auto"/>
                      </w:divBdr>
                      <w:divsChild>
                        <w:div w:id="1792819241">
                          <w:marLeft w:val="0"/>
                          <w:marRight w:val="0"/>
                          <w:marTop w:val="0"/>
                          <w:marBottom w:val="0"/>
                          <w:divBdr>
                            <w:top w:val="none" w:sz="0" w:space="0" w:color="auto"/>
                            <w:left w:val="none" w:sz="0" w:space="0" w:color="auto"/>
                            <w:bottom w:val="none" w:sz="0" w:space="0" w:color="auto"/>
                            <w:right w:val="none" w:sz="0" w:space="0" w:color="auto"/>
                          </w:divBdr>
                          <w:divsChild>
                            <w:div w:id="8706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3369996">
      <w:bodyDiv w:val="1"/>
      <w:marLeft w:val="0"/>
      <w:marRight w:val="0"/>
      <w:marTop w:val="0"/>
      <w:marBottom w:val="0"/>
      <w:divBdr>
        <w:top w:val="none" w:sz="0" w:space="0" w:color="auto"/>
        <w:left w:val="none" w:sz="0" w:space="0" w:color="auto"/>
        <w:bottom w:val="none" w:sz="0" w:space="0" w:color="auto"/>
        <w:right w:val="none" w:sz="0" w:space="0" w:color="auto"/>
      </w:divBdr>
      <w:divsChild>
        <w:div w:id="1302035619">
          <w:marLeft w:val="0"/>
          <w:marRight w:val="0"/>
          <w:marTop w:val="0"/>
          <w:marBottom w:val="0"/>
          <w:divBdr>
            <w:top w:val="none" w:sz="0" w:space="0" w:color="auto"/>
            <w:left w:val="none" w:sz="0" w:space="0" w:color="auto"/>
            <w:bottom w:val="none" w:sz="0" w:space="0" w:color="auto"/>
            <w:right w:val="none" w:sz="0" w:space="0" w:color="auto"/>
          </w:divBdr>
          <w:divsChild>
            <w:div w:id="108398171">
              <w:marLeft w:val="0"/>
              <w:marRight w:val="0"/>
              <w:marTop w:val="0"/>
              <w:marBottom w:val="0"/>
              <w:divBdr>
                <w:top w:val="none" w:sz="0" w:space="0" w:color="auto"/>
                <w:left w:val="none" w:sz="0" w:space="0" w:color="auto"/>
                <w:bottom w:val="none" w:sz="0" w:space="0" w:color="auto"/>
                <w:right w:val="none" w:sz="0" w:space="0" w:color="auto"/>
              </w:divBdr>
              <w:divsChild>
                <w:div w:id="617643998">
                  <w:marLeft w:val="0"/>
                  <w:marRight w:val="0"/>
                  <w:marTop w:val="0"/>
                  <w:marBottom w:val="0"/>
                  <w:divBdr>
                    <w:top w:val="none" w:sz="0" w:space="0" w:color="auto"/>
                    <w:left w:val="none" w:sz="0" w:space="0" w:color="auto"/>
                    <w:bottom w:val="none" w:sz="0" w:space="0" w:color="auto"/>
                    <w:right w:val="none" w:sz="0" w:space="0" w:color="auto"/>
                  </w:divBdr>
                  <w:divsChild>
                    <w:div w:id="1746686659">
                      <w:marLeft w:val="0"/>
                      <w:marRight w:val="0"/>
                      <w:marTop w:val="0"/>
                      <w:marBottom w:val="0"/>
                      <w:divBdr>
                        <w:top w:val="none" w:sz="0" w:space="0" w:color="auto"/>
                        <w:left w:val="none" w:sz="0" w:space="0" w:color="auto"/>
                        <w:bottom w:val="none" w:sz="0" w:space="0" w:color="auto"/>
                        <w:right w:val="none" w:sz="0" w:space="0" w:color="auto"/>
                      </w:divBdr>
                      <w:divsChild>
                        <w:div w:id="1139568987">
                          <w:marLeft w:val="0"/>
                          <w:marRight w:val="0"/>
                          <w:marTop w:val="0"/>
                          <w:marBottom w:val="0"/>
                          <w:divBdr>
                            <w:top w:val="none" w:sz="0" w:space="0" w:color="auto"/>
                            <w:left w:val="none" w:sz="0" w:space="0" w:color="auto"/>
                            <w:bottom w:val="none" w:sz="0" w:space="0" w:color="auto"/>
                            <w:right w:val="none" w:sz="0" w:space="0" w:color="auto"/>
                          </w:divBdr>
                          <w:divsChild>
                            <w:div w:id="481578528">
                              <w:marLeft w:val="0"/>
                              <w:marRight w:val="0"/>
                              <w:marTop w:val="0"/>
                              <w:marBottom w:val="0"/>
                              <w:divBdr>
                                <w:top w:val="none" w:sz="0" w:space="0" w:color="auto"/>
                                <w:left w:val="none" w:sz="0" w:space="0" w:color="auto"/>
                                <w:bottom w:val="none" w:sz="0" w:space="0" w:color="auto"/>
                                <w:right w:val="none" w:sz="0" w:space="0" w:color="auto"/>
                              </w:divBdr>
                              <w:divsChild>
                                <w:div w:id="134697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097592">
      <w:bodyDiv w:val="1"/>
      <w:marLeft w:val="0"/>
      <w:marRight w:val="0"/>
      <w:marTop w:val="0"/>
      <w:marBottom w:val="0"/>
      <w:divBdr>
        <w:top w:val="none" w:sz="0" w:space="0" w:color="auto"/>
        <w:left w:val="none" w:sz="0" w:space="0" w:color="auto"/>
        <w:bottom w:val="none" w:sz="0" w:space="0" w:color="auto"/>
        <w:right w:val="none" w:sz="0" w:space="0" w:color="auto"/>
      </w:divBdr>
    </w:div>
    <w:div w:id="969096811">
      <w:bodyDiv w:val="1"/>
      <w:marLeft w:val="0"/>
      <w:marRight w:val="0"/>
      <w:marTop w:val="0"/>
      <w:marBottom w:val="0"/>
      <w:divBdr>
        <w:top w:val="none" w:sz="0" w:space="0" w:color="auto"/>
        <w:left w:val="none" w:sz="0" w:space="0" w:color="auto"/>
        <w:bottom w:val="none" w:sz="0" w:space="0" w:color="auto"/>
        <w:right w:val="none" w:sz="0" w:space="0" w:color="auto"/>
      </w:divBdr>
    </w:div>
    <w:div w:id="985283596">
      <w:bodyDiv w:val="1"/>
      <w:marLeft w:val="0"/>
      <w:marRight w:val="0"/>
      <w:marTop w:val="0"/>
      <w:marBottom w:val="0"/>
      <w:divBdr>
        <w:top w:val="none" w:sz="0" w:space="0" w:color="auto"/>
        <w:left w:val="none" w:sz="0" w:space="0" w:color="auto"/>
        <w:bottom w:val="none" w:sz="0" w:space="0" w:color="auto"/>
        <w:right w:val="none" w:sz="0" w:space="0" w:color="auto"/>
      </w:divBdr>
    </w:div>
    <w:div w:id="1016032300">
      <w:bodyDiv w:val="1"/>
      <w:marLeft w:val="0"/>
      <w:marRight w:val="0"/>
      <w:marTop w:val="0"/>
      <w:marBottom w:val="0"/>
      <w:divBdr>
        <w:top w:val="none" w:sz="0" w:space="0" w:color="auto"/>
        <w:left w:val="none" w:sz="0" w:space="0" w:color="auto"/>
        <w:bottom w:val="none" w:sz="0" w:space="0" w:color="auto"/>
        <w:right w:val="none" w:sz="0" w:space="0" w:color="auto"/>
      </w:divBdr>
      <w:divsChild>
        <w:div w:id="1722482900">
          <w:marLeft w:val="0"/>
          <w:marRight w:val="0"/>
          <w:marTop w:val="0"/>
          <w:marBottom w:val="0"/>
          <w:divBdr>
            <w:top w:val="none" w:sz="0" w:space="0" w:color="auto"/>
            <w:left w:val="none" w:sz="0" w:space="0" w:color="auto"/>
            <w:bottom w:val="none" w:sz="0" w:space="0" w:color="auto"/>
            <w:right w:val="none" w:sz="0" w:space="0" w:color="auto"/>
          </w:divBdr>
          <w:divsChild>
            <w:div w:id="864560420">
              <w:marLeft w:val="0"/>
              <w:marRight w:val="0"/>
              <w:marTop w:val="0"/>
              <w:marBottom w:val="0"/>
              <w:divBdr>
                <w:top w:val="none" w:sz="0" w:space="0" w:color="auto"/>
                <w:left w:val="none" w:sz="0" w:space="0" w:color="auto"/>
                <w:bottom w:val="none" w:sz="0" w:space="0" w:color="auto"/>
                <w:right w:val="none" w:sz="0" w:space="0" w:color="auto"/>
              </w:divBdr>
              <w:divsChild>
                <w:div w:id="1926185066">
                  <w:marLeft w:val="0"/>
                  <w:marRight w:val="0"/>
                  <w:marTop w:val="0"/>
                  <w:marBottom w:val="0"/>
                  <w:divBdr>
                    <w:top w:val="none" w:sz="0" w:space="0" w:color="auto"/>
                    <w:left w:val="none" w:sz="0" w:space="0" w:color="auto"/>
                    <w:bottom w:val="none" w:sz="0" w:space="0" w:color="auto"/>
                    <w:right w:val="none" w:sz="0" w:space="0" w:color="auto"/>
                  </w:divBdr>
                  <w:divsChild>
                    <w:div w:id="1060635311">
                      <w:marLeft w:val="0"/>
                      <w:marRight w:val="0"/>
                      <w:marTop w:val="0"/>
                      <w:marBottom w:val="0"/>
                      <w:divBdr>
                        <w:top w:val="none" w:sz="0" w:space="0" w:color="auto"/>
                        <w:left w:val="none" w:sz="0" w:space="0" w:color="auto"/>
                        <w:bottom w:val="none" w:sz="0" w:space="0" w:color="auto"/>
                        <w:right w:val="none" w:sz="0" w:space="0" w:color="auto"/>
                      </w:divBdr>
                      <w:divsChild>
                        <w:div w:id="2002387886">
                          <w:marLeft w:val="0"/>
                          <w:marRight w:val="0"/>
                          <w:marTop w:val="0"/>
                          <w:marBottom w:val="0"/>
                          <w:divBdr>
                            <w:top w:val="none" w:sz="0" w:space="0" w:color="auto"/>
                            <w:left w:val="none" w:sz="0" w:space="0" w:color="auto"/>
                            <w:bottom w:val="none" w:sz="0" w:space="0" w:color="auto"/>
                            <w:right w:val="none" w:sz="0" w:space="0" w:color="auto"/>
                          </w:divBdr>
                          <w:divsChild>
                            <w:div w:id="100463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073640">
      <w:bodyDiv w:val="1"/>
      <w:marLeft w:val="0"/>
      <w:marRight w:val="0"/>
      <w:marTop w:val="0"/>
      <w:marBottom w:val="0"/>
      <w:divBdr>
        <w:top w:val="none" w:sz="0" w:space="0" w:color="auto"/>
        <w:left w:val="none" w:sz="0" w:space="0" w:color="auto"/>
        <w:bottom w:val="none" w:sz="0" w:space="0" w:color="auto"/>
        <w:right w:val="none" w:sz="0" w:space="0" w:color="auto"/>
      </w:divBdr>
      <w:divsChild>
        <w:div w:id="1651710592">
          <w:marLeft w:val="0"/>
          <w:marRight w:val="0"/>
          <w:marTop w:val="0"/>
          <w:marBottom w:val="0"/>
          <w:divBdr>
            <w:top w:val="none" w:sz="0" w:space="0" w:color="auto"/>
            <w:left w:val="none" w:sz="0" w:space="0" w:color="auto"/>
            <w:bottom w:val="none" w:sz="0" w:space="0" w:color="auto"/>
            <w:right w:val="none" w:sz="0" w:space="0" w:color="auto"/>
          </w:divBdr>
          <w:divsChild>
            <w:div w:id="2045672229">
              <w:marLeft w:val="0"/>
              <w:marRight w:val="0"/>
              <w:marTop w:val="0"/>
              <w:marBottom w:val="0"/>
              <w:divBdr>
                <w:top w:val="none" w:sz="0" w:space="0" w:color="auto"/>
                <w:left w:val="none" w:sz="0" w:space="0" w:color="auto"/>
                <w:bottom w:val="none" w:sz="0" w:space="0" w:color="auto"/>
                <w:right w:val="none" w:sz="0" w:space="0" w:color="auto"/>
              </w:divBdr>
              <w:divsChild>
                <w:div w:id="998269221">
                  <w:marLeft w:val="0"/>
                  <w:marRight w:val="0"/>
                  <w:marTop w:val="0"/>
                  <w:marBottom w:val="0"/>
                  <w:divBdr>
                    <w:top w:val="none" w:sz="0" w:space="0" w:color="auto"/>
                    <w:left w:val="none" w:sz="0" w:space="0" w:color="auto"/>
                    <w:bottom w:val="none" w:sz="0" w:space="0" w:color="auto"/>
                    <w:right w:val="none" w:sz="0" w:space="0" w:color="auto"/>
                  </w:divBdr>
                  <w:divsChild>
                    <w:div w:id="1806393209">
                      <w:marLeft w:val="0"/>
                      <w:marRight w:val="0"/>
                      <w:marTop w:val="0"/>
                      <w:marBottom w:val="0"/>
                      <w:divBdr>
                        <w:top w:val="none" w:sz="0" w:space="0" w:color="auto"/>
                        <w:left w:val="none" w:sz="0" w:space="0" w:color="auto"/>
                        <w:bottom w:val="none" w:sz="0" w:space="0" w:color="auto"/>
                        <w:right w:val="none" w:sz="0" w:space="0" w:color="auto"/>
                      </w:divBdr>
                      <w:divsChild>
                        <w:div w:id="1955205397">
                          <w:marLeft w:val="0"/>
                          <w:marRight w:val="0"/>
                          <w:marTop w:val="0"/>
                          <w:marBottom w:val="0"/>
                          <w:divBdr>
                            <w:top w:val="none" w:sz="0" w:space="0" w:color="auto"/>
                            <w:left w:val="none" w:sz="0" w:space="0" w:color="auto"/>
                            <w:bottom w:val="none" w:sz="0" w:space="0" w:color="auto"/>
                            <w:right w:val="none" w:sz="0" w:space="0" w:color="auto"/>
                          </w:divBdr>
                          <w:divsChild>
                            <w:div w:id="177478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712080">
      <w:bodyDiv w:val="1"/>
      <w:marLeft w:val="0"/>
      <w:marRight w:val="0"/>
      <w:marTop w:val="0"/>
      <w:marBottom w:val="0"/>
      <w:divBdr>
        <w:top w:val="none" w:sz="0" w:space="0" w:color="auto"/>
        <w:left w:val="none" w:sz="0" w:space="0" w:color="auto"/>
        <w:bottom w:val="none" w:sz="0" w:space="0" w:color="auto"/>
        <w:right w:val="none" w:sz="0" w:space="0" w:color="auto"/>
      </w:divBdr>
    </w:div>
    <w:div w:id="1087337595">
      <w:bodyDiv w:val="1"/>
      <w:marLeft w:val="0"/>
      <w:marRight w:val="0"/>
      <w:marTop w:val="0"/>
      <w:marBottom w:val="0"/>
      <w:divBdr>
        <w:top w:val="none" w:sz="0" w:space="0" w:color="auto"/>
        <w:left w:val="none" w:sz="0" w:space="0" w:color="auto"/>
        <w:bottom w:val="none" w:sz="0" w:space="0" w:color="auto"/>
        <w:right w:val="none" w:sz="0" w:space="0" w:color="auto"/>
      </w:divBdr>
    </w:div>
    <w:div w:id="1088580743">
      <w:bodyDiv w:val="1"/>
      <w:marLeft w:val="0"/>
      <w:marRight w:val="0"/>
      <w:marTop w:val="0"/>
      <w:marBottom w:val="0"/>
      <w:divBdr>
        <w:top w:val="none" w:sz="0" w:space="0" w:color="auto"/>
        <w:left w:val="none" w:sz="0" w:space="0" w:color="auto"/>
        <w:bottom w:val="none" w:sz="0" w:space="0" w:color="auto"/>
        <w:right w:val="none" w:sz="0" w:space="0" w:color="auto"/>
      </w:divBdr>
      <w:divsChild>
        <w:div w:id="1487865308">
          <w:marLeft w:val="0"/>
          <w:marRight w:val="0"/>
          <w:marTop w:val="0"/>
          <w:marBottom w:val="0"/>
          <w:divBdr>
            <w:top w:val="none" w:sz="0" w:space="0" w:color="auto"/>
            <w:left w:val="none" w:sz="0" w:space="0" w:color="auto"/>
            <w:bottom w:val="none" w:sz="0" w:space="0" w:color="auto"/>
            <w:right w:val="none" w:sz="0" w:space="0" w:color="auto"/>
          </w:divBdr>
          <w:divsChild>
            <w:div w:id="1473904722">
              <w:marLeft w:val="0"/>
              <w:marRight w:val="0"/>
              <w:marTop w:val="0"/>
              <w:marBottom w:val="0"/>
              <w:divBdr>
                <w:top w:val="none" w:sz="0" w:space="0" w:color="auto"/>
                <w:left w:val="none" w:sz="0" w:space="0" w:color="auto"/>
                <w:bottom w:val="none" w:sz="0" w:space="0" w:color="auto"/>
                <w:right w:val="none" w:sz="0" w:space="0" w:color="auto"/>
              </w:divBdr>
              <w:divsChild>
                <w:div w:id="519389901">
                  <w:marLeft w:val="0"/>
                  <w:marRight w:val="0"/>
                  <w:marTop w:val="0"/>
                  <w:marBottom w:val="0"/>
                  <w:divBdr>
                    <w:top w:val="none" w:sz="0" w:space="0" w:color="auto"/>
                    <w:left w:val="none" w:sz="0" w:space="0" w:color="auto"/>
                    <w:bottom w:val="none" w:sz="0" w:space="0" w:color="auto"/>
                    <w:right w:val="none" w:sz="0" w:space="0" w:color="auto"/>
                  </w:divBdr>
                  <w:divsChild>
                    <w:div w:id="1069691625">
                      <w:marLeft w:val="0"/>
                      <w:marRight w:val="0"/>
                      <w:marTop w:val="0"/>
                      <w:marBottom w:val="0"/>
                      <w:divBdr>
                        <w:top w:val="none" w:sz="0" w:space="0" w:color="auto"/>
                        <w:left w:val="none" w:sz="0" w:space="0" w:color="auto"/>
                        <w:bottom w:val="none" w:sz="0" w:space="0" w:color="auto"/>
                        <w:right w:val="none" w:sz="0" w:space="0" w:color="auto"/>
                      </w:divBdr>
                      <w:divsChild>
                        <w:div w:id="157309339">
                          <w:marLeft w:val="0"/>
                          <w:marRight w:val="0"/>
                          <w:marTop w:val="0"/>
                          <w:marBottom w:val="0"/>
                          <w:divBdr>
                            <w:top w:val="none" w:sz="0" w:space="0" w:color="auto"/>
                            <w:left w:val="none" w:sz="0" w:space="0" w:color="auto"/>
                            <w:bottom w:val="none" w:sz="0" w:space="0" w:color="auto"/>
                            <w:right w:val="none" w:sz="0" w:space="0" w:color="auto"/>
                          </w:divBdr>
                          <w:divsChild>
                            <w:div w:id="103457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751065">
      <w:bodyDiv w:val="1"/>
      <w:marLeft w:val="0"/>
      <w:marRight w:val="0"/>
      <w:marTop w:val="0"/>
      <w:marBottom w:val="0"/>
      <w:divBdr>
        <w:top w:val="none" w:sz="0" w:space="0" w:color="auto"/>
        <w:left w:val="none" w:sz="0" w:space="0" w:color="auto"/>
        <w:bottom w:val="none" w:sz="0" w:space="0" w:color="auto"/>
        <w:right w:val="none" w:sz="0" w:space="0" w:color="auto"/>
      </w:divBdr>
    </w:div>
    <w:div w:id="1099836941">
      <w:bodyDiv w:val="1"/>
      <w:marLeft w:val="0"/>
      <w:marRight w:val="0"/>
      <w:marTop w:val="0"/>
      <w:marBottom w:val="0"/>
      <w:divBdr>
        <w:top w:val="none" w:sz="0" w:space="0" w:color="auto"/>
        <w:left w:val="none" w:sz="0" w:space="0" w:color="auto"/>
        <w:bottom w:val="none" w:sz="0" w:space="0" w:color="auto"/>
        <w:right w:val="none" w:sz="0" w:space="0" w:color="auto"/>
      </w:divBdr>
    </w:div>
    <w:div w:id="1119908942">
      <w:bodyDiv w:val="1"/>
      <w:marLeft w:val="0"/>
      <w:marRight w:val="0"/>
      <w:marTop w:val="0"/>
      <w:marBottom w:val="0"/>
      <w:divBdr>
        <w:top w:val="none" w:sz="0" w:space="0" w:color="auto"/>
        <w:left w:val="none" w:sz="0" w:space="0" w:color="auto"/>
        <w:bottom w:val="none" w:sz="0" w:space="0" w:color="auto"/>
        <w:right w:val="none" w:sz="0" w:space="0" w:color="auto"/>
      </w:divBdr>
    </w:div>
    <w:div w:id="1157385534">
      <w:bodyDiv w:val="1"/>
      <w:marLeft w:val="0"/>
      <w:marRight w:val="0"/>
      <w:marTop w:val="0"/>
      <w:marBottom w:val="0"/>
      <w:divBdr>
        <w:top w:val="none" w:sz="0" w:space="0" w:color="auto"/>
        <w:left w:val="none" w:sz="0" w:space="0" w:color="auto"/>
        <w:bottom w:val="none" w:sz="0" w:space="0" w:color="auto"/>
        <w:right w:val="none" w:sz="0" w:space="0" w:color="auto"/>
      </w:divBdr>
      <w:divsChild>
        <w:div w:id="1603297028">
          <w:marLeft w:val="0"/>
          <w:marRight w:val="0"/>
          <w:marTop w:val="0"/>
          <w:marBottom w:val="0"/>
          <w:divBdr>
            <w:top w:val="none" w:sz="0" w:space="0" w:color="auto"/>
            <w:left w:val="none" w:sz="0" w:space="0" w:color="auto"/>
            <w:bottom w:val="none" w:sz="0" w:space="0" w:color="auto"/>
            <w:right w:val="none" w:sz="0" w:space="0" w:color="auto"/>
          </w:divBdr>
          <w:divsChild>
            <w:div w:id="2069113571">
              <w:marLeft w:val="0"/>
              <w:marRight w:val="0"/>
              <w:marTop w:val="0"/>
              <w:marBottom w:val="0"/>
              <w:divBdr>
                <w:top w:val="none" w:sz="0" w:space="0" w:color="auto"/>
                <w:left w:val="none" w:sz="0" w:space="0" w:color="auto"/>
                <w:bottom w:val="none" w:sz="0" w:space="0" w:color="auto"/>
                <w:right w:val="none" w:sz="0" w:space="0" w:color="auto"/>
              </w:divBdr>
              <w:divsChild>
                <w:div w:id="792790153">
                  <w:marLeft w:val="0"/>
                  <w:marRight w:val="0"/>
                  <w:marTop w:val="0"/>
                  <w:marBottom w:val="0"/>
                  <w:divBdr>
                    <w:top w:val="none" w:sz="0" w:space="0" w:color="auto"/>
                    <w:left w:val="none" w:sz="0" w:space="0" w:color="auto"/>
                    <w:bottom w:val="none" w:sz="0" w:space="0" w:color="auto"/>
                    <w:right w:val="none" w:sz="0" w:space="0" w:color="auto"/>
                  </w:divBdr>
                  <w:divsChild>
                    <w:div w:id="429551521">
                      <w:marLeft w:val="0"/>
                      <w:marRight w:val="0"/>
                      <w:marTop w:val="0"/>
                      <w:marBottom w:val="0"/>
                      <w:divBdr>
                        <w:top w:val="none" w:sz="0" w:space="0" w:color="auto"/>
                        <w:left w:val="none" w:sz="0" w:space="0" w:color="auto"/>
                        <w:bottom w:val="none" w:sz="0" w:space="0" w:color="auto"/>
                        <w:right w:val="none" w:sz="0" w:space="0" w:color="auto"/>
                      </w:divBdr>
                      <w:divsChild>
                        <w:div w:id="1755928106">
                          <w:marLeft w:val="0"/>
                          <w:marRight w:val="0"/>
                          <w:marTop w:val="0"/>
                          <w:marBottom w:val="0"/>
                          <w:divBdr>
                            <w:top w:val="none" w:sz="0" w:space="0" w:color="auto"/>
                            <w:left w:val="none" w:sz="0" w:space="0" w:color="auto"/>
                            <w:bottom w:val="none" w:sz="0" w:space="0" w:color="auto"/>
                            <w:right w:val="none" w:sz="0" w:space="0" w:color="auto"/>
                          </w:divBdr>
                          <w:divsChild>
                            <w:div w:id="1830173663">
                              <w:marLeft w:val="0"/>
                              <w:marRight w:val="0"/>
                              <w:marTop w:val="0"/>
                              <w:marBottom w:val="0"/>
                              <w:divBdr>
                                <w:top w:val="none" w:sz="0" w:space="0" w:color="auto"/>
                                <w:left w:val="none" w:sz="0" w:space="0" w:color="auto"/>
                                <w:bottom w:val="none" w:sz="0" w:space="0" w:color="auto"/>
                                <w:right w:val="none" w:sz="0" w:space="0" w:color="auto"/>
                              </w:divBdr>
                              <w:divsChild>
                                <w:div w:id="150381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420196">
      <w:bodyDiv w:val="1"/>
      <w:marLeft w:val="0"/>
      <w:marRight w:val="0"/>
      <w:marTop w:val="0"/>
      <w:marBottom w:val="0"/>
      <w:divBdr>
        <w:top w:val="none" w:sz="0" w:space="0" w:color="auto"/>
        <w:left w:val="none" w:sz="0" w:space="0" w:color="auto"/>
        <w:bottom w:val="none" w:sz="0" w:space="0" w:color="auto"/>
        <w:right w:val="none" w:sz="0" w:space="0" w:color="auto"/>
      </w:divBdr>
    </w:div>
    <w:div w:id="1204170646">
      <w:bodyDiv w:val="1"/>
      <w:marLeft w:val="0"/>
      <w:marRight w:val="0"/>
      <w:marTop w:val="0"/>
      <w:marBottom w:val="0"/>
      <w:divBdr>
        <w:top w:val="none" w:sz="0" w:space="0" w:color="auto"/>
        <w:left w:val="none" w:sz="0" w:space="0" w:color="auto"/>
        <w:bottom w:val="none" w:sz="0" w:space="0" w:color="auto"/>
        <w:right w:val="none" w:sz="0" w:space="0" w:color="auto"/>
      </w:divBdr>
    </w:div>
    <w:div w:id="1210342453">
      <w:bodyDiv w:val="1"/>
      <w:marLeft w:val="0"/>
      <w:marRight w:val="0"/>
      <w:marTop w:val="0"/>
      <w:marBottom w:val="0"/>
      <w:divBdr>
        <w:top w:val="none" w:sz="0" w:space="0" w:color="auto"/>
        <w:left w:val="none" w:sz="0" w:space="0" w:color="auto"/>
        <w:bottom w:val="none" w:sz="0" w:space="0" w:color="auto"/>
        <w:right w:val="none" w:sz="0" w:space="0" w:color="auto"/>
      </w:divBdr>
    </w:div>
    <w:div w:id="1231423346">
      <w:bodyDiv w:val="1"/>
      <w:marLeft w:val="0"/>
      <w:marRight w:val="0"/>
      <w:marTop w:val="0"/>
      <w:marBottom w:val="0"/>
      <w:divBdr>
        <w:top w:val="none" w:sz="0" w:space="0" w:color="auto"/>
        <w:left w:val="none" w:sz="0" w:space="0" w:color="auto"/>
        <w:bottom w:val="none" w:sz="0" w:space="0" w:color="auto"/>
        <w:right w:val="none" w:sz="0" w:space="0" w:color="auto"/>
      </w:divBdr>
    </w:div>
    <w:div w:id="1242056747">
      <w:bodyDiv w:val="1"/>
      <w:marLeft w:val="0"/>
      <w:marRight w:val="0"/>
      <w:marTop w:val="0"/>
      <w:marBottom w:val="0"/>
      <w:divBdr>
        <w:top w:val="none" w:sz="0" w:space="0" w:color="auto"/>
        <w:left w:val="none" w:sz="0" w:space="0" w:color="auto"/>
        <w:bottom w:val="none" w:sz="0" w:space="0" w:color="auto"/>
        <w:right w:val="none" w:sz="0" w:space="0" w:color="auto"/>
      </w:divBdr>
      <w:divsChild>
        <w:div w:id="655843373">
          <w:marLeft w:val="0"/>
          <w:marRight w:val="0"/>
          <w:marTop w:val="0"/>
          <w:marBottom w:val="0"/>
          <w:divBdr>
            <w:top w:val="none" w:sz="0" w:space="0" w:color="auto"/>
            <w:left w:val="none" w:sz="0" w:space="0" w:color="auto"/>
            <w:bottom w:val="none" w:sz="0" w:space="0" w:color="auto"/>
            <w:right w:val="none" w:sz="0" w:space="0" w:color="auto"/>
          </w:divBdr>
          <w:divsChild>
            <w:div w:id="1082482142">
              <w:marLeft w:val="0"/>
              <w:marRight w:val="0"/>
              <w:marTop w:val="0"/>
              <w:marBottom w:val="0"/>
              <w:divBdr>
                <w:top w:val="none" w:sz="0" w:space="0" w:color="auto"/>
                <w:left w:val="none" w:sz="0" w:space="0" w:color="auto"/>
                <w:bottom w:val="none" w:sz="0" w:space="0" w:color="auto"/>
                <w:right w:val="none" w:sz="0" w:space="0" w:color="auto"/>
              </w:divBdr>
              <w:divsChild>
                <w:div w:id="1227839649">
                  <w:marLeft w:val="0"/>
                  <w:marRight w:val="0"/>
                  <w:marTop w:val="0"/>
                  <w:marBottom w:val="0"/>
                  <w:divBdr>
                    <w:top w:val="none" w:sz="0" w:space="0" w:color="auto"/>
                    <w:left w:val="none" w:sz="0" w:space="0" w:color="auto"/>
                    <w:bottom w:val="none" w:sz="0" w:space="0" w:color="auto"/>
                    <w:right w:val="none" w:sz="0" w:space="0" w:color="auto"/>
                  </w:divBdr>
                  <w:divsChild>
                    <w:div w:id="139999057">
                      <w:marLeft w:val="0"/>
                      <w:marRight w:val="0"/>
                      <w:marTop w:val="0"/>
                      <w:marBottom w:val="0"/>
                      <w:divBdr>
                        <w:top w:val="none" w:sz="0" w:space="0" w:color="auto"/>
                        <w:left w:val="none" w:sz="0" w:space="0" w:color="auto"/>
                        <w:bottom w:val="none" w:sz="0" w:space="0" w:color="auto"/>
                        <w:right w:val="none" w:sz="0" w:space="0" w:color="auto"/>
                      </w:divBdr>
                      <w:divsChild>
                        <w:div w:id="538593288">
                          <w:marLeft w:val="0"/>
                          <w:marRight w:val="0"/>
                          <w:marTop w:val="0"/>
                          <w:marBottom w:val="0"/>
                          <w:divBdr>
                            <w:top w:val="none" w:sz="0" w:space="0" w:color="auto"/>
                            <w:left w:val="none" w:sz="0" w:space="0" w:color="auto"/>
                            <w:bottom w:val="none" w:sz="0" w:space="0" w:color="auto"/>
                            <w:right w:val="none" w:sz="0" w:space="0" w:color="auto"/>
                          </w:divBdr>
                          <w:divsChild>
                            <w:div w:id="129710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786996">
      <w:bodyDiv w:val="1"/>
      <w:marLeft w:val="0"/>
      <w:marRight w:val="0"/>
      <w:marTop w:val="0"/>
      <w:marBottom w:val="0"/>
      <w:divBdr>
        <w:top w:val="none" w:sz="0" w:space="0" w:color="auto"/>
        <w:left w:val="none" w:sz="0" w:space="0" w:color="auto"/>
        <w:bottom w:val="none" w:sz="0" w:space="0" w:color="auto"/>
        <w:right w:val="none" w:sz="0" w:space="0" w:color="auto"/>
      </w:divBdr>
    </w:div>
    <w:div w:id="1275089211">
      <w:bodyDiv w:val="1"/>
      <w:marLeft w:val="0"/>
      <w:marRight w:val="0"/>
      <w:marTop w:val="0"/>
      <w:marBottom w:val="0"/>
      <w:divBdr>
        <w:top w:val="none" w:sz="0" w:space="0" w:color="auto"/>
        <w:left w:val="none" w:sz="0" w:space="0" w:color="auto"/>
        <w:bottom w:val="none" w:sz="0" w:space="0" w:color="auto"/>
        <w:right w:val="none" w:sz="0" w:space="0" w:color="auto"/>
      </w:divBdr>
    </w:div>
    <w:div w:id="1281571610">
      <w:bodyDiv w:val="1"/>
      <w:marLeft w:val="0"/>
      <w:marRight w:val="0"/>
      <w:marTop w:val="0"/>
      <w:marBottom w:val="0"/>
      <w:divBdr>
        <w:top w:val="none" w:sz="0" w:space="0" w:color="auto"/>
        <w:left w:val="none" w:sz="0" w:space="0" w:color="auto"/>
        <w:bottom w:val="none" w:sz="0" w:space="0" w:color="auto"/>
        <w:right w:val="none" w:sz="0" w:space="0" w:color="auto"/>
      </w:divBdr>
    </w:div>
    <w:div w:id="1293437645">
      <w:bodyDiv w:val="1"/>
      <w:marLeft w:val="0"/>
      <w:marRight w:val="0"/>
      <w:marTop w:val="0"/>
      <w:marBottom w:val="0"/>
      <w:divBdr>
        <w:top w:val="none" w:sz="0" w:space="0" w:color="auto"/>
        <w:left w:val="none" w:sz="0" w:space="0" w:color="auto"/>
        <w:bottom w:val="none" w:sz="0" w:space="0" w:color="auto"/>
        <w:right w:val="none" w:sz="0" w:space="0" w:color="auto"/>
      </w:divBdr>
    </w:div>
    <w:div w:id="1317497120">
      <w:bodyDiv w:val="1"/>
      <w:marLeft w:val="0"/>
      <w:marRight w:val="0"/>
      <w:marTop w:val="0"/>
      <w:marBottom w:val="0"/>
      <w:divBdr>
        <w:top w:val="none" w:sz="0" w:space="0" w:color="auto"/>
        <w:left w:val="none" w:sz="0" w:space="0" w:color="auto"/>
        <w:bottom w:val="none" w:sz="0" w:space="0" w:color="auto"/>
        <w:right w:val="none" w:sz="0" w:space="0" w:color="auto"/>
      </w:divBdr>
    </w:div>
    <w:div w:id="1334601960">
      <w:bodyDiv w:val="1"/>
      <w:marLeft w:val="0"/>
      <w:marRight w:val="0"/>
      <w:marTop w:val="0"/>
      <w:marBottom w:val="0"/>
      <w:divBdr>
        <w:top w:val="none" w:sz="0" w:space="0" w:color="auto"/>
        <w:left w:val="none" w:sz="0" w:space="0" w:color="auto"/>
        <w:bottom w:val="none" w:sz="0" w:space="0" w:color="auto"/>
        <w:right w:val="none" w:sz="0" w:space="0" w:color="auto"/>
      </w:divBdr>
    </w:div>
    <w:div w:id="1340429935">
      <w:bodyDiv w:val="1"/>
      <w:marLeft w:val="0"/>
      <w:marRight w:val="0"/>
      <w:marTop w:val="0"/>
      <w:marBottom w:val="0"/>
      <w:divBdr>
        <w:top w:val="none" w:sz="0" w:space="0" w:color="auto"/>
        <w:left w:val="none" w:sz="0" w:space="0" w:color="auto"/>
        <w:bottom w:val="none" w:sz="0" w:space="0" w:color="auto"/>
        <w:right w:val="none" w:sz="0" w:space="0" w:color="auto"/>
      </w:divBdr>
    </w:div>
    <w:div w:id="1342704755">
      <w:bodyDiv w:val="1"/>
      <w:marLeft w:val="0"/>
      <w:marRight w:val="0"/>
      <w:marTop w:val="0"/>
      <w:marBottom w:val="0"/>
      <w:divBdr>
        <w:top w:val="none" w:sz="0" w:space="0" w:color="auto"/>
        <w:left w:val="none" w:sz="0" w:space="0" w:color="auto"/>
        <w:bottom w:val="none" w:sz="0" w:space="0" w:color="auto"/>
        <w:right w:val="none" w:sz="0" w:space="0" w:color="auto"/>
      </w:divBdr>
    </w:div>
    <w:div w:id="1349715077">
      <w:bodyDiv w:val="1"/>
      <w:marLeft w:val="0"/>
      <w:marRight w:val="0"/>
      <w:marTop w:val="0"/>
      <w:marBottom w:val="0"/>
      <w:divBdr>
        <w:top w:val="none" w:sz="0" w:space="0" w:color="auto"/>
        <w:left w:val="none" w:sz="0" w:space="0" w:color="auto"/>
        <w:bottom w:val="none" w:sz="0" w:space="0" w:color="auto"/>
        <w:right w:val="none" w:sz="0" w:space="0" w:color="auto"/>
      </w:divBdr>
    </w:div>
    <w:div w:id="1362899104">
      <w:bodyDiv w:val="1"/>
      <w:marLeft w:val="0"/>
      <w:marRight w:val="0"/>
      <w:marTop w:val="0"/>
      <w:marBottom w:val="0"/>
      <w:divBdr>
        <w:top w:val="none" w:sz="0" w:space="0" w:color="auto"/>
        <w:left w:val="none" w:sz="0" w:space="0" w:color="auto"/>
        <w:bottom w:val="none" w:sz="0" w:space="0" w:color="auto"/>
        <w:right w:val="none" w:sz="0" w:space="0" w:color="auto"/>
      </w:divBdr>
    </w:div>
    <w:div w:id="1387993140">
      <w:bodyDiv w:val="1"/>
      <w:marLeft w:val="0"/>
      <w:marRight w:val="0"/>
      <w:marTop w:val="0"/>
      <w:marBottom w:val="0"/>
      <w:divBdr>
        <w:top w:val="none" w:sz="0" w:space="0" w:color="auto"/>
        <w:left w:val="none" w:sz="0" w:space="0" w:color="auto"/>
        <w:bottom w:val="none" w:sz="0" w:space="0" w:color="auto"/>
        <w:right w:val="none" w:sz="0" w:space="0" w:color="auto"/>
      </w:divBdr>
      <w:divsChild>
        <w:div w:id="980428057">
          <w:marLeft w:val="0"/>
          <w:marRight w:val="0"/>
          <w:marTop w:val="0"/>
          <w:marBottom w:val="0"/>
          <w:divBdr>
            <w:top w:val="none" w:sz="0" w:space="0" w:color="auto"/>
            <w:left w:val="none" w:sz="0" w:space="0" w:color="auto"/>
            <w:bottom w:val="none" w:sz="0" w:space="0" w:color="auto"/>
            <w:right w:val="none" w:sz="0" w:space="0" w:color="auto"/>
          </w:divBdr>
          <w:divsChild>
            <w:div w:id="1841190022">
              <w:marLeft w:val="0"/>
              <w:marRight w:val="0"/>
              <w:marTop w:val="0"/>
              <w:marBottom w:val="0"/>
              <w:divBdr>
                <w:top w:val="none" w:sz="0" w:space="0" w:color="auto"/>
                <w:left w:val="none" w:sz="0" w:space="0" w:color="auto"/>
                <w:bottom w:val="none" w:sz="0" w:space="0" w:color="auto"/>
                <w:right w:val="none" w:sz="0" w:space="0" w:color="auto"/>
              </w:divBdr>
              <w:divsChild>
                <w:div w:id="896478044">
                  <w:marLeft w:val="0"/>
                  <w:marRight w:val="0"/>
                  <w:marTop w:val="0"/>
                  <w:marBottom w:val="0"/>
                  <w:divBdr>
                    <w:top w:val="none" w:sz="0" w:space="0" w:color="auto"/>
                    <w:left w:val="none" w:sz="0" w:space="0" w:color="auto"/>
                    <w:bottom w:val="none" w:sz="0" w:space="0" w:color="auto"/>
                    <w:right w:val="none" w:sz="0" w:space="0" w:color="auto"/>
                  </w:divBdr>
                  <w:divsChild>
                    <w:div w:id="2014409510">
                      <w:marLeft w:val="0"/>
                      <w:marRight w:val="0"/>
                      <w:marTop w:val="0"/>
                      <w:marBottom w:val="0"/>
                      <w:divBdr>
                        <w:top w:val="none" w:sz="0" w:space="0" w:color="auto"/>
                        <w:left w:val="none" w:sz="0" w:space="0" w:color="auto"/>
                        <w:bottom w:val="none" w:sz="0" w:space="0" w:color="auto"/>
                        <w:right w:val="none" w:sz="0" w:space="0" w:color="auto"/>
                      </w:divBdr>
                      <w:divsChild>
                        <w:div w:id="860510541">
                          <w:marLeft w:val="0"/>
                          <w:marRight w:val="0"/>
                          <w:marTop w:val="0"/>
                          <w:marBottom w:val="0"/>
                          <w:divBdr>
                            <w:top w:val="none" w:sz="0" w:space="0" w:color="auto"/>
                            <w:left w:val="none" w:sz="0" w:space="0" w:color="auto"/>
                            <w:bottom w:val="none" w:sz="0" w:space="0" w:color="auto"/>
                            <w:right w:val="none" w:sz="0" w:space="0" w:color="auto"/>
                          </w:divBdr>
                          <w:divsChild>
                            <w:div w:id="540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13027">
      <w:bodyDiv w:val="1"/>
      <w:marLeft w:val="0"/>
      <w:marRight w:val="0"/>
      <w:marTop w:val="0"/>
      <w:marBottom w:val="0"/>
      <w:divBdr>
        <w:top w:val="none" w:sz="0" w:space="0" w:color="auto"/>
        <w:left w:val="none" w:sz="0" w:space="0" w:color="auto"/>
        <w:bottom w:val="none" w:sz="0" w:space="0" w:color="auto"/>
        <w:right w:val="none" w:sz="0" w:space="0" w:color="auto"/>
      </w:divBdr>
    </w:div>
    <w:div w:id="1444305886">
      <w:bodyDiv w:val="1"/>
      <w:marLeft w:val="0"/>
      <w:marRight w:val="0"/>
      <w:marTop w:val="0"/>
      <w:marBottom w:val="0"/>
      <w:divBdr>
        <w:top w:val="none" w:sz="0" w:space="0" w:color="auto"/>
        <w:left w:val="none" w:sz="0" w:space="0" w:color="auto"/>
        <w:bottom w:val="none" w:sz="0" w:space="0" w:color="auto"/>
        <w:right w:val="none" w:sz="0" w:space="0" w:color="auto"/>
      </w:divBdr>
    </w:div>
    <w:div w:id="1451121377">
      <w:bodyDiv w:val="1"/>
      <w:marLeft w:val="0"/>
      <w:marRight w:val="0"/>
      <w:marTop w:val="0"/>
      <w:marBottom w:val="0"/>
      <w:divBdr>
        <w:top w:val="none" w:sz="0" w:space="0" w:color="auto"/>
        <w:left w:val="none" w:sz="0" w:space="0" w:color="auto"/>
        <w:bottom w:val="none" w:sz="0" w:space="0" w:color="auto"/>
        <w:right w:val="none" w:sz="0" w:space="0" w:color="auto"/>
      </w:divBdr>
    </w:div>
    <w:div w:id="1461265235">
      <w:bodyDiv w:val="1"/>
      <w:marLeft w:val="0"/>
      <w:marRight w:val="0"/>
      <w:marTop w:val="0"/>
      <w:marBottom w:val="0"/>
      <w:divBdr>
        <w:top w:val="none" w:sz="0" w:space="0" w:color="auto"/>
        <w:left w:val="none" w:sz="0" w:space="0" w:color="auto"/>
        <w:bottom w:val="none" w:sz="0" w:space="0" w:color="auto"/>
        <w:right w:val="none" w:sz="0" w:space="0" w:color="auto"/>
      </w:divBdr>
    </w:div>
    <w:div w:id="1499687559">
      <w:bodyDiv w:val="1"/>
      <w:marLeft w:val="0"/>
      <w:marRight w:val="0"/>
      <w:marTop w:val="0"/>
      <w:marBottom w:val="0"/>
      <w:divBdr>
        <w:top w:val="none" w:sz="0" w:space="0" w:color="auto"/>
        <w:left w:val="none" w:sz="0" w:space="0" w:color="auto"/>
        <w:bottom w:val="none" w:sz="0" w:space="0" w:color="auto"/>
        <w:right w:val="none" w:sz="0" w:space="0" w:color="auto"/>
      </w:divBdr>
      <w:divsChild>
        <w:div w:id="1161703626">
          <w:marLeft w:val="0"/>
          <w:marRight w:val="0"/>
          <w:marTop w:val="0"/>
          <w:marBottom w:val="0"/>
          <w:divBdr>
            <w:top w:val="none" w:sz="0" w:space="0" w:color="auto"/>
            <w:left w:val="none" w:sz="0" w:space="0" w:color="auto"/>
            <w:bottom w:val="none" w:sz="0" w:space="0" w:color="auto"/>
            <w:right w:val="none" w:sz="0" w:space="0" w:color="auto"/>
          </w:divBdr>
          <w:divsChild>
            <w:div w:id="955408169">
              <w:marLeft w:val="0"/>
              <w:marRight w:val="0"/>
              <w:marTop w:val="0"/>
              <w:marBottom w:val="0"/>
              <w:divBdr>
                <w:top w:val="none" w:sz="0" w:space="0" w:color="auto"/>
                <w:left w:val="none" w:sz="0" w:space="0" w:color="auto"/>
                <w:bottom w:val="none" w:sz="0" w:space="0" w:color="auto"/>
                <w:right w:val="none" w:sz="0" w:space="0" w:color="auto"/>
              </w:divBdr>
              <w:divsChild>
                <w:div w:id="305815076">
                  <w:marLeft w:val="0"/>
                  <w:marRight w:val="0"/>
                  <w:marTop w:val="0"/>
                  <w:marBottom w:val="0"/>
                  <w:divBdr>
                    <w:top w:val="none" w:sz="0" w:space="0" w:color="auto"/>
                    <w:left w:val="none" w:sz="0" w:space="0" w:color="auto"/>
                    <w:bottom w:val="none" w:sz="0" w:space="0" w:color="auto"/>
                    <w:right w:val="none" w:sz="0" w:space="0" w:color="auto"/>
                  </w:divBdr>
                  <w:divsChild>
                    <w:div w:id="1601797830">
                      <w:marLeft w:val="0"/>
                      <w:marRight w:val="0"/>
                      <w:marTop w:val="0"/>
                      <w:marBottom w:val="0"/>
                      <w:divBdr>
                        <w:top w:val="none" w:sz="0" w:space="0" w:color="auto"/>
                        <w:left w:val="none" w:sz="0" w:space="0" w:color="auto"/>
                        <w:bottom w:val="none" w:sz="0" w:space="0" w:color="auto"/>
                        <w:right w:val="none" w:sz="0" w:space="0" w:color="auto"/>
                      </w:divBdr>
                      <w:divsChild>
                        <w:div w:id="837769948">
                          <w:marLeft w:val="0"/>
                          <w:marRight w:val="0"/>
                          <w:marTop w:val="0"/>
                          <w:marBottom w:val="0"/>
                          <w:divBdr>
                            <w:top w:val="none" w:sz="0" w:space="0" w:color="auto"/>
                            <w:left w:val="none" w:sz="0" w:space="0" w:color="auto"/>
                            <w:bottom w:val="none" w:sz="0" w:space="0" w:color="auto"/>
                            <w:right w:val="none" w:sz="0" w:space="0" w:color="auto"/>
                          </w:divBdr>
                          <w:divsChild>
                            <w:div w:id="1160929812">
                              <w:marLeft w:val="0"/>
                              <w:marRight w:val="0"/>
                              <w:marTop w:val="0"/>
                              <w:marBottom w:val="0"/>
                              <w:divBdr>
                                <w:top w:val="none" w:sz="0" w:space="0" w:color="auto"/>
                                <w:left w:val="none" w:sz="0" w:space="0" w:color="auto"/>
                                <w:bottom w:val="none" w:sz="0" w:space="0" w:color="auto"/>
                                <w:right w:val="none" w:sz="0" w:space="0" w:color="auto"/>
                              </w:divBdr>
                              <w:divsChild>
                                <w:div w:id="84602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068923">
      <w:bodyDiv w:val="1"/>
      <w:marLeft w:val="0"/>
      <w:marRight w:val="0"/>
      <w:marTop w:val="0"/>
      <w:marBottom w:val="0"/>
      <w:divBdr>
        <w:top w:val="none" w:sz="0" w:space="0" w:color="auto"/>
        <w:left w:val="none" w:sz="0" w:space="0" w:color="auto"/>
        <w:bottom w:val="none" w:sz="0" w:space="0" w:color="auto"/>
        <w:right w:val="none" w:sz="0" w:space="0" w:color="auto"/>
      </w:divBdr>
    </w:div>
    <w:div w:id="1528130722">
      <w:bodyDiv w:val="1"/>
      <w:marLeft w:val="0"/>
      <w:marRight w:val="0"/>
      <w:marTop w:val="0"/>
      <w:marBottom w:val="0"/>
      <w:divBdr>
        <w:top w:val="none" w:sz="0" w:space="0" w:color="auto"/>
        <w:left w:val="none" w:sz="0" w:space="0" w:color="auto"/>
        <w:bottom w:val="none" w:sz="0" w:space="0" w:color="auto"/>
        <w:right w:val="none" w:sz="0" w:space="0" w:color="auto"/>
      </w:divBdr>
    </w:div>
    <w:div w:id="1564682931">
      <w:bodyDiv w:val="1"/>
      <w:marLeft w:val="0"/>
      <w:marRight w:val="0"/>
      <w:marTop w:val="0"/>
      <w:marBottom w:val="0"/>
      <w:divBdr>
        <w:top w:val="none" w:sz="0" w:space="0" w:color="auto"/>
        <w:left w:val="none" w:sz="0" w:space="0" w:color="auto"/>
        <w:bottom w:val="none" w:sz="0" w:space="0" w:color="auto"/>
        <w:right w:val="none" w:sz="0" w:space="0" w:color="auto"/>
      </w:divBdr>
    </w:div>
    <w:div w:id="1590040349">
      <w:bodyDiv w:val="1"/>
      <w:marLeft w:val="0"/>
      <w:marRight w:val="0"/>
      <w:marTop w:val="0"/>
      <w:marBottom w:val="0"/>
      <w:divBdr>
        <w:top w:val="none" w:sz="0" w:space="0" w:color="auto"/>
        <w:left w:val="none" w:sz="0" w:space="0" w:color="auto"/>
        <w:bottom w:val="none" w:sz="0" w:space="0" w:color="auto"/>
        <w:right w:val="none" w:sz="0" w:space="0" w:color="auto"/>
      </w:divBdr>
      <w:divsChild>
        <w:div w:id="218788884">
          <w:marLeft w:val="0"/>
          <w:marRight w:val="0"/>
          <w:marTop w:val="0"/>
          <w:marBottom w:val="0"/>
          <w:divBdr>
            <w:top w:val="none" w:sz="0" w:space="0" w:color="auto"/>
            <w:left w:val="none" w:sz="0" w:space="0" w:color="auto"/>
            <w:bottom w:val="none" w:sz="0" w:space="0" w:color="auto"/>
            <w:right w:val="none" w:sz="0" w:space="0" w:color="auto"/>
          </w:divBdr>
          <w:divsChild>
            <w:div w:id="2098671703">
              <w:marLeft w:val="0"/>
              <w:marRight w:val="0"/>
              <w:marTop w:val="0"/>
              <w:marBottom w:val="0"/>
              <w:divBdr>
                <w:top w:val="none" w:sz="0" w:space="0" w:color="auto"/>
                <w:left w:val="none" w:sz="0" w:space="0" w:color="auto"/>
                <w:bottom w:val="none" w:sz="0" w:space="0" w:color="auto"/>
                <w:right w:val="none" w:sz="0" w:space="0" w:color="auto"/>
              </w:divBdr>
              <w:divsChild>
                <w:div w:id="1385716228">
                  <w:marLeft w:val="0"/>
                  <w:marRight w:val="0"/>
                  <w:marTop w:val="0"/>
                  <w:marBottom w:val="0"/>
                  <w:divBdr>
                    <w:top w:val="none" w:sz="0" w:space="0" w:color="auto"/>
                    <w:left w:val="none" w:sz="0" w:space="0" w:color="auto"/>
                    <w:bottom w:val="none" w:sz="0" w:space="0" w:color="auto"/>
                    <w:right w:val="none" w:sz="0" w:space="0" w:color="auto"/>
                  </w:divBdr>
                  <w:divsChild>
                    <w:div w:id="324403596">
                      <w:marLeft w:val="0"/>
                      <w:marRight w:val="0"/>
                      <w:marTop w:val="0"/>
                      <w:marBottom w:val="0"/>
                      <w:divBdr>
                        <w:top w:val="none" w:sz="0" w:space="0" w:color="auto"/>
                        <w:left w:val="none" w:sz="0" w:space="0" w:color="auto"/>
                        <w:bottom w:val="none" w:sz="0" w:space="0" w:color="auto"/>
                        <w:right w:val="none" w:sz="0" w:space="0" w:color="auto"/>
                      </w:divBdr>
                      <w:divsChild>
                        <w:div w:id="1911453761">
                          <w:marLeft w:val="0"/>
                          <w:marRight w:val="0"/>
                          <w:marTop w:val="0"/>
                          <w:marBottom w:val="0"/>
                          <w:divBdr>
                            <w:top w:val="none" w:sz="0" w:space="0" w:color="auto"/>
                            <w:left w:val="none" w:sz="0" w:space="0" w:color="auto"/>
                            <w:bottom w:val="none" w:sz="0" w:space="0" w:color="auto"/>
                            <w:right w:val="none" w:sz="0" w:space="0" w:color="auto"/>
                          </w:divBdr>
                          <w:divsChild>
                            <w:div w:id="136964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271375">
      <w:bodyDiv w:val="1"/>
      <w:marLeft w:val="0"/>
      <w:marRight w:val="0"/>
      <w:marTop w:val="0"/>
      <w:marBottom w:val="0"/>
      <w:divBdr>
        <w:top w:val="none" w:sz="0" w:space="0" w:color="auto"/>
        <w:left w:val="none" w:sz="0" w:space="0" w:color="auto"/>
        <w:bottom w:val="none" w:sz="0" w:space="0" w:color="auto"/>
        <w:right w:val="none" w:sz="0" w:space="0" w:color="auto"/>
      </w:divBdr>
    </w:div>
    <w:div w:id="1627001839">
      <w:bodyDiv w:val="1"/>
      <w:marLeft w:val="0"/>
      <w:marRight w:val="0"/>
      <w:marTop w:val="0"/>
      <w:marBottom w:val="0"/>
      <w:divBdr>
        <w:top w:val="none" w:sz="0" w:space="0" w:color="auto"/>
        <w:left w:val="none" w:sz="0" w:space="0" w:color="auto"/>
        <w:bottom w:val="none" w:sz="0" w:space="0" w:color="auto"/>
        <w:right w:val="none" w:sz="0" w:space="0" w:color="auto"/>
      </w:divBdr>
    </w:div>
    <w:div w:id="1632438225">
      <w:bodyDiv w:val="1"/>
      <w:marLeft w:val="0"/>
      <w:marRight w:val="0"/>
      <w:marTop w:val="0"/>
      <w:marBottom w:val="0"/>
      <w:divBdr>
        <w:top w:val="none" w:sz="0" w:space="0" w:color="auto"/>
        <w:left w:val="none" w:sz="0" w:space="0" w:color="auto"/>
        <w:bottom w:val="none" w:sz="0" w:space="0" w:color="auto"/>
        <w:right w:val="none" w:sz="0" w:space="0" w:color="auto"/>
      </w:divBdr>
    </w:div>
    <w:div w:id="1641839971">
      <w:bodyDiv w:val="1"/>
      <w:marLeft w:val="0"/>
      <w:marRight w:val="0"/>
      <w:marTop w:val="0"/>
      <w:marBottom w:val="0"/>
      <w:divBdr>
        <w:top w:val="none" w:sz="0" w:space="0" w:color="auto"/>
        <w:left w:val="none" w:sz="0" w:space="0" w:color="auto"/>
        <w:bottom w:val="none" w:sz="0" w:space="0" w:color="auto"/>
        <w:right w:val="none" w:sz="0" w:space="0" w:color="auto"/>
      </w:divBdr>
    </w:div>
    <w:div w:id="1644970333">
      <w:bodyDiv w:val="1"/>
      <w:marLeft w:val="0"/>
      <w:marRight w:val="0"/>
      <w:marTop w:val="0"/>
      <w:marBottom w:val="0"/>
      <w:divBdr>
        <w:top w:val="none" w:sz="0" w:space="0" w:color="auto"/>
        <w:left w:val="none" w:sz="0" w:space="0" w:color="auto"/>
        <w:bottom w:val="none" w:sz="0" w:space="0" w:color="auto"/>
        <w:right w:val="none" w:sz="0" w:space="0" w:color="auto"/>
      </w:divBdr>
      <w:divsChild>
        <w:div w:id="997029502">
          <w:marLeft w:val="0"/>
          <w:marRight w:val="0"/>
          <w:marTop w:val="0"/>
          <w:marBottom w:val="0"/>
          <w:divBdr>
            <w:top w:val="none" w:sz="0" w:space="0" w:color="auto"/>
            <w:left w:val="none" w:sz="0" w:space="0" w:color="auto"/>
            <w:bottom w:val="none" w:sz="0" w:space="0" w:color="auto"/>
            <w:right w:val="none" w:sz="0" w:space="0" w:color="auto"/>
          </w:divBdr>
          <w:divsChild>
            <w:div w:id="1224636045">
              <w:marLeft w:val="0"/>
              <w:marRight w:val="0"/>
              <w:marTop w:val="0"/>
              <w:marBottom w:val="0"/>
              <w:divBdr>
                <w:top w:val="none" w:sz="0" w:space="0" w:color="auto"/>
                <w:left w:val="none" w:sz="0" w:space="0" w:color="auto"/>
                <w:bottom w:val="none" w:sz="0" w:space="0" w:color="auto"/>
                <w:right w:val="none" w:sz="0" w:space="0" w:color="auto"/>
              </w:divBdr>
              <w:divsChild>
                <w:div w:id="2096394737">
                  <w:marLeft w:val="0"/>
                  <w:marRight w:val="0"/>
                  <w:marTop w:val="0"/>
                  <w:marBottom w:val="0"/>
                  <w:divBdr>
                    <w:top w:val="none" w:sz="0" w:space="0" w:color="auto"/>
                    <w:left w:val="none" w:sz="0" w:space="0" w:color="auto"/>
                    <w:bottom w:val="none" w:sz="0" w:space="0" w:color="auto"/>
                    <w:right w:val="none" w:sz="0" w:space="0" w:color="auto"/>
                  </w:divBdr>
                  <w:divsChild>
                    <w:div w:id="454063342">
                      <w:marLeft w:val="0"/>
                      <w:marRight w:val="0"/>
                      <w:marTop w:val="0"/>
                      <w:marBottom w:val="0"/>
                      <w:divBdr>
                        <w:top w:val="none" w:sz="0" w:space="0" w:color="auto"/>
                        <w:left w:val="none" w:sz="0" w:space="0" w:color="auto"/>
                        <w:bottom w:val="none" w:sz="0" w:space="0" w:color="auto"/>
                        <w:right w:val="none" w:sz="0" w:space="0" w:color="auto"/>
                      </w:divBdr>
                      <w:divsChild>
                        <w:div w:id="216741589">
                          <w:marLeft w:val="0"/>
                          <w:marRight w:val="0"/>
                          <w:marTop w:val="0"/>
                          <w:marBottom w:val="0"/>
                          <w:divBdr>
                            <w:top w:val="none" w:sz="0" w:space="0" w:color="auto"/>
                            <w:left w:val="none" w:sz="0" w:space="0" w:color="auto"/>
                            <w:bottom w:val="none" w:sz="0" w:space="0" w:color="auto"/>
                            <w:right w:val="none" w:sz="0" w:space="0" w:color="auto"/>
                          </w:divBdr>
                          <w:divsChild>
                            <w:div w:id="5579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12672">
      <w:bodyDiv w:val="1"/>
      <w:marLeft w:val="0"/>
      <w:marRight w:val="0"/>
      <w:marTop w:val="0"/>
      <w:marBottom w:val="0"/>
      <w:divBdr>
        <w:top w:val="none" w:sz="0" w:space="0" w:color="auto"/>
        <w:left w:val="none" w:sz="0" w:space="0" w:color="auto"/>
        <w:bottom w:val="none" w:sz="0" w:space="0" w:color="auto"/>
        <w:right w:val="none" w:sz="0" w:space="0" w:color="auto"/>
      </w:divBdr>
    </w:div>
    <w:div w:id="1723211470">
      <w:bodyDiv w:val="1"/>
      <w:marLeft w:val="0"/>
      <w:marRight w:val="0"/>
      <w:marTop w:val="0"/>
      <w:marBottom w:val="0"/>
      <w:divBdr>
        <w:top w:val="none" w:sz="0" w:space="0" w:color="auto"/>
        <w:left w:val="none" w:sz="0" w:space="0" w:color="auto"/>
        <w:bottom w:val="none" w:sz="0" w:space="0" w:color="auto"/>
        <w:right w:val="none" w:sz="0" w:space="0" w:color="auto"/>
      </w:divBdr>
    </w:div>
    <w:div w:id="1740714586">
      <w:bodyDiv w:val="1"/>
      <w:marLeft w:val="0"/>
      <w:marRight w:val="0"/>
      <w:marTop w:val="0"/>
      <w:marBottom w:val="0"/>
      <w:divBdr>
        <w:top w:val="none" w:sz="0" w:space="0" w:color="auto"/>
        <w:left w:val="none" w:sz="0" w:space="0" w:color="auto"/>
        <w:bottom w:val="none" w:sz="0" w:space="0" w:color="auto"/>
        <w:right w:val="none" w:sz="0" w:space="0" w:color="auto"/>
      </w:divBdr>
      <w:divsChild>
        <w:div w:id="1135224404">
          <w:marLeft w:val="0"/>
          <w:marRight w:val="0"/>
          <w:marTop w:val="0"/>
          <w:marBottom w:val="0"/>
          <w:divBdr>
            <w:top w:val="none" w:sz="0" w:space="0" w:color="auto"/>
            <w:left w:val="none" w:sz="0" w:space="0" w:color="auto"/>
            <w:bottom w:val="none" w:sz="0" w:space="0" w:color="auto"/>
            <w:right w:val="none" w:sz="0" w:space="0" w:color="auto"/>
          </w:divBdr>
          <w:divsChild>
            <w:div w:id="2126852615">
              <w:marLeft w:val="0"/>
              <w:marRight w:val="0"/>
              <w:marTop w:val="0"/>
              <w:marBottom w:val="0"/>
              <w:divBdr>
                <w:top w:val="none" w:sz="0" w:space="0" w:color="auto"/>
                <w:left w:val="none" w:sz="0" w:space="0" w:color="auto"/>
                <w:bottom w:val="none" w:sz="0" w:space="0" w:color="auto"/>
                <w:right w:val="none" w:sz="0" w:space="0" w:color="auto"/>
              </w:divBdr>
              <w:divsChild>
                <w:div w:id="1459685210">
                  <w:marLeft w:val="0"/>
                  <w:marRight w:val="0"/>
                  <w:marTop w:val="0"/>
                  <w:marBottom w:val="0"/>
                  <w:divBdr>
                    <w:top w:val="none" w:sz="0" w:space="0" w:color="auto"/>
                    <w:left w:val="none" w:sz="0" w:space="0" w:color="auto"/>
                    <w:bottom w:val="none" w:sz="0" w:space="0" w:color="auto"/>
                    <w:right w:val="none" w:sz="0" w:space="0" w:color="auto"/>
                  </w:divBdr>
                  <w:divsChild>
                    <w:div w:id="1172989684">
                      <w:marLeft w:val="0"/>
                      <w:marRight w:val="0"/>
                      <w:marTop w:val="0"/>
                      <w:marBottom w:val="0"/>
                      <w:divBdr>
                        <w:top w:val="none" w:sz="0" w:space="0" w:color="auto"/>
                        <w:left w:val="none" w:sz="0" w:space="0" w:color="auto"/>
                        <w:bottom w:val="none" w:sz="0" w:space="0" w:color="auto"/>
                        <w:right w:val="none" w:sz="0" w:space="0" w:color="auto"/>
                      </w:divBdr>
                      <w:divsChild>
                        <w:div w:id="1756055072">
                          <w:marLeft w:val="0"/>
                          <w:marRight w:val="0"/>
                          <w:marTop w:val="0"/>
                          <w:marBottom w:val="0"/>
                          <w:divBdr>
                            <w:top w:val="none" w:sz="0" w:space="0" w:color="auto"/>
                            <w:left w:val="none" w:sz="0" w:space="0" w:color="auto"/>
                            <w:bottom w:val="none" w:sz="0" w:space="0" w:color="auto"/>
                            <w:right w:val="none" w:sz="0" w:space="0" w:color="auto"/>
                          </w:divBdr>
                          <w:divsChild>
                            <w:div w:id="1778060391">
                              <w:marLeft w:val="0"/>
                              <w:marRight w:val="0"/>
                              <w:marTop w:val="0"/>
                              <w:marBottom w:val="0"/>
                              <w:divBdr>
                                <w:top w:val="none" w:sz="0" w:space="0" w:color="auto"/>
                                <w:left w:val="none" w:sz="0" w:space="0" w:color="auto"/>
                                <w:bottom w:val="none" w:sz="0" w:space="0" w:color="auto"/>
                                <w:right w:val="none" w:sz="0" w:space="0" w:color="auto"/>
                              </w:divBdr>
                              <w:divsChild>
                                <w:div w:id="188370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906763">
      <w:bodyDiv w:val="1"/>
      <w:marLeft w:val="0"/>
      <w:marRight w:val="0"/>
      <w:marTop w:val="0"/>
      <w:marBottom w:val="0"/>
      <w:divBdr>
        <w:top w:val="none" w:sz="0" w:space="0" w:color="auto"/>
        <w:left w:val="none" w:sz="0" w:space="0" w:color="auto"/>
        <w:bottom w:val="none" w:sz="0" w:space="0" w:color="auto"/>
        <w:right w:val="none" w:sz="0" w:space="0" w:color="auto"/>
      </w:divBdr>
    </w:div>
    <w:div w:id="1781024384">
      <w:bodyDiv w:val="1"/>
      <w:marLeft w:val="0"/>
      <w:marRight w:val="0"/>
      <w:marTop w:val="0"/>
      <w:marBottom w:val="0"/>
      <w:divBdr>
        <w:top w:val="none" w:sz="0" w:space="0" w:color="auto"/>
        <w:left w:val="none" w:sz="0" w:space="0" w:color="auto"/>
        <w:bottom w:val="none" w:sz="0" w:space="0" w:color="auto"/>
        <w:right w:val="none" w:sz="0" w:space="0" w:color="auto"/>
      </w:divBdr>
    </w:div>
    <w:div w:id="1793018380">
      <w:bodyDiv w:val="1"/>
      <w:marLeft w:val="0"/>
      <w:marRight w:val="0"/>
      <w:marTop w:val="0"/>
      <w:marBottom w:val="0"/>
      <w:divBdr>
        <w:top w:val="none" w:sz="0" w:space="0" w:color="auto"/>
        <w:left w:val="none" w:sz="0" w:space="0" w:color="auto"/>
        <w:bottom w:val="none" w:sz="0" w:space="0" w:color="auto"/>
        <w:right w:val="none" w:sz="0" w:space="0" w:color="auto"/>
      </w:divBdr>
    </w:div>
    <w:div w:id="1804348248">
      <w:bodyDiv w:val="1"/>
      <w:marLeft w:val="0"/>
      <w:marRight w:val="0"/>
      <w:marTop w:val="0"/>
      <w:marBottom w:val="0"/>
      <w:divBdr>
        <w:top w:val="none" w:sz="0" w:space="0" w:color="auto"/>
        <w:left w:val="none" w:sz="0" w:space="0" w:color="auto"/>
        <w:bottom w:val="none" w:sz="0" w:space="0" w:color="auto"/>
        <w:right w:val="none" w:sz="0" w:space="0" w:color="auto"/>
      </w:divBdr>
    </w:div>
    <w:div w:id="1844665492">
      <w:bodyDiv w:val="1"/>
      <w:marLeft w:val="0"/>
      <w:marRight w:val="0"/>
      <w:marTop w:val="0"/>
      <w:marBottom w:val="0"/>
      <w:divBdr>
        <w:top w:val="none" w:sz="0" w:space="0" w:color="auto"/>
        <w:left w:val="none" w:sz="0" w:space="0" w:color="auto"/>
        <w:bottom w:val="none" w:sz="0" w:space="0" w:color="auto"/>
        <w:right w:val="none" w:sz="0" w:space="0" w:color="auto"/>
      </w:divBdr>
    </w:div>
    <w:div w:id="1846289317">
      <w:bodyDiv w:val="1"/>
      <w:marLeft w:val="0"/>
      <w:marRight w:val="0"/>
      <w:marTop w:val="0"/>
      <w:marBottom w:val="0"/>
      <w:divBdr>
        <w:top w:val="none" w:sz="0" w:space="0" w:color="auto"/>
        <w:left w:val="none" w:sz="0" w:space="0" w:color="auto"/>
        <w:bottom w:val="none" w:sz="0" w:space="0" w:color="auto"/>
        <w:right w:val="none" w:sz="0" w:space="0" w:color="auto"/>
      </w:divBdr>
    </w:div>
    <w:div w:id="1866208308">
      <w:bodyDiv w:val="1"/>
      <w:marLeft w:val="0"/>
      <w:marRight w:val="0"/>
      <w:marTop w:val="0"/>
      <w:marBottom w:val="0"/>
      <w:divBdr>
        <w:top w:val="none" w:sz="0" w:space="0" w:color="auto"/>
        <w:left w:val="none" w:sz="0" w:space="0" w:color="auto"/>
        <w:bottom w:val="none" w:sz="0" w:space="0" w:color="auto"/>
        <w:right w:val="none" w:sz="0" w:space="0" w:color="auto"/>
      </w:divBdr>
    </w:div>
    <w:div w:id="1867205870">
      <w:bodyDiv w:val="1"/>
      <w:marLeft w:val="0"/>
      <w:marRight w:val="0"/>
      <w:marTop w:val="0"/>
      <w:marBottom w:val="0"/>
      <w:divBdr>
        <w:top w:val="none" w:sz="0" w:space="0" w:color="auto"/>
        <w:left w:val="none" w:sz="0" w:space="0" w:color="auto"/>
        <w:bottom w:val="none" w:sz="0" w:space="0" w:color="auto"/>
        <w:right w:val="none" w:sz="0" w:space="0" w:color="auto"/>
      </w:divBdr>
      <w:divsChild>
        <w:div w:id="1957901889">
          <w:marLeft w:val="0"/>
          <w:marRight w:val="0"/>
          <w:marTop w:val="0"/>
          <w:marBottom w:val="0"/>
          <w:divBdr>
            <w:top w:val="none" w:sz="0" w:space="0" w:color="auto"/>
            <w:left w:val="none" w:sz="0" w:space="0" w:color="auto"/>
            <w:bottom w:val="none" w:sz="0" w:space="0" w:color="auto"/>
            <w:right w:val="none" w:sz="0" w:space="0" w:color="auto"/>
          </w:divBdr>
          <w:divsChild>
            <w:div w:id="79647092">
              <w:marLeft w:val="0"/>
              <w:marRight w:val="0"/>
              <w:marTop w:val="0"/>
              <w:marBottom w:val="0"/>
              <w:divBdr>
                <w:top w:val="none" w:sz="0" w:space="0" w:color="auto"/>
                <w:left w:val="none" w:sz="0" w:space="0" w:color="auto"/>
                <w:bottom w:val="none" w:sz="0" w:space="0" w:color="auto"/>
                <w:right w:val="none" w:sz="0" w:space="0" w:color="auto"/>
              </w:divBdr>
              <w:divsChild>
                <w:div w:id="2014261735">
                  <w:marLeft w:val="0"/>
                  <w:marRight w:val="0"/>
                  <w:marTop w:val="0"/>
                  <w:marBottom w:val="0"/>
                  <w:divBdr>
                    <w:top w:val="none" w:sz="0" w:space="0" w:color="auto"/>
                    <w:left w:val="none" w:sz="0" w:space="0" w:color="auto"/>
                    <w:bottom w:val="none" w:sz="0" w:space="0" w:color="auto"/>
                    <w:right w:val="none" w:sz="0" w:space="0" w:color="auto"/>
                  </w:divBdr>
                  <w:divsChild>
                    <w:div w:id="552544105">
                      <w:marLeft w:val="0"/>
                      <w:marRight w:val="0"/>
                      <w:marTop w:val="0"/>
                      <w:marBottom w:val="0"/>
                      <w:divBdr>
                        <w:top w:val="none" w:sz="0" w:space="0" w:color="auto"/>
                        <w:left w:val="none" w:sz="0" w:space="0" w:color="auto"/>
                        <w:bottom w:val="none" w:sz="0" w:space="0" w:color="auto"/>
                        <w:right w:val="none" w:sz="0" w:space="0" w:color="auto"/>
                      </w:divBdr>
                      <w:divsChild>
                        <w:div w:id="160587877">
                          <w:marLeft w:val="0"/>
                          <w:marRight w:val="0"/>
                          <w:marTop w:val="0"/>
                          <w:marBottom w:val="0"/>
                          <w:divBdr>
                            <w:top w:val="none" w:sz="0" w:space="0" w:color="auto"/>
                            <w:left w:val="none" w:sz="0" w:space="0" w:color="auto"/>
                            <w:bottom w:val="none" w:sz="0" w:space="0" w:color="auto"/>
                            <w:right w:val="none" w:sz="0" w:space="0" w:color="auto"/>
                          </w:divBdr>
                          <w:divsChild>
                            <w:div w:id="9397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892929">
      <w:bodyDiv w:val="1"/>
      <w:marLeft w:val="0"/>
      <w:marRight w:val="0"/>
      <w:marTop w:val="0"/>
      <w:marBottom w:val="0"/>
      <w:divBdr>
        <w:top w:val="none" w:sz="0" w:space="0" w:color="auto"/>
        <w:left w:val="none" w:sz="0" w:space="0" w:color="auto"/>
        <w:bottom w:val="none" w:sz="0" w:space="0" w:color="auto"/>
        <w:right w:val="none" w:sz="0" w:space="0" w:color="auto"/>
      </w:divBdr>
    </w:div>
    <w:div w:id="1881892821">
      <w:bodyDiv w:val="1"/>
      <w:marLeft w:val="0"/>
      <w:marRight w:val="0"/>
      <w:marTop w:val="0"/>
      <w:marBottom w:val="0"/>
      <w:divBdr>
        <w:top w:val="none" w:sz="0" w:space="0" w:color="auto"/>
        <w:left w:val="none" w:sz="0" w:space="0" w:color="auto"/>
        <w:bottom w:val="none" w:sz="0" w:space="0" w:color="auto"/>
        <w:right w:val="none" w:sz="0" w:space="0" w:color="auto"/>
      </w:divBdr>
      <w:divsChild>
        <w:div w:id="1782072388">
          <w:marLeft w:val="0"/>
          <w:marRight w:val="0"/>
          <w:marTop w:val="0"/>
          <w:marBottom w:val="0"/>
          <w:divBdr>
            <w:top w:val="none" w:sz="0" w:space="0" w:color="auto"/>
            <w:left w:val="none" w:sz="0" w:space="0" w:color="auto"/>
            <w:bottom w:val="none" w:sz="0" w:space="0" w:color="auto"/>
            <w:right w:val="none" w:sz="0" w:space="0" w:color="auto"/>
          </w:divBdr>
          <w:divsChild>
            <w:div w:id="1901748367">
              <w:marLeft w:val="0"/>
              <w:marRight w:val="0"/>
              <w:marTop w:val="0"/>
              <w:marBottom w:val="0"/>
              <w:divBdr>
                <w:top w:val="none" w:sz="0" w:space="0" w:color="auto"/>
                <w:left w:val="none" w:sz="0" w:space="0" w:color="auto"/>
                <w:bottom w:val="none" w:sz="0" w:space="0" w:color="auto"/>
                <w:right w:val="none" w:sz="0" w:space="0" w:color="auto"/>
              </w:divBdr>
              <w:divsChild>
                <w:div w:id="2099597854">
                  <w:marLeft w:val="0"/>
                  <w:marRight w:val="0"/>
                  <w:marTop w:val="0"/>
                  <w:marBottom w:val="0"/>
                  <w:divBdr>
                    <w:top w:val="none" w:sz="0" w:space="0" w:color="auto"/>
                    <w:left w:val="none" w:sz="0" w:space="0" w:color="auto"/>
                    <w:bottom w:val="none" w:sz="0" w:space="0" w:color="auto"/>
                    <w:right w:val="none" w:sz="0" w:space="0" w:color="auto"/>
                  </w:divBdr>
                  <w:divsChild>
                    <w:div w:id="1501582612">
                      <w:marLeft w:val="0"/>
                      <w:marRight w:val="0"/>
                      <w:marTop w:val="0"/>
                      <w:marBottom w:val="0"/>
                      <w:divBdr>
                        <w:top w:val="none" w:sz="0" w:space="0" w:color="auto"/>
                        <w:left w:val="none" w:sz="0" w:space="0" w:color="auto"/>
                        <w:bottom w:val="none" w:sz="0" w:space="0" w:color="auto"/>
                        <w:right w:val="none" w:sz="0" w:space="0" w:color="auto"/>
                      </w:divBdr>
                      <w:divsChild>
                        <w:div w:id="989138153">
                          <w:marLeft w:val="0"/>
                          <w:marRight w:val="0"/>
                          <w:marTop w:val="0"/>
                          <w:marBottom w:val="0"/>
                          <w:divBdr>
                            <w:top w:val="none" w:sz="0" w:space="0" w:color="auto"/>
                            <w:left w:val="none" w:sz="0" w:space="0" w:color="auto"/>
                            <w:bottom w:val="none" w:sz="0" w:space="0" w:color="auto"/>
                            <w:right w:val="none" w:sz="0" w:space="0" w:color="auto"/>
                          </w:divBdr>
                          <w:divsChild>
                            <w:div w:id="572470210">
                              <w:marLeft w:val="0"/>
                              <w:marRight w:val="0"/>
                              <w:marTop w:val="0"/>
                              <w:marBottom w:val="0"/>
                              <w:divBdr>
                                <w:top w:val="none" w:sz="0" w:space="0" w:color="auto"/>
                                <w:left w:val="none" w:sz="0" w:space="0" w:color="auto"/>
                                <w:bottom w:val="none" w:sz="0" w:space="0" w:color="auto"/>
                                <w:right w:val="none" w:sz="0" w:space="0" w:color="auto"/>
                              </w:divBdr>
                              <w:divsChild>
                                <w:div w:id="163487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0339515">
      <w:bodyDiv w:val="1"/>
      <w:marLeft w:val="0"/>
      <w:marRight w:val="0"/>
      <w:marTop w:val="0"/>
      <w:marBottom w:val="0"/>
      <w:divBdr>
        <w:top w:val="none" w:sz="0" w:space="0" w:color="auto"/>
        <w:left w:val="none" w:sz="0" w:space="0" w:color="auto"/>
        <w:bottom w:val="none" w:sz="0" w:space="0" w:color="auto"/>
        <w:right w:val="none" w:sz="0" w:space="0" w:color="auto"/>
      </w:divBdr>
    </w:div>
    <w:div w:id="1897467411">
      <w:bodyDiv w:val="1"/>
      <w:marLeft w:val="0"/>
      <w:marRight w:val="0"/>
      <w:marTop w:val="0"/>
      <w:marBottom w:val="0"/>
      <w:divBdr>
        <w:top w:val="none" w:sz="0" w:space="0" w:color="auto"/>
        <w:left w:val="none" w:sz="0" w:space="0" w:color="auto"/>
        <w:bottom w:val="none" w:sz="0" w:space="0" w:color="auto"/>
        <w:right w:val="none" w:sz="0" w:space="0" w:color="auto"/>
      </w:divBdr>
      <w:divsChild>
        <w:div w:id="2076707043">
          <w:marLeft w:val="0"/>
          <w:marRight w:val="0"/>
          <w:marTop w:val="0"/>
          <w:marBottom w:val="0"/>
          <w:divBdr>
            <w:top w:val="none" w:sz="0" w:space="0" w:color="auto"/>
            <w:left w:val="none" w:sz="0" w:space="0" w:color="auto"/>
            <w:bottom w:val="none" w:sz="0" w:space="0" w:color="auto"/>
            <w:right w:val="none" w:sz="0" w:space="0" w:color="auto"/>
          </w:divBdr>
          <w:divsChild>
            <w:div w:id="616260705">
              <w:marLeft w:val="0"/>
              <w:marRight w:val="0"/>
              <w:marTop w:val="0"/>
              <w:marBottom w:val="0"/>
              <w:divBdr>
                <w:top w:val="none" w:sz="0" w:space="0" w:color="auto"/>
                <w:left w:val="none" w:sz="0" w:space="0" w:color="auto"/>
                <w:bottom w:val="none" w:sz="0" w:space="0" w:color="auto"/>
                <w:right w:val="none" w:sz="0" w:space="0" w:color="auto"/>
              </w:divBdr>
              <w:divsChild>
                <w:div w:id="1993756465">
                  <w:marLeft w:val="0"/>
                  <w:marRight w:val="0"/>
                  <w:marTop w:val="0"/>
                  <w:marBottom w:val="0"/>
                  <w:divBdr>
                    <w:top w:val="none" w:sz="0" w:space="0" w:color="auto"/>
                    <w:left w:val="none" w:sz="0" w:space="0" w:color="auto"/>
                    <w:bottom w:val="none" w:sz="0" w:space="0" w:color="auto"/>
                    <w:right w:val="none" w:sz="0" w:space="0" w:color="auto"/>
                  </w:divBdr>
                  <w:divsChild>
                    <w:div w:id="484904010">
                      <w:marLeft w:val="0"/>
                      <w:marRight w:val="0"/>
                      <w:marTop w:val="0"/>
                      <w:marBottom w:val="0"/>
                      <w:divBdr>
                        <w:top w:val="none" w:sz="0" w:space="0" w:color="auto"/>
                        <w:left w:val="none" w:sz="0" w:space="0" w:color="auto"/>
                        <w:bottom w:val="none" w:sz="0" w:space="0" w:color="auto"/>
                        <w:right w:val="none" w:sz="0" w:space="0" w:color="auto"/>
                      </w:divBdr>
                      <w:divsChild>
                        <w:div w:id="244922876">
                          <w:marLeft w:val="0"/>
                          <w:marRight w:val="0"/>
                          <w:marTop w:val="0"/>
                          <w:marBottom w:val="0"/>
                          <w:divBdr>
                            <w:top w:val="none" w:sz="0" w:space="0" w:color="auto"/>
                            <w:left w:val="none" w:sz="0" w:space="0" w:color="auto"/>
                            <w:bottom w:val="none" w:sz="0" w:space="0" w:color="auto"/>
                            <w:right w:val="none" w:sz="0" w:space="0" w:color="auto"/>
                          </w:divBdr>
                          <w:divsChild>
                            <w:div w:id="84143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98092">
      <w:bodyDiv w:val="1"/>
      <w:marLeft w:val="0"/>
      <w:marRight w:val="0"/>
      <w:marTop w:val="0"/>
      <w:marBottom w:val="0"/>
      <w:divBdr>
        <w:top w:val="none" w:sz="0" w:space="0" w:color="auto"/>
        <w:left w:val="none" w:sz="0" w:space="0" w:color="auto"/>
        <w:bottom w:val="none" w:sz="0" w:space="0" w:color="auto"/>
        <w:right w:val="none" w:sz="0" w:space="0" w:color="auto"/>
      </w:divBdr>
    </w:div>
    <w:div w:id="1921871029">
      <w:bodyDiv w:val="1"/>
      <w:marLeft w:val="0"/>
      <w:marRight w:val="0"/>
      <w:marTop w:val="0"/>
      <w:marBottom w:val="0"/>
      <w:divBdr>
        <w:top w:val="none" w:sz="0" w:space="0" w:color="auto"/>
        <w:left w:val="none" w:sz="0" w:space="0" w:color="auto"/>
        <w:bottom w:val="none" w:sz="0" w:space="0" w:color="auto"/>
        <w:right w:val="none" w:sz="0" w:space="0" w:color="auto"/>
      </w:divBdr>
    </w:div>
    <w:div w:id="1943957208">
      <w:bodyDiv w:val="1"/>
      <w:marLeft w:val="0"/>
      <w:marRight w:val="0"/>
      <w:marTop w:val="0"/>
      <w:marBottom w:val="0"/>
      <w:divBdr>
        <w:top w:val="none" w:sz="0" w:space="0" w:color="auto"/>
        <w:left w:val="none" w:sz="0" w:space="0" w:color="auto"/>
        <w:bottom w:val="none" w:sz="0" w:space="0" w:color="auto"/>
        <w:right w:val="none" w:sz="0" w:space="0" w:color="auto"/>
      </w:divBdr>
    </w:div>
    <w:div w:id="1965693093">
      <w:bodyDiv w:val="1"/>
      <w:marLeft w:val="0"/>
      <w:marRight w:val="0"/>
      <w:marTop w:val="0"/>
      <w:marBottom w:val="0"/>
      <w:divBdr>
        <w:top w:val="none" w:sz="0" w:space="0" w:color="auto"/>
        <w:left w:val="none" w:sz="0" w:space="0" w:color="auto"/>
        <w:bottom w:val="none" w:sz="0" w:space="0" w:color="auto"/>
        <w:right w:val="none" w:sz="0" w:space="0" w:color="auto"/>
      </w:divBdr>
    </w:div>
    <w:div w:id="1967657129">
      <w:bodyDiv w:val="1"/>
      <w:marLeft w:val="0"/>
      <w:marRight w:val="0"/>
      <w:marTop w:val="0"/>
      <w:marBottom w:val="0"/>
      <w:divBdr>
        <w:top w:val="none" w:sz="0" w:space="0" w:color="auto"/>
        <w:left w:val="none" w:sz="0" w:space="0" w:color="auto"/>
        <w:bottom w:val="none" w:sz="0" w:space="0" w:color="auto"/>
        <w:right w:val="none" w:sz="0" w:space="0" w:color="auto"/>
      </w:divBdr>
    </w:div>
    <w:div w:id="1980264562">
      <w:bodyDiv w:val="1"/>
      <w:marLeft w:val="0"/>
      <w:marRight w:val="0"/>
      <w:marTop w:val="0"/>
      <w:marBottom w:val="0"/>
      <w:divBdr>
        <w:top w:val="none" w:sz="0" w:space="0" w:color="auto"/>
        <w:left w:val="none" w:sz="0" w:space="0" w:color="auto"/>
        <w:bottom w:val="none" w:sz="0" w:space="0" w:color="auto"/>
        <w:right w:val="none" w:sz="0" w:space="0" w:color="auto"/>
      </w:divBdr>
    </w:div>
    <w:div w:id="2014452524">
      <w:bodyDiv w:val="1"/>
      <w:marLeft w:val="0"/>
      <w:marRight w:val="0"/>
      <w:marTop w:val="0"/>
      <w:marBottom w:val="0"/>
      <w:divBdr>
        <w:top w:val="none" w:sz="0" w:space="0" w:color="auto"/>
        <w:left w:val="none" w:sz="0" w:space="0" w:color="auto"/>
        <w:bottom w:val="none" w:sz="0" w:space="0" w:color="auto"/>
        <w:right w:val="none" w:sz="0" w:space="0" w:color="auto"/>
      </w:divBdr>
    </w:div>
    <w:div w:id="2057387676">
      <w:bodyDiv w:val="1"/>
      <w:marLeft w:val="0"/>
      <w:marRight w:val="0"/>
      <w:marTop w:val="0"/>
      <w:marBottom w:val="0"/>
      <w:divBdr>
        <w:top w:val="none" w:sz="0" w:space="0" w:color="auto"/>
        <w:left w:val="none" w:sz="0" w:space="0" w:color="auto"/>
        <w:bottom w:val="none" w:sz="0" w:space="0" w:color="auto"/>
        <w:right w:val="none" w:sz="0" w:space="0" w:color="auto"/>
      </w:divBdr>
    </w:div>
    <w:div w:id="2059208271">
      <w:bodyDiv w:val="1"/>
      <w:marLeft w:val="0"/>
      <w:marRight w:val="0"/>
      <w:marTop w:val="0"/>
      <w:marBottom w:val="0"/>
      <w:divBdr>
        <w:top w:val="none" w:sz="0" w:space="0" w:color="auto"/>
        <w:left w:val="none" w:sz="0" w:space="0" w:color="auto"/>
        <w:bottom w:val="none" w:sz="0" w:space="0" w:color="auto"/>
        <w:right w:val="none" w:sz="0" w:space="0" w:color="auto"/>
      </w:divBdr>
    </w:div>
    <w:div w:id="2072576427">
      <w:bodyDiv w:val="1"/>
      <w:marLeft w:val="0"/>
      <w:marRight w:val="0"/>
      <w:marTop w:val="0"/>
      <w:marBottom w:val="0"/>
      <w:divBdr>
        <w:top w:val="none" w:sz="0" w:space="0" w:color="auto"/>
        <w:left w:val="none" w:sz="0" w:space="0" w:color="auto"/>
        <w:bottom w:val="none" w:sz="0" w:space="0" w:color="auto"/>
        <w:right w:val="none" w:sz="0" w:space="0" w:color="auto"/>
      </w:divBdr>
    </w:div>
    <w:div w:id="2099984795">
      <w:bodyDiv w:val="1"/>
      <w:marLeft w:val="0"/>
      <w:marRight w:val="0"/>
      <w:marTop w:val="0"/>
      <w:marBottom w:val="0"/>
      <w:divBdr>
        <w:top w:val="none" w:sz="0" w:space="0" w:color="auto"/>
        <w:left w:val="none" w:sz="0" w:space="0" w:color="auto"/>
        <w:bottom w:val="none" w:sz="0" w:space="0" w:color="auto"/>
        <w:right w:val="none" w:sz="0" w:space="0" w:color="auto"/>
      </w:divBdr>
      <w:divsChild>
        <w:div w:id="1302423753">
          <w:marLeft w:val="0"/>
          <w:marRight w:val="0"/>
          <w:marTop w:val="0"/>
          <w:marBottom w:val="0"/>
          <w:divBdr>
            <w:top w:val="none" w:sz="0" w:space="0" w:color="auto"/>
            <w:left w:val="none" w:sz="0" w:space="0" w:color="auto"/>
            <w:bottom w:val="none" w:sz="0" w:space="0" w:color="auto"/>
            <w:right w:val="none" w:sz="0" w:space="0" w:color="auto"/>
          </w:divBdr>
          <w:divsChild>
            <w:div w:id="481704699">
              <w:marLeft w:val="0"/>
              <w:marRight w:val="0"/>
              <w:marTop w:val="0"/>
              <w:marBottom w:val="0"/>
              <w:divBdr>
                <w:top w:val="none" w:sz="0" w:space="0" w:color="auto"/>
                <w:left w:val="none" w:sz="0" w:space="0" w:color="auto"/>
                <w:bottom w:val="none" w:sz="0" w:space="0" w:color="auto"/>
                <w:right w:val="none" w:sz="0" w:space="0" w:color="auto"/>
              </w:divBdr>
              <w:divsChild>
                <w:div w:id="1571891454">
                  <w:marLeft w:val="0"/>
                  <w:marRight w:val="0"/>
                  <w:marTop w:val="0"/>
                  <w:marBottom w:val="0"/>
                  <w:divBdr>
                    <w:top w:val="none" w:sz="0" w:space="0" w:color="auto"/>
                    <w:left w:val="none" w:sz="0" w:space="0" w:color="auto"/>
                    <w:bottom w:val="none" w:sz="0" w:space="0" w:color="auto"/>
                    <w:right w:val="none" w:sz="0" w:space="0" w:color="auto"/>
                  </w:divBdr>
                  <w:divsChild>
                    <w:div w:id="1925915649">
                      <w:marLeft w:val="0"/>
                      <w:marRight w:val="0"/>
                      <w:marTop w:val="0"/>
                      <w:marBottom w:val="0"/>
                      <w:divBdr>
                        <w:top w:val="none" w:sz="0" w:space="0" w:color="auto"/>
                        <w:left w:val="none" w:sz="0" w:space="0" w:color="auto"/>
                        <w:bottom w:val="none" w:sz="0" w:space="0" w:color="auto"/>
                        <w:right w:val="none" w:sz="0" w:space="0" w:color="auto"/>
                      </w:divBdr>
                      <w:divsChild>
                        <w:div w:id="875889363">
                          <w:marLeft w:val="0"/>
                          <w:marRight w:val="0"/>
                          <w:marTop w:val="0"/>
                          <w:marBottom w:val="0"/>
                          <w:divBdr>
                            <w:top w:val="none" w:sz="0" w:space="0" w:color="auto"/>
                            <w:left w:val="none" w:sz="0" w:space="0" w:color="auto"/>
                            <w:bottom w:val="none" w:sz="0" w:space="0" w:color="auto"/>
                            <w:right w:val="none" w:sz="0" w:space="0" w:color="auto"/>
                          </w:divBdr>
                          <w:divsChild>
                            <w:div w:id="2017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405034">
      <w:bodyDiv w:val="1"/>
      <w:marLeft w:val="0"/>
      <w:marRight w:val="0"/>
      <w:marTop w:val="0"/>
      <w:marBottom w:val="0"/>
      <w:divBdr>
        <w:top w:val="none" w:sz="0" w:space="0" w:color="auto"/>
        <w:left w:val="none" w:sz="0" w:space="0" w:color="auto"/>
        <w:bottom w:val="none" w:sz="0" w:space="0" w:color="auto"/>
        <w:right w:val="none" w:sz="0" w:space="0" w:color="auto"/>
      </w:divBdr>
    </w:div>
    <w:div w:id="213963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8982E-0039-47A5-81B9-AECF290EB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82</Pages>
  <Words>32690</Words>
  <Characters>186335</Characters>
  <Application>Microsoft Office Word</Application>
  <DocSecurity>0</DocSecurity>
  <Lines>1552</Lines>
  <Paragraphs>437</Paragraphs>
  <ScaleCrop>false</ScaleCrop>
  <HeadingPairs>
    <vt:vector size="2" baseType="variant">
      <vt:variant>
        <vt:lpstr>Title</vt:lpstr>
      </vt:variant>
      <vt:variant>
        <vt:i4>1</vt:i4>
      </vt:variant>
    </vt:vector>
  </HeadingPairs>
  <TitlesOfParts>
    <vt:vector size="1" baseType="lpstr">
      <vt:lpstr>Tabela e përputhshmërisë - Covered Bonds</vt:lpstr>
    </vt:vector>
  </TitlesOfParts>
  <Company/>
  <LinksUpToDate>false</LinksUpToDate>
  <CharactersWithSpaces>218588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Tabela e përputhshmërisë - Covered Bonds</dc:title>
  <dc:subject>Direktiva (BE) 2019/2162 dhe projektligji, varianti 27 korrik 2026</dc:subject>
  <dc:creator>Saimir Mucmataj</dc:creator>
  <cp:keywords/>
  <dc:description>Ripërpunuar sipas variantit të projektligjit të datës 27 korrik 2026.</dc:description>
  <cp:lastModifiedBy>Rozeta Bejko</cp:lastModifiedBy>
  <cp:revision>69</cp:revision>
  <cp:lastPrinted>2026-08-03T14:37:00Z</cp:lastPrinted>
  <dcterms:created xsi:type="dcterms:W3CDTF">2026-08-03T13:56:00Z</dcterms:created>
  <dcterms:modified xsi:type="dcterms:W3CDTF">2026-08-04T06:51:00Z</dcterms:modified>
</cp:coreProperties>
</file>