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092A" w14:textId="77777777" w:rsidR="00EA2869" w:rsidRPr="00EA2869" w:rsidRDefault="00EA2869" w:rsidP="00EA2869">
      <w:pPr>
        <w:jc w:val="center"/>
        <w:rPr>
          <w:rFonts w:ascii="Times New Roman" w:hAnsi="Times New Roman"/>
          <w:b/>
          <w:sz w:val="28"/>
          <w:szCs w:val="28"/>
          <w:lang w:val="fr-FR"/>
        </w:rPr>
      </w:pPr>
      <w:r w:rsidRPr="00EA2869">
        <w:rPr>
          <w:rFonts w:ascii="Times New Roman" w:hAnsi="Times New Roman"/>
          <w:b/>
          <w:sz w:val="28"/>
          <w:szCs w:val="28"/>
          <w:lang w:val="fr-FR"/>
        </w:rPr>
        <w:t>RELACION</w:t>
      </w:r>
    </w:p>
    <w:p w14:paraId="3FE35BF0" w14:textId="77777777" w:rsidR="00EA2869" w:rsidRPr="00EA2869" w:rsidRDefault="00EA2869" w:rsidP="00EA2869">
      <w:pPr>
        <w:jc w:val="center"/>
        <w:rPr>
          <w:rFonts w:ascii="Times New Roman" w:hAnsi="Times New Roman"/>
          <w:b/>
          <w:sz w:val="28"/>
          <w:szCs w:val="28"/>
          <w:lang w:val="fr-FR"/>
        </w:rPr>
      </w:pPr>
    </w:p>
    <w:p w14:paraId="104ACB33" w14:textId="77777777" w:rsidR="00EA2869" w:rsidRPr="00EA2869" w:rsidRDefault="00EA2869" w:rsidP="00EA2869">
      <w:pPr>
        <w:jc w:val="center"/>
        <w:rPr>
          <w:rFonts w:ascii="Times New Roman" w:hAnsi="Times New Roman"/>
          <w:b/>
          <w:sz w:val="28"/>
          <w:szCs w:val="28"/>
          <w:lang w:val="fr-FR"/>
        </w:rPr>
      </w:pPr>
      <w:r w:rsidRPr="00EA2869">
        <w:rPr>
          <w:rFonts w:ascii="Times New Roman" w:hAnsi="Times New Roman"/>
          <w:b/>
          <w:sz w:val="28"/>
          <w:szCs w:val="28"/>
          <w:lang w:val="fr-FR"/>
        </w:rPr>
        <w:t>PËR PROJEKTLIGJIN</w:t>
      </w:r>
    </w:p>
    <w:p w14:paraId="2062222B" w14:textId="77777777" w:rsidR="00EA2869" w:rsidRPr="00EA2869" w:rsidRDefault="00EA2869" w:rsidP="00EA2869">
      <w:pPr>
        <w:jc w:val="center"/>
        <w:rPr>
          <w:rFonts w:ascii="Times New Roman" w:hAnsi="Times New Roman"/>
          <w:b/>
          <w:sz w:val="28"/>
          <w:szCs w:val="28"/>
          <w:lang w:val="fr-FR"/>
        </w:rPr>
      </w:pPr>
      <w:r w:rsidRPr="00EA2869">
        <w:rPr>
          <w:rFonts w:ascii="Times New Roman" w:hAnsi="Times New Roman"/>
          <w:b/>
          <w:sz w:val="28"/>
          <w:szCs w:val="28"/>
          <w:lang w:val="fr-FR"/>
        </w:rPr>
        <w:t>“PËR EMETIMIN E OBLIGACIONEVE TË MBULUARA DHE MBIKËQYRJEN E TYRE”</w:t>
      </w:r>
    </w:p>
    <w:p w14:paraId="6FC59FC3" w14:textId="77777777" w:rsidR="00EA2869" w:rsidRPr="00EA2869" w:rsidRDefault="00EA2869" w:rsidP="00EA2869">
      <w:pPr>
        <w:jc w:val="center"/>
        <w:rPr>
          <w:rFonts w:ascii="Times New Roman" w:hAnsi="Times New Roman"/>
          <w:b/>
          <w:sz w:val="28"/>
          <w:szCs w:val="28"/>
          <w:lang w:val="fr-FR"/>
        </w:rPr>
      </w:pPr>
    </w:p>
    <w:p w14:paraId="0B8EFB5F" w14:textId="77777777" w:rsidR="00EA2869" w:rsidRPr="00EA2869" w:rsidRDefault="00EA2869" w:rsidP="00EA2869">
      <w:pPr>
        <w:jc w:val="center"/>
        <w:rPr>
          <w:rFonts w:ascii="Times New Roman" w:hAnsi="Times New Roman"/>
          <w:b/>
          <w:sz w:val="28"/>
          <w:szCs w:val="28"/>
          <w:lang w:val="fr-FR"/>
        </w:rPr>
      </w:pPr>
      <w:r w:rsidRPr="00EA2869">
        <w:rPr>
          <w:rFonts w:ascii="Times New Roman" w:hAnsi="Times New Roman"/>
          <w:b/>
          <w:sz w:val="28"/>
          <w:szCs w:val="28"/>
          <w:lang w:val="fr-FR"/>
        </w:rPr>
        <w:t>I. QËLLIMI I PROJEKTAKTIT DHE OBJEKTIVAT QË SYNOHEN TË ARRIHEN</w:t>
      </w:r>
    </w:p>
    <w:p w14:paraId="5BED973C"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Projektligji “Për emetimin e obligacioneve të mbuluara dhe mbikëqyrjen e tyre” synon krijimin, për herë të parë në Republikën e Shqipërisë, të një regjimi të posaçëm, të plotë dhe të harmonizuar për emetimin, funksionimin, administrimin dhe mbikëqyrjen publike të obligacioneve të mbuluara. Ky instrument është një titull borxhi i emetuar nga një institucion krediti dhe i siguruar me një grup të veçuar aktivesh me cilësi të lartë, mbi të cilat investitorët kanë të drejtë përparësie, krahas pretendimit të drejtpërdrejtë ndaj institucionit të kreditit emetues.</w:t>
      </w:r>
    </w:p>
    <w:p w14:paraId="44CFC1C5"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Projektligji krijon bazën juridike për përdorimin e obligacioneve të mbuluara si instrument financimi afatgjatë nga institucionet e kreditit, duke garantuar që emetimi të mbështetet në aktive të pranueshme, të identifikueshme, të vlerësuara dhe të veçuara nga aktivet e tjera të emetuesit. Ai vendos një sistem të integruar mbrojtjeje, i cili përfshin mbrojtjen e dyfishtë të investitorëve, veçimin e grupit të mbulimit nga masa e likuidimit, ndalimin e përshpejtimit automatik të pagesave, kërkesat për mbulim dhe mbikolateralizim, rezervën e likuiditetit, monitorimin e pavarur të grupit të mbulimit dhe mbikëqyrjen publike të programit.</w:t>
      </w:r>
    </w:p>
    <w:p w14:paraId="71498EC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Projektligji rregullon në mënyrë të strukturuar:</w:t>
      </w:r>
    </w:p>
    <w:p w14:paraId="2DF6B3C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kushtet për emetimin dhe miratimin e programeve të obligacioneve të mbuluara nga institucionet e kreditit të themeluara në Republikën e Shqipërisë;</w:t>
      </w:r>
    </w:p>
    <w:p w14:paraId="6C5B59D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karakteristikat strukturore të obligacioneve të mbuluara, përfshirë mbrojtjen e dyfishtë, veçimin nga procedura e falimentit, aktivet e pranueshme, përbërjen e grupit të mbulimit, kontratat derivative dhe financimin e përbashkët;</w:t>
      </w:r>
    </w:p>
    <w:p w14:paraId="07918B2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kërkesat sasiore dhe cilësore për mbulimin e detyrimeve, mbikolateralizimin minimal, përputhjen e flukseve monetare, rezervën 180-ditore të likuiditetit dhe zgjatjen e maturimit;</w:t>
      </w:r>
    </w:p>
    <w:p w14:paraId="75953F0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regjistrin e grupit të mbulimit, monitoruesin e pavarur, administrimin e rreziqeve, provat e rezistencës dhe informacionin periodik për investitorët;</w:t>
      </w:r>
    </w:p>
    <w:p w14:paraId="79A0994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kompetencat e Autoritetit të Mbikëqyrjes Financiare dhe të Bankës së Shqipërisë për miratimin, mbikëqyrjen, raportimin, kontrollin dhe marrjen e masave;</w:t>
      </w:r>
    </w:p>
    <w:p w14:paraId="21263F8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rregullat e posaçme për vazhdimësinë e programit në rast paaftësie paguese, ndërhyrjeje të jashtëzakonshme ose likuidimi të detyruar të emetuesit, përfshirë caktimin dhe detyrat e administratorit të posaçëm;</w:t>
      </w:r>
    </w:p>
    <w:p w14:paraId="53609B3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masat mbikëqyrëse, sanksionet administrative, publikimin e vendimeve dhe përdorimin e emërtimeve “obligacion i mbuluar”, “obligacion evropian i mbuluar” dhe “obligacion evropian i mbuluar (Premium)”.</w:t>
      </w:r>
    </w:p>
    <w:p w14:paraId="2E0FEE1B" w14:textId="77777777" w:rsidR="00EA2869" w:rsidRDefault="00EA2869" w:rsidP="00EA2869">
      <w:pPr>
        <w:spacing w:after="0"/>
        <w:jc w:val="both"/>
        <w:rPr>
          <w:rFonts w:ascii="Times New Roman" w:hAnsi="Times New Roman"/>
          <w:bCs/>
          <w:sz w:val="28"/>
          <w:szCs w:val="28"/>
          <w:lang w:val="sq-AL"/>
        </w:rPr>
      </w:pPr>
    </w:p>
    <w:p w14:paraId="6DD69D0B" w14:textId="3A4617E8"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Objektivat kryesore të projektligjit janë:</w:t>
      </w:r>
    </w:p>
    <w:p w14:paraId="5D539C9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krijojë një kuadër ligjor të qartë dhe të zbatueshëm për emetimin e obligacioneve të mbuluara, të përafruar me acquis të Bashkimit Evropian;</w:t>
      </w:r>
    </w:p>
    <w:p w14:paraId="6BAC295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garantojë një nivel të lartë mbrojtjeje për investitorët përmes mbrojtjes së dyfishtë, veçimit juridik të aktiveve të mbulimit dhe vazhdimësisë së pagesave edhe në rast paaftësie paguese ose ndërhyrjeje të jashtëzakonshme ndaj emetuesit;</w:t>
      </w:r>
    </w:p>
    <w:p w14:paraId="46BB0DE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sigurojë që obligacionet e mbuluara të garantohen në çdo kohë me aktive të pranueshme, të cilësisë së lartë, të vlerësuara në mënyrë të kujdesshme dhe të dokumentuara në një regjistër të posaçëm;</w:t>
      </w:r>
    </w:p>
    <w:p w14:paraId="1111375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vendosë kërkesa të matshme për mbulimin e principalit, interesit, detyrimeve nga kontratat derivative dhe kostove të administrimit, përfshirë mbikolateralizimin minimal ligjor prej 5 për qind;</w:t>
      </w:r>
    </w:p>
    <w:p w14:paraId="5C8548C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reduktojë rrezikun e likuiditetit përmes detyrimit për një rezervë të grupit të mbulimit që përballon daljen maksimale kumulative neto të likuiditetit për 180 ditët pasuese;</w:t>
      </w:r>
    </w:p>
    <w:p w14:paraId="0045759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krijojë procedura transparente dhe të parashikueshme për opinionin paraprak të Bankës së Shqipërisë dhe miratimin e programit nga Autoriteti i Mbikëqyrjes Financiare;</w:t>
      </w:r>
    </w:p>
    <w:p w14:paraId="03BC513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forcojë administrimin e rreziqeve të programit, përfshirë rrezikun e kredisë, të tregut, të normës së interesit, të kursit të këmbimit, operacional dhe të likuiditetit, si dhe kryerjen periodike të provave të rezistencës;</w:t>
      </w:r>
    </w:p>
    <w:p w14:paraId="6A85338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të sigurojë transparencë të vazhdueshme ndaj investitorëve për përbërjen dhe cilësinë e grupit të mbulimit, nivelin e mbulimit, strukturën e maturimit dhe rreziqet e programit;</w:t>
      </w:r>
    </w:p>
    <w:p w14:paraId="13179EC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diversifikojë burimet e financimit afatgjatë të institucioneve të kreditit dhe të krijojë kushte për kanalizimin e kursimeve institucionale drejt financimit hipotekor, sektorit publik dhe ekonomisë reale;</w:t>
      </w:r>
    </w:p>
    <w:p w14:paraId="0C31D60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rrisë besimin e investitorëve, integritetin e tregut dhe gatishmërinë e infrastrukturës shqiptare për integrimin me mekanizmat evropianë, përfshirë Pikën e Vetme Evropiane të Aksesit (ESAP).</w:t>
      </w:r>
    </w:p>
    <w:p w14:paraId="6EEBF5A6" w14:textId="77777777" w:rsidR="00EA2869" w:rsidRPr="00EA2869" w:rsidRDefault="00EA2869" w:rsidP="00EA2869">
      <w:pPr>
        <w:jc w:val="both"/>
        <w:rPr>
          <w:rFonts w:ascii="Times New Roman" w:hAnsi="Times New Roman"/>
          <w:bCs/>
          <w:sz w:val="28"/>
          <w:szCs w:val="28"/>
          <w:lang w:val="sq-AL"/>
        </w:rPr>
      </w:pPr>
    </w:p>
    <w:p w14:paraId="6D3BC2DC" w14:textId="77777777" w:rsidR="00EA2869" w:rsidRPr="00EA2869" w:rsidRDefault="00EA2869" w:rsidP="00EA2869">
      <w:pPr>
        <w:jc w:val="both"/>
        <w:rPr>
          <w:rFonts w:ascii="Times New Roman" w:hAnsi="Times New Roman"/>
          <w:b/>
          <w:sz w:val="28"/>
          <w:szCs w:val="28"/>
          <w:lang w:val="sq-AL"/>
        </w:rPr>
      </w:pPr>
      <w:r w:rsidRPr="00EA2869">
        <w:rPr>
          <w:rFonts w:ascii="Times New Roman" w:hAnsi="Times New Roman"/>
          <w:b/>
          <w:sz w:val="28"/>
          <w:szCs w:val="28"/>
          <w:lang w:val="sq-AL"/>
        </w:rPr>
        <w:t>II. VLERËSIMI I PROJEKTAKTIT NË RAPORT ME PROGRAMIN POLITIK TË KËSHILLIT TË MINISTRAVE DHE DOKUMENTE TË TJERA STRATEGJIKE</w:t>
      </w:r>
    </w:p>
    <w:p w14:paraId="6ADA287A" w14:textId="4D62CE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Projektligji lidhet drejtpërdrejt me objektivin kombëtar për përafrimin e legjislacionit shqiptar me acquis të Bashkimit Evropian në fushën e shërbimeve financiare dhe tregjeve të kapitalit. Ai kontribuon në përmbushjen e detyrimeve që rrjedhin nga procesi i integrimit evropian, në veçanti nga Kapitulli 9 “Shërbimet financiare”, duke transpozuar kuadrin e harmonizuar të Bashkimit Evropian për emetimin dhe mbikëqyrjen publike të obligacioneve të mbuluara.</w:t>
      </w:r>
    </w:p>
    <w:p w14:paraId="4E4FC3DC"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Projektligji mbështet politikat e Këshillit të Ministrave për zhvillimin e sektorit financiar, rritjen e alternativave të financimit të ekonomisë, forcimin e mbrojtjes së investitorëve dhe përafrimin e standardeve kombëtare me standardet evropiane. Në mënyrë të veçantë, ai krijon kushtet për zhvillimin e një segmenti të ri të tregut të titujve të borxhit dhe për zgjerimin e bazës së instrumenteve të disponueshme për investitorët institucionalë dhe investitorët e tjerë të kualifikuar.</w:t>
      </w:r>
    </w:p>
    <w:p w14:paraId="6519AC5B"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Objektivat e projektligjit janë në përputhje me Vendimin e Këshillit të Ministrave nr. 266, datë 27.4.2023, “Për miratimin e dokumentit të politikave ‘Për krijimin e një mjedisi mundësues për zhvillimin e tregjeve të kapitalit në Shqipëri, 2023-2027’”. Ky dokument parashikon zgjerimin e gamës së instrumenteve financiare, zhvillimin e tregut të titujve të borxhit, përmirësimin e infrastrukturës së tregut, rritjen e besimit të investitorëve dhe krijimin e burimeve alternative të financimit afatgjatë.</w:t>
      </w:r>
    </w:p>
    <w:p w14:paraId="24F60C4E"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 xml:space="preserve">Projektligji është gjithashtu në koherencë me Programin Kombëtar për Integrimin Evropian, me politikat për zhvillimin e qëndrueshëm të sistemit financiar dhe me </w:t>
      </w:r>
      <w:r w:rsidRPr="00EA2869">
        <w:rPr>
          <w:rFonts w:ascii="Times New Roman" w:hAnsi="Times New Roman"/>
          <w:bCs/>
          <w:sz w:val="28"/>
          <w:szCs w:val="28"/>
          <w:lang w:val="sq-AL"/>
        </w:rPr>
        <w:lastRenderedPageBreak/>
        <w:t>objektivat për forcimin e stabilitetit financiar. Obligacionet e mbuluara mund të kontribuojnë në krijimin e një strukture më të qëndrueshme financimi për institucionet e kreditit, sepse lidhen me portofolë aktivesh afatgjata dhe kërkojnë administrim të rreptë të përputhjes së maturimeve, mbulimit dhe likuiditetit.</w:t>
      </w:r>
    </w:p>
    <w:p w14:paraId="0E42DFB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Në mënyrë të veçantë, projektligji mbështet:</w:t>
      </w:r>
    </w:p>
    <w:p w14:paraId="368DE92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zhvillimin e tregut të kapitalit dhe të tregut të titujve të borxhit në Republikën e Shqipërisë;</w:t>
      </w:r>
    </w:p>
    <w:p w14:paraId="7D35EC9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diversifikimin e burimeve të financimit të institucioneve të kreditit dhe reduktimin e varësisë nga financimi afatshkurtër;</w:t>
      </w:r>
    </w:p>
    <w:p w14:paraId="18C2F10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rritjen e mbrojtjes së investitorëve dhe të sigurisë juridike nëpërmjet një regjimi të posaçëm ligjor;</w:t>
      </w:r>
    </w:p>
    <w:p w14:paraId="09A5FAD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përmirësimin e standardeve të administrimit të rrezikut, vlerësimit të kolateralit, raportimit dhe mbikëqyrjes;</w:t>
      </w:r>
    </w:p>
    <w:p w14:paraId="3F955E7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krijimin e kushteve për investime afatgjata nga fondet e investimit, fondet e pensionit dhe investitorë të tjerë institucionalë, në përputhje me kufizimet përkatëse ligjore;</w:t>
      </w:r>
    </w:p>
    <w:p w14:paraId="6055592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përgatitjen e institucioneve dhe operatorëve të tregut për zbatimin e mekanizmave të Bashkimit Evropian pas anëtarësimit të Republikës së Shqipërisë në BE.</w:t>
      </w:r>
    </w:p>
    <w:p w14:paraId="45497B1E" w14:textId="77777777" w:rsidR="00EA2869" w:rsidRPr="00EA2869" w:rsidRDefault="00EA2869" w:rsidP="00EA2869">
      <w:pPr>
        <w:jc w:val="center"/>
        <w:rPr>
          <w:rFonts w:ascii="Times New Roman" w:hAnsi="Times New Roman"/>
          <w:b/>
          <w:sz w:val="28"/>
          <w:szCs w:val="28"/>
          <w:lang w:val="sq-AL"/>
        </w:rPr>
      </w:pPr>
    </w:p>
    <w:p w14:paraId="2F04FADA" w14:textId="77777777" w:rsidR="00EA2869" w:rsidRPr="00EA2869" w:rsidRDefault="00EA2869" w:rsidP="00EA2869">
      <w:pPr>
        <w:jc w:val="center"/>
        <w:rPr>
          <w:rFonts w:ascii="Times New Roman" w:hAnsi="Times New Roman"/>
          <w:b/>
          <w:sz w:val="28"/>
          <w:szCs w:val="28"/>
          <w:lang w:val="sq-AL"/>
        </w:rPr>
      </w:pPr>
      <w:r w:rsidRPr="00EA2869">
        <w:rPr>
          <w:rFonts w:ascii="Times New Roman" w:hAnsi="Times New Roman"/>
          <w:b/>
          <w:sz w:val="28"/>
          <w:szCs w:val="28"/>
          <w:lang w:val="sq-AL"/>
        </w:rPr>
        <w:t>III. ARGUMENTIMI I PROJEKTAKTIT LIDHUR ME PËRPARËSITË, PROBLEMATIKAT DHE EFEKTET E PRITSHME</w:t>
      </w:r>
    </w:p>
    <w:p w14:paraId="57320413"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Kuadri ligjor shqiptar nuk përmban aktualisht një regjim të posaçëm për emetimin, strukturën dhe mbikëqyrjen publike të obligacioneve të mbuluara. Legjislacioni për tregjet e kapitalit mundëson emetimin dhe ofertimin e titujve të borxhit në përgjithësi, ndërsa legjislacioni bankar rregullon veprimtarinë dhe kërkesat prudenciale të institucioneve të kreditit. Megjithatë, këto rregullime nuk krijojnë elementet specifike që e dallojnë obligacionin e mbuluar nga një obligacion i zakonshëm bankar.</w:t>
      </w:r>
    </w:p>
    <w:p w14:paraId="34D3277E"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 xml:space="preserve">Në mungesë të një ligji të posaçëm nuk mund të garantohet në mënyrë të plotë dhe të parashikueshme mbrojtja e dyfishtë e investitorëve, veçimi i aktiveve të mbulimit nga masa e likuidimit, vazhdimësia e pagesave sipas afateve kontraktore, kontrolli i pavarur i grupit të mbulimit, rezerva e detyrueshme e likuiditetit dhe mbikëqyrja publike e programit. Këto elemente kërkojnë të drejta </w:t>
      </w:r>
      <w:r w:rsidRPr="00EA2869">
        <w:rPr>
          <w:rFonts w:ascii="Times New Roman" w:hAnsi="Times New Roman"/>
          <w:bCs/>
          <w:sz w:val="28"/>
          <w:szCs w:val="28"/>
          <w:lang w:val="sq-AL"/>
        </w:rPr>
        <w:lastRenderedPageBreak/>
        <w:t>dhe detyrime të detyrueshme ligjore dhe nuk mund të krijohen vetëm përmes marrëveshjeve kontraktore private.</w:t>
      </w:r>
    </w:p>
    <w:p w14:paraId="239ED76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Projektligji adreson problematikat kryesore të mëposhtme:</w:t>
      </w:r>
    </w:p>
    <w:p w14:paraId="1FBA60F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mungesën e një baze ligjore për miratimin dhe mbikëqyrjen e programeve të obligacioneve të mbuluara;</w:t>
      </w:r>
    </w:p>
    <w:p w14:paraId="4C268F5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mungesën e rregullave për identifikimin, regjistrimin, vlerësimin, zëvendësimin dhe veçimin e aktiveve që përbëjnë grupin e mbulimit;</w:t>
      </w:r>
    </w:p>
    <w:p w14:paraId="7E55CB8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pasigurinë mbi të drejtat e investitorëve dhe rendin e pretendimeve në rast paaftësie paguese, likuidimi ose ndërhyrjeje të jashtëzakonshme ndaj institucionit të kreditit emetues;</w:t>
      </w:r>
    </w:p>
    <w:p w14:paraId="3C6CF7F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mungesën e kërkesave minimale për mbikolateralizimin, përputhjen e financimit dhe rezervën e likuiditetit;</w:t>
      </w:r>
    </w:p>
    <w:p w14:paraId="3B71B25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mungesën e një monitoruesi të pavarur dhe të procedurave të standardizuara të raportimit dhe kontrollit të programit;</w:t>
      </w:r>
    </w:p>
    <w:p w14:paraId="13D3BE3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mungesën e rregullave për administrimin e programit dhe transferimin e tij te një institucion tjetër krediti në rast krize ose likuidimi të emetuesit;</w:t>
      </w:r>
    </w:p>
    <w:p w14:paraId="3D356BE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pamundësinë e përdorimit të emërtimeve evropiane të mbrojtura dhe të krahasimit të instrumentit shqiptar me standardin e Bashkimit Evropian.</w:t>
      </w:r>
    </w:p>
    <w:p w14:paraId="45790C34"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Përparësia kryesore e projektligjit është krijimi i një sistemi të integruar mbrojtjeje për investitorin. Investitori ruan një pretendim të drejtpërdrejtë ndaj institucionit të kreditit emetues dhe, njëkohësisht, gëzon një pretendim me përparësi mbi aktivet e grupit të mbulimit. Nëse grupi i mbulimit nuk është i mjaftueshëm, investitori ka një pretendim të mbetur ndaj masës së likuidimit, sipas rendit të përcaktuar në ligj.</w:t>
      </w:r>
    </w:p>
    <w:p w14:paraId="4FD602D4"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Një përparësi tjetër është mbrojtja e vazhdimësisë së programit. Paaftësia paguese, likuidimi ose ndërhyrja e jashtëzakonshme ndaj emetuesit nuk shkaktojnë automatikisht maturimin e menjëhershëm të obligacioneve. Pagesat vazhdojnë sipas kushteve kontraktore dhe realizohen nga grupi i mbulimit, nën administrimin e administratorit të posaçëm dhe nën mbikëqyrjen e Autoritetit.</w:t>
      </w:r>
    </w:p>
    <w:p w14:paraId="603753F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Efektet e pritshme të zbatimit të projektligjit përfshijnë:</w:t>
      </w:r>
    </w:p>
    <w:p w14:paraId="459DC3A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rritjen e sigurisë juridike dhe të besimit të investitorëve në instrumentet e borxhit të emetuara nga institucionet e kreditit;</w:t>
      </w:r>
    </w:p>
    <w:p w14:paraId="50671CE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krijimin e një burimi të ri financimi afatgjatë dhe potencialisht më të qëndrueshëm për institucionet e kreditit;</w:t>
      </w:r>
    </w:p>
    <w:p w14:paraId="1ECDB2B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rritjen e cilësisë së administrimit të portofolëve të kredive dhe të kolateralit, për shkak të kërkesave të posaçme për pranueshmëri, vlerësim, dokumentim dhe monitorim;</w:t>
      </w:r>
    </w:p>
    <w:p w14:paraId="544D478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forcimin e disiplinës së likuiditetit dhe të përputhjes së flukseve monetare për programet e obligacioneve të mbuluara;</w:t>
      </w:r>
    </w:p>
    <w:p w14:paraId="33BD0ED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zgjerimin dhe diversifikimin gradual të tregut shqiptar të kapitalit dhe krijimin e instrumenteve të reja për investitorët institucionalë;</w:t>
      </w:r>
    </w:p>
    <w:p w14:paraId="76EEDB9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përmirësimin e koordinimit funksional ndërmjet mbikëqyrjes së tregut të kapitalit dhe mbikëqyrjes prudenciale bankare, sipas ndarjes së kompetencave në projektligj;</w:t>
      </w:r>
    </w:p>
    <w:p w14:paraId="446B245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përgatitjen për përdorimin e emërtimeve evropiane dhe për publikimin e informacionit përmes ESAP pas anëtarësimit në Bashkimin Evropian.</w:t>
      </w:r>
    </w:p>
    <w:p w14:paraId="5D5F155F"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Zbatimi i projektligjit shoqërohet me kosto përputhshmërie për institucionet e kreditit që zgjedhin të emetojnë obligacione të mbuluara. Këto kosto lidhen me përgatitjen e dokumentacionit të programit, organizimin e funksioneve të dedikuara, sistemet e regjistrimit dhe raportimit, vlerësimin dhe sigurimin e kolateralit, monitoruesin e grupit të mbulimit, provat e rezistencës, rezervën e likuiditetit dhe tarifat mbikëqyrëse. Hyrja në këtë regjim është vullnetare për institucionet e kreditit; por, pas miratimit të programit, respektimi i kërkesave është i detyrueshëm dhe i vazhdueshëm.</w:t>
      </w:r>
    </w:p>
    <w:p w14:paraId="25F36E27" w14:textId="159FA826"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Kostot e përputhshmërisë justifikohen nga niveli i lartë i mbrojtjes së investitorëve dhe nga përfitimet që mund të rrjedhin nga diversifikimi i financimit, reputacioni i instrumentit, standardizimi i proceseve dhe mundësia e aksesit në një bazë më të gjerë investitorësh. Projektligji parashikon zbatim të shtyrë deri më 1 janar 2029 dhe një afat 12-mujor për miratimin e akteve nënligjore, duke krijuar kohë të mjaftueshme për përgatitjen institucionale dhe teknike.</w:t>
      </w:r>
    </w:p>
    <w:p w14:paraId="06D5A696" w14:textId="77777777" w:rsidR="00EA2869" w:rsidRPr="00EA2869" w:rsidRDefault="00EA2869" w:rsidP="00EA2869">
      <w:pPr>
        <w:jc w:val="center"/>
        <w:rPr>
          <w:rFonts w:ascii="Times New Roman" w:hAnsi="Times New Roman"/>
          <w:b/>
          <w:sz w:val="28"/>
          <w:szCs w:val="28"/>
          <w:lang w:val="sq-AL"/>
        </w:rPr>
      </w:pPr>
      <w:r w:rsidRPr="00EA2869">
        <w:rPr>
          <w:rFonts w:ascii="Times New Roman" w:hAnsi="Times New Roman"/>
          <w:b/>
          <w:sz w:val="28"/>
          <w:szCs w:val="28"/>
          <w:lang w:val="sq-AL"/>
        </w:rPr>
        <w:t>IV. VLERËSIMI I LIGJSHMËRISË, KUSHTETUTSHMËRISË DHE HARMONIZIMI ME LEGJISLACIONIN NË FUQI</w:t>
      </w:r>
    </w:p>
    <w:p w14:paraId="24E31486"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Ky projektligj është në përputhje me nenet 78 dhe 83, pika 1, të Kushtetutës së Republikës së Shqipërisë.</w:t>
      </w:r>
    </w:p>
    <w:p w14:paraId="36971FCA"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 xml:space="preserve">Projektligji krijon një regjim të posaçëm për obligacionet e mbuluara, i cili zbatohet në mënyrë plotësuese dhe të koordinuar me legjislacionin në fuqi për institucionet e kreditit, tregjet e kapitalit, ndërhyrjen e jashtëzakonshme, </w:t>
      </w:r>
      <w:r w:rsidRPr="00EA2869">
        <w:rPr>
          <w:rFonts w:ascii="Times New Roman" w:hAnsi="Times New Roman"/>
          <w:bCs/>
          <w:sz w:val="28"/>
          <w:szCs w:val="28"/>
          <w:lang w:val="sq-AL"/>
        </w:rPr>
        <w:lastRenderedPageBreak/>
        <w:t>likuidimin e detyruar, kolateralin financiar, kontabilitetin, auditimin, regjistrimin e pasurive dhe mbrojtjen e të dhënave personale.</w:t>
      </w:r>
    </w:p>
    <w:p w14:paraId="5EAB4A51"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Në veçanti, projektligji është hartuar duke marrë në konsideratë dhe duke siguruar koherencën e dispozitave të tij me kuadrin ligjor kombëtar në fuqi, veçanërisht me:</w:t>
      </w:r>
    </w:p>
    <w:p w14:paraId="6C4EFFA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 xml:space="preserve"> ligjin nr. 9662, datë 18.12.2006, “Për bankat në Republikën e Shqipërisë”, të ndryshuar, i cili rregullon licencimin, organizimin, administrimin e rrezikut dhe mbikëqyrjen prudenciale të institucioneve të kreditit. Projektligji plotëson këtë kuadër duke vendosur kërkesa të posaçme për institucionet e kreditit që synojnë të emetojnë obligacione të mbuluara, pa cenuar kompetencat mbikëqyrëse prudenciale të Bankës së Shqipërisë;</w:t>
      </w:r>
    </w:p>
    <w:p w14:paraId="2DB1CD8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ligjin nr. 62/2020, “Për tregjet e kapitalit”, i cili rregullon, ndër të tjera, ofertën publike të titujve, hartimin dhe miratimin e prospektit, pranimin e titujve për tregtim, ofrimin e shërbimeve të investimit dhe funksionimin e infrastrukturës së tregut. Miratimi i një programi të obligacioneve të mbuluara sipas këtij projektligji nuk zëvendëson përmbushjen e kërkesave për ofertën publike, prospektin ose pranimin e obligacioneve për tregtim, kur këto kërkesa janë të zbatueshme;</w:t>
      </w:r>
    </w:p>
    <w:p w14:paraId="1925BE2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ligjin nr. 133/2016, “Për rimëkëmbjen dhe ndërhyrjen e jashtëzakonshme në banka, në Republikën e Shqipërisë”, i cili rregullon planifikimin e rimëkëmbjes, masat e ndërhyrjes së hershme dhe instrumentet e ndërhyrjes së jashtëzakonshme ndaj bankave. Projektligji merr në konsideratë këtë kuadër, veçanërisht për trajtimin e obligacioneve të mbuluara, mbrojtjen e grupit të mbulimit, vazhdimësinë e pagesave dhe transferimin e aktiveve dhe detyrimeve të lidhura me programin në rast ndërhyrjeje të jashtëzakonshme ndaj institucionit të kreditit emetues;</w:t>
      </w:r>
    </w:p>
    <w:p w14:paraId="57FDCF4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 xml:space="preserve"> ligjin nr. 133/2013, “Për sistemin e pagesave”, të ndryshuar, për aq sa dispozitat e tij lidhen me marrëveshjet e kolateralit financiar, transferimin e aktiveve dhe mbrojtjen juridike të marrëveshjeve të përdorura në kuadër të programeve të obligacioneve të mbuluara;</w:t>
      </w:r>
    </w:p>
    <w:p w14:paraId="3F05346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 xml:space="preserve"> legjislacionin në fuqi për likuidimin e detyruar dhe falimentimin e institucioneve të kreditit, në lidhje me fillimin dhe zhvillimin e procedurave të likuidimit, përbërjen e masës së likuidimit, rendin e shlyerjes së kreditorëve dhe administrimin e aktiveve. Projektligji vendos rregulla të posaçme për veçimin e grupit të mbulimit, rezervimin e pasurive, vazhdimësinë e përmbushjes së </w:t>
      </w:r>
      <w:r w:rsidRPr="00EA2869">
        <w:rPr>
          <w:rFonts w:ascii="Times New Roman" w:hAnsi="Times New Roman"/>
          <w:bCs/>
          <w:sz w:val="28"/>
          <w:szCs w:val="28"/>
          <w:lang w:val="sq-AL"/>
        </w:rPr>
        <w:lastRenderedPageBreak/>
        <w:t>detyrimeve ndaj investitorëve dhe trajtimin e pretendimeve të pambuluara pas ezaurimit të aktiveve të grupit të mbulimit;</w:t>
      </w:r>
    </w:p>
    <w:p w14:paraId="45B81EF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legjislacionin për sigurimin e depozitave, në lidhje me funksionet dhe kompetencat e Agjencisë së Sigurimit të Depozitave në procedurat e likuidimit të detyruar të institucioneve të kreditit, si dhe me nevojën për koordinim ndërmjet likuidatorit, administratorit të posaçëm, Autoritetit të Mbikëqyrjes Financiare dhe Bankës së Shqipërisë;</w:t>
      </w:r>
    </w:p>
    <w:p w14:paraId="4388075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 xml:space="preserve"> ligjin nr. 25/2018, “Për kontabilitetin dhe pasqyrat financiare”, i ndryshuar, si dhe legjislacionin në fuqi për auditimin ligjor, në lidhje me mbajtjen dhe dokumentimin e të dhënave kontabël, përgatitjen e pasqyrave financiare, raportimin, auditimin dhe kërkesat për kompetencën dhe pavarësinë profesionale të audituesve, monitoruesve dhe ekspertëve të angazhuar në vlerësimin e aktiveve të grupit të mbulimit;</w:t>
      </w:r>
    </w:p>
    <w:p w14:paraId="548ECE9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legjislacionin në fuqi për kadastrën, regjistrimin e pasurive të paluajtshme, hipotekat, barrët siguruese, pengun dhe garancitë, në lidhje me identifikimin e pronësisë, regjistrimin dhe përparësinë e të drejtave të sigurimit, provueshmërinë e kolateralit dhe zbatueshmërinë e këtyre të drejtave ndaj palëve të treta;</w:t>
      </w:r>
    </w:p>
    <w:p w14:paraId="0597D72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 xml:space="preserve"> legjislacionin në fuqi për vlerësimin dhe sigurimin e pasurive, për aq sa lidhet me përcaktimin, dokumentimin dhe monitorimin e vlerës së aktiveve fizike të përdorura si kolateral, si dhe me sigurimin e tyre ndaj rrezikut të dëmtimit ose humbjes;</w:t>
      </w:r>
    </w:p>
    <w:p w14:paraId="2D26201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legjislacionin për mbrojtjen e të dhënave personale, sekretin bankar dhe sekretin profesional, në lidhje me mbledhjen, përpunimin, raportimin, publikimin dhe shkëmbimin e informacionit ndërmjet emetuesit, monitoruesit të grupit të mbulimit, Autoritetit të Mbikëqyrjes Financiare, Bankës së Shqipërisë dhe autoriteteve të tjera kompetente.</w:t>
      </w:r>
    </w:p>
    <w:p w14:paraId="2AAA67FA"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Në këtë mënyrë, projektligji nuk zëvendëson dhe as ndryshon në mënyrë të përgjithshme kuadrin ligjor të mësipërm, por krijon një regjim të posaçëm për emetimin dhe mbikëqyrjen e obligacioneve të mbuluara, i cili zbatohet në mënyrë të koordinuar me dispozitat e legjislacionit bankar, të tregjeve të kapitalit, të ndërhyrjes së jashtëzakonshme, të likuidimit, të kolateralit, të kontabilitetit dhe të mbrojtjes së informacionit.</w:t>
      </w:r>
    </w:p>
    <w:p w14:paraId="6663B630"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 xml:space="preserve">Projektligji përcakton qartë marrëdhënien me kuadrin ekzistues. Banka e Shqipërisë ruan kompetencat e saj prudenciale ndaj institucioneve të kreditit dhe jep opinion paraprak për programin. Autoriteti i Mbikëqyrjes Financiare miraton dhe mbikëqyr programin e obligacioneve të mbuluara. Në rast ndërhyrjeje të jashtëzakonshme ose likuidimi, zbatohen dispozitat e posaçme të projektligjit për </w:t>
      </w:r>
      <w:r w:rsidRPr="00EA2869">
        <w:rPr>
          <w:rFonts w:ascii="Times New Roman" w:hAnsi="Times New Roman"/>
          <w:bCs/>
          <w:sz w:val="28"/>
          <w:szCs w:val="28"/>
          <w:lang w:val="sq-AL"/>
        </w:rPr>
        <w:lastRenderedPageBreak/>
        <w:t>mbrojtjen dhe administrimin e grupit të mbulimit, pa cenuar kompetencat e autoriteteve të përcaktuara në legjislacionin bankar.</w:t>
      </w:r>
    </w:p>
    <w:p w14:paraId="1A513D83" w14:textId="77777777" w:rsidR="00EA2869" w:rsidRPr="00EA2869" w:rsidRDefault="00EA2869" w:rsidP="00EA2869">
      <w:pPr>
        <w:jc w:val="center"/>
        <w:rPr>
          <w:rFonts w:ascii="Times New Roman" w:hAnsi="Times New Roman"/>
          <w:b/>
          <w:sz w:val="28"/>
          <w:szCs w:val="28"/>
          <w:lang w:val="sq-AL"/>
        </w:rPr>
      </w:pPr>
    </w:p>
    <w:p w14:paraId="39B1778C" w14:textId="77777777" w:rsidR="00EA2869" w:rsidRPr="00EA2869" w:rsidRDefault="00EA2869" w:rsidP="00EA2869">
      <w:pPr>
        <w:rPr>
          <w:rFonts w:ascii="Times New Roman" w:hAnsi="Times New Roman"/>
          <w:b/>
          <w:sz w:val="28"/>
          <w:szCs w:val="28"/>
          <w:lang w:val="sq-AL"/>
        </w:rPr>
      </w:pPr>
      <w:r w:rsidRPr="00EA2869">
        <w:rPr>
          <w:rFonts w:ascii="Times New Roman" w:hAnsi="Times New Roman"/>
          <w:b/>
          <w:sz w:val="28"/>
          <w:szCs w:val="28"/>
          <w:lang w:val="sq-AL"/>
        </w:rPr>
        <w:t>V. VLERËSIMI I SHKALLËS SË PËRAFRIMIT ME ACQUIS COMMUNAUTAIRE</w:t>
      </w:r>
    </w:p>
    <w:p w14:paraId="160418BD"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Shkalla e përafrimit me acquis communautaire të Bashkimit Evropian është e plotë. Projektligji transpozon kërkesat e detyrueshme të kuadrit evropian për emetimin, karakteristikat strukturore, mbikëqyrjen publike dhe transparencën e obligacioneve të mbuluara dhe përgatit zbatimin e kërkesave të lidhura me Pikën e Vetme Evropiane të Aksesit.</w:t>
      </w:r>
    </w:p>
    <w:p w14:paraId="3635B84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Direktiva (BE) 2019/2162 e Parlamentit Evropian dhe e Këshillit, datë 27 nëntor 2019, mbi emetimin e obligacioneve të mbuluara dhe mbikëqyrjen publike të obligacioneve të mbuluara dhe për ndryshimin e Direktivave 2009/65/KE dhe 2014/59/BE;</w:t>
      </w:r>
    </w:p>
    <w:p w14:paraId="45EBE07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Direktiva (BE) 2023/2864 e Parlamentit Evropian dhe e Këshillit, datë 13 dhjetor 2023, për ndryshimin e disa direktivave në lidhje me krijimin dhe funksionimin e Pikës së Vetme Evropiane të Aksesit (ESAP);</w:t>
      </w:r>
    </w:p>
    <w:p w14:paraId="050F69E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Rregullorja (BE) 2023/2859 e Parlamentit Evropian dhe e Këshillit, datë 13 dhjetor 2023, për krijimin e Pikës së Vetme Evropiane të Aksesit (ESAP), që ofron akses të centralizuar në informacionin publik me rëndësi për shërbimet financiare, tregjet e kapitalit dhe qëndrueshmërinë.</w:t>
      </w:r>
    </w:p>
    <w:p w14:paraId="3B5DDA7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Projektligji lidhet gjithashtu me Rregulloren (BE) nr. 575/2013 të Parlamentit Evropian dhe të Këshillit, datë 26 qershor 2013, për kërkesat prudenciale për institucionet e kreditit dhe firmat e investimit, veçanërisht me nenin 129 për trajtimin prudencial të ekspozimeve në formën e obligacioneve të mbuluara, si dhe me Rregulloren (BE) 2019/2160, e cila ndryshon këtë rregullore për ekspozimet ndaj obligacioneve të mbuluara.</w:t>
      </w:r>
    </w:p>
    <w:p w14:paraId="1A92FF7E" w14:textId="77777777" w:rsidR="00EA2869" w:rsidRPr="00EA2869" w:rsidRDefault="00EA2869" w:rsidP="00EA2869">
      <w:pPr>
        <w:jc w:val="both"/>
        <w:rPr>
          <w:rFonts w:ascii="Times New Roman" w:hAnsi="Times New Roman"/>
          <w:b/>
          <w:sz w:val="28"/>
          <w:szCs w:val="28"/>
          <w:lang w:val="sq-AL"/>
        </w:rPr>
      </w:pPr>
      <w:r w:rsidRPr="00EA2869">
        <w:rPr>
          <w:rFonts w:ascii="Times New Roman" w:hAnsi="Times New Roman"/>
          <w:bCs/>
          <w:sz w:val="28"/>
          <w:szCs w:val="28"/>
          <w:lang w:val="sq-AL"/>
        </w:rPr>
        <w:t>Dispozitat që kërkojnë anëtarësimin e Republikës së Shqipërisë në Bashkimin Evropian, përfshirë njoftimet ndaj Autoritetit Bankar Evropian, përdorimin e mekanizmave të ESAP dhe përdorimin e emërtimeve evropiane sipas kushteve të acquis, do të zbatohen nga data e anëtarësimit, në përputhje me dispozitat kalimtare të projektligjit</w:t>
      </w:r>
      <w:r w:rsidRPr="00EA2869">
        <w:rPr>
          <w:rFonts w:ascii="Times New Roman" w:hAnsi="Times New Roman"/>
          <w:b/>
          <w:sz w:val="28"/>
          <w:szCs w:val="28"/>
          <w:lang w:val="sq-AL"/>
        </w:rPr>
        <w:t>.</w:t>
      </w:r>
    </w:p>
    <w:p w14:paraId="14604CB5" w14:textId="77777777" w:rsidR="00EA2869" w:rsidRPr="00EA2869" w:rsidRDefault="00EA2869" w:rsidP="00EA2869">
      <w:pPr>
        <w:jc w:val="center"/>
        <w:rPr>
          <w:rFonts w:ascii="Times New Roman" w:hAnsi="Times New Roman"/>
          <w:b/>
          <w:sz w:val="28"/>
          <w:szCs w:val="28"/>
          <w:lang w:val="sq-AL"/>
        </w:rPr>
      </w:pPr>
    </w:p>
    <w:p w14:paraId="6E094014" w14:textId="73EC26F7" w:rsidR="00EA2869" w:rsidRPr="00EA2869" w:rsidRDefault="00EA2869" w:rsidP="00EA2869">
      <w:pPr>
        <w:rPr>
          <w:rFonts w:ascii="Times New Roman" w:hAnsi="Times New Roman"/>
          <w:b/>
          <w:sz w:val="28"/>
          <w:szCs w:val="28"/>
          <w:lang w:val="sq-AL"/>
        </w:rPr>
      </w:pPr>
      <w:r w:rsidRPr="00EA2869">
        <w:rPr>
          <w:rFonts w:ascii="Times New Roman" w:hAnsi="Times New Roman"/>
          <w:b/>
          <w:sz w:val="28"/>
          <w:szCs w:val="28"/>
          <w:lang w:val="sq-AL"/>
        </w:rPr>
        <w:lastRenderedPageBreak/>
        <w:t>VI. PËRMBLEDHJE SHPJEGUESE E PËRMBAJTJES SË PROJEKTAKTIT</w:t>
      </w:r>
    </w:p>
    <w:p w14:paraId="52418A9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Kreu I përcakton objektin, fushën e zbatimit dhe terminologjinë bazë mbi të cilën ndërtohet regjimi i obligacioneve të mbuluara.</w:t>
      </w:r>
    </w:p>
    <w:p w14:paraId="376F59F7" w14:textId="77777777" w:rsidR="00EA2869" w:rsidRPr="00EA2869" w:rsidRDefault="00EA2869" w:rsidP="00EA2869">
      <w:pPr>
        <w:spacing w:after="0"/>
        <w:jc w:val="both"/>
        <w:rPr>
          <w:rFonts w:ascii="Times New Roman" w:hAnsi="Times New Roman"/>
          <w:bCs/>
          <w:sz w:val="28"/>
          <w:szCs w:val="28"/>
          <w:lang w:val="sq-AL"/>
        </w:rPr>
      </w:pPr>
    </w:p>
    <w:p w14:paraId="45DB23A9"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 – Objekti</w:t>
      </w:r>
    </w:p>
    <w:p w14:paraId="02F3D67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qëllimi i ligjit është mbrojtja e investitorëve në obligacione të mbuluara dhe rregullimi i katër shtyllave kryesore: kërkesat për emetim, karakteristikat strukturore, mbikëqyrja publike dhe publikimi i informacionit.</w:t>
      </w:r>
    </w:p>
    <w:p w14:paraId="5F76BB4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Krijon bazën e një regjimi të posaçëm që zbatohet krahas rregullave të përgjithshme për institucionet e kreditit dhe tregjet e kapitalit.</w:t>
      </w:r>
    </w:p>
    <w:p w14:paraId="7DDA0276"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 – Fusha e zbatimit</w:t>
      </w:r>
    </w:p>
    <w:p w14:paraId="2F9D741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ligji zbatohet për obligacionet e mbuluara të emetuara nga institucionet e kreditit të themeluara në Republikën e Shqipërisë.</w:t>
      </w:r>
    </w:p>
    <w:p w14:paraId="467B365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Kufizon të drejtën e emetimit te subjektet bankare që i nënshtrohen mbikëqyrjes prudenciale dhe që marrin miratimin e programit sipas këtij ligji.</w:t>
      </w:r>
    </w:p>
    <w:p w14:paraId="718B3A89"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 – Përkufizime</w:t>
      </w:r>
    </w:p>
    <w:p w14:paraId="0551A01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terminologjinë e nevojshme për zbatimin e njëtrajtshëm të ligjit, përfshirë “obligacion i mbuluar”, “program i obligacioneve të mbuluara”, “grup i mbulimit”, “aktive për mbulim”, “aktive primare”, “aktive zëvendësuese”, “kolateral”, “mbikolateralizim” dhe “ndarje/veçim/segregim”.</w:t>
      </w:r>
    </w:p>
    <w:p w14:paraId="27786C9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Përkufizon rolet e Autoritetit të Mbikëqyrjes Financiare, Bankës së Shqipërisë, emetuesit, monitoruesit të grupit të mbulimit dhe administratorit të posaçëm.</w:t>
      </w:r>
    </w:p>
    <w:p w14:paraId="51EB114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konceptet teknike të rezervës së likuiditetit, flukseve dalëse neto, përputhjes së financimit, strukturës së zgjatjes së maturimit, vlerës së tregut dhe vlerës së kreditimit hipotekor.</w:t>
      </w:r>
    </w:p>
    <w:p w14:paraId="70C5122E" w14:textId="77777777" w:rsidR="00EA2869" w:rsidRPr="00EA2869" w:rsidRDefault="00EA2869" w:rsidP="00EA2869">
      <w:pPr>
        <w:spacing w:after="0"/>
        <w:jc w:val="both"/>
        <w:rPr>
          <w:rFonts w:ascii="Times New Roman" w:hAnsi="Times New Roman"/>
          <w:b/>
          <w:sz w:val="28"/>
          <w:szCs w:val="28"/>
          <w:lang w:val="sq-AL"/>
        </w:rPr>
      </w:pPr>
    </w:p>
    <w:p w14:paraId="1D4E3123" w14:textId="6E348AFE"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Kreu II përmban rregullat materiale që garantojnë cilësinë dhe sigurinë e instrumentit: mbrojtjen e dyfishtë, veçimin nga falimenti, aktivet e pranueshme, regjistrin, monitoruesin dhe transparencën.</w:t>
      </w:r>
    </w:p>
    <w:p w14:paraId="5BBFC9AE" w14:textId="77777777" w:rsidR="00EA2869" w:rsidRPr="00EA2869" w:rsidRDefault="00EA2869" w:rsidP="00EA2869">
      <w:pPr>
        <w:spacing w:after="0"/>
        <w:jc w:val="both"/>
        <w:rPr>
          <w:rFonts w:ascii="Times New Roman" w:hAnsi="Times New Roman"/>
          <w:bCs/>
          <w:sz w:val="28"/>
          <w:szCs w:val="28"/>
          <w:lang w:val="sq-AL"/>
        </w:rPr>
      </w:pPr>
    </w:p>
    <w:p w14:paraId="67A8FA5D"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 – Mbrojtja e dyfishtë</w:t>
      </w:r>
    </w:p>
    <w:p w14:paraId="5899C00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Garanton që investitorët dhe kundërpalët e kontratave derivative kanë një pretendim të drejtpërdrejtë ndaj institucionit të kreditit emetues.</w:t>
      </w:r>
    </w:p>
    <w:p w14:paraId="1D691BF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Në rast paaftësie paguese ose ndërhyrjeje të jashtëzakonshme, u njeh atyre një pretendim me përparësi mbi principalin, interesat dhe aktivet e grupit të mbulimit.</w:t>
      </w:r>
    </w:p>
    <w:p w14:paraId="6461E45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Nëse grupi i mbulimit nuk mjafton, investitorët ruajnë një pretendim të mbetur ndaj masës së likuidimit, i cili renditet sipas rregullave të përcaktuara për kreditorët e zakonshëm të pasiguruar ose sipas rregullit të posaçëm për institucionet e specializuara në kredi hipotekore.</w:t>
      </w:r>
    </w:p>
    <w:p w14:paraId="1CB299A8"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5 – Veçimi/ndarja e obligacioneve të mbuluara nga procedura/masa e falimentit</w:t>
      </w:r>
    </w:p>
    <w:p w14:paraId="0ABD8CA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Ndalon përshpejtimin automatik të maturimit vetëm për shkak të paaftësisë paguese, likuidimit të detyruar ose ndërhyrjes së jashtëzakonshme ndaj emetuesit.</w:t>
      </w:r>
    </w:p>
    <w:p w14:paraId="24CA05F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detyrimet vazhdojnë të maturohen dhe të paguhen sipas afateve kontraktore nga grupi i mbulimit, i cili nuk përfshihet në masën e likuidimit, përveç rasteve të parashikuara shprehimisht.</w:t>
      </w:r>
    </w:p>
    <w:p w14:paraId="75529A2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Rregullon rezervimin e pasurisë në masën e likuidimit, trajtimin e tepricës së grupit të mbulimit dhe përmbushjen e çdo pjese të papaguar pas ezaurimit të grupit.</w:t>
      </w:r>
    </w:p>
    <w:p w14:paraId="40AC80ED"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6 – Aktive të pranueshme për grupin e mbulimit</w:t>
      </w:r>
    </w:p>
    <w:p w14:paraId="34DAD86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kategoritë e aktiveve të pranueshme: aktive që plotësojnë kërkesat prudenciale, aktive të cilësisë së lartë të siguruara me kolateral dhe kredi ndaj ndërmarrjeve publike ose të garantuara prej tyre.</w:t>
      </w:r>
    </w:p>
    <w:p w14:paraId="4AAC5B6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pretendimet të jenë të vlefshme, të zbatueshme juridikisht, me vlerë minimale të përcaktueshme dhe të siguruara me hipotekë, barrë, peng ose garanci të realizueshme pa vonesa të panevojshme.</w:t>
      </w:r>
    </w:p>
    <w:p w14:paraId="513C626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Vendos rregulla për provueshmërinë e pronësisë dhe të drejtave mbi kolateralin, standardet e vlerësimit, pavarësinë e vlerësuesit, sigurimin e aktiveve fizike dhe dokumentimin e politikave të kreditimit.</w:t>
      </w:r>
    </w:p>
    <w:p w14:paraId="1497E24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kufij për përqendrimin dhe vlerën e aktiveve: ekspozim individual ndaj qeverisë jo më shumë se 10 për qind; ekspozime të tjera individuale jo më shumë se 5 për qind; kredi hipotekore të llogaritshme deri në 60 për qind të vlerës së kolateralit; kredi jo hipotekore jo më shumë se 20 për qind të grupit; kolaterali duhet të ndodhet në Shqipëri ose në një shtet anëtar të BE-së.</w:t>
      </w:r>
    </w:p>
    <w:p w14:paraId="21D0CE5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Autorizon Bankën e Shqipërisë të përcaktojë me rregullore kritere shtesë, përtej kritereve të përcaktuara në ligj.</w:t>
      </w:r>
    </w:p>
    <w:p w14:paraId="6288551D" w14:textId="77777777" w:rsidR="00EA2869" w:rsidRPr="00EA2869" w:rsidRDefault="00EA2869" w:rsidP="00EA2869">
      <w:pPr>
        <w:spacing w:after="0"/>
        <w:jc w:val="both"/>
        <w:rPr>
          <w:rFonts w:ascii="Times New Roman" w:hAnsi="Times New Roman"/>
          <w:b/>
          <w:sz w:val="28"/>
          <w:szCs w:val="28"/>
          <w:lang w:val="sq-AL"/>
        </w:rPr>
      </w:pPr>
    </w:p>
    <w:p w14:paraId="23362941"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7 – Strukturat e obligacioneve të mbuluara të bashkuara brenda grupit</w:t>
      </w:r>
    </w:p>
    <w:p w14:paraId="6FD975C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Lejon përdorimin e obligacioneve të mbuluara të emetuara nga një institucion krediti brenda grupit si aktive mbuluese për obligacione të mbuluara të emetuara nga një institucion tjetër krediti i të njëjtit grup.</w:t>
      </w:r>
    </w:p>
    <w:p w14:paraId="04886B5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Vendos kushte për shitjen e obligacioneve brenda grupit, përbërjen e grupit të mbulimit të emetuesit të jashtëm, cilësinë e kredisë dhe trajtimin e strukturave ndërkufitare.</w:t>
      </w:r>
    </w:p>
    <w:p w14:paraId="008A17C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Parashikon njoftimin e Autoritetit Bankar Evropian për vendimet përkatëse pas anëtarësimit të Republikës së Shqipërisë në BE.</w:t>
      </w:r>
    </w:p>
    <w:p w14:paraId="3AD11F74"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8 – Financimi i përbashkët</w:t>
      </w:r>
    </w:p>
    <w:p w14:paraId="03B0756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që aktivet e pranueshme të krijuara nga një institucion krediti dhe të blera nga emetuesi të përfshihen në grupin e mbulimit, me kusht që të përmbushen kërkesat e pranueshmërisë dhe veçimit.</w:t>
      </w:r>
    </w:p>
    <w:p w14:paraId="2394456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transferimin e aktiveve përmes marrëveshjeve të kolateralit financiar, sipas legjislacionit në fuqi.</w:t>
      </w:r>
    </w:p>
    <w:p w14:paraId="0A379CF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 aktivet e krijuara nga një ndërmarrje që nuk është institucion krediti, kërkon që emetuesi të vlerësojë standardet e kreditimit të origjinuesit ose të kryejë vetë vlerësim të plotë të aftësisë kreditore të huamarrësit.</w:t>
      </w:r>
    </w:p>
    <w:p w14:paraId="3AF74763"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9 – Përbërja e grupit të mbulimit</w:t>
      </w:r>
    </w:p>
    <w:p w14:paraId="3B7A635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grupi i mbulimit përbëhet nga aktive primare të pranueshme, aktive likuide që formojnë rezervën e likuiditetit dhe kontrata derivative që plotësojnë kërkesat e ligjit.</w:t>
      </w:r>
    </w:p>
    <w:p w14:paraId="61424AF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përfshirjen dhe veçimin e flukseve monetare që lidhen me aktivet e mbulimit dhe parandalon përdorimin e tyre jashtë qëllimit të programit.</w:t>
      </w:r>
    </w:p>
    <w:p w14:paraId="474396D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I jep Autoritetit kompetencë për të përcaktuar me rregullore kushtet për grupe mbulimi me aktive primare të përziera dhe kriteret e homogjenitetit të tyre.</w:t>
      </w:r>
    </w:p>
    <w:p w14:paraId="6CD42061"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10 – Kontratat derivative në grupin e mbulimit</w:t>
      </w:r>
    </w:p>
    <w:p w14:paraId="20EB200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përfshirjen e kontratave derivative vetëm për mbrojtjen ndaj rreziqeve të programit, jo për qëllime spekulative.</w:t>
      </w:r>
    </w:p>
    <w:p w14:paraId="7737761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kontratat të dokumentohen, të regjistrohen, të veçohen dhe të mos përfundojnë automatikisht për shkak të paaftësisë paguese ose ndërhyrjes së jashtëzakonshme ndaj emetuesit.</w:t>
      </w:r>
    </w:p>
    <w:p w14:paraId="25BA453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miratim paraprak për regjistrimin dhe ndryshimet përkatëse dhe autorizon Autoritetin të përcaktojë kërkesa të detajuara për kundërpalët, dokumentacionin dhe menaxhimin e kontratave derivative.</w:t>
      </w:r>
    </w:p>
    <w:p w14:paraId="75FF4325" w14:textId="77777777" w:rsidR="00EA2869" w:rsidRPr="00EA2869" w:rsidRDefault="00EA2869" w:rsidP="00EA2869">
      <w:pPr>
        <w:spacing w:after="0"/>
        <w:jc w:val="both"/>
        <w:rPr>
          <w:rFonts w:ascii="Times New Roman" w:hAnsi="Times New Roman"/>
          <w:bCs/>
          <w:sz w:val="28"/>
          <w:szCs w:val="28"/>
          <w:lang w:val="sq-AL"/>
        </w:rPr>
      </w:pPr>
    </w:p>
    <w:p w14:paraId="5CBFEAA9"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11 – Veçimi/segregimi i aktiveve në mbulim dhe mbrojtja nga pretendimet e palëve të treta</w:t>
      </w:r>
    </w:p>
    <w:p w14:paraId="499A37E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Kërkon që aktivet e grupit të mbulimit të identifikohen dhe të mbrohen juridikisht nga pretendimet e kreditorëve të tjerë të emetuesit.</w:t>
      </w:r>
    </w:p>
    <w:p w14:paraId="3C60537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aktivet nuk bëhen pjesë e masës së likuidimit dhe përdoren vetëm për përmbushjen e pretendimeve të investitorëve, kundërpalëve të kontratave derivative dhe kostove të administrimit e mirëmbajtjes së grupit.</w:t>
      </w:r>
    </w:p>
    <w:p w14:paraId="566EEA4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Garanton zbatueshmërinë e veçimit edhe në rast paaftësie paguese, likuidimi ose ndërhyrjeje të jashtëzakonshme.</w:t>
      </w:r>
    </w:p>
    <w:p w14:paraId="6697997C"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12 – Regjistri i grupit të mbulimit</w:t>
      </w:r>
    </w:p>
    <w:p w14:paraId="60E810C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Detyron emetuesin të mbajë një regjistër të posaçëm dhe të veçantë për çdo program, ku identifikohen dhe dokumentohen aktivet, kolaterali, vlera, të drejtat dhe detyrimet përkatëse.</w:t>
      </w:r>
    </w:p>
    <w:p w14:paraId="41D856E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miratimin paraprak të monitoruesit për përfshirjen, zëvendësimin ose heqjen e aktiveve dhe njoftimin elektronik të ndryshimeve te Autoriteti dhe Banka e Shqipërisë brenda ditës pasuese të punës.</w:t>
      </w:r>
    </w:p>
    <w:p w14:paraId="238A564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në rast mosmarrëveshjeje, merret për bazë ekstrakti më i fundit i regjistrit i depozituar pranë autoriteteve.</w:t>
      </w:r>
    </w:p>
    <w:p w14:paraId="4140837D"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13 – Monitoruesi i grupit të mbulimit</w:t>
      </w:r>
    </w:p>
    <w:p w14:paraId="6301361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emërimin e monitoruesit përpara paraqitjes së kërkesës për miratimin e programit dhe vendos kërkesa për pavarësinë, kualifikimin dhe integritetin e tij.</w:t>
      </w:r>
    </w:p>
    <w:p w14:paraId="4083F3F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Ngarkon monitoruesin të verifikojë vazhdimisht pranueshmërinë dhe përbërjen e aktiveve, kontratat derivative, veçimin, saktësinë e regjistrit, kërkesat për mbulim dhe likuiditet, zgjatjen e maturimit dhe transparencën ndaj investitorëve.</w:t>
      </w:r>
    </w:p>
    <w:p w14:paraId="2133BAC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I jep monitoruesit akses në dokumentacionin dhe sistemet e nevojshme, kërkon marrjen në konsideratë të rezultateve të provave të rezistencës dhe raportim gjashtëmujor te Autoriteti dhe Banka e Shqipërisë.</w:t>
      </w:r>
    </w:p>
    <w:p w14:paraId="5892236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raportim të menjëhershëm të shkeljeve ose rrethanave materiale që mund të cenojnë interesat e investitorëve ose përmbushjen e kërkesave të programit.</w:t>
      </w:r>
    </w:p>
    <w:p w14:paraId="41C52900"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14 – Informacioni për investitorët</w:t>
      </w:r>
    </w:p>
    <w:p w14:paraId="43C2AEC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Detyron emetuesin të publikojë të paktën çdo tre muaj informacion të detajuar për programin dhe grupin e mbulimit.</w:t>
      </w:r>
    </w:p>
    <w:p w14:paraId="1EB8EB7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 xml:space="preserve">Informacioni përfshin vlerën e grupit dhe të obligacioneve në qarkullim, identifikuesit e emetimeve, shpërndarjen gjeografike dhe sipas llojit të aktiveve, madhësinë e kredive, metodologjinë e vlerësimit, rreziqet, strukturën e maturimit, </w:t>
      </w:r>
      <w:r w:rsidRPr="00EA2869">
        <w:rPr>
          <w:rFonts w:ascii="Times New Roman" w:hAnsi="Times New Roman"/>
          <w:bCs/>
          <w:sz w:val="28"/>
          <w:szCs w:val="28"/>
          <w:lang w:val="sq-AL"/>
        </w:rPr>
        <w:lastRenderedPageBreak/>
        <w:t>nivelin e mbulimit dhe mbikolateralizimit, si dhe kreditë në vonesë ose në mospagim.</w:t>
      </w:r>
    </w:p>
    <w:p w14:paraId="372D9A1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Publikimi kryhet në mënyrë elektronike në faqen zyrtare të emetuesit, duke mundësuar akses të rregullt dhe të barabartë për investitorët.</w:t>
      </w:r>
    </w:p>
    <w:p w14:paraId="31069443"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15 – Disponueshmëria e informacionit përmes Pikës së Vetme Evropiane të Aksesit (ESAP)</w:t>
      </w:r>
    </w:p>
    <w:p w14:paraId="6472982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informacioni i përcaktuar nga ligji të depozitohet njëkohësisht pranë Autoritetit për t’u bërë i aksesueshëm përmes ESAP.</w:t>
      </w:r>
    </w:p>
    <w:p w14:paraId="1B439A1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kërkesa për formatin e të dhënave dhe metadatat, përfshirë emrin e subjektit, identifikuesin ligjor, madhësinë, llojin e informacionit dhe treguesin nëse përmban të dhëna personale.</w:t>
      </w:r>
    </w:p>
    <w:p w14:paraId="0B7A0A6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Cakton Autoritetin si njësi mbledhëse dhe parashikon zbatimin e plotë të kërkesave të ESAP nga data e anëtarësimit në Bashkimin Evropian.</w:t>
      </w:r>
    </w:p>
    <w:p w14:paraId="63ED691B" w14:textId="77777777" w:rsidR="00EA2869" w:rsidRPr="00EA2869" w:rsidRDefault="00EA2869" w:rsidP="00EA2869">
      <w:pPr>
        <w:spacing w:after="0"/>
        <w:jc w:val="both"/>
        <w:rPr>
          <w:rFonts w:ascii="Times New Roman" w:hAnsi="Times New Roman"/>
          <w:bCs/>
          <w:sz w:val="28"/>
          <w:szCs w:val="28"/>
          <w:lang w:val="sq-AL"/>
        </w:rPr>
      </w:pPr>
    </w:p>
    <w:p w14:paraId="483833AF"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Kreu III vendos kërkesat sasiore dhe të likuiditetit që sigurojnë përmbushjen në kohë të detyrimeve të programit.</w:t>
      </w:r>
    </w:p>
    <w:p w14:paraId="2F239DA3" w14:textId="77777777" w:rsidR="00EA2869" w:rsidRPr="00EA2869" w:rsidRDefault="00EA2869" w:rsidP="00EA2869">
      <w:pPr>
        <w:spacing w:after="0"/>
        <w:jc w:val="both"/>
        <w:rPr>
          <w:rFonts w:ascii="Times New Roman" w:hAnsi="Times New Roman"/>
          <w:bCs/>
          <w:sz w:val="28"/>
          <w:szCs w:val="28"/>
          <w:lang w:val="sq-AL"/>
        </w:rPr>
      </w:pPr>
    </w:p>
    <w:p w14:paraId="0463409F"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16 – Kërkesat për mbulim</w:t>
      </w:r>
    </w:p>
    <w:p w14:paraId="6EB2D56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grupi i mbulimit të garantojë në çdo kohë principalin, interesin, detyrimet e pagesës nga kontratat derivative dhe kostot e pritshme të mirëmbajtjes e administrimit të programit.</w:t>
      </w:r>
    </w:p>
    <w:p w14:paraId="5DB1886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aktivet dhe flukset që kontribuojnë në llogaritjen e mbulimit dhe kërkon përdorimin e një metodologjie të njëtrajtshme për vlerësimin e aktiveve dhe detyrimeve.</w:t>
      </w:r>
    </w:p>
    <w:p w14:paraId="7ECA322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Vendos mbikolateralizim minimal ligjor prej 5 për qind mbi detyrimet që lidhen me obligacionet e mbuluara.</w:t>
      </w:r>
    </w:p>
    <w:p w14:paraId="2DF3DDF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përfshirjen e interesave të ardhshme vetëm kur plotësohen kushtet e përputhjes së financimit dhe kur shmanget mbivlerësimi i aftësisë së grupit për të përmbushur detyrimet.</w:t>
      </w:r>
    </w:p>
    <w:p w14:paraId="0276A9BE"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17 – Kërkesat në lidhje me rezervën e likuiditetit të grupit të mbulimit</w:t>
      </w:r>
    </w:p>
    <w:p w14:paraId="1D5A95B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Detyron emetuesin të mbajë në çdo kohë një rezervë likuiditeti të mjaftueshme për të mbuluar daljen maksimale kumulative neto të likuiditetit gjatë 180 ditëve të ardhshme.</w:t>
      </w:r>
    </w:p>
    <w:p w14:paraId="372DA5E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kategoritë e aktiveve likuide që mund të përbëjnë rezervën, duke përfshirë aktive me cilësi të lartë dhe ekspozime afatshkurtra ndaj institucioneve të kreditit, me përjashtim të pretendimeve të pasiguruara në mospagim.</w:t>
      </w:r>
    </w:p>
    <w:p w14:paraId="6D438B4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Rregullon ndërveprimin me kërkesat prudenciale të likuiditetit të Bankës së Shqipërisë dhe parashikon shmangien e numërimit të dyfishtë të të njëjtave aktive.</w:t>
      </w:r>
    </w:p>
    <w:p w14:paraId="534216C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trajtim të posaçëm kur programi zbaton kërkesa të rrepta të përputhjes së financimit.</w:t>
      </w:r>
    </w:p>
    <w:p w14:paraId="3CF45963"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18 – Kushtet për zgjatjen e afatit të maturimit të obligacioneve të mbuluara</w:t>
      </w:r>
    </w:p>
    <w:p w14:paraId="0515F69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zgjatjen e maturimit vetëm mbi bazën e ngjarjeve objektive, të paracaktuara në ligj dhe në kushtet kontraktore, dhe jo sipas vullnetit të lirë të emetuesit.</w:t>
      </w:r>
    </w:p>
    <w:p w14:paraId="36A0FD1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investitorët të informohen qartë për mekanizmin, ngjarjet aktivizuese dhe datën përfundimtare të maturimit.</w:t>
      </w:r>
    </w:p>
    <w:p w14:paraId="5919D16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zgjatja nuk ndryshon rendin e investitorëve, nuk cenon mbrojtjen e dyfishtë dhe nuk përfshin aktivet në masën e falimentit.</w:t>
      </w:r>
    </w:p>
    <w:p w14:paraId="4E82BD1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Dispozitat e lidhura me standardet teknike evropiane zbatohen sipas rregullave kalimtare të anëtarësimit.</w:t>
      </w:r>
    </w:p>
    <w:p w14:paraId="5C804304" w14:textId="77777777" w:rsidR="00EA2869" w:rsidRPr="00EA2869" w:rsidRDefault="00EA2869" w:rsidP="00EA2869">
      <w:pPr>
        <w:spacing w:after="0"/>
        <w:jc w:val="both"/>
        <w:rPr>
          <w:rFonts w:ascii="Times New Roman" w:hAnsi="Times New Roman"/>
          <w:bCs/>
          <w:sz w:val="28"/>
          <w:szCs w:val="28"/>
          <w:lang w:val="sq-AL"/>
        </w:rPr>
      </w:pPr>
    </w:p>
    <w:p w14:paraId="3F97CCEA"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Kreu IV rregullon opinionin prudencial, miratimin e programit, administrimin e rreziqeve, raportimin dhe kompetencat mbikëqyrëse.</w:t>
      </w:r>
    </w:p>
    <w:p w14:paraId="4CF13AEF"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19 – Mbikëqyrja publike e obligacioneve të mbuluara</w:t>
      </w:r>
    </w:p>
    <w:p w14:paraId="5D6EBE2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Autoritetin e Mbikëqyrjes Financiare si autoritetin përgjegjës për mbikëqyrjen publike të programeve, në bashkëpunim me Bankën e Shqipërisë për aspektet prudenciale.</w:t>
      </w:r>
    </w:p>
    <w:p w14:paraId="7C8214D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opinion paraprak të Bankës së Shqipërisë për qëndrueshmërinë e planit të biznesit, ndikimin prudencial, administrimin e rreziqeve dhe politikat e kreditimit e vlerësimit.</w:t>
      </w:r>
    </w:p>
    <w:p w14:paraId="2566762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U jep autoriteteve të drejtë të kërkojnë informacion, të kryejnë kontrolle dhe të shkëmbejnë të dhëna, duke kërkuar kapacitete dhe ekspertizë të përshtatshme për mbikëqyrjen.</w:t>
      </w:r>
    </w:p>
    <w:p w14:paraId="66CFFF0C" w14:textId="77777777" w:rsidR="00EA2869" w:rsidRPr="00EA2869" w:rsidRDefault="00EA2869" w:rsidP="00EA2869">
      <w:pPr>
        <w:spacing w:after="0"/>
        <w:jc w:val="both"/>
        <w:rPr>
          <w:rFonts w:ascii="Times New Roman" w:hAnsi="Times New Roman"/>
          <w:bCs/>
          <w:sz w:val="28"/>
          <w:szCs w:val="28"/>
          <w:lang w:val="sq-AL"/>
        </w:rPr>
      </w:pPr>
    </w:p>
    <w:p w14:paraId="54786EBD"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20 – Kërkesa për miratimin e programit të obligacioneve të mbuluara dhe dhënia e opinionit paraprak</w:t>
      </w:r>
    </w:p>
    <w:p w14:paraId="2B3D1A6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Vendos një procedurë me dy faza: institucioni i kreditit kërkon fillimisht opinionin paraprak të Bankës së Shqipërisë dhe, pas marrjes së tij, paraqet kërkesën për miratim pranë Autoritetit brenda afatit ligjor.</w:t>
      </w:r>
    </w:p>
    <w:p w14:paraId="622AE82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 xml:space="preserve">Kërkon plan biznesi, analizë të rreziqeve, dokumentacion organizativ dhe financiar, politika të kreditimit e vlerësimit, sisteme IT, auditim, procedura të </w:t>
      </w:r>
      <w:r w:rsidRPr="00EA2869">
        <w:rPr>
          <w:rFonts w:ascii="Times New Roman" w:hAnsi="Times New Roman"/>
          <w:bCs/>
          <w:sz w:val="28"/>
          <w:szCs w:val="28"/>
          <w:lang w:val="sq-AL"/>
        </w:rPr>
        <w:lastRenderedPageBreak/>
        <w:t>publikimit, dokumentacion të programit, të grupit të mbulimit dhe të monitoruesit.</w:t>
      </w:r>
    </w:p>
    <w:p w14:paraId="2318772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emetime të tjera brenda të njëjtit program të miratuar, nëse ato përmbushin kërkesat e ligjit dhe nuk përbëjnë ndryshim material të programit.</w:t>
      </w:r>
    </w:p>
    <w:p w14:paraId="4A441D59"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21 – Miratimi i programit të obligacioneve të mbuluara</w:t>
      </w:r>
    </w:p>
    <w:p w14:paraId="3226ABA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vetëm një institucion krediti i themeluar në Republikën e Shqipërisë mund të emetojë obligacione të mbuluara dhe vetëm pas miratimit të programit nga Autoriteti.</w:t>
      </w:r>
    </w:p>
    <w:p w14:paraId="109535F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Vendimi i Autoritetit bazohet në përmbushjen e kërkesave ligjore dhe në opinionin paraprak të Bankës së Shqipërisë, i cili jepet brenda afatit 60-ditor nga kërkesa e plotë.</w:t>
      </w:r>
    </w:p>
    <w:p w14:paraId="4742F81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Ndryshimet materiale të programit kërkojnë miratim paraprak; Autoriteti dhe Banka e Shqipërisë përcaktojnë me akte nënligjore kriteret e materialitetit dhe dokumentacionin përkatës.</w:t>
      </w:r>
    </w:p>
    <w:p w14:paraId="58DAC133"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22 – Kushtet për miratimin e programit</w:t>
      </w:r>
    </w:p>
    <w:p w14:paraId="5B32A7A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plan biznesi të qëndrueshëm dhe analizë të plotë të rreziqeve të programit.</w:t>
      </w:r>
    </w:p>
    <w:p w14:paraId="4156A19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politika, procese dhe procedura të përshtatshme për origjinimin e kredive, vlerësimin e kolateralit, administrimin e rrezikut, kontrollin e brendshëm dhe raportimin.</w:t>
      </w:r>
    </w:p>
    <w:p w14:paraId="3382C5C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personel të dedikuar dhe të kualifikuar, strukturë organizative të qartë, regjistër funksional, monitorues të përshtatshëm dhe përmbushje të kërkesave strukturore, të mbulimit, likuiditetit dhe zgjatjes së maturimit.</w:t>
      </w:r>
    </w:p>
    <w:p w14:paraId="1AF1F0F5"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23 – Procedura për dhënien e opinionit paraprak dhe marrjen e vendimit për miratimin e programit të obligacioneve të mbuluara</w:t>
      </w:r>
    </w:p>
    <w:p w14:paraId="4EB5AFA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afatet procedurale dhe momentin nga i cili kërkesa konsiderohet e plotë.</w:t>
      </w:r>
    </w:p>
    <w:p w14:paraId="2B21ADC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Autoriteti merr vendim brenda 60 ditëve nga paraqitja e kërkesës së plotë dhe mund të kërkojë dokumente ose sqarime shtesë.</w:t>
      </w:r>
    </w:p>
    <w:p w14:paraId="4613B58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Parashikon refuzimin kur nuk plotësohen kushtet ligjore, opinioni i Bankës së Shqipërisë është negativ, dokumentacioni ka mangësi materiale ose ka dyshime të arsyeshme mbi vërtetimet e monitoruesit.</w:t>
      </w:r>
    </w:p>
    <w:p w14:paraId="7D27016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Vendimi i Autoritetit i nënshtrohet ankimit gjyqësor sipas legjislacionit në fuqi.</w:t>
      </w:r>
    </w:p>
    <w:p w14:paraId="5C94438C"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24 – Revokimi i miratimit të programit të obligacioneve të mbuluara</w:t>
      </w:r>
    </w:p>
    <w:p w14:paraId="3EF039B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Parashikon revokimin në rast informacioni të rremë, humbjeje të kushteve të miratimit, shkeljesh të përsëritura ose materiale, pengimi të mbikëqyrjes, pamundësie paguese ose rreziku për investitorët dhe tregun.</w:t>
      </w:r>
    </w:p>
    <w:p w14:paraId="20E2CB8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revokimin edhe kur emetuesi nuk përmbush urdhrat e Autoritetit ose programi nuk përdoret për një periudhë pesëvjeçare.</w:t>
      </w:r>
    </w:p>
    <w:p w14:paraId="37A65CF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Revokimi ndalon emetimet e reja, por nuk cenon të drejtat dhe detyrimet e krijuara nga obligacionet e emetuara më parë; programi vazhdon të administrohet për mbrojtjen e investitorëve.</w:t>
      </w:r>
    </w:p>
    <w:p w14:paraId="135A52D7"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25 – Administrimi i rreziqeve dhe provat e rezistencës (stress-test)</w:t>
      </w:r>
    </w:p>
    <w:p w14:paraId="0B28BD3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Detyron emetuesin të identifikojë, masë, monitorojë dhe administrojë rrezikun e kredisë, kundërpalës, normës së interesit, kursit të këmbimit, tregut, operacional dhe të likuiditetit.</w:t>
      </w:r>
    </w:p>
    <w:p w14:paraId="34F0199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prova të rezistencës të paktën çdo tre muaj dhe sa herë kërkohet nga autoritetet, si dhe prova të posaçme kur ka përkeqësim material të kushteve të programit.</w:t>
      </w:r>
    </w:p>
    <w:p w14:paraId="7A1350B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Rezultatet i dorëzohen monitoruesit brenda 30 ditëve dhe dokumentohen në politika, kufij, procedura, skenarë dhe raporte të miratuara nga organet drejtuese.</w:t>
      </w:r>
    </w:p>
    <w:p w14:paraId="520C243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Banka e Shqipërisë përcakton me rregullore kërkesa të detajuara prudenciale për administrimin e rreziqeve dhe provat e rezistencës.</w:t>
      </w:r>
    </w:p>
    <w:p w14:paraId="306FE425"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26 – Zbatimi i rregullave për prospektin e emetimit dhe/ose pranimit për tregtim në treg të rregulluar</w:t>
      </w:r>
    </w:p>
    <w:p w14:paraId="4F90375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Saktëson se miratimi i programit të obligacioneve të mbuluara nuk zëvendëson miratimin e prospektit.</w:t>
      </w:r>
    </w:p>
    <w:p w14:paraId="6AA7943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Përpara ofertës publike ose pranimit për tregtim, emetuesi duhet të përmbushë kërkesat e ligjit për tregjet e kapitalit dhe aktet nënligjore për prospektin.</w:t>
      </w:r>
    </w:p>
    <w:p w14:paraId="39ECED4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Krijon ndarje të qartë ndërmjet kontrollit të programit si strukturë e obligacioneve të mbuluara dhe kontrollit të dokumentit të ofertës ose listimit.</w:t>
      </w:r>
    </w:p>
    <w:p w14:paraId="515674BC" w14:textId="77777777" w:rsidR="00EA2869" w:rsidRPr="00EA2869" w:rsidRDefault="00EA2869" w:rsidP="00EA2869">
      <w:pPr>
        <w:spacing w:after="0"/>
        <w:jc w:val="both"/>
        <w:rPr>
          <w:rFonts w:ascii="Times New Roman" w:hAnsi="Times New Roman"/>
          <w:bCs/>
          <w:sz w:val="28"/>
          <w:szCs w:val="28"/>
          <w:lang w:val="sq-AL"/>
        </w:rPr>
      </w:pPr>
    </w:p>
    <w:p w14:paraId="7CC92AE2"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27 – Mbikëqyrja publike e obligacioneve të mbuluara në rast të paaftësisë paguese ose ndërhyrjes së jashtëzakonshme</w:t>
      </w:r>
    </w:p>
    <w:p w14:paraId="4C7F111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Parashikon caktimin e administratorit të posaçëm për të mbrojtur investitorët dhe për të garantuar vazhdimësinë e programit.</w:t>
      </w:r>
    </w:p>
    <w:p w14:paraId="41BF9C4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Administratori menaxhon grupin e mbulimit, mbledh flukset, kryen pagesat, realizon ose transferon aktivet dhe detyrimet dhe mban të veçuara fondet e programit.</w:t>
      </w:r>
    </w:p>
    <w:p w14:paraId="6EDA884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Kërkon shkëmbim të vazhdueshëm informacioni ndërmjet Autoritetit, Bankës së Shqipërisë dhe organeve të tjera përgjegjëse gjatë ndërhyrjes së jashtëzakonshme ose likuidimit.</w:t>
      </w:r>
    </w:p>
    <w:p w14:paraId="7952488B"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28 – Raportimi ndaj autoriteteve përgjegjëse</w:t>
      </w:r>
    </w:p>
    <w:p w14:paraId="64B5F71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Detyron emetuesin të raportojë të paktën çdo gjashtë muaj dhe sa herë kërkohet për pranueshmërinë e aktiveve, përbërjen dhe veçimin e grupit, monitoruesin, mbulimin, likuiditetin dhe zgjatjen e maturimit.</w:t>
      </w:r>
    </w:p>
    <w:p w14:paraId="33D49A6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Vendos kërkesa të posaçme raportimi në rast paaftësie paguese, ndërhyrjeje të jashtëzakonshme ose likuidimi.</w:t>
      </w:r>
    </w:p>
    <w:p w14:paraId="7E34169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Rregullon ruajtjen e konfidencialitetit dhe përdorimin e informacionit, pa cenuar detyrimet ligjore për shkëmbimin e të dhënave ndërmjet autoriteteve.</w:t>
      </w:r>
    </w:p>
    <w:p w14:paraId="5854893C"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29 – Kompetencat e Autoritetit në mbikëqyrjen e obligacioneve të mbuluara</w:t>
      </w:r>
    </w:p>
    <w:p w14:paraId="3E21A09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I jep Autoritetit kompetencë të miratojë ose refuzojë programet, të rishikojë vazhdimisht përmbushjen e kushteve dhe të ushtrojë mbikëqyrje në distancë dhe në vend.</w:t>
      </w:r>
    </w:p>
    <w:p w14:paraId="2B1B440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Autoriteti mund të kërkojë të dhëna, dokumente, shpjegime dhe masa korrigjuese, si dhe të marrë masa mbikëqyrëse dhe të vendosë sanksione.</w:t>
      </w:r>
    </w:p>
    <w:p w14:paraId="500DCC0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Mbikëqyrja shtrihet te emetuesi, monitoruesi dhe administratori i posaçëm dhe realizohet në bashkëpunim me Bankën e Shqipërisë për çështjet prudenciale.</w:t>
      </w:r>
    </w:p>
    <w:p w14:paraId="6CF75B54"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30 – Bashkëpunimi ndërmjet autoriteteve përgjegjëse</w:t>
      </w:r>
    </w:p>
    <w:p w14:paraId="687785F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Rregullon shkëmbimin e informacionit dhe bashkëpunimin ndërmjet Autoritetit dhe Bankës së Shqipërisë për miratimin, mbikëqyrjen, administrimin e rrezikut, ndërhyrjen e jashtëzakonshme dhe likuidimin.</w:t>
      </w:r>
    </w:p>
    <w:p w14:paraId="4C5A8C6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Parashikon bashkëpunimin me autoritetet kombëtare dhe, pas anëtarësimit, me autoritetet kompetente të shteteve anëtare, Autoritetin Bankar Evropian dhe Autoritetin Evropian të Letrave me Vlerë dhe Tregjeve.</w:t>
      </w:r>
    </w:p>
    <w:p w14:paraId="48CA009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Mbron konfidencialitetin dhe sekretin profesional të informacionit të shkëmbyer.</w:t>
      </w:r>
    </w:p>
    <w:p w14:paraId="0884CC1E" w14:textId="77777777" w:rsidR="00EA2869" w:rsidRPr="00EA2869" w:rsidRDefault="00EA2869" w:rsidP="00EA2869">
      <w:pPr>
        <w:spacing w:after="0"/>
        <w:jc w:val="both"/>
        <w:rPr>
          <w:rFonts w:ascii="Times New Roman" w:hAnsi="Times New Roman"/>
          <w:bCs/>
          <w:sz w:val="28"/>
          <w:szCs w:val="28"/>
          <w:lang w:val="sq-AL"/>
        </w:rPr>
      </w:pPr>
    </w:p>
    <w:p w14:paraId="69973DAA"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31 – Kërkesa për publikim</w:t>
      </w:r>
    </w:p>
    <w:p w14:paraId="6A25876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Detyron Autoritetin dhe Bankën e Shqipërisë të publikojnë kuadrin ligjor, aktet nënligjore, udhëzimet dhe informacionin e nevojshëm për funksionimin e regjimit.</w:t>
      </w:r>
    </w:p>
    <w:p w14:paraId="3CC7B8A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Autoriteti publikon listën e institucioneve të kreditit dhe programeve të miratuara, si dhe listat e obligacioneve që plotësojnë kushtet për emërtimet evropiane.</w:t>
      </w:r>
    </w:p>
    <w:p w14:paraId="5502E64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Parashikon përditësimin e listave dhe njoftimin vjetor të Autoritetit Bankar Evropian pas anëtarësimit në BE.</w:t>
      </w:r>
    </w:p>
    <w:p w14:paraId="5029BBBE"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32 – Tarifat</w:t>
      </w:r>
    </w:p>
    <w:p w14:paraId="6C144D4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detyrimin e institucioneve të kreditit emetuese për të paguar tarifa mbikëqyrëse pranë Autoritetit.</w:t>
      </w:r>
    </w:p>
    <w:p w14:paraId="61E4794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Ngarkon Autoritetin të përcaktojë me rregullore mënyrën e llogaritjes, afatet dhe procedurën e pagesës së tarifave.</w:t>
      </w:r>
    </w:p>
    <w:p w14:paraId="150E4BE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Siguron një mekanizëm financimi të kostove të drejtpërdrejta të mbikëqyrjes së programeve.</w:t>
      </w:r>
    </w:p>
    <w:p w14:paraId="60838B7A" w14:textId="77777777" w:rsidR="00EA2869" w:rsidRPr="00EA2869" w:rsidRDefault="00EA2869" w:rsidP="00EA2869">
      <w:pPr>
        <w:spacing w:after="0"/>
        <w:jc w:val="both"/>
        <w:rPr>
          <w:rFonts w:ascii="Times New Roman" w:hAnsi="Times New Roman"/>
          <w:bCs/>
          <w:sz w:val="28"/>
          <w:szCs w:val="28"/>
          <w:lang w:val="sq-AL"/>
        </w:rPr>
      </w:pPr>
    </w:p>
    <w:p w14:paraId="24B5CD0C"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Kreu V krijon mekanizmin e posaçëm për vazhdimësinë, transferimin ose likuidimin e programit kur emetuesi hyn në ndërhyrje të jashtëzakonshme ose likuidim.</w:t>
      </w:r>
    </w:p>
    <w:p w14:paraId="6D87F9A8" w14:textId="77777777" w:rsidR="00EA2869" w:rsidRPr="00EA2869" w:rsidRDefault="00EA2869" w:rsidP="00EA2869">
      <w:pPr>
        <w:spacing w:after="0"/>
        <w:jc w:val="both"/>
        <w:rPr>
          <w:rFonts w:ascii="Times New Roman" w:hAnsi="Times New Roman"/>
          <w:bCs/>
          <w:sz w:val="28"/>
          <w:szCs w:val="28"/>
          <w:lang w:val="sq-AL"/>
        </w:rPr>
      </w:pPr>
    </w:p>
    <w:p w14:paraId="148199FF"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33 – Mbikëqyrja publike në rast likuidimi të detyruar dhe ndërhyrjeje të jashtëzakonshme</w:t>
      </w:r>
    </w:p>
    <w:p w14:paraId="4AFD77C5"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Garanton vazhdimësinë e administrimit dhe mbikëqyrjes së programit gjatë masave të ndërhyrjes së hershme, ndërhyrjes së jashtëzakonshme ose likuidimit të detyruar.</w:t>
      </w:r>
    </w:p>
    <w:p w14:paraId="78E899E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rolet e Autoritetit, Bankës së Shqipërisë, Agjencisë së Sigurimit të Depozitave dhe administratorit të posaçëm.</w:t>
      </w:r>
    </w:p>
    <w:p w14:paraId="0E643A5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Synon ruajtjen e grupit të mbulimit dhe përmbushjen në kohë të detyrimeve ndaj investitorëve dhe kundërpalëve derivative.</w:t>
      </w:r>
    </w:p>
    <w:p w14:paraId="77FE2E14"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34 – Hapja e procedurës së likuidimit të detyruar ndaj institucionit të kreditit emetues</w:t>
      </w:r>
    </w:p>
    <w:p w14:paraId="6D3ABBE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Banka e Shqipërisë të njoftojë Autoritetin përpara paraqitjes së kërkesës për likuidim të detyruar të emetuesit.</w:t>
      </w:r>
    </w:p>
    <w:p w14:paraId="0147C33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Autoriteti cakton administratorin e posaçëm brenda afatit të shkurtër ligjor, ndërsa funksionet e monitoruesit përfundojnë ose transferohen sipas ligjit.</w:t>
      </w:r>
    </w:p>
    <w:p w14:paraId="391912A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pavarësinë e administratorit të posaçëm nga likuidatori, regjistrimin e emërimit dhe kushtet për shkarkimin ose zëvendësimin e tij.</w:t>
      </w:r>
    </w:p>
    <w:p w14:paraId="11ECC22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Rregullon përfaqësimin e programit në proceset gjyqësore dhe marrëdhënien me procedurën e likuidimit të institucionit.</w:t>
      </w:r>
    </w:p>
    <w:p w14:paraId="478982D6"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35 – Kompetencat dhe detyrat e administratorit të posaçëm</w:t>
      </w:r>
    </w:p>
    <w:p w14:paraId="016D31C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Ngarkon administratorin të mbrojë interesat e investitorëve, të administrojë grupin e mbulimit, të mbledhë të ardhurat dhe të kryejë pagesat sipas maturimeve.</w:t>
      </w:r>
    </w:p>
    <w:p w14:paraId="551C21B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I jep kompetencë të shesë, rifinancojë ose zëvendësojë aktivet, të mbajë llogari të veçuara, të përfaqësojë emetuesin për çështjet e grupit dhe të kërkojë transferimin e programit.</w:t>
      </w:r>
    </w:p>
    <w:p w14:paraId="33467C0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Në rast pamjaftueshmërie të aktiveve, pagesat kryhen proporcionalisht sipas të drejtave të kreditorëve të programit.</w:t>
      </w:r>
    </w:p>
    <w:p w14:paraId="32117C0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Kostot e arsyeshme të administratorit dhe të funksionimit të programit paguhen me përparësi nga grupi i mbulimit; Autoriteti përcakton rregulla të detajuara.</w:t>
      </w:r>
    </w:p>
    <w:p w14:paraId="38790EF8"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36 – Marrja përsipër e obligacioneve të mbuluara nga një palë e tretë</w:t>
      </w:r>
    </w:p>
    <w:p w14:paraId="17400C0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administratori i posaçëm të synojë transferimin e programit te një institucion tjetër krediti i themeluar në Republikën e Shqipërisë.</w:t>
      </w:r>
    </w:p>
    <w:p w14:paraId="0F190F8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Parashikon krijimin e një hapësire elektronike të kontrolluar me të dhëna për programin dhe zhvillimin e një procedure konkurruese brenda afateve ligjore.</w:t>
      </w:r>
    </w:p>
    <w:p w14:paraId="4F766CD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Transferimi realizohet përmes marrëveshjes së shitblerjes dhe kërkon pëlqimin paraprak të Bankës së Shqipërisë dhe miratimin e Autoritetit.</w:t>
      </w:r>
    </w:p>
    <w:p w14:paraId="0D3B2F8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Institucioni marrës merr përsipër të gjitha aktivet, të drejtat dhe detyrimet e programit, duke ruajtur pandashmërinë ndërmjet grupit të mbulimit dhe obligacioneve.</w:t>
      </w:r>
    </w:p>
    <w:p w14:paraId="2BE4DEAC"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37 – Zgjatja e afatit për përfundimin e likuidimit të detyruar</w:t>
      </w:r>
    </w:p>
    <w:p w14:paraId="063F23D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gjykatën të zgjasë afatin e procedurës së likuidimit të detyruar kur kjo është e nevojshme për përfundimin e transferimit ose administrimin e programit.</w:t>
      </w:r>
    </w:p>
    <w:p w14:paraId="3F4F6B5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Zgjatja mund të jepet për periudhën e përcaktuar në ligj dhe të përsëritet kur transferimi nuk ka përfunduar për shkaqe të arsyeshme.</w:t>
      </w:r>
    </w:p>
    <w:p w14:paraId="64D4C55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përfundimin e pjesës tjetër të likuidimit të institucionit, duke ruajtur procedurën e posaçme për grupin e mbulimit.</w:t>
      </w:r>
    </w:p>
    <w:p w14:paraId="02251FBA"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38 – Mbrojtja e grupit të mbulimit në rast transferimi</w:t>
      </w:r>
    </w:p>
    <w:p w14:paraId="653ECAE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institucionin marrës si pasardhës universal për aktivet, të drejtat dhe detyrimet e transferuara të programit.</w:t>
      </w:r>
    </w:p>
    <w:p w14:paraId="34FA0F4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përditësimin e regjistrimeve në regjistrat publikë, depozitarin qendror, regjistrat e kolateralit dhe procedurat gjyqësore pa formalitete shtesë që do të pengonin transferimin.</w:t>
      </w:r>
    </w:p>
    <w:p w14:paraId="7829ED96"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Garanton vazhdimësinë juridike dhe mbrojtjen e investitorëve gjatë ndryshimit të emetuesit.</w:t>
      </w:r>
    </w:p>
    <w:p w14:paraId="5B138519"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39 – Likuidimi i grupit të mbulimit të emetuesit në likuidim të detyruar</w:t>
      </w:r>
    </w:p>
    <w:p w14:paraId="16E5EB1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Zbatohet kur transferimi i programit te një institucion tjetër krediti nuk realizohet dhe grupi i mbulimit nuk është i mjaftueshëm për vazhdimin e rregullt të pagesave.</w:t>
      </w:r>
    </w:p>
    <w:p w14:paraId="0D79D25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administratorin e posaçëm të shesë të gjithë ose pjesë të grupit, pas njoftimit të Autoritetit dhe Agjencisë së Sigurimit të Depozitave.</w:t>
      </w:r>
    </w:p>
    <w:p w14:paraId="1587116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Të ardhurat përdoren fillimisht për kostot e administrimit dhe më pas për pagesën proporcionale të investitorëve dhe kundërpalëve të kontratave derivative.</w:t>
      </w:r>
    </w:p>
    <w:p w14:paraId="10B3B247"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40 – Zbatimi i instrumenteve të ndërhyrjes së jashtëzakonshme dhe likuidimi i zakonshëm i emetuesit</w:t>
      </w:r>
    </w:p>
    <w:p w14:paraId="58CB031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transferimi i aktiveve të grupit në kuadër të instrumenteve të ndërhyrjes së jashtëzakonshme lejohet vetëm së bashku me detyrimet përkatëse nga obligacionet e mbuluara.</w:t>
      </w:r>
    </w:p>
    <w:p w14:paraId="7F4182A2"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Ndalon ndarjen e aktiveve nga detyrimet në mënyrë që të mos cenohet mbrojtja e investitorëve dhe integriteti i programit.</w:t>
      </w:r>
    </w:p>
    <w:p w14:paraId="0F3D6A6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 likuidimin e zakonshëm të programit kërkohet propozimi i administratorit të posaçëm dhe miratimi i Autoritetit; Banka e Shqipërisë mund të kundërshtojë kur plani nuk siguron mbrojtje të mjaftueshme.</w:t>
      </w:r>
    </w:p>
    <w:p w14:paraId="4228AEE4" w14:textId="77777777" w:rsidR="00EA2869" w:rsidRPr="00EA2869" w:rsidRDefault="00EA2869" w:rsidP="00EA2869">
      <w:pPr>
        <w:spacing w:after="0"/>
        <w:jc w:val="both"/>
        <w:rPr>
          <w:rFonts w:ascii="Times New Roman" w:hAnsi="Times New Roman"/>
          <w:bCs/>
          <w:sz w:val="28"/>
          <w:szCs w:val="28"/>
          <w:lang w:val="sq-AL"/>
        </w:rPr>
      </w:pPr>
    </w:p>
    <w:p w14:paraId="7AC58BE4"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Kreu VI parashikon masat dhe sanksionet që sigurojnë zbatim efektiv, proporcional dhe parandalues të ligjit.</w:t>
      </w:r>
    </w:p>
    <w:p w14:paraId="0794A098" w14:textId="77777777" w:rsidR="00EA2869" w:rsidRPr="00EA2869" w:rsidRDefault="00EA2869" w:rsidP="00EA2869">
      <w:pPr>
        <w:spacing w:after="0"/>
        <w:jc w:val="both"/>
        <w:rPr>
          <w:rFonts w:ascii="Times New Roman" w:hAnsi="Times New Roman"/>
          <w:bCs/>
          <w:sz w:val="28"/>
          <w:szCs w:val="28"/>
          <w:lang w:val="sq-AL"/>
        </w:rPr>
      </w:pPr>
    </w:p>
    <w:p w14:paraId="6BE196F2"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41 – Rrethanat për marrjen e masave mbikëqyrëse</w:t>
      </w:r>
    </w:p>
    <w:p w14:paraId="4868B6C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shkeljet që lidhen me emetimin pa miratim, mosplotësimin e kërkesave për aktivet, përbërjen dhe veçimin e grupit, kontratat derivative, transparencën, likuiditetin, zgjatjen e maturimit dhe raportimin.</w:t>
      </w:r>
    </w:p>
    <w:p w14:paraId="7439BE1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që masat të jenë efektive, proporcionale dhe parandaluese.</w:t>
      </w:r>
    </w:p>
    <w:p w14:paraId="663EA6F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revokimin e programit, publikimin e deklaratës së shkeljes, urdhrin për ndërprerje dhe korrigjim, pezullimin e përkohshëm të drejtuesve dhe ndalimin e përkohshëm të emetimeve.</w:t>
      </w:r>
    </w:p>
    <w:p w14:paraId="0C9727B9" w14:textId="77777777" w:rsidR="00EA2869" w:rsidRPr="00EA2869" w:rsidRDefault="00EA2869" w:rsidP="00EA2869">
      <w:pPr>
        <w:spacing w:after="0"/>
        <w:jc w:val="both"/>
        <w:rPr>
          <w:rFonts w:ascii="Times New Roman" w:hAnsi="Times New Roman"/>
          <w:bCs/>
          <w:sz w:val="28"/>
          <w:szCs w:val="28"/>
          <w:lang w:val="sq-AL"/>
        </w:rPr>
      </w:pPr>
    </w:p>
    <w:p w14:paraId="1DDB9237"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42 – Sanksionet administrative me gjobë</w:t>
      </w:r>
    </w:p>
    <w:p w14:paraId="0B850FB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Parashikon gjobë deri në 500 000 lekë për personat fizikë.</w:t>
      </w:r>
    </w:p>
    <w:p w14:paraId="0AB7A64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 personat juridikë parashikon gjobë deri në 5 000 000 lekë ose deri në 10 për qind të xhiros totale vjetore neto, përfshirë përdorimin e xhiros së konsoliduar kur subjekti është pjesë e një grupi.</w:t>
      </w:r>
    </w:p>
    <w:p w14:paraId="42720B3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Lejon gjobë deri në dyfishin e përfitimit të realizuar nga shkelja, kur përfitimi mund të përcaktohet, edhe nëse tejkalon kufijtë e zakonshëm maksimalë.</w:t>
      </w:r>
    </w:p>
    <w:p w14:paraId="27D4D1D9"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43 – Procedura dhe kriteret për vendosjen e masave mbikëqyrëse dhe sanksioneve administrative me gjobë</w:t>
      </w:r>
    </w:p>
    <w:p w14:paraId="2A833D1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kriteret e individualizimit të masës: rëndësia dhe kohëzgjatja e shkeljes, përgjegjësia, fuqia financiare, përfitimi ose humbja e shmangur, dëmi ndaj palëve të treta, bashkëpunimi, përsëritja dhe pasojat sistemike.</w:t>
      </w:r>
    </w:p>
    <w:p w14:paraId="07CA506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Garanton të drejtën e personit për t’u dëgjuar përpara vendimmarrjes.</w:t>
      </w:r>
    </w:p>
    <w:p w14:paraId="777A4A3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masa urgjente pa dëgjim paraprak vetëm kur nevojiten për të parandaluar humbje të konsiderueshme ose dëmtim të sistemit financiar; dëgjimi dhe rishikimi kryhen menjëherë më pas.</w:t>
      </w:r>
    </w:p>
    <w:p w14:paraId="297EFE6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Vendimet duhet të jenë të arsyetuara dhe i nënshtrohen ankimit gjyqësor.</w:t>
      </w:r>
    </w:p>
    <w:p w14:paraId="07F33D3F" w14:textId="77777777" w:rsidR="00EA2869" w:rsidRPr="00EA2869" w:rsidRDefault="00EA2869" w:rsidP="00EA2869">
      <w:pPr>
        <w:spacing w:after="0"/>
        <w:jc w:val="both"/>
        <w:rPr>
          <w:rFonts w:ascii="Times New Roman" w:hAnsi="Times New Roman"/>
          <w:bCs/>
          <w:sz w:val="28"/>
          <w:szCs w:val="28"/>
          <w:lang w:val="sq-AL"/>
        </w:rPr>
      </w:pPr>
    </w:p>
    <w:p w14:paraId="19813C5B"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44 – Publikimi i masave mbikëqyrëse dhe sanksioneve</w:t>
      </w:r>
    </w:p>
    <w:p w14:paraId="0DF537D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Kërkon publikimin e menjëhershëm të masave dhe sanksioneve në faqen zyrtare të Autoritetit, përfshirë natyrën e shkeljes, identitetin e personit dhe informacionin mbi ankimin.</w:t>
      </w:r>
    </w:p>
    <w:p w14:paraId="136B0EB7"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Lejon anonimizimin, shtyrjen ose kufizimin e publikimit kur publikimi i të dhënave personale është joproporcional, rrezikon stabilitetin financiar ose hetimin penal, ose shkakton dëme serioze joproporcionale.</w:t>
      </w:r>
    </w:p>
    <w:p w14:paraId="0D20486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afatin minimal pesëvjeçar të publikimit dhe kufijtë për ruajtjen e të dhënave personale.</w:t>
      </w:r>
    </w:p>
    <w:p w14:paraId="2A85E9D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Parashikon raportimin te Autoriteti Bankar Evropian për masat, sanksionet dhe ankimet pas anëtarësimit në BE.</w:t>
      </w:r>
    </w:p>
    <w:p w14:paraId="6239C344"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45 – Përdorimi i emërtimit “Obligacione të mbuluara”</w:t>
      </w:r>
    </w:p>
    <w:p w14:paraId="5D04E3A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Mbron emërtimin “obligacione të mbuluara” dhe ndalon përdorimin e tij ose të një emërtimi të ngjashëm për instrumente që nuk plotësojnë kërkesat e ligjit.</w:t>
      </w:r>
    </w:p>
    <w:p w14:paraId="1F9DDF8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Rezervon emërtimin “obligacion evropian i mbuluar” për obligacionet që plotësojnë kërkesat e ligjit.</w:t>
      </w:r>
    </w:p>
    <w:p w14:paraId="0695D6F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Rezervon emërtimin “obligacion evropian i mbuluar (Premium)” për instrumentet që plotësojnë edhe kërkesat e nenit 129 të Rregullores (BE) nr. 575/2013, të ndryshuar me Rregulloren (BE) 2019/2160.</w:t>
      </w:r>
    </w:p>
    <w:p w14:paraId="4A5306B1" w14:textId="77777777" w:rsidR="00EA2869" w:rsidRDefault="00EA2869" w:rsidP="00EA2869">
      <w:pPr>
        <w:spacing w:after="0"/>
        <w:jc w:val="both"/>
        <w:rPr>
          <w:rFonts w:ascii="Times New Roman" w:hAnsi="Times New Roman"/>
          <w:bCs/>
          <w:sz w:val="28"/>
          <w:szCs w:val="28"/>
          <w:lang w:val="sq-AL"/>
        </w:rPr>
      </w:pPr>
    </w:p>
    <w:p w14:paraId="200A0326" w14:textId="75293E96"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Kreu VII përcakton dispozitat e lidhura me anëtarësimin në Bashkimin Evropian, afatet e akteve nënligjore dhe datën e zbatimit.</w:t>
      </w:r>
    </w:p>
    <w:p w14:paraId="3B277CA8" w14:textId="77777777" w:rsidR="00EA2869" w:rsidRPr="00EA2869" w:rsidRDefault="00EA2869" w:rsidP="00EA2869">
      <w:pPr>
        <w:spacing w:after="0"/>
        <w:jc w:val="both"/>
        <w:rPr>
          <w:rFonts w:ascii="Times New Roman" w:hAnsi="Times New Roman"/>
          <w:bCs/>
          <w:sz w:val="28"/>
          <w:szCs w:val="28"/>
          <w:lang w:val="sq-AL"/>
        </w:rPr>
      </w:pPr>
    </w:p>
    <w:p w14:paraId="74E6072E"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46 – Dispozita kalimtare</w:t>
      </w:r>
    </w:p>
    <w:p w14:paraId="37AE5AD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dispozitat e veçanta që fillojnë të zbatohen nga data e anëtarësimit të Republikës së Shqipërisë në Bashkimin Evropian.</w:t>
      </w:r>
    </w:p>
    <w:p w14:paraId="36E07A2C"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Këto dispozita lidhen kryesisht me strukturat ndërkufitare, kërkesat evropiane për monitoruesin dhe maturitetin, ESAP, njoftimet ndaj autoriteteve evropiane, publikimin e listave dhe përdorimin e emërtimeve evropiane.</w:t>
      </w:r>
    </w:p>
    <w:p w14:paraId="5CBBB210"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Siguron ndarjen e qartë ndërmjet rregullave që zbatohen në fazën para anëtarësimit dhe rregullave që kërkojnë pjesëmarrjen në mekanizmat e Bashkimit Evropian.</w:t>
      </w:r>
    </w:p>
    <w:p w14:paraId="67110C74"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47 – Afatet për nxjerrjen e akteve nënligjore</w:t>
      </w:r>
    </w:p>
    <w:p w14:paraId="1417A6A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Ngarkon Autoritetin e Mbikëqyrjes Financiare dhe Bankën e Shqipërisë të miratojnë rregulloret e nevojshme në zbatim të ligjit brenda 12 muajve nga hyrja e tij në fuqi.</w:t>
      </w:r>
    </w:p>
    <w:p w14:paraId="6A61B08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Aktet nënligjore do të detajojnë, ndër të tjera, aktivet dhe kriteret shtesë, monitoruesin, regjistrin, raportimin, administrimin e rreziqeve, provat e rezistencës, procedurat e miratimit, kriteret e ndryshimeve materiale, tarifat dhe administrimin e programit në likuidim.</w:t>
      </w:r>
    </w:p>
    <w:p w14:paraId="37ADB33F" w14:textId="77777777" w:rsidR="00EA2869" w:rsidRPr="00EA2869" w:rsidRDefault="00EA2869" w:rsidP="00EA2869">
      <w:pPr>
        <w:spacing w:after="0"/>
        <w:jc w:val="both"/>
        <w:rPr>
          <w:rFonts w:ascii="Times New Roman" w:hAnsi="Times New Roman"/>
          <w:b/>
          <w:sz w:val="28"/>
          <w:szCs w:val="28"/>
          <w:lang w:val="sq-AL"/>
        </w:rPr>
      </w:pPr>
      <w:r w:rsidRPr="00EA2869">
        <w:rPr>
          <w:rFonts w:ascii="Times New Roman" w:hAnsi="Times New Roman"/>
          <w:b/>
          <w:sz w:val="28"/>
          <w:szCs w:val="28"/>
          <w:lang w:val="sq-AL"/>
        </w:rPr>
        <w:t>Neni 48 – Hyrja në fuqi</w:t>
      </w:r>
    </w:p>
    <w:p w14:paraId="1DC243F1"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hyrjen në fuqi të ligjit 15 ditë pas botimit në Fletoren Zyrtare.</w:t>
      </w:r>
    </w:p>
    <w:p w14:paraId="40B5360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Përcakton se ligji fillon të zbatohet më 1 janar 2029, duke krijuar periudhën e nevojshme për miratimin e akteve nënligjore, ngritjen e kapaciteteve dhe përgatitjen e subjekteve.</w:t>
      </w:r>
    </w:p>
    <w:p w14:paraId="02E6EE09" w14:textId="77777777" w:rsidR="00EA2869" w:rsidRPr="00EA2869" w:rsidRDefault="00EA2869" w:rsidP="00EA2869">
      <w:pPr>
        <w:jc w:val="both"/>
        <w:rPr>
          <w:rFonts w:ascii="Times New Roman" w:hAnsi="Times New Roman"/>
          <w:b/>
          <w:sz w:val="28"/>
          <w:szCs w:val="28"/>
          <w:lang w:val="sq-AL"/>
        </w:rPr>
      </w:pPr>
    </w:p>
    <w:p w14:paraId="70467EEC" w14:textId="77777777" w:rsidR="00EA2869" w:rsidRPr="00EA2869" w:rsidRDefault="00EA2869" w:rsidP="00EA2869">
      <w:pPr>
        <w:jc w:val="both"/>
        <w:rPr>
          <w:rFonts w:ascii="Times New Roman" w:hAnsi="Times New Roman"/>
          <w:b/>
          <w:sz w:val="28"/>
          <w:szCs w:val="28"/>
          <w:lang w:val="sq-AL"/>
        </w:rPr>
      </w:pPr>
      <w:r w:rsidRPr="00EA2869">
        <w:rPr>
          <w:rFonts w:ascii="Times New Roman" w:hAnsi="Times New Roman"/>
          <w:b/>
          <w:sz w:val="28"/>
          <w:szCs w:val="28"/>
          <w:lang w:val="sq-AL"/>
        </w:rPr>
        <w:t>VII. INSTITUCIONET DHE ORGANET QË NGARKOHEN PËR ZBATIMIN E AKTIT</w:t>
      </w:r>
    </w:p>
    <w:p w14:paraId="5B32366B"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Për zbatimin e projektligjit ngarkohen kryesisht Autoriteti i Mbikëqyrjes Financiare dhe Banka e Shqipërisë, sipas ndarjes së kompetencave të përcaktuar në ligj. Në rast ndërhyrjeje të jashtëzakonshme ose likuidimi përfshihen edhe Agjencia e Sigurimit të Depozitave, gjykata kompetente, likuidatori dhe administratori i posaçëm.</w:t>
      </w:r>
    </w:p>
    <w:p w14:paraId="305E7F4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Autoriteti i Mbikëqyrjes Financiare, në cilësinë e autoritetit përgjegjës për mbikëqyrjen publike të obligacioneve të mbuluara:</w:t>
      </w:r>
    </w:p>
    <w:p w14:paraId="3445FA3F"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shqyrton kërkesat dhe miraton, refuzon ose revokon programet e obligacioneve të mbuluara;</w:t>
      </w:r>
    </w:p>
    <w:p w14:paraId="7B9E1DD9"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lastRenderedPageBreak/>
        <w:t>•</w:t>
      </w:r>
      <w:r w:rsidRPr="00EA2869">
        <w:rPr>
          <w:rFonts w:ascii="Times New Roman" w:hAnsi="Times New Roman"/>
          <w:bCs/>
          <w:sz w:val="28"/>
          <w:szCs w:val="28"/>
          <w:lang w:val="sq-AL"/>
        </w:rPr>
        <w:tab/>
        <w:t>mbikëqyr përmbushjen e kërkesave strukturore, të mbulimit, likuiditetit, transparencës, regjistrit dhe monitoruesit;</w:t>
      </w:r>
    </w:p>
    <w:p w14:paraId="7BEBFB4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kryen mbikëqyrje në distancë dhe në vend, kërkon dokumente dhe informacione dhe urdhëron masa korrigjuese;</w:t>
      </w:r>
    </w:p>
    <w:p w14:paraId="2714A15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cakton dhe mbikëqyr administratorin e posaçëm në rastet e parashikuara nga ligji;</w:t>
      </w:r>
    </w:p>
    <w:p w14:paraId="5D7EAE3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merr masa mbikëqyrëse, vendos sanksione dhe publikon vendimet;</w:t>
      </w:r>
    </w:p>
    <w:p w14:paraId="5FEE80D8"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miraton aktet nënligjore në fushën e kompetencës së tij, përfshirë procedurat e miratimit, monitoruesin, raportimin, publikimin dhe tarifat.</w:t>
      </w:r>
    </w:p>
    <w:p w14:paraId="5BD1CAE3"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Banka e Shqipërisë, në cilësinë e autoritetit të mbikëqyrjes prudenciale dhe të ndërhyrjes së jashtëzakonshme:</w:t>
      </w:r>
    </w:p>
    <w:p w14:paraId="1A61604D"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jep opinionin paraprak për çdo program, duke vlerësuar qëndrueshmërinë financiare, planin e biznesit, rreziqet dhe politikat e kreditimit e vlerësimit;</w:t>
      </w:r>
    </w:p>
    <w:p w14:paraId="24B82ACA"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mbikëqyr ndikimin e programit mbi kapitalin, likuiditetin, administrimin e rrezikut dhe qëndrueshmërinë e institucionit të kreditit;</w:t>
      </w:r>
    </w:p>
    <w:p w14:paraId="484E3F6E"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miraton aktet nënligjore prudenciale për aktivet, rezervën e likuiditetit, administrimin e rreziqeve dhe provat e rezistencës;</w:t>
      </w:r>
    </w:p>
    <w:p w14:paraId="7CE433B4" w14:textId="77777777" w:rsidR="00EA2869" w:rsidRPr="00EA2869" w:rsidRDefault="00EA2869" w:rsidP="00EA2869">
      <w:pPr>
        <w:spacing w:after="0"/>
        <w:jc w:val="both"/>
        <w:rPr>
          <w:rFonts w:ascii="Times New Roman" w:hAnsi="Times New Roman"/>
          <w:bCs/>
          <w:sz w:val="28"/>
          <w:szCs w:val="28"/>
          <w:lang w:val="sq-AL"/>
        </w:rPr>
      </w:pPr>
      <w:r w:rsidRPr="00EA2869">
        <w:rPr>
          <w:rFonts w:ascii="Times New Roman" w:hAnsi="Times New Roman"/>
          <w:bCs/>
          <w:sz w:val="28"/>
          <w:szCs w:val="28"/>
          <w:lang w:val="sq-AL"/>
        </w:rPr>
        <w:t>•</w:t>
      </w:r>
      <w:r w:rsidRPr="00EA2869">
        <w:rPr>
          <w:rFonts w:ascii="Times New Roman" w:hAnsi="Times New Roman"/>
          <w:bCs/>
          <w:sz w:val="28"/>
          <w:szCs w:val="28"/>
          <w:lang w:val="sq-AL"/>
        </w:rPr>
        <w:tab/>
        <w:t>ushtron kompetencat e saj në ndërhyrjen e jashtëzakonshme dhe likuidimin e institucioneve të kreditit dhe shkëmben informacion me Autoritetin.</w:t>
      </w:r>
    </w:p>
    <w:p w14:paraId="59A06AF0"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Institucionet e kreditit që zgjedhin të emetojnë obligacione të mbuluara ngarkohen të krijojnë strukturat, sistemet, politikat dhe procedurat e nevojshme, të mbajnë grupin dhe regjistrin e mbulimit, të caktojnë monitoruesin, të përmbushin kërkesat e mbulimit dhe likuiditetit dhe të raportojnë e publikojnë informacionin sipas ligjit.</w:t>
      </w:r>
    </w:p>
    <w:p w14:paraId="7A335E6A"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Monitoruesi i grupit të mbulimit ushtron kontrollin e pavarur dhe të vazhdueshëm të programit. Administratori i posaçëm administron programin në rastet e paaftësisë paguese, ndërhyrjes së jashtëzakonshme ose likuidimit. Vlerësuesit, audituesit ligjorë, operatorët e regjistrave publikë, depozitari qendror dhe subjektet e tjera të infrastrukturës zbatojnë detyrimet që lidhen me vlerësimin, regjistrimin, transferimin dhe ruajtjen e të drejtave mbi aktivet dhe titujt.</w:t>
      </w:r>
    </w:p>
    <w:p w14:paraId="1FB9F18F"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Dispozitat që lidhen me Autoritetin Bankar Evropian, Autoritetin Evropian të Letrave me Vlerë dhe Tregjeve dhe ESAP zbatohen nga data e anëtarësimit të Republikës së Shqipërisë në Bashkimin Evropian.</w:t>
      </w:r>
    </w:p>
    <w:p w14:paraId="3B74C7E7" w14:textId="77777777" w:rsidR="00EA2869" w:rsidRPr="00EA2869" w:rsidRDefault="00EA2869" w:rsidP="00EA2869">
      <w:pPr>
        <w:jc w:val="both"/>
        <w:rPr>
          <w:rFonts w:ascii="Times New Roman" w:hAnsi="Times New Roman"/>
          <w:b/>
          <w:sz w:val="28"/>
          <w:szCs w:val="28"/>
          <w:lang w:val="sq-AL"/>
        </w:rPr>
      </w:pPr>
    </w:p>
    <w:p w14:paraId="0A25B14D" w14:textId="77777777" w:rsidR="00EA2869" w:rsidRPr="00EA2869" w:rsidRDefault="00EA2869" w:rsidP="00EA2869">
      <w:pPr>
        <w:jc w:val="both"/>
        <w:rPr>
          <w:rFonts w:ascii="Times New Roman" w:hAnsi="Times New Roman"/>
          <w:b/>
          <w:sz w:val="28"/>
          <w:szCs w:val="28"/>
          <w:lang w:val="sq-AL"/>
        </w:rPr>
      </w:pPr>
      <w:r w:rsidRPr="00EA2869">
        <w:rPr>
          <w:rFonts w:ascii="Times New Roman" w:hAnsi="Times New Roman"/>
          <w:b/>
          <w:sz w:val="28"/>
          <w:szCs w:val="28"/>
          <w:lang w:val="sq-AL"/>
        </w:rPr>
        <w:lastRenderedPageBreak/>
        <w:t>VIII. PERSONAT DHE INSTITUCIONET QË KANË KONTRIBUAR NË HARTIMIN E PROJEKTAKTIT</w:t>
      </w:r>
    </w:p>
    <w:p w14:paraId="7B60581A" w14:textId="0E304276"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Projektligji është hartuar nga Autoriteti i Mbikëqyrjes Financiare, në bashkëpunim me Bankën e Shqipërisë dhe në përputhje me kompetencat përkatëse të këtyre institucioneve, në kuadër të përmbushjes së detyrimeve që rrjedhin nga Kapitulli 9 “Shërbimet financiare” dhe të përafrimit të legjislacionit shqiptar me acquis të Bashkimit Evropian në fushën e tregjeve të kapitalit. Gjatë hartimit janë marrë në konsideratë kërkesat e Direktivës (BE) 2019/2162, dispozitat përkatëse të kuadrit prudencial evropian, si dhe kërkesat që lidhen me krijimin dhe funksionimin e Pikës së Vetme Evropiane të Aksesit (European Single Access Point – ESAP).</w:t>
      </w:r>
    </w:p>
    <w:p w14:paraId="3A20D568" w14:textId="77777777" w:rsidR="00EA2869" w:rsidRPr="00EA2869" w:rsidRDefault="00EA2869" w:rsidP="00EA2869">
      <w:pPr>
        <w:jc w:val="both"/>
        <w:rPr>
          <w:rFonts w:ascii="Times New Roman" w:hAnsi="Times New Roman"/>
          <w:b/>
          <w:sz w:val="28"/>
          <w:szCs w:val="28"/>
          <w:lang w:val="sq-AL"/>
        </w:rPr>
      </w:pPr>
      <w:r w:rsidRPr="00EA2869">
        <w:rPr>
          <w:rFonts w:ascii="Times New Roman" w:hAnsi="Times New Roman"/>
          <w:b/>
          <w:sz w:val="28"/>
          <w:szCs w:val="28"/>
          <w:lang w:val="sq-AL"/>
        </w:rPr>
        <w:t>IX. RAPORTI I VLERËSIMIT TË TË ARDHURAVE DHE SHPENZIMEVE BUXHETORE</w:t>
      </w:r>
    </w:p>
    <w:p w14:paraId="18A7C948" w14:textId="77777777" w:rsidR="00EA2869" w:rsidRPr="00EA2869" w:rsidRDefault="00EA2869" w:rsidP="00EA2869">
      <w:pPr>
        <w:jc w:val="both"/>
        <w:rPr>
          <w:rFonts w:ascii="Times New Roman" w:hAnsi="Times New Roman"/>
          <w:bCs/>
          <w:sz w:val="28"/>
          <w:szCs w:val="28"/>
          <w:lang w:val="sq-AL"/>
        </w:rPr>
      </w:pPr>
      <w:r w:rsidRPr="00EA2869">
        <w:rPr>
          <w:rFonts w:ascii="Times New Roman" w:hAnsi="Times New Roman"/>
          <w:bCs/>
          <w:sz w:val="28"/>
          <w:szCs w:val="28"/>
          <w:lang w:val="sq-AL"/>
        </w:rPr>
        <w:t>Zbatimi i projektligjit nuk sjell kosto shtesë për buxhetin e shtetit.</w:t>
      </w:r>
    </w:p>
    <w:p w14:paraId="77E1821B" w14:textId="77777777" w:rsidR="00EA2869" w:rsidRPr="00EA2869" w:rsidRDefault="00EA2869" w:rsidP="00EA2869">
      <w:pPr>
        <w:jc w:val="both"/>
        <w:rPr>
          <w:rFonts w:ascii="Times New Roman" w:hAnsi="Times New Roman"/>
          <w:bCs/>
          <w:sz w:val="28"/>
          <w:szCs w:val="28"/>
          <w:lang w:val="sq-AL"/>
        </w:rPr>
      </w:pPr>
    </w:p>
    <w:p w14:paraId="2149336E" w14:textId="0FF7642E" w:rsidR="00EA2869" w:rsidRDefault="00EA2869" w:rsidP="00EA2869">
      <w:pPr>
        <w:jc w:val="center"/>
        <w:rPr>
          <w:rFonts w:ascii="Times New Roman" w:hAnsi="Times New Roman"/>
          <w:b/>
          <w:sz w:val="28"/>
          <w:szCs w:val="28"/>
          <w:lang w:val="sq-AL"/>
        </w:rPr>
      </w:pPr>
      <w:r>
        <w:rPr>
          <w:rFonts w:ascii="Times New Roman" w:hAnsi="Times New Roman"/>
          <w:b/>
          <w:sz w:val="28"/>
          <w:szCs w:val="28"/>
          <w:lang w:val="sq-AL"/>
        </w:rPr>
        <w:t xml:space="preserve">                 MINISTRI </w:t>
      </w:r>
    </w:p>
    <w:p w14:paraId="6863FFB4" w14:textId="77777777" w:rsidR="00EA2869" w:rsidRDefault="00EA2869" w:rsidP="00EA2869">
      <w:pPr>
        <w:jc w:val="center"/>
        <w:rPr>
          <w:rFonts w:ascii="Times New Roman" w:hAnsi="Times New Roman"/>
          <w:b/>
          <w:sz w:val="28"/>
          <w:szCs w:val="28"/>
          <w:lang w:val="sq-AL"/>
        </w:rPr>
      </w:pPr>
    </w:p>
    <w:p w14:paraId="64715470" w14:textId="79672BCC" w:rsidR="00EA2869" w:rsidRPr="00EA2869" w:rsidRDefault="00EA2869" w:rsidP="00EA2869">
      <w:pPr>
        <w:jc w:val="center"/>
        <w:rPr>
          <w:rFonts w:ascii="Times New Roman" w:hAnsi="Times New Roman"/>
          <w:b/>
          <w:sz w:val="28"/>
          <w:szCs w:val="28"/>
          <w:lang w:val="sq-AL"/>
        </w:rPr>
      </w:pPr>
      <w:r>
        <w:rPr>
          <w:rFonts w:ascii="Times New Roman" w:hAnsi="Times New Roman"/>
          <w:b/>
          <w:sz w:val="28"/>
          <w:szCs w:val="28"/>
          <w:lang w:val="sq-AL"/>
        </w:rPr>
        <w:t xml:space="preserve">                  Petrit Malaj </w:t>
      </w:r>
    </w:p>
    <w:p w14:paraId="1046D2EA" w14:textId="77777777" w:rsidR="00EA2869" w:rsidRPr="00EA2869" w:rsidRDefault="00EA2869" w:rsidP="00EA2869">
      <w:pPr>
        <w:jc w:val="center"/>
        <w:rPr>
          <w:rFonts w:ascii="Times New Roman" w:hAnsi="Times New Roman"/>
          <w:b/>
          <w:sz w:val="28"/>
          <w:szCs w:val="28"/>
          <w:lang w:val="sq-AL"/>
        </w:rPr>
      </w:pPr>
    </w:p>
    <w:p w14:paraId="08160738" w14:textId="77777777" w:rsidR="00EA2869" w:rsidRPr="00EA2869" w:rsidRDefault="00EA2869" w:rsidP="00EA2869">
      <w:pPr>
        <w:jc w:val="center"/>
        <w:rPr>
          <w:rFonts w:ascii="Times New Roman" w:hAnsi="Times New Roman"/>
          <w:b/>
          <w:sz w:val="28"/>
          <w:szCs w:val="28"/>
          <w:lang w:val="sq-AL"/>
        </w:rPr>
      </w:pPr>
    </w:p>
    <w:p w14:paraId="501FA943" w14:textId="77777777" w:rsidR="00EA2869" w:rsidRPr="00EA2869" w:rsidRDefault="00EA2869" w:rsidP="00EA2869">
      <w:pPr>
        <w:jc w:val="center"/>
        <w:rPr>
          <w:rFonts w:ascii="Times New Roman" w:hAnsi="Times New Roman"/>
          <w:b/>
          <w:sz w:val="28"/>
          <w:szCs w:val="28"/>
          <w:lang w:val="sq-AL"/>
        </w:rPr>
      </w:pPr>
    </w:p>
    <w:p w14:paraId="69AD58D6" w14:textId="77777777" w:rsidR="00EA2869" w:rsidRPr="00EA2869" w:rsidRDefault="00EA2869" w:rsidP="00EA2869">
      <w:pPr>
        <w:jc w:val="center"/>
        <w:rPr>
          <w:rFonts w:ascii="Times New Roman" w:hAnsi="Times New Roman"/>
          <w:b/>
          <w:sz w:val="28"/>
          <w:szCs w:val="28"/>
          <w:lang w:val="sq-AL"/>
        </w:rPr>
      </w:pPr>
    </w:p>
    <w:p w14:paraId="3E2BE238" w14:textId="77777777" w:rsidR="009D2E2E" w:rsidRPr="00DF6293" w:rsidRDefault="009D2E2E" w:rsidP="00533EC1">
      <w:pPr>
        <w:spacing w:after="0"/>
        <w:jc w:val="right"/>
        <w:rPr>
          <w:rFonts w:ascii="Times New Roman" w:eastAsia="Times New Roman" w:hAnsi="Times New Roman"/>
          <w:b/>
          <w:sz w:val="28"/>
          <w:szCs w:val="28"/>
          <w:lang w:val="sq-AL"/>
        </w:rPr>
      </w:pPr>
    </w:p>
    <w:sectPr w:rsidR="009D2E2E" w:rsidRPr="00DF6293" w:rsidSect="006C642E">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5EEEF" w14:textId="77777777" w:rsidR="00523E8E" w:rsidRDefault="00523E8E" w:rsidP="006C642E">
      <w:pPr>
        <w:spacing w:after="0" w:line="240" w:lineRule="auto"/>
      </w:pPr>
      <w:r>
        <w:separator/>
      </w:r>
    </w:p>
  </w:endnote>
  <w:endnote w:type="continuationSeparator" w:id="0">
    <w:p w14:paraId="7CC1E52A" w14:textId="77777777" w:rsidR="00523E8E" w:rsidRDefault="00523E8E" w:rsidP="006C6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EUAlbertina-Bold">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2E4C" w14:textId="77777777" w:rsidR="00134492" w:rsidRPr="00DB6102" w:rsidRDefault="00134492">
    <w:pPr>
      <w:pStyle w:val="Footer"/>
      <w:jc w:val="right"/>
      <w:rPr>
        <w:rFonts w:ascii="Times New Roman" w:hAnsi="Times New Roman"/>
        <w:i/>
        <w:iCs/>
        <w:sz w:val="16"/>
        <w:szCs w:val="16"/>
        <w:lang w:val="fr-FR"/>
      </w:rPr>
    </w:pPr>
    <w:r w:rsidRPr="00DB6102">
      <w:rPr>
        <w:rFonts w:ascii="Times New Roman" w:hAnsi="Times New Roman"/>
        <w:i/>
        <w:iCs/>
        <w:sz w:val="16"/>
        <w:szCs w:val="16"/>
      </w:rPr>
      <w:fldChar w:fldCharType="begin"/>
    </w:r>
    <w:r w:rsidRPr="00DB6102">
      <w:rPr>
        <w:rFonts w:ascii="Times New Roman" w:hAnsi="Times New Roman"/>
        <w:i/>
        <w:iCs/>
        <w:sz w:val="16"/>
        <w:szCs w:val="16"/>
      </w:rPr>
      <w:instrText xml:space="preserve"> PAGE   \* MERGEFORMAT </w:instrText>
    </w:r>
    <w:r w:rsidRPr="00DB6102">
      <w:rPr>
        <w:rFonts w:ascii="Times New Roman" w:hAnsi="Times New Roman"/>
        <w:i/>
        <w:iCs/>
        <w:sz w:val="16"/>
        <w:szCs w:val="16"/>
      </w:rPr>
      <w:fldChar w:fldCharType="separate"/>
    </w:r>
    <w:r w:rsidR="00DF6293" w:rsidRPr="00DB6102">
      <w:rPr>
        <w:rFonts w:ascii="Times New Roman" w:hAnsi="Times New Roman"/>
        <w:i/>
        <w:iCs/>
        <w:noProof/>
        <w:sz w:val="16"/>
        <w:szCs w:val="16"/>
        <w:lang w:val="fr-FR"/>
      </w:rPr>
      <w:t>3</w:t>
    </w:r>
    <w:r w:rsidRPr="00DB6102">
      <w:rPr>
        <w:rFonts w:ascii="Times New Roman" w:hAnsi="Times New Roman"/>
        <w:i/>
        <w:iCs/>
        <w:noProof/>
        <w:sz w:val="16"/>
        <w:szCs w:val="16"/>
      </w:rPr>
      <w:fldChar w:fldCharType="end"/>
    </w:r>
  </w:p>
  <w:p w14:paraId="55AD40BC" w14:textId="24144FCC" w:rsidR="00134492" w:rsidRPr="00DF6293" w:rsidRDefault="00DF6293" w:rsidP="00EA2869">
    <w:pPr>
      <w:pStyle w:val="BodyText"/>
      <w:pBdr>
        <w:top w:val="single" w:sz="4" w:space="1" w:color="auto"/>
      </w:pBdr>
    </w:pPr>
    <w:r w:rsidRPr="0081404D">
      <w:rPr>
        <w:b w:val="0"/>
        <w:i/>
        <w:iCs/>
        <w:sz w:val="22"/>
        <w:szCs w:val="22"/>
      </w:rPr>
      <w:t xml:space="preserve">Relacion shpjegues për </w:t>
    </w:r>
    <w:r w:rsidR="0081404D" w:rsidRPr="0081404D">
      <w:rPr>
        <w:b w:val="0"/>
        <w:i/>
        <w:iCs/>
        <w:sz w:val="22"/>
        <w:szCs w:val="22"/>
      </w:rPr>
      <w:t>projektligjin "</w:t>
    </w:r>
    <w:r w:rsidR="0081404D">
      <w:rPr>
        <w:b w:val="0"/>
        <w:i/>
        <w:iCs/>
        <w:sz w:val="22"/>
        <w:szCs w:val="22"/>
      </w:rPr>
      <w:t>P</w:t>
    </w:r>
    <w:r w:rsidR="0081404D" w:rsidRPr="0081404D">
      <w:rPr>
        <w:b w:val="0"/>
        <w:i/>
        <w:iCs/>
        <w:sz w:val="22"/>
        <w:szCs w:val="22"/>
      </w:rPr>
      <w:t xml:space="preserve">ër </w:t>
    </w:r>
    <w:r w:rsidR="00EA2869" w:rsidRPr="00EA2869">
      <w:rPr>
        <w:b w:val="0"/>
        <w:i/>
        <w:iCs/>
        <w:sz w:val="22"/>
        <w:szCs w:val="22"/>
      </w:rPr>
      <w:t>emetimin e obligacioneve të mbuluara dhe mbikëqyrjen e tyre”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41315" w14:textId="77777777" w:rsidR="00523E8E" w:rsidRDefault="00523E8E" w:rsidP="006C642E">
      <w:pPr>
        <w:spacing w:after="0" w:line="240" w:lineRule="auto"/>
      </w:pPr>
      <w:r>
        <w:separator/>
      </w:r>
    </w:p>
  </w:footnote>
  <w:footnote w:type="continuationSeparator" w:id="0">
    <w:p w14:paraId="035437FB" w14:textId="77777777" w:rsidR="00523E8E" w:rsidRDefault="00523E8E" w:rsidP="006C6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B71B2"/>
    <w:multiLevelType w:val="hybridMultilevel"/>
    <w:tmpl w:val="1B7A59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4374C6"/>
    <w:multiLevelType w:val="hybridMultilevel"/>
    <w:tmpl w:val="3CD66E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B30E74"/>
    <w:multiLevelType w:val="hybridMultilevel"/>
    <w:tmpl w:val="30F214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F911E3"/>
    <w:multiLevelType w:val="hybridMultilevel"/>
    <w:tmpl w:val="CC544E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A30116"/>
    <w:multiLevelType w:val="hybridMultilevel"/>
    <w:tmpl w:val="9E443D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8F03AA"/>
    <w:multiLevelType w:val="hybridMultilevel"/>
    <w:tmpl w:val="89E6E780"/>
    <w:lvl w:ilvl="0" w:tplc="1C5AF00C">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997D63"/>
    <w:multiLevelType w:val="hybridMultilevel"/>
    <w:tmpl w:val="336061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254812">
    <w:abstractNumId w:val="5"/>
  </w:num>
  <w:num w:numId="2" w16cid:durableId="284312824">
    <w:abstractNumId w:val="1"/>
  </w:num>
  <w:num w:numId="3" w16cid:durableId="551618467">
    <w:abstractNumId w:val="6"/>
  </w:num>
  <w:num w:numId="4" w16cid:durableId="790127240">
    <w:abstractNumId w:val="4"/>
  </w:num>
  <w:num w:numId="5" w16cid:durableId="1019086364">
    <w:abstractNumId w:val="3"/>
  </w:num>
  <w:num w:numId="6" w16cid:durableId="432437163">
    <w:abstractNumId w:val="2"/>
  </w:num>
  <w:num w:numId="7" w16cid:durableId="78931856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D4E"/>
    <w:rsid w:val="00002A1A"/>
    <w:rsid w:val="00010D4E"/>
    <w:rsid w:val="00040737"/>
    <w:rsid w:val="00042735"/>
    <w:rsid w:val="00043538"/>
    <w:rsid w:val="00081724"/>
    <w:rsid w:val="00091F1A"/>
    <w:rsid w:val="000979AC"/>
    <w:rsid w:val="000A2144"/>
    <w:rsid w:val="000A238B"/>
    <w:rsid w:val="000A2946"/>
    <w:rsid w:val="000A44F8"/>
    <w:rsid w:val="000A51E4"/>
    <w:rsid w:val="000B0792"/>
    <w:rsid w:val="000B20C2"/>
    <w:rsid w:val="000B6539"/>
    <w:rsid w:val="000B69E8"/>
    <w:rsid w:val="000C1BD5"/>
    <w:rsid w:val="000D6E8E"/>
    <w:rsid w:val="000E08D9"/>
    <w:rsid w:val="000F0ADA"/>
    <w:rsid w:val="000F1079"/>
    <w:rsid w:val="000F2E12"/>
    <w:rsid w:val="00104B43"/>
    <w:rsid w:val="0011030A"/>
    <w:rsid w:val="001104D0"/>
    <w:rsid w:val="0011251D"/>
    <w:rsid w:val="00123812"/>
    <w:rsid w:val="001258D9"/>
    <w:rsid w:val="00134492"/>
    <w:rsid w:val="00136B42"/>
    <w:rsid w:val="001376C6"/>
    <w:rsid w:val="00141B33"/>
    <w:rsid w:val="00143EBA"/>
    <w:rsid w:val="00153DD8"/>
    <w:rsid w:val="00165C48"/>
    <w:rsid w:val="00166A6E"/>
    <w:rsid w:val="001748C4"/>
    <w:rsid w:val="00186BE5"/>
    <w:rsid w:val="00190843"/>
    <w:rsid w:val="001908A2"/>
    <w:rsid w:val="0019195E"/>
    <w:rsid w:val="001951C9"/>
    <w:rsid w:val="001978BC"/>
    <w:rsid w:val="001A2856"/>
    <w:rsid w:val="001B35D7"/>
    <w:rsid w:val="001C177E"/>
    <w:rsid w:val="001C6E13"/>
    <w:rsid w:val="001E2DC0"/>
    <w:rsid w:val="001E31B0"/>
    <w:rsid w:val="001E3B91"/>
    <w:rsid w:val="001F4FAA"/>
    <w:rsid w:val="001F7C13"/>
    <w:rsid w:val="0022541A"/>
    <w:rsid w:val="00245EFF"/>
    <w:rsid w:val="00253B1D"/>
    <w:rsid w:val="00255E19"/>
    <w:rsid w:val="0025785F"/>
    <w:rsid w:val="00257D9A"/>
    <w:rsid w:val="00257E89"/>
    <w:rsid w:val="002638A3"/>
    <w:rsid w:val="00266596"/>
    <w:rsid w:val="00266F18"/>
    <w:rsid w:val="00267657"/>
    <w:rsid w:val="00274A68"/>
    <w:rsid w:val="0027649A"/>
    <w:rsid w:val="00276D28"/>
    <w:rsid w:val="002A09B1"/>
    <w:rsid w:val="002B0C06"/>
    <w:rsid w:val="002B0D5C"/>
    <w:rsid w:val="002B2072"/>
    <w:rsid w:val="002C08FD"/>
    <w:rsid w:val="002C19F3"/>
    <w:rsid w:val="002C1FEB"/>
    <w:rsid w:val="002C20FC"/>
    <w:rsid w:val="002E2BDF"/>
    <w:rsid w:val="002E2E49"/>
    <w:rsid w:val="002E3311"/>
    <w:rsid w:val="002E74DC"/>
    <w:rsid w:val="002E7D07"/>
    <w:rsid w:val="002F0356"/>
    <w:rsid w:val="00314AEA"/>
    <w:rsid w:val="00315FD2"/>
    <w:rsid w:val="00324D7D"/>
    <w:rsid w:val="00337588"/>
    <w:rsid w:val="00337A9B"/>
    <w:rsid w:val="00351D97"/>
    <w:rsid w:val="00364A65"/>
    <w:rsid w:val="00375682"/>
    <w:rsid w:val="00381CDB"/>
    <w:rsid w:val="003836F3"/>
    <w:rsid w:val="00390123"/>
    <w:rsid w:val="003963BC"/>
    <w:rsid w:val="00397174"/>
    <w:rsid w:val="003A017E"/>
    <w:rsid w:val="003C60C1"/>
    <w:rsid w:val="003C6A7D"/>
    <w:rsid w:val="003D4946"/>
    <w:rsid w:val="003D6011"/>
    <w:rsid w:val="003D70E6"/>
    <w:rsid w:val="003E56C8"/>
    <w:rsid w:val="003F54DF"/>
    <w:rsid w:val="0041271E"/>
    <w:rsid w:val="004148BB"/>
    <w:rsid w:val="00415D83"/>
    <w:rsid w:val="0042482A"/>
    <w:rsid w:val="00427395"/>
    <w:rsid w:val="00437E85"/>
    <w:rsid w:val="0045096C"/>
    <w:rsid w:val="00454D24"/>
    <w:rsid w:val="00464E42"/>
    <w:rsid w:val="004669D6"/>
    <w:rsid w:val="0047287A"/>
    <w:rsid w:val="00486573"/>
    <w:rsid w:val="00486B12"/>
    <w:rsid w:val="004917B6"/>
    <w:rsid w:val="00491950"/>
    <w:rsid w:val="00494790"/>
    <w:rsid w:val="00495103"/>
    <w:rsid w:val="00496BD9"/>
    <w:rsid w:val="004A2B2D"/>
    <w:rsid w:val="004A46A9"/>
    <w:rsid w:val="004A7BB6"/>
    <w:rsid w:val="004B0275"/>
    <w:rsid w:val="004C14A2"/>
    <w:rsid w:val="004D4463"/>
    <w:rsid w:val="004D6E2C"/>
    <w:rsid w:val="004E6F8E"/>
    <w:rsid w:val="004E75BD"/>
    <w:rsid w:val="00501776"/>
    <w:rsid w:val="00510DF8"/>
    <w:rsid w:val="005204A1"/>
    <w:rsid w:val="00523E8E"/>
    <w:rsid w:val="005335C1"/>
    <w:rsid w:val="00533EC1"/>
    <w:rsid w:val="005349C7"/>
    <w:rsid w:val="0055766F"/>
    <w:rsid w:val="005710A8"/>
    <w:rsid w:val="0057219B"/>
    <w:rsid w:val="005739AD"/>
    <w:rsid w:val="005762AD"/>
    <w:rsid w:val="0057659F"/>
    <w:rsid w:val="00580DC5"/>
    <w:rsid w:val="005858FE"/>
    <w:rsid w:val="00590C8B"/>
    <w:rsid w:val="00593C3D"/>
    <w:rsid w:val="005A1900"/>
    <w:rsid w:val="005D0E02"/>
    <w:rsid w:val="005D75D6"/>
    <w:rsid w:val="005D795F"/>
    <w:rsid w:val="005E7885"/>
    <w:rsid w:val="005F6754"/>
    <w:rsid w:val="006011AF"/>
    <w:rsid w:val="00601C61"/>
    <w:rsid w:val="00602A33"/>
    <w:rsid w:val="006107F6"/>
    <w:rsid w:val="006240D7"/>
    <w:rsid w:val="00627DD6"/>
    <w:rsid w:val="006346F9"/>
    <w:rsid w:val="00636D23"/>
    <w:rsid w:val="00637CD0"/>
    <w:rsid w:val="00661037"/>
    <w:rsid w:val="00665D7E"/>
    <w:rsid w:val="00670DF6"/>
    <w:rsid w:val="00674A1C"/>
    <w:rsid w:val="00676720"/>
    <w:rsid w:val="006929FB"/>
    <w:rsid w:val="00697DDF"/>
    <w:rsid w:val="006A1092"/>
    <w:rsid w:val="006A7475"/>
    <w:rsid w:val="006B5A0C"/>
    <w:rsid w:val="006C0F1D"/>
    <w:rsid w:val="006C458C"/>
    <w:rsid w:val="006C642E"/>
    <w:rsid w:val="006D3E98"/>
    <w:rsid w:val="006D7BFA"/>
    <w:rsid w:val="007012B5"/>
    <w:rsid w:val="00711A4F"/>
    <w:rsid w:val="00712F90"/>
    <w:rsid w:val="007142CE"/>
    <w:rsid w:val="007147AA"/>
    <w:rsid w:val="00720515"/>
    <w:rsid w:val="00722218"/>
    <w:rsid w:val="007249C4"/>
    <w:rsid w:val="00725C68"/>
    <w:rsid w:val="00735B69"/>
    <w:rsid w:val="00737EE7"/>
    <w:rsid w:val="00754848"/>
    <w:rsid w:val="00762E21"/>
    <w:rsid w:val="00764EA8"/>
    <w:rsid w:val="00772271"/>
    <w:rsid w:val="007735DA"/>
    <w:rsid w:val="00773DA6"/>
    <w:rsid w:val="00792C68"/>
    <w:rsid w:val="007A1FCC"/>
    <w:rsid w:val="007A59DF"/>
    <w:rsid w:val="007B2CB2"/>
    <w:rsid w:val="007B76A7"/>
    <w:rsid w:val="007B78BA"/>
    <w:rsid w:val="007C2716"/>
    <w:rsid w:val="007E1772"/>
    <w:rsid w:val="007E7974"/>
    <w:rsid w:val="007F18A0"/>
    <w:rsid w:val="007F42F4"/>
    <w:rsid w:val="00807256"/>
    <w:rsid w:val="0081404D"/>
    <w:rsid w:val="008275A2"/>
    <w:rsid w:val="00840BBD"/>
    <w:rsid w:val="00843438"/>
    <w:rsid w:val="00845102"/>
    <w:rsid w:val="00850C0F"/>
    <w:rsid w:val="0085320D"/>
    <w:rsid w:val="00855F48"/>
    <w:rsid w:val="0086018E"/>
    <w:rsid w:val="00864E08"/>
    <w:rsid w:val="0088024B"/>
    <w:rsid w:val="00895D1B"/>
    <w:rsid w:val="008A274F"/>
    <w:rsid w:val="008A5F16"/>
    <w:rsid w:val="008B065E"/>
    <w:rsid w:val="008B0ED8"/>
    <w:rsid w:val="008C1B76"/>
    <w:rsid w:val="008C4679"/>
    <w:rsid w:val="008D0801"/>
    <w:rsid w:val="008E36D1"/>
    <w:rsid w:val="008E675D"/>
    <w:rsid w:val="008E7DB2"/>
    <w:rsid w:val="00904030"/>
    <w:rsid w:val="00912755"/>
    <w:rsid w:val="009127FE"/>
    <w:rsid w:val="00940ED5"/>
    <w:rsid w:val="00943882"/>
    <w:rsid w:val="0094622E"/>
    <w:rsid w:val="00946B22"/>
    <w:rsid w:val="009510E6"/>
    <w:rsid w:val="00955DF7"/>
    <w:rsid w:val="0096259C"/>
    <w:rsid w:val="00963B84"/>
    <w:rsid w:val="00965000"/>
    <w:rsid w:val="00972242"/>
    <w:rsid w:val="00972D82"/>
    <w:rsid w:val="009B108E"/>
    <w:rsid w:val="009B41D0"/>
    <w:rsid w:val="009C24BE"/>
    <w:rsid w:val="009C3025"/>
    <w:rsid w:val="009C6ADD"/>
    <w:rsid w:val="009D2E2E"/>
    <w:rsid w:val="009E03A6"/>
    <w:rsid w:val="009E1E63"/>
    <w:rsid w:val="009E28C2"/>
    <w:rsid w:val="009F3B9B"/>
    <w:rsid w:val="00A06F56"/>
    <w:rsid w:val="00A07B84"/>
    <w:rsid w:val="00A157E5"/>
    <w:rsid w:val="00A26227"/>
    <w:rsid w:val="00A3166D"/>
    <w:rsid w:val="00A32845"/>
    <w:rsid w:val="00A66717"/>
    <w:rsid w:val="00A70194"/>
    <w:rsid w:val="00A80676"/>
    <w:rsid w:val="00A96758"/>
    <w:rsid w:val="00AA1796"/>
    <w:rsid w:val="00AB7D74"/>
    <w:rsid w:val="00AC4A3D"/>
    <w:rsid w:val="00AD701D"/>
    <w:rsid w:val="00AF29A9"/>
    <w:rsid w:val="00AF6E41"/>
    <w:rsid w:val="00B1218F"/>
    <w:rsid w:val="00B15251"/>
    <w:rsid w:val="00B25D64"/>
    <w:rsid w:val="00B42C82"/>
    <w:rsid w:val="00B45EDF"/>
    <w:rsid w:val="00B46601"/>
    <w:rsid w:val="00B46736"/>
    <w:rsid w:val="00B743A4"/>
    <w:rsid w:val="00B80FFD"/>
    <w:rsid w:val="00B81A3B"/>
    <w:rsid w:val="00B820E3"/>
    <w:rsid w:val="00B83D8B"/>
    <w:rsid w:val="00B90498"/>
    <w:rsid w:val="00B90B2A"/>
    <w:rsid w:val="00BA057D"/>
    <w:rsid w:val="00BB1C6F"/>
    <w:rsid w:val="00BB204F"/>
    <w:rsid w:val="00BB2438"/>
    <w:rsid w:val="00BB2482"/>
    <w:rsid w:val="00BB437B"/>
    <w:rsid w:val="00BB50B4"/>
    <w:rsid w:val="00BB64EB"/>
    <w:rsid w:val="00BD4A9B"/>
    <w:rsid w:val="00BD7DA2"/>
    <w:rsid w:val="00C03172"/>
    <w:rsid w:val="00C101A6"/>
    <w:rsid w:val="00C14E39"/>
    <w:rsid w:val="00C23227"/>
    <w:rsid w:val="00C33ED4"/>
    <w:rsid w:val="00C41A7D"/>
    <w:rsid w:val="00C454DF"/>
    <w:rsid w:val="00C538F1"/>
    <w:rsid w:val="00C55E10"/>
    <w:rsid w:val="00C653AC"/>
    <w:rsid w:val="00C70861"/>
    <w:rsid w:val="00C80048"/>
    <w:rsid w:val="00C84100"/>
    <w:rsid w:val="00C86D2B"/>
    <w:rsid w:val="00CA1500"/>
    <w:rsid w:val="00CB36B4"/>
    <w:rsid w:val="00CD5497"/>
    <w:rsid w:val="00D07642"/>
    <w:rsid w:val="00D11710"/>
    <w:rsid w:val="00D16C4E"/>
    <w:rsid w:val="00D2361C"/>
    <w:rsid w:val="00D3207E"/>
    <w:rsid w:val="00D36891"/>
    <w:rsid w:val="00D44FDA"/>
    <w:rsid w:val="00D45C90"/>
    <w:rsid w:val="00D46BEA"/>
    <w:rsid w:val="00D52745"/>
    <w:rsid w:val="00D603E1"/>
    <w:rsid w:val="00D71693"/>
    <w:rsid w:val="00D86C53"/>
    <w:rsid w:val="00DB1B43"/>
    <w:rsid w:val="00DB6102"/>
    <w:rsid w:val="00DC216B"/>
    <w:rsid w:val="00DC660F"/>
    <w:rsid w:val="00DE1AF6"/>
    <w:rsid w:val="00DE7877"/>
    <w:rsid w:val="00DE7FD7"/>
    <w:rsid w:val="00DF0EEF"/>
    <w:rsid w:val="00DF3FAC"/>
    <w:rsid w:val="00DF6293"/>
    <w:rsid w:val="00DF6832"/>
    <w:rsid w:val="00E03FEB"/>
    <w:rsid w:val="00E04F63"/>
    <w:rsid w:val="00E06503"/>
    <w:rsid w:val="00E07B8F"/>
    <w:rsid w:val="00E13D9A"/>
    <w:rsid w:val="00E15C09"/>
    <w:rsid w:val="00E213A2"/>
    <w:rsid w:val="00E32D50"/>
    <w:rsid w:val="00E3744F"/>
    <w:rsid w:val="00E43CF1"/>
    <w:rsid w:val="00E44E1A"/>
    <w:rsid w:val="00E4601F"/>
    <w:rsid w:val="00E46658"/>
    <w:rsid w:val="00E512A3"/>
    <w:rsid w:val="00E64808"/>
    <w:rsid w:val="00E66C5B"/>
    <w:rsid w:val="00E672F0"/>
    <w:rsid w:val="00E85DEE"/>
    <w:rsid w:val="00E877FB"/>
    <w:rsid w:val="00E9056D"/>
    <w:rsid w:val="00EA24BD"/>
    <w:rsid w:val="00EA2869"/>
    <w:rsid w:val="00EA332E"/>
    <w:rsid w:val="00EB224C"/>
    <w:rsid w:val="00EB3C01"/>
    <w:rsid w:val="00EB6810"/>
    <w:rsid w:val="00EC04E5"/>
    <w:rsid w:val="00ED1A74"/>
    <w:rsid w:val="00ED2345"/>
    <w:rsid w:val="00EE2B18"/>
    <w:rsid w:val="00EE79D3"/>
    <w:rsid w:val="00EF2701"/>
    <w:rsid w:val="00F04E29"/>
    <w:rsid w:val="00F061D3"/>
    <w:rsid w:val="00F210A2"/>
    <w:rsid w:val="00F21BFC"/>
    <w:rsid w:val="00F3606A"/>
    <w:rsid w:val="00F41255"/>
    <w:rsid w:val="00F41E7C"/>
    <w:rsid w:val="00F42A7C"/>
    <w:rsid w:val="00F45AB3"/>
    <w:rsid w:val="00F50416"/>
    <w:rsid w:val="00F52376"/>
    <w:rsid w:val="00F526AD"/>
    <w:rsid w:val="00F54F0E"/>
    <w:rsid w:val="00F65E7A"/>
    <w:rsid w:val="00F75593"/>
    <w:rsid w:val="00F75707"/>
    <w:rsid w:val="00F834AF"/>
    <w:rsid w:val="00F95BE7"/>
    <w:rsid w:val="00F95E67"/>
    <w:rsid w:val="00FA552C"/>
    <w:rsid w:val="00FB0147"/>
    <w:rsid w:val="00FB10D9"/>
    <w:rsid w:val="00FB543C"/>
    <w:rsid w:val="00FB63DA"/>
    <w:rsid w:val="00FC4008"/>
    <w:rsid w:val="00FE38BA"/>
    <w:rsid w:val="00FE6AE0"/>
    <w:rsid w:val="00FF3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AC313E"/>
  <w15:chartTrackingRefBased/>
  <w15:docId w15:val="{B412F36D-187F-5B4D-A0F2-427C29CC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rPr>
  </w:style>
  <w:style w:type="paragraph" w:styleId="Heading1">
    <w:name w:val="heading 1"/>
    <w:basedOn w:val="Normal"/>
    <w:next w:val="Normal"/>
    <w:link w:val="Heading1Char"/>
    <w:uiPriority w:val="9"/>
    <w:qFormat/>
    <w:rsid w:val="004D6E2C"/>
    <w:pPr>
      <w:keepNext/>
      <w:spacing w:after="0"/>
      <w:jc w:val="center"/>
      <w:outlineLvl w:val="0"/>
    </w:pPr>
    <w:rPr>
      <w:rFonts w:ascii="Times New Roman" w:hAnsi="Times New Roman"/>
      <w:b/>
      <w:sz w:val="24"/>
      <w:szCs w:val="24"/>
      <w:lang w:val="sq-AL"/>
    </w:rPr>
  </w:style>
  <w:style w:type="paragraph" w:styleId="Heading2">
    <w:name w:val="heading 2"/>
    <w:basedOn w:val="Normal"/>
    <w:next w:val="Normal"/>
    <w:link w:val="Heading2Char"/>
    <w:uiPriority w:val="9"/>
    <w:semiHidden/>
    <w:unhideWhenUsed/>
    <w:qFormat/>
    <w:rsid w:val="00DB6102"/>
    <w:pPr>
      <w:keepNext/>
      <w:spacing w:before="240" w:after="60"/>
      <w:outlineLvl w:val="1"/>
    </w:pPr>
    <w:rPr>
      <w:rFonts w:ascii="Aptos Display" w:eastAsia="Times New Roman" w:hAnsi="Aptos Display"/>
      <w:b/>
      <w:bCs/>
      <w:i/>
      <w:iCs/>
      <w:sz w:val="28"/>
      <w:szCs w:val="28"/>
    </w:rPr>
  </w:style>
  <w:style w:type="paragraph" w:styleId="Heading4">
    <w:name w:val="heading 4"/>
    <w:basedOn w:val="Normal"/>
    <w:next w:val="Normal"/>
    <w:link w:val="Heading4Char"/>
    <w:uiPriority w:val="9"/>
    <w:unhideWhenUsed/>
    <w:qFormat/>
    <w:rsid w:val="00E213A2"/>
    <w:pPr>
      <w:keepNext/>
      <w:spacing w:before="240" w:after="60"/>
      <w:outlineLvl w:val="3"/>
    </w:pPr>
    <w:rPr>
      <w:rFonts w:ascii="Aptos" w:eastAsia="Times New Roman"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010D4E"/>
    <w:pPr>
      <w:ind w:left="720"/>
      <w:contextualSpacing/>
    </w:pPr>
  </w:style>
  <w:style w:type="table" w:styleId="TableGrid">
    <w:name w:val="Table Grid"/>
    <w:basedOn w:val="TableNormal"/>
    <w:uiPriority w:val="59"/>
    <w:rsid w:val="00010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0D9"/>
  </w:style>
  <w:style w:type="paragraph" w:styleId="Footer">
    <w:name w:val="footer"/>
    <w:basedOn w:val="Normal"/>
    <w:link w:val="FooterChar"/>
    <w:uiPriority w:val="99"/>
    <w:unhideWhenUsed/>
    <w:rsid w:val="0026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0D9"/>
  </w:style>
  <w:style w:type="paragraph" w:styleId="BalloonText">
    <w:name w:val="Balloon Text"/>
    <w:basedOn w:val="Normal"/>
    <w:link w:val="BalloonTextChar"/>
    <w:uiPriority w:val="99"/>
    <w:semiHidden/>
    <w:unhideWhenUsed/>
    <w:rsid w:val="002660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60D9"/>
    <w:rPr>
      <w:rFonts w:ascii="Tahoma" w:hAnsi="Tahoma" w:cs="Tahoma"/>
      <w:sz w:val="16"/>
      <w:szCs w:val="16"/>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Normal 1"/>
    <w:basedOn w:val="Normal"/>
    <w:link w:val="ListParagraphChar"/>
    <w:uiPriority w:val="34"/>
    <w:qFormat/>
    <w:rsid w:val="001E1005"/>
    <w:pPr>
      <w:ind w:left="720"/>
    </w:pPr>
  </w:style>
  <w:style w:type="paragraph" w:customStyle="1" w:styleId="FootnoteText1">
    <w:name w:val="Footnote Text1"/>
    <w:basedOn w:val="Normal"/>
    <w:next w:val="FootnoteText"/>
    <w:link w:val="FootnoteTextChar"/>
    <w:uiPriority w:val="99"/>
    <w:semiHidden/>
    <w:unhideWhenUsed/>
    <w:rsid w:val="008D0801"/>
    <w:pPr>
      <w:spacing w:after="0" w:line="240" w:lineRule="auto"/>
    </w:pPr>
    <w:rPr>
      <w:sz w:val="20"/>
      <w:szCs w:val="20"/>
    </w:rPr>
  </w:style>
  <w:style w:type="character" w:customStyle="1" w:styleId="FootnoteTextChar">
    <w:name w:val="Footnote Text Char"/>
    <w:link w:val="FootnoteText1"/>
    <w:uiPriority w:val="99"/>
    <w:semiHidden/>
    <w:rsid w:val="008D0801"/>
    <w:rPr>
      <w:sz w:val="20"/>
      <w:szCs w:val="20"/>
      <w:lang w:val="en-US"/>
    </w:rPr>
  </w:style>
  <w:style w:type="character" w:styleId="FootnoteReference">
    <w:name w:val="footnote reference"/>
    <w:uiPriority w:val="99"/>
    <w:semiHidden/>
    <w:unhideWhenUsed/>
    <w:rsid w:val="008D0801"/>
    <w:rPr>
      <w:vertAlign w:val="superscript"/>
    </w:rPr>
  </w:style>
  <w:style w:type="paragraph" w:styleId="FootnoteText">
    <w:name w:val="footnote text"/>
    <w:basedOn w:val="Normal"/>
    <w:link w:val="FootnoteTextChar1"/>
    <w:uiPriority w:val="99"/>
    <w:semiHidden/>
    <w:unhideWhenUsed/>
    <w:rsid w:val="008D0801"/>
    <w:rPr>
      <w:sz w:val="20"/>
      <w:szCs w:val="20"/>
    </w:rPr>
  </w:style>
  <w:style w:type="character" w:customStyle="1" w:styleId="FootnoteTextChar1">
    <w:name w:val="Footnote Text Char1"/>
    <w:basedOn w:val="DefaultParagraphFont"/>
    <w:link w:val="FootnoteText"/>
    <w:uiPriority w:val="99"/>
    <w:semiHidden/>
    <w:rsid w:val="008D0801"/>
  </w:style>
  <w:style w:type="character" w:styleId="Hyperlink">
    <w:name w:val="Hyperlink"/>
    <w:uiPriority w:val="99"/>
    <w:unhideWhenUsed/>
    <w:rsid w:val="00A70194"/>
    <w:rPr>
      <w:color w:val="0000FF"/>
      <w:u w:val="single"/>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636D23"/>
    <w:rPr>
      <w:sz w:val="22"/>
      <w:szCs w:val="22"/>
      <w:lang w:val="en-US" w:eastAsia="en-US"/>
    </w:rPr>
  </w:style>
  <w:style w:type="character" w:customStyle="1" w:styleId="fontstyle01">
    <w:name w:val="fontstyle01"/>
    <w:rsid w:val="00636D23"/>
    <w:rPr>
      <w:rFonts w:ascii="EUAlbertina-Bold" w:hAnsi="EUAlbertina-Bold" w:hint="default"/>
      <w:b/>
      <w:bCs/>
      <w:i w:val="0"/>
      <w:iCs w:val="0"/>
      <w:color w:val="000000"/>
      <w:sz w:val="20"/>
      <w:szCs w:val="20"/>
    </w:rPr>
  </w:style>
  <w:style w:type="paragraph" w:styleId="CommentText">
    <w:name w:val="annotation text"/>
    <w:basedOn w:val="Normal"/>
    <w:link w:val="CommentTextChar"/>
    <w:uiPriority w:val="99"/>
    <w:unhideWhenUsed/>
    <w:rsid w:val="000B69E8"/>
    <w:pPr>
      <w:spacing w:line="240" w:lineRule="auto"/>
    </w:pPr>
    <w:rPr>
      <w:rFonts w:eastAsia="MS Mincho"/>
      <w:sz w:val="20"/>
      <w:szCs w:val="20"/>
      <w:lang w:val="x-none" w:eastAsia="x-none"/>
    </w:rPr>
  </w:style>
  <w:style w:type="character" w:customStyle="1" w:styleId="CommentTextChar">
    <w:name w:val="Comment Text Char"/>
    <w:link w:val="CommentText"/>
    <w:uiPriority w:val="99"/>
    <w:rsid w:val="000B69E8"/>
    <w:rPr>
      <w:rFonts w:eastAsia="MS Mincho"/>
      <w:lang w:val="x-none" w:eastAsia="x-none"/>
    </w:rPr>
  </w:style>
  <w:style w:type="paragraph" w:styleId="NoSpacing">
    <w:name w:val="No Spacing"/>
    <w:uiPriority w:val="1"/>
    <w:qFormat/>
    <w:rsid w:val="000B69E8"/>
    <w:rPr>
      <w:rFonts w:eastAsia="MS Mincho"/>
      <w:sz w:val="22"/>
      <w:szCs w:val="22"/>
      <w:lang w:val="sq-AL"/>
    </w:rPr>
  </w:style>
  <w:style w:type="character" w:styleId="CommentReference">
    <w:name w:val="annotation reference"/>
    <w:uiPriority w:val="99"/>
    <w:semiHidden/>
    <w:unhideWhenUsed/>
    <w:rsid w:val="00E03FEB"/>
    <w:rPr>
      <w:sz w:val="16"/>
      <w:szCs w:val="16"/>
    </w:rPr>
  </w:style>
  <w:style w:type="paragraph" w:styleId="CommentSubject">
    <w:name w:val="annotation subject"/>
    <w:basedOn w:val="CommentText"/>
    <w:next w:val="CommentText"/>
    <w:link w:val="CommentSubjectChar"/>
    <w:uiPriority w:val="99"/>
    <w:semiHidden/>
    <w:unhideWhenUsed/>
    <w:rsid w:val="00E03FEB"/>
    <w:pPr>
      <w:spacing w:line="276" w:lineRule="auto"/>
    </w:pPr>
    <w:rPr>
      <w:rFonts w:eastAsia="Calibri"/>
      <w:b/>
      <w:bCs/>
      <w:lang w:val="en-US" w:eastAsia="en-US"/>
    </w:rPr>
  </w:style>
  <w:style w:type="character" w:customStyle="1" w:styleId="CommentSubjectChar">
    <w:name w:val="Comment Subject Char"/>
    <w:link w:val="CommentSubject"/>
    <w:uiPriority w:val="99"/>
    <w:semiHidden/>
    <w:rsid w:val="00E03FEB"/>
    <w:rPr>
      <w:rFonts w:eastAsia="MS Mincho"/>
      <w:b/>
      <w:bCs/>
      <w:lang w:val="x-none" w:eastAsia="x-none"/>
    </w:rPr>
  </w:style>
  <w:style w:type="paragraph" w:styleId="BodyText">
    <w:name w:val="Body Text"/>
    <w:basedOn w:val="Normal"/>
    <w:link w:val="BodyTextChar"/>
    <w:uiPriority w:val="99"/>
    <w:unhideWhenUsed/>
    <w:rsid w:val="004D6E2C"/>
    <w:pPr>
      <w:spacing w:after="0"/>
      <w:jc w:val="both"/>
    </w:pPr>
    <w:rPr>
      <w:rFonts w:ascii="Times New Roman" w:hAnsi="Times New Roman"/>
      <w:b/>
      <w:sz w:val="24"/>
      <w:szCs w:val="24"/>
      <w:lang w:val="sq-AL"/>
    </w:rPr>
  </w:style>
  <w:style w:type="character" w:customStyle="1" w:styleId="BodyTextChar">
    <w:name w:val="Body Text Char"/>
    <w:link w:val="BodyText"/>
    <w:uiPriority w:val="99"/>
    <w:rsid w:val="004D6E2C"/>
    <w:rPr>
      <w:rFonts w:ascii="Times New Roman" w:hAnsi="Times New Roman"/>
      <w:b/>
      <w:sz w:val="24"/>
      <w:szCs w:val="24"/>
      <w:lang w:eastAsia="en-US"/>
    </w:rPr>
  </w:style>
  <w:style w:type="character" w:customStyle="1" w:styleId="Heading1Char">
    <w:name w:val="Heading 1 Char"/>
    <w:link w:val="Heading1"/>
    <w:uiPriority w:val="9"/>
    <w:rsid w:val="004D6E2C"/>
    <w:rPr>
      <w:rFonts w:ascii="Times New Roman" w:hAnsi="Times New Roman"/>
      <w:b/>
      <w:sz w:val="24"/>
      <w:szCs w:val="24"/>
      <w:lang w:eastAsia="en-US"/>
    </w:rPr>
  </w:style>
  <w:style w:type="character" w:customStyle="1" w:styleId="Heading4Char">
    <w:name w:val="Heading 4 Char"/>
    <w:link w:val="Heading4"/>
    <w:uiPriority w:val="9"/>
    <w:rsid w:val="00E213A2"/>
    <w:rPr>
      <w:rFonts w:ascii="Aptos" w:eastAsia="Times New Roman" w:hAnsi="Aptos" w:cs="Times New Roman"/>
      <w:b/>
      <w:bCs/>
      <w:sz w:val="28"/>
      <w:szCs w:val="28"/>
    </w:rPr>
  </w:style>
  <w:style w:type="paragraph" w:styleId="NormalWeb">
    <w:name w:val="Normal (Web)"/>
    <w:basedOn w:val="Normal"/>
    <w:uiPriority w:val="99"/>
    <w:unhideWhenUsed/>
    <w:rsid w:val="00E213A2"/>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E213A2"/>
    <w:rPr>
      <w:b/>
      <w:bCs/>
    </w:rPr>
  </w:style>
  <w:style w:type="paragraph" w:customStyle="1" w:styleId="xxmsonormal">
    <w:name w:val="x_x_msonormal"/>
    <w:basedOn w:val="Normal"/>
    <w:rsid w:val="00DF6293"/>
    <w:pPr>
      <w:spacing w:after="0" w:line="240" w:lineRule="auto"/>
    </w:pPr>
    <w:rPr>
      <w:rFonts w:ascii="Aptos" w:eastAsia="Aptos" w:hAnsi="Aptos" w:cs="Aptos"/>
    </w:rPr>
  </w:style>
  <w:style w:type="character" w:customStyle="1" w:styleId="Heading2Char">
    <w:name w:val="Heading 2 Char"/>
    <w:link w:val="Heading2"/>
    <w:uiPriority w:val="9"/>
    <w:semiHidden/>
    <w:rsid w:val="00DB6102"/>
    <w:rPr>
      <w:rFonts w:ascii="Aptos Display" w:eastAsia="Times New Roman" w:hAnsi="Aptos Display" w:cs="Times New Roman"/>
      <w:b/>
      <w:bCs/>
      <w:i/>
      <w:iCs/>
      <w:sz w:val="28"/>
      <w:szCs w:val="28"/>
    </w:rPr>
  </w:style>
  <w:style w:type="paragraph" w:customStyle="1" w:styleId="pdq2pgselectionanchorcontainer">
    <w:name w:val="pdq2pg_selectionanchorcontainer"/>
    <w:basedOn w:val="Normal"/>
    <w:rsid w:val="0081404D"/>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uiPriority w:val="99"/>
    <w:semiHidden/>
    <w:unhideWhenUsed/>
    <w:rsid w:val="00E13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77925">
      <w:bodyDiv w:val="1"/>
      <w:marLeft w:val="0"/>
      <w:marRight w:val="0"/>
      <w:marTop w:val="0"/>
      <w:marBottom w:val="0"/>
      <w:divBdr>
        <w:top w:val="none" w:sz="0" w:space="0" w:color="auto"/>
        <w:left w:val="none" w:sz="0" w:space="0" w:color="auto"/>
        <w:bottom w:val="none" w:sz="0" w:space="0" w:color="auto"/>
        <w:right w:val="none" w:sz="0" w:space="0" w:color="auto"/>
      </w:divBdr>
    </w:div>
    <w:div w:id="456610054">
      <w:bodyDiv w:val="1"/>
      <w:marLeft w:val="0"/>
      <w:marRight w:val="0"/>
      <w:marTop w:val="0"/>
      <w:marBottom w:val="0"/>
      <w:divBdr>
        <w:top w:val="none" w:sz="0" w:space="0" w:color="auto"/>
        <w:left w:val="none" w:sz="0" w:space="0" w:color="auto"/>
        <w:bottom w:val="none" w:sz="0" w:space="0" w:color="auto"/>
        <w:right w:val="none" w:sz="0" w:space="0" w:color="auto"/>
      </w:divBdr>
    </w:div>
    <w:div w:id="574358553">
      <w:bodyDiv w:val="1"/>
      <w:marLeft w:val="0"/>
      <w:marRight w:val="0"/>
      <w:marTop w:val="0"/>
      <w:marBottom w:val="0"/>
      <w:divBdr>
        <w:top w:val="none" w:sz="0" w:space="0" w:color="auto"/>
        <w:left w:val="none" w:sz="0" w:space="0" w:color="auto"/>
        <w:bottom w:val="none" w:sz="0" w:space="0" w:color="auto"/>
        <w:right w:val="none" w:sz="0" w:space="0" w:color="auto"/>
      </w:divBdr>
    </w:div>
    <w:div w:id="678194930">
      <w:bodyDiv w:val="1"/>
      <w:marLeft w:val="0"/>
      <w:marRight w:val="0"/>
      <w:marTop w:val="0"/>
      <w:marBottom w:val="0"/>
      <w:divBdr>
        <w:top w:val="none" w:sz="0" w:space="0" w:color="auto"/>
        <w:left w:val="none" w:sz="0" w:space="0" w:color="auto"/>
        <w:bottom w:val="none" w:sz="0" w:space="0" w:color="auto"/>
        <w:right w:val="none" w:sz="0" w:space="0" w:color="auto"/>
      </w:divBdr>
    </w:div>
    <w:div w:id="1385981284">
      <w:bodyDiv w:val="1"/>
      <w:marLeft w:val="0"/>
      <w:marRight w:val="0"/>
      <w:marTop w:val="0"/>
      <w:marBottom w:val="0"/>
      <w:divBdr>
        <w:top w:val="none" w:sz="0" w:space="0" w:color="auto"/>
        <w:left w:val="none" w:sz="0" w:space="0" w:color="auto"/>
        <w:bottom w:val="none" w:sz="0" w:space="0" w:color="auto"/>
        <w:right w:val="none" w:sz="0" w:space="0" w:color="auto"/>
      </w:divBdr>
    </w:div>
    <w:div w:id="1809126489">
      <w:bodyDiv w:val="1"/>
      <w:marLeft w:val="0"/>
      <w:marRight w:val="0"/>
      <w:marTop w:val="0"/>
      <w:marBottom w:val="0"/>
      <w:divBdr>
        <w:top w:val="none" w:sz="0" w:space="0" w:color="auto"/>
        <w:left w:val="none" w:sz="0" w:space="0" w:color="auto"/>
        <w:bottom w:val="none" w:sz="0" w:space="0" w:color="auto"/>
        <w:right w:val="none" w:sz="0" w:space="0" w:color="auto"/>
      </w:divBdr>
    </w:div>
    <w:div w:id="19078357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s" ma:contentTypeID="0x00DDF8356ACDB03440AFFD5CB0D1ADC8EC" ma:contentTypeVersion="" ma:contentTypeDescription="" ma:contentTypeScope="" ma:versionID="1bd928732fcae1cf586b7e475773b876">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F64C0-8349-4425-BF66-8BD8F8051325}">
  <ds:schemaRefs>
    <ds:schemaRef ds:uri="http://schemas.microsoft.com/office/2006/metadata/longProperties"/>
  </ds:schemaRefs>
</ds:datastoreItem>
</file>

<file path=customXml/itemProps2.xml><?xml version="1.0" encoding="utf-8"?>
<ds:datastoreItem xmlns:ds="http://schemas.openxmlformats.org/officeDocument/2006/customXml" ds:itemID="{69413E2B-E7D0-4BBA-92D6-A4CD66DAE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D794AC-7371-43F5-9D35-F660DADFD8D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25</Pages>
  <Words>7869</Words>
  <Characters>44859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Relacion I ripunuar</vt:lpstr>
    </vt:vector>
  </TitlesOfParts>
  <Company/>
  <LinksUpToDate>false</LinksUpToDate>
  <CharactersWithSpaces>52623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Relacion I ripunuar</dc:title>
  <dc:subject/>
  <dc:creator>Ilirjana Nano</dc:creator>
  <cp:keywords/>
  <cp:lastModifiedBy>Amela Kora</cp:lastModifiedBy>
  <cp:revision>4</cp:revision>
  <cp:lastPrinted>2026-03-17T10:28:00Z</cp:lastPrinted>
  <dcterms:created xsi:type="dcterms:W3CDTF">2026-07-31T09:51:00Z</dcterms:created>
  <dcterms:modified xsi:type="dcterms:W3CDTF">2026-09-08T10:49:00Z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Relacion I ripunuar</vt:lpwstr>
  </property>
  <property fmtid="{D5CDD505-2E9C-101B-9397-08002B2CF9AE}" pid="3" name="DocumentTypeId">
    <vt:lpwstr/>
  </property>
  <property fmtid="{D5CDD505-2E9C-101B-9397-08002B2CF9AE}" pid="4" name="TemplateUrl">
    <vt:lpwstr/>
  </property>
  <property fmtid="{D5CDD505-2E9C-101B-9397-08002B2CF9AE}" pid="5" name="xd_ProgID">
    <vt:lpwstr/>
  </property>
  <property fmtid="{D5CDD505-2E9C-101B-9397-08002B2CF9AE}" pid="6" name="Order">
    <vt:lpwstr/>
  </property>
  <property fmtid="{D5CDD505-2E9C-101B-9397-08002B2CF9AE}" pid="7" name="MetaInfo">
    <vt:lpwstr/>
  </property>
  <property fmtid="{D5CDD505-2E9C-101B-9397-08002B2CF9AE}" pid="8" name="ProtocolNumberOut">
    <vt:lpwstr/>
  </property>
  <property fmtid="{D5CDD505-2E9C-101B-9397-08002B2CF9AE}" pid="9" name="ProtocolNumberIn">
    <vt:lpwstr/>
  </property>
  <property fmtid="{D5CDD505-2E9C-101B-9397-08002B2CF9AE}" pid="10" name="_SourceUrl">
    <vt:lpwstr/>
  </property>
  <property fmtid="{D5CDD505-2E9C-101B-9397-08002B2CF9AE}" pid="11" name="_SharedFileIndex">
    <vt:lpwstr/>
  </property>
</Properties>
</file>