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72E9C" w14:textId="17BF9874" w:rsidR="00496C68" w:rsidRPr="005264FA" w:rsidRDefault="00496C68" w:rsidP="005264FA">
      <w:pPr>
        <w:pStyle w:val="ListParagraph"/>
        <w:numPr>
          <w:ilvl w:val="0"/>
          <w:numId w:val="42"/>
        </w:numPr>
        <w:jc w:val="center"/>
        <w:rPr>
          <w:rFonts w:ascii="Times New Roman" w:hAnsi="Times New Roman" w:cs="Times New Roman"/>
          <w:b/>
          <w:bCs/>
          <w:sz w:val="24"/>
          <w:szCs w:val="24"/>
        </w:rPr>
      </w:pPr>
      <w:r w:rsidRPr="005264FA">
        <w:rPr>
          <w:rFonts w:ascii="Times New Roman" w:hAnsi="Times New Roman" w:cs="Times New Roman"/>
          <w:b/>
          <w:bCs/>
          <w:sz w:val="24"/>
          <w:szCs w:val="24"/>
        </w:rPr>
        <w:t>TABLE OF CONCORDANCE</w:t>
      </w:r>
    </w:p>
    <w:tbl>
      <w:tblPr>
        <w:tblStyle w:val="TableGrid"/>
        <w:tblW w:w="15290" w:type="dxa"/>
        <w:tblInd w:w="-1265" w:type="dxa"/>
        <w:tblLayout w:type="fixed"/>
        <w:tblLook w:val="04A0" w:firstRow="1" w:lastRow="0" w:firstColumn="1" w:lastColumn="0" w:noHBand="0" w:noVBand="1"/>
      </w:tblPr>
      <w:tblGrid>
        <w:gridCol w:w="800"/>
        <w:gridCol w:w="5220"/>
        <w:gridCol w:w="624"/>
        <w:gridCol w:w="906"/>
        <w:gridCol w:w="5130"/>
        <w:gridCol w:w="900"/>
        <w:gridCol w:w="1710"/>
      </w:tblGrid>
      <w:tr w:rsidR="00CB4071" w:rsidRPr="00DF12A5" w14:paraId="57BBFB62" w14:textId="77777777" w:rsidTr="00BB0DAB">
        <w:tc>
          <w:tcPr>
            <w:tcW w:w="6020" w:type="dxa"/>
            <w:gridSpan w:val="2"/>
            <w:tcBorders>
              <w:top w:val="single" w:sz="12" w:space="0" w:color="auto"/>
              <w:left w:val="single" w:sz="12" w:space="0" w:color="auto"/>
              <w:bottom w:val="single" w:sz="12" w:space="0" w:color="auto"/>
              <w:right w:val="single" w:sz="12" w:space="0" w:color="auto"/>
            </w:tcBorders>
          </w:tcPr>
          <w:p w14:paraId="54430EAE" w14:textId="77777777" w:rsidR="00D84545" w:rsidRDefault="00045676" w:rsidP="00D84545">
            <w:pPr>
              <w:spacing w:after="0" w:line="240" w:lineRule="auto"/>
              <w:jc w:val="center"/>
              <w:rPr>
                <w:rFonts w:ascii="Times New Roman" w:hAnsi="Times New Roman"/>
                <w:b/>
                <w:color w:val="000000"/>
                <w:sz w:val="20"/>
              </w:rPr>
            </w:pPr>
            <w:r>
              <w:rPr>
                <w:rFonts w:ascii="Times New Roman" w:hAnsi="Times New Roman"/>
                <w:b/>
                <w:color w:val="000000"/>
                <w:sz w:val="20"/>
              </w:rPr>
              <w:t>EU acquis</w:t>
            </w:r>
          </w:p>
          <w:p w14:paraId="2C5F09DF" w14:textId="77777777" w:rsidR="00B876E6" w:rsidRPr="008F7CF5" w:rsidRDefault="00B876E6" w:rsidP="00B876E6">
            <w:pPr>
              <w:spacing w:after="0" w:line="240" w:lineRule="auto"/>
              <w:jc w:val="both"/>
              <w:rPr>
                <w:rFonts w:ascii="Times New Roman" w:eastAsia="Times New Roman" w:hAnsi="Times New Roman" w:cs="Times New Roman"/>
                <w:b/>
                <w:bCs/>
                <w:sz w:val="20"/>
                <w:szCs w:val="20"/>
                <w:lang w:val="sq-AL"/>
              </w:rPr>
            </w:pPr>
            <w:r w:rsidRPr="00B876E6">
              <w:rPr>
                <w:rFonts w:ascii="Times New Roman" w:eastAsia="ヒラギノ角ゴ Pro W3" w:hAnsi="Times New Roman" w:cs="Times New Roman"/>
                <w:b/>
                <w:sz w:val="20"/>
                <w:szCs w:val="20"/>
              </w:rPr>
              <w:t>CELEX no.</w:t>
            </w:r>
            <w:r w:rsidRPr="00B876E6">
              <w:rPr>
                <w:rFonts w:ascii="Times New Roman" w:eastAsia="ヒラギノ角ゴ Pro W3" w:hAnsi="Times New Roman" w:cs="Times New Roman"/>
                <w:b/>
                <w:sz w:val="20"/>
                <w:szCs w:val="20"/>
                <w:lang w:val="en-GB"/>
              </w:rPr>
              <w:t> </w:t>
            </w:r>
            <w:r w:rsidRPr="008F7CF5">
              <w:rPr>
                <w:rFonts w:ascii="Times New Roman" w:hAnsi="Times New Roman" w:cs="Times New Roman"/>
                <w:b/>
                <w:bCs/>
                <w:sz w:val="20"/>
                <w:szCs w:val="20"/>
                <w:shd w:val="clear" w:color="auto" w:fill="FFFFFF"/>
              </w:rPr>
              <w:t>32019L2162</w:t>
            </w:r>
          </w:p>
          <w:p w14:paraId="4DD97D00" w14:textId="550A72EC" w:rsidR="00B876E6" w:rsidRDefault="00B876E6" w:rsidP="00B876E6">
            <w:pPr>
              <w:spacing w:after="0" w:line="240" w:lineRule="auto"/>
              <w:rPr>
                <w:rFonts w:ascii="Times New Roman" w:hAnsi="Times New Roman"/>
                <w:b/>
                <w:color w:val="000000"/>
                <w:sz w:val="20"/>
              </w:rPr>
            </w:pPr>
          </w:p>
          <w:p w14:paraId="7A0FC54C" w14:textId="77777777" w:rsidR="000371A4" w:rsidRDefault="00045676" w:rsidP="00B876E6">
            <w:pPr>
              <w:spacing w:after="0" w:line="240" w:lineRule="auto"/>
              <w:rPr>
                <w:rFonts w:ascii="Times New Roman" w:hAnsi="Times New Roman"/>
                <w:b/>
                <w:color w:val="000000"/>
                <w:sz w:val="20"/>
              </w:rPr>
            </w:pPr>
            <w:r>
              <w:rPr>
                <w:rFonts w:ascii="Times New Roman" w:hAnsi="Times New Roman"/>
                <w:b/>
                <w:color w:val="000000"/>
                <w:sz w:val="20"/>
              </w:rPr>
              <w:t>►B Directive (EU) 2019/2162 of the European Parliament and of the Council of 27 November 2019 on the issue of covered bonds and covered bond public supervision and amending Directives 2009/65/EC and 2014/59/EU (OJ L 328, 18.12.2019, p. 29).</w:t>
            </w:r>
          </w:p>
          <w:p w14:paraId="3FCDC666" w14:textId="77777777" w:rsidR="000371A4" w:rsidRDefault="000371A4" w:rsidP="000371A4">
            <w:pPr>
              <w:rPr>
                <w:rFonts w:ascii="Times New Roman" w:hAnsi="Times New Roman"/>
                <w:sz w:val="20"/>
                <w:szCs w:val="20"/>
                <w:lang w:val="en-GB"/>
              </w:rPr>
            </w:pPr>
          </w:p>
          <w:p w14:paraId="79711D4D" w14:textId="32AE5663" w:rsidR="00045676" w:rsidRPr="00BB0DAB" w:rsidRDefault="000371A4" w:rsidP="00BB0DAB">
            <w:pPr>
              <w:rPr>
                <w:rFonts w:ascii="Times New Roman" w:hAnsi="Times New Roman"/>
                <w:sz w:val="20"/>
                <w:szCs w:val="20"/>
                <w:lang w:val="en-GB"/>
              </w:rPr>
            </w:pPr>
            <w:r w:rsidRPr="008107C6">
              <w:rPr>
                <w:rFonts w:ascii="Times New Roman" w:hAnsi="Times New Roman"/>
                <w:sz w:val="20"/>
                <w:szCs w:val="20"/>
                <w:lang w:val="en-GB"/>
              </w:rPr>
              <w:t>As amended by:</w:t>
            </w:r>
            <w:r w:rsidR="00045676">
              <w:rPr>
                <w:rFonts w:ascii="Times New Roman" w:hAnsi="Times New Roman"/>
                <w:b/>
                <w:color w:val="000000"/>
                <w:sz w:val="20"/>
              </w:rPr>
              <w:br/>
            </w:r>
            <w:r w:rsidR="00B876E6" w:rsidRPr="00B876E6">
              <w:rPr>
                <w:rFonts w:ascii="Times New Roman" w:eastAsia="ヒラギノ角ゴ Pro W3" w:hAnsi="Times New Roman" w:cs="Times New Roman"/>
                <w:b/>
                <w:sz w:val="20"/>
                <w:szCs w:val="20"/>
              </w:rPr>
              <w:t>CELEX</w:t>
            </w:r>
            <w:r w:rsidR="00B876E6">
              <w:rPr>
                <w:rFonts w:ascii="Times New Roman" w:eastAsia="ヒラギノ角ゴ Pro W3" w:hAnsi="Times New Roman" w:cs="Times New Roman"/>
                <w:b/>
                <w:sz w:val="20"/>
                <w:szCs w:val="20"/>
              </w:rPr>
              <w:t xml:space="preserve"> no. </w:t>
            </w:r>
            <w:r w:rsidR="00B876E6" w:rsidRPr="00B876E6">
              <w:rPr>
                <w:rFonts w:ascii="Times New Roman" w:eastAsia="ヒラギノ角ゴ Pro W3" w:hAnsi="Times New Roman" w:cs="Times New Roman"/>
                <w:b/>
                <w:sz w:val="20"/>
                <w:szCs w:val="20"/>
              </w:rPr>
              <w:t xml:space="preserve">32023L2864 </w:t>
            </w:r>
            <w:r w:rsidR="00045676">
              <w:rPr>
                <w:rFonts w:ascii="Times New Roman" w:hAnsi="Times New Roman"/>
                <w:b/>
                <w:color w:val="000000"/>
                <w:sz w:val="20"/>
              </w:rPr>
              <w:br/>
              <w:t xml:space="preserve">►M1 </w:t>
            </w:r>
            <w:r w:rsidRPr="000371A4">
              <w:rPr>
                <w:rFonts w:ascii="Times New Roman" w:hAnsi="Times New Roman"/>
                <w:b/>
                <w:color w:val="000000"/>
                <w:sz w:val="20"/>
              </w:rPr>
              <w:t>Directive (EU) 2023/2864 of the European Parliament and of the Council of 13 December 2023 amending certain Directives as regards the establishment and functioning of the European single access point</w:t>
            </w:r>
            <w:r w:rsidRPr="000371A4" w:rsidDel="000371A4">
              <w:rPr>
                <w:rFonts w:ascii="Times New Roman" w:hAnsi="Times New Roman"/>
                <w:b/>
                <w:color w:val="000000"/>
                <w:sz w:val="20"/>
              </w:rPr>
              <w:t xml:space="preserve"> </w:t>
            </w:r>
            <w:r w:rsidR="00045676">
              <w:rPr>
                <w:rFonts w:ascii="Times New Roman" w:hAnsi="Times New Roman"/>
                <w:b/>
                <w:color w:val="000000"/>
                <w:sz w:val="20"/>
              </w:rPr>
              <w:t>(OJ L 2864, 20.12.2023, p. 1).</w:t>
            </w:r>
          </w:p>
        </w:tc>
        <w:tc>
          <w:tcPr>
            <w:tcW w:w="9270" w:type="dxa"/>
            <w:gridSpan w:val="5"/>
            <w:tcBorders>
              <w:top w:val="single" w:sz="12" w:space="0" w:color="auto"/>
              <w:left w:val="single" w:sz="12" w:space="0" w:color="auto"/>
              <w:bottom w:val="single" w:sz="12" w:space="0" w:color="auto"/>
              <w:right w:val="single" w:sz="12" w:space="0" w:color="auto"/>
            </w:tcBorders>
          </w:tcPr>
          <w:p w14:paraId="3DDA92AB" w14:textId="681609FB" w:rsidR="00A24148" w:rsidRDefault="00045676" w:rsidP="00D84545">
            <w:pPr>
              <w:spacing w:after="0" w:line="240" w:lineRule="auto"/>
              <w:jc w:val="center"/>
              <w:rPr>
                <w:rFonts w:ascii="Times New Roman" w:hAnsi="Times New Roman"/>
                <w:b/>
                <w:color w:val="000000"/>
                <w:sz w:val="20"/>
              </w:rPr>
            </w:pPr>
            <w:r>
              <w:rPr>
                <w:rFonts w:ascii="Times New Roman" w:hAnsi="Times New Roman"/>
                <w:b/>
                <w:color w:val="000000"/>
                <w:sz w:val="20"/>
              </w:rPr>
              <w:t>Albanian</w:t>
            </w:r>
            <w:r w:rsidR="00A24148">
              <w:rPr>
                <w:rFonts w:ascii="Times New Roman" w:hAnsi="Times New Roman"/>
                <w:b/>
                <w:color w:val="000000"/>
                <w:sz w:val="20"/>
              </w:rPr>
              <w:t xml:space="preserve"> </w:t>
            </w:r>
            <w:r>
              <w:rPr>
                <w:rFonts w:ascii="Times New Roman" w:hAnsi="Times New Roman"/>
                <w:b/>
                <w:color w:val="000000"/>
                <w:sz w:val="20"/>
              </w:rPr>
              <w:t>Legislation</w:t>
            </w:r>
          </w:p>
          <w:p w14:paraId="5AB622E5" w14:textId="269F98EB" w:rsidR="00D84545" w:rsidRDefault="000371A4" w:rsidP="00045676">
            <w:pPr>
              <w:spacing w:after="0" w:line="240" w:lineRule="auto"/>
              <w:jc w:val="both"/>
              <w:rPr>
                <w:rFonts w:ascii="Times New Roman" w:hAnsi="Times New Roman"/>
                <w:b/>
                <w:color w:val="000000"/>
                <w:sz w:val="20"/>
              </w:rPr>
            </w:pPr>
            <w:r>
              <w:rPr>
                <w:rFonts w:ascii="Times New Roman" w:hAnsi="Times New Roman"/>
                <w:b/>
                <w:color w:val="000000"/>
                <w:sz w:val="20"/>
              </w:rPr>
              <w:t xml:space="preserve">0.1 </w:t>
            </w:r>
            <w:r w:rsidR="00045676">
              <w:rPr>
                <w:rFonts w:ascii="Times New Roman" w:hAnsi="Times New Roman"/>
                <w:b/>
                <w:color w:val="000000"/>
                <w:sz w:val="20"/>
              </w:rPr>
              <w:t>Draft Law ‘On the Issue of Covered Bonds and Covered Bond Public Supervision’</w:t>
            </w:r>
            <w:r w:rsidR="00A24148">
              <w:rPr>
                <w:rFonts w:ascii="Times New Roman" w:hAnsi="Times New Roman"/>
                <w:b/>
                <w:color w:val="000000"/>
                <w:sz w:val="20"/>
              </w:rPr>
              <w:t xml:space="preserve"> </w:t>
            </w:r>
          </w:p>
          <w:p w14:paraId="0AEF4719" w14:textId="77777777" w:rsidR="00D84545" w:rsidRDefault="00D84545" w:rsidP="00045676">
            <w:pPr>
              <w:spacing w:after="0" w:line="240" w:lineRule="auto"/>
              <w:jc w:val="both"/>
              <w:rPr>
                <w:rFonts w:ascii="Times New Roman" w:hAnsi="Times New Roman"/>
                <w:b/>
                <w:color w:val="000000"/>
                <w:sz w:val="20"/>
              </w:rPr>
            </w:pPr>
          </w:p>
          <w:p w14:paraId="56D60D21" w14:textId="12C8CFC9" w:rsidR="000371A4" w:rsidRPr="008107C6" w:rsidRDefault="000371A4" w:rsidP="000371A4">
            <w:pPr>
              <w:rPr>
                <w:rFonts w:ascii="Times New Roman" w:hAnsi="Times New Roman"/>
                <w:sz w:val="20"/>
                <w:szCs w:val="20"/>
                <w:lang w:val="en-GB"/>
              </w:rPr>
            </w:pPr>
            <w:r w:rsidRPr="008107C6">
              <w:rPr>
                <w:rFonts w:ascii="Times New Roman" w:eastAsia="ヒラギノ角ゴ Pro W3" w:hAnsi="Times New Roman"/>
                <w:b/>
                <w:bCs/>
                <w:sz w:val="20"/>
                <w:szCs w:val="20"/>
                <w:lang w:val="en-GB"/>
              </w:rPr>
              <w:t>Degree of compliance:</w:t>
            </w:r>
            <w:r w:rsidRPr="008107C6">
              <w:rPr>
                <w:rFonts w:ascii="Times New Roman" w:hAnsi="Times New Roman"/>
                <w:i/>
                <w:iCs/>
                <w:sz w:val="20"/>
                <w:szCs w:val="20"/>
                <w:lang w:val="en-GB"/>
              </w:rPr>
              <w:t>: Full alignement</w:t>
            </w:r>
          </w:p>
          <w:p w14:paraId="6CC29F59" w14:textId="77777777" w:rsidR="000371A4" w:rsidRPr="008107C6" w:rsidRDefault="000371A4" w:rsidP="000371A4">
            <w:pPr>
              <w:rPr>
                <w:rFonts w:ascii="Times New Roman" w:hAnsi="Times New Roman"/>
                <w:sz w:val="20"/>
                <w:szCs w:val="20"/>
              </w:rPr>
            </w:pPr>
            <w:r w:rsidRPr="008107C6">
              <w:rPr>
                <w:rFonts w:ascii="Times New Roman" w:hAnsi="Times New Roman"/>
                <w:sz w:val="20"/>
                <w:szCs w:val="20"/>
              </w:rPr>
              <w:t>The overall degree of approximation with the national legislation:</w:t>
            </w:r>
          </w:p>
          <w:p w14:paraId="01681CE9" w14:textId="77777777" w:rsidR="000371A4" w:rsidRPr="000371A4" w:rsidRDefault="000371A4" w:rsidP="00BB0DAB">
            <w:pPr>
              <w:spacing w:after="0"/>
              <w:rPr>
                <w:rFonts w:ascii="Times New Roman" w:hAnsi="Times New Roman" w:cs="Times New Roman"/>
                <w:sz w:val="20"/>
                <w:szCs w:val="20"/>
              </w:rPr>
            </w:pPr>
            <w:r w:rsidRPr="000371A4">
              <w:rPr>
                <w:rFonts w:ascii="Times New Roman" w:hAnsi="Times New Roman" w:cs="Times New Roman"/>
                <w:b/>
                <w:bCs/>
                <w:sz w:val="20"/>
                <w:szCs w:val="20"/>
              </w:rPr>
              <w:t>F</w:t>
            </w:r>
            <w:r w:rsidRPr="000371A4">
              <w:rPr>
                <w:rFonts w:ascii="Times New Roman" w:hAnsi="Times New Roman" w:cs="Times New Roman"/>
                <w:sz w:val="20"/>
                <w:szCs w:val="20"/>
              </w:rPr>
              <w:t xml:space="preserve"> – Full alignement</w:t>
            </w:r>
            <w:r w:rsidRPr="000371A4">
              <w:rPr>
                <w:rFonts w:ascii="Times New Roman" w:hAnsi="Times New Roman" w:cs="Times New Roman"/>
                <w:sz w:val="20"/>
                <w:szCs w:val="20"/>
              </w:rPr>
              <w:br/>
            </w:r>
            <w:r w:rsidRPr="000371A4">
              <w:rPr>
                <w:rFonts w:ascii="Times New Roman" w:hAnsi="Times New Roman" w:cs="Times New Roman"/>
                <w:b/>
                <w:bCs/>
                <w:sz w:val="20"/>
                <w:szCs w:val="20"/>
              </w:rPr>
              <w:t>P</w:t>
            </w:r>
            <w:r w:rsidRPr="000371A4">
              <w:rPr>
                <w:rFonts w:ascii="Times New Roman" w:hAnsi="Times New Roman" w:cs="Times New Roman"/>
                <w:sz w:val="20"/>
                <w:szCs w:val="20"/>
              </w:rPr>
              <w:t xml:space="preserve"> – Partial alignement</w:t>
            </w:r>
            <w:r w:rsidRPr="000371A4" w:rsidDel="00EA4A64">
              <w:rPr>
                <w:rFonts w:ascii="Times New Roman" w:hAnsi="Times New Roman" w:cs="Times New Roman"/>
                <w:sz w:val="20"/>
                <w:szCs w:val="20"/>
              </w:rPr>
              <w:t xml:space="preserve"> </w:t>
            </w:r>
          </w:p>
          <w:p w14:paraId="1229C8A0" w14:textId="77777777" w:rsidR="000371A4" w:rsidRPr="000371A4" w:rsidRDefault="000371A4" w:rsidP="00BB0DAB">
            <w:pPr>
              <w:spacing w:after="0"/>
              <w:rPr>
                <w:rFonts w:ascii="Times New Roman" w:hAnsi="Times New Roman" w:cs="Times New Roman"/>
                <w:sz w:val="20"/>
                <w:szCs w:val="20"/>
              </w:rPr>
            </w:pPr>
            <w:r w:rsidRPr="000371A4">
              <w:rPr>
                <w:rFonts w:ascii="Times New Roman" w:hAnsi="Times New Roman" w:cs="Times New Roman"/>
                <w:b/>
                <w:bCs/>
                <w:sz w:val="20"/>
                <w:szCs w:val="20"/>
              </w:rPr>
              <w:t>N</w:t>
            </w:r>
            <w:r w:rsidRPr="000371A4">
              <w:rPr>
                <w:rFonts w:ascii="Times New Roman" w:hAnsi="Times New Roman" w:cs="Times New Roman"/>
                <w:sz w:val="20"/>
                <w:szCs w:val="20"/>
              </w:rPr>
              <w:t xml:space="preserve"> – Not harmonised</w:t>
            </w:r>
          </w:p>
          <w:p w14:paraId="68025B85" w14:textId="77777777" w:rsidR="000371A4" w:rsidRPr="00BB0DAB" w:rsidRDefault="000371A4" w:rsidP="00BB0DAB">
            <w:pPr>
              <w:tabs>
                <w:tab w:val="left" w:pos="774"/>
              </w:tabs>
              <w:spacing w:after="0"/>
              <w:jc w:val="both"/>
              <w:rPr>
                <w:rFonts w:ascii="Times New Roman" w:eastAsia="ヒラギノ角ゴ Pro W3" w:hAnsi="Times New Roman" w:cs="Times New Roman"/>
                <w:sz w:val="20"/>
                <w:szCs w:val="20"/>
                <w:lang w:val="en-GB"/>
              </w:rPr>
            </w:pPr>
            <w:r w:rsidRPr="00BB0DAB">
              <w:rPr>
                <w:rFonts w:ascii="Times New Roman" w:eastAsia="ヒラギノ角ゴ Pro W3" w:hAnsi="Times New Roman" w:cs="Times New Roman"/>
                <w:b/>
                <w:bCs/>
                <w:sz w:val="20"/>
                <w:szCs w:val="20"/>
                <w:lang w:val="en-GB"/>
              </w:rPr>
              <w:t>n/a</w:t>
            </w:r>
            <w:r w:rsidRPr="00BB0DAB">
              <w:rPr>
                <w:rFonts w:ascii="Times New Roman" w:eastAsia="ヒラギノ角ゴ Pro W3" w:hAnsi="Times New Roman" w:cs="Times New Roman"/>
                <w:sz w:val="20"/>
                <w:szCs w:val="20"/>
                <w:lang w:val="en-GB"/>
              </w:rPr>
              <w:t xml:space="preserve"> – Not relevant for approximation</w:t>
            </w:r>
          </w:p>
          <w:p w14:paraId="17122B78" w14:textId="4E9AA166" w:rsidR="00D84545" w:rsidDel="000371A4" w:rsidRDefault="00D84545" w:rsidP="00045676">
            <w:pPr>
              <w:spacing w:after="0" w:line="240" w:lineRule="auto"/>
              <w:jc w:val="both"/>
              <w:rPr>
                <w:rFonts w:ascii="Times New Roman" w:hAnsi="Times New Roman"/>
                <w:b/>
                <w:color w:val="000000"/>
                <w:sz w:val="20"/>
              </w:rPr>
            </w:pPr>
          </w:p>
          <w:p w14:paraId="213742EF" w14:textId="4ABEDE2E" w:rsidR="00D84545" w:rsidDel="000371A4" w:rsidRDefault="00D84545" w:rsidP="00045676">
            <w:pPr>
              <w:spacing w:after="0" w:line="240" w:lineRule="auto"/>
              <w:jc w:val="both"/>
              <w:rPr>
                <w:rFonts w:ascii="Times New Roman" w:hAnsi="Times New Roman"/>
                <w:b/>
                <w:color w:val="000000"/>
                <w:sz w:val="20"/>
              </w:rPr>
            </w:pPr>
          </w:p>
          <w:p w14:paraId="512D3673" w14:textId="17F13F08" w:rsidR="00D84545" w:rsidDel="000371A4" w:rsidRDefault="00D84545" w:rsidP="00045676">
            <w:pPr>
              <w:spacing w:after="0" w:line="240" w:lineRule="auto"/>
              <w:jc w:val="both"/>
              <w:rPr>
                <w:rFonts w:ascii="Times New Roman" w:hAnsi="Times New Roman"/>
                <w:b/>
                <w:color w:val="000000"/>
                <w:sz w:val="20"/>
              </w:rPr>
            </w:pPr>
          </w:p>
          <w:p w14:paraId="542E7ED4" w14:textId="1D0BC470" w:rsidR="00D84545" w:rsidDel="000371A4" w:rsidRDefault="00D84545" w:rsidP="00045676">
            <w:pPr>
              <w:spacing w:after="0" w:line="240" w:lineRule="auto"/>
              <w:jc w:val="both"/>
              <w:rPr>
                <w:rFonts w:ascii="Times New Roman" w:hAnsi="Times New Roman"/>
                <w:b/>
                <w:color w:val="000000"/>
                <w:sz w:val="20"/>
              </w:rPr>
            </w:pPr>
          </w:p>
          <w:p w14:paraId="1D49C677" w14:textId="677BCECF" w:rsidR="00045676" w:rsidRPr="00045676" w:rsidRDefault="00045676" w:rsidP="00045676">
            <w:pPr>
              <w:spacing w:after="0" w:line="240" w:lineRule="auto"/>
              <w:jc w:val="both"/>
              <w:rPr>
                <w:rFonts w:ascii="Times New Roman Bold" w:hAnsi="Times New Roman Bold"/>
                <w:b/>
                <w:bCs/>
                <w:sz w:val="18"/>
                <w:szCs w:val="18"/>
                <w:lang w:val="sq-AL"/>
              </w:rPr>
            </w:pPr>
          </w:p>
        </w:tc>
      </w:tr>
      <w:tr w:rsidR="00717DF1" w:rsidRPr="00DF12A5" w14:paraId="2B040792" w14:textId="77777777" w:rsidTr="00BB0DAB">
        <w:trPr>
          <w:tblHeader/>
        </w:trPr>
        <w:tc>
          <w:tcPr>
            <w:tcW w:w="800" w:type="dxa"/>
            <w:tcBorders>
              <w:top w:val="single" w:sz="12" w:space="0" w:color="auto"/>
              <w:left w:val="single" w:sz="12" w:space="0" w:color="auto"/>
            </w:tcBorders>
            <w:vAlign w:val="center"/>
          </w:tcPr>
          <w:p w14:paraId="61A7CE3E" w14:textId="77777777" w:rsidR="003E7E51" w:rsidRPr="00DF12A5" w:rsidRDefault="00B82C36">
            <w:pPr>
              <w:spacing w:after="0" w:line="240" w:lineRule="auto"/>
              <w:jc w:val="center"/>
              <w:rPr>
                <w:rFonts w:ascii="Times New Roman" w:hAnsi="Times New Roman" w:cs="Times New Roman"/>
                <w:sz w:val="20"/>
                <w:szCs w:val="20"/>
                <w:lang w:val="sq-AL"/>
              </w:rPr>
            </w:pPr>
            <w:r>
              <w:rPr>
                <w:rFonts w:ascii="Times New Roman" w:hAnsi="Times New Roman"/>
                <w:b/>
                <w:color w:val="000000"/>
                <w:sz w:val="20"/>
              </w:rPr>
              <w:t>Article</w:t>
            </w:r>
          </w:p>
        </w:tc>
        <w:tc>
          <w:tcPr>
            <w:tcW w:w="5220" w:type="dxa"/>
            <w:tcBorders>
              <w:top w:val="single" w:sz="12" w:space="0" w:color="auto"/>
              <w:right w:val="single" w:sz="12" w:space="0" w:color="auto"/>
            </w:tcBorders>
            <w:vAlign w:val="center"/>
          </w:tcPr>
          <w:p w14:paraId="7DA01316" w14:textId="77777777" w:rsidR="003E7E51" w:rsidRPr="00DF12A5" w:rsidRDefault="00B82C36">
            <w:pPr>
              <w:spacing w:after="0" w:line="240" w:lineRule="auto"/>
              <w:jc w:val="center"/>
              <w:rPr>
                <w:rFonts w:ascii="Times New Roman" w:hAnsi="Times New Roman" w:cs="Times New Roman"/>
                <w:sz w:val="20"/>
                <w:szCs w:val="20"/>
                <w:lang w:val="sq-AL"/>
              </w:rPr>
            </w:pPr>
            <w:r>
              <w:rPr>
                <w:rFonts w:ascii="Times New Roman" w:hAnsi="Times New Roman"/>
                <w:b/>
                <w:color w:val="000000"/>
                <w:sz w:val="20"/>
              </w:rPr>
              <w:t>Text of the Directive</w:t>
            </w:r>
          </w:p>
        </w:tc>
        <w:tc>
          <w:tcPr>
            <w:tcW w:w="624" w:type="dxa"/>
            <w:tcBorders>
              <w:top w:val="single" w:sz="12" w:space="0" w:color="auto"/>
              <w:left w:val="single" w:sz="12" w:space="0" w:color="auto"/>
            </w:tcBorders>
            <w:vAlign w:val="center"/>
          </w:tcPr>
          <w:p w14:paraId="010928C9" w14:textId="77777777" w:rsidR="003E7E51" w:rsidRPr="00DF12A5" w:rsidRDefault="00B82C36">
            <w:pPr>
              <w:spacing w:after="0" w:line="240" w:lineRule="auto"/>
              <w:jc w:val="center"/>
              <w:rPr>
                <w:rFonts w:ascii="Times New Roman" w:hAnsi="Times New Roman" w:cs="Times New Roman"/>
                <w:sz w:val="20"/>
                <w:szCs w:val="20"/>
                <w:lang w:val="sq-AL"/>
              </w:rPr>
            </w:pPr>
            <w:r>
              <w:rPr>
                <w:rFonts w:ascii="Times New Roman" w:hAnsi="Times New Roman"/>
                <w:b/>
                <w:color w:val="000000"/>
                <w:sz w:val="20"/>
              </w:rPr>
              <w:t>Ref.</w:t>
            </w:r>
          </w:p>
        </w:tc>
        <w:tc>
          <w:tcPr>
            <w:tcW w:w="906" w:type="dxa"/>
            <w:tcBorders>
              <w:top w:val="single" w:sz="12" w:space="0" w:color="auto"/>
            </w:tcBorders>
            <w:vAlign w:val="center"/>
          </w:tcPr>
          <w:p w14:paraId="576E48D0" w14:textId="77777777" w:rsidR="003E7E51" w:rsidRPr="00DF12A5" w:rsidRDefault="00B82C36">
            <w:pPr>
              <w:spacing w:after="0" w:line="240" w:lineRule="auto"/>
              <w:jc w:val="center"/>
              <w:rPr>
                <w:rFonts w:ascii="Times New Roman" w:hAnsi="Times New Roman" w:cs="Times New Roman"/>
                <w:sz w:val="20"/>
                <w:szCs w:val="20"/>
                <w:lang w:val="sq-AL"/>
              </w:rPr>
            </w:pPr>
            <w:r>
              <w:rPr>
                <w:rFonts w:ascii="Times New Roman" w:hAnsi="Times New Roman"/>
                <w:b/>
                <w:color w:val="000000"/>
                <w:sz w:val="20"/>
              </w:rPr>
              <w:t>Article</w:t>
            </w:r>
          </w:p>
        </w:tc>
        <w:tc>
          <w:tcPr>
            <w:tcW w:w="5130" w:type="dxa"/>
            <w:tcBorders>
              <w:top w:val="single" w:sz="12" w:space="0" w:color="auto"/>
            </w:tcBorders>
            <w:vAlign w:val="center"/>
          </w:tcPr>
          <w:p w14:paraId="3CEC2A55" w14:textId="77777777" w:rsidR="003E7E51" w:rsidRPr="00DF12A5" w:rsidRDefault="00B82C36">
            <w:pPr>
              <w:spacing w:after="0" w:line="240" w:lineRule="auto"/>
              <w:jc w:val="center"/>
              <w:rPr>
                <w:rFonts w:ascii="Times New Roman" w:hAnsi="Times New Roman" w:cs="Times New Roman"/>
                <w:sz w:val="20"/>
                <w:szCs w:val="20"/>
                <w:lang w:val="sq-AL"/>
              </w:rPr>
            </w:pPr>
            <w:r>
              <w:rPr>
                <w:rFonts w:ascii="Times New Roman" w:hAnsi="Times New Roman"/>
                <w:b/>
                <w:color w:val="000000"/>
                <w:sz w:val="20"/>
              </w:rPr>
              <w:t>Text of the draft law</w:t>
            </w:r>
          </w:p>
        </w:tc>
        <w:tc>
          <w:tcPr>
            <w:tcW w:w="900" w:type="dxa"/>
            <w:tcBorders>
              <w:top w:val="single" w:sz="12" w:space="0" w:color="auto"/>
            </w:tcBorders>
            <w:vAlign w:val="center"/>
          </w:tcPr>
          <w:p w14:paraId="4B20CADB" w14:textId="77777777" w:rsidR="003E7E51" w:rsidRPr="00DF12A5" w:rsidRDefault="00B82C36">
            <w:pPr>
              <w:spacing w:after="0" w:line="240" w:lineRule="auto"/>
              <w:jc w:val="center"/>
              <w:rPr>
                <w:rFonts w:ascii="Times New Roman" w:hAnsi="Times New Roman" w:cs="Times New Roman"/>
                <w:sz w:val="20"/>
                <w:szCs w:val="20"/>
                <w:lang w:val="sq-AL"/>
              </w:rPr>
            </w:pPr>
            <w:r>
              <w:rPr>
                <w:rFonts w:ascii="Times New Roman" w:hAnsi="Times New Roman"/>
                <w:b/>
                <w:color w:val="000000"/>
                <w:sz w:val="20"/>
              </w:rPr>
              <w:t>Compliance</w:t>
            </w:r>
          </w:p>
        </w:tc>
        <w:tc>
          <w:tcPr>
            <w:tcW w:w="1710" w:type="dxa"/>
            <w:tcBorders>
              <w:top w:val="single" w:sz="12" w:space="0" w:color="auto"/>
              <w:right w:val="single" w:sz="12" w:space="0" w:color="auto"/>
            </w:tcBorders>
            <w:vAlign w:val="center"/>
          </w:tcPr>
          <w:p w14:paraId="44131471" w14:textId="77777777" w:rsidR="003E7E51" w:rsidRPr="00DF12A5" w:rsidRDefault="00B82C36">
            <w:pPr>
              <w:spacing w:after="0" w:line="240" w:lineRule="auto"/>
              <w:jc w:val="center"/>
              <w:rPr>
                <w:rFonts w:ascii="Times New Roman" w:hAnsi="Times New Roman" w:cs="Times New Roman"/>
                <w:sz w:val="20"/>
                <w:szCs w:val="20"/>
                <w:lang w:val="sq-AL"/>
              </w:rPr>
            </w:pPr>
            <w:r>
              <w:rPr>
                <w:rFonts w:ascii="Times New Roman" w:hAnsi="Times New Roman"/>
                <w:b/>
                <w:color w:val="000000"/>
                <w:sz w:val="20"/>
              </w:rPr>
              <w:t>Comments</w:t>
            </w:r>
          </w:p>
        </w:tc>
      </w:tr>
      <w:tr w:rsidR="00717DF1" w:rsidRPr="00DF12A5" w14:paraId="3625E593" w14:textId="77777777" w:rsidTr="00BB0DAB">
        <w:tc>
          <w:tcPr>
            <w:tcW w:w="800" w:type="dxa"/>
            <w:tcBorders>
              <w:left w:val="single" w:sz="12" w:space="0" w:color="auto"/>
            </w:tcBorders>
          </w:tcPr>
          <w:p w14:paraId="54A341AE"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w:t>
            </w:r>
          </w:p>
        </w:tc>
        <w:tc>
          <w:tcPr>
            <w:tcW w:w="5220" w:type="dxa"/>
            <w:tcBorders>
              <w:right w:val="single" w:sz="12" w:space="0" w:color="auto"/>
            </w:tcBorders>
          </w:tcPr>
          <w:p w14:paraId="77B6D5A3"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Subject matter</w:t>
            </w:r>
            <w:r>
              <w:rPr>
                <w:rFonts w:ascii="Times New Roman" w:hAnsi="Times New Roman"/>
                <w:color w:val="000000"/>
                <w:sz w:val="20"/>
              </w:rPr>
              <w:br/>
              <w:t>This Directive lays down the following investor protection rules concerning:</w:t>
            </w:r>
            <w:r>
              <w:rPr>
                <w:rFonts w:ascii="Times New Roman" w:hAnsi="Times New Roman"/>
                <w:color w:val="000000"/>
                <w:sz w:val="20"/>
              </w:rPr>
              <w:br/>
              <w:t>(1) requirements for issuing covered bonds;</w:t>
            </w:r>
            <w:r>
              <w:rPr>
                <w:rFonts w:ascii="Times New Roman" w:hAnsi="Times New Roman"/>
                <w:color w:val="000000"/>
                <w:sz w:val="20"/>
              </w:rPr>
              <w:br/>
              <w:t>(2) the structural features of covered bonds;</w:t>
            </w:r>
            <w:r>
              <w:rPr>
                <w:rFonts w:ascii="Times New Roman" w:hAnsi="Times New Roman"/>
                <w:color w:val="000000"/>
                <w:sz w:val="20"/>
              </w:rPr>
              <w:br/>
              <w:t>(3) covered bond public supervision;</w:t>
            </w:r>
            <w:r>
              <w:rPr>
                <w:rFonts w:ascii="Times New Roman" w:hAnsi="Times New Roman"/>
                <w:color w:val="000000"/>
                <w:sz w:val="20"/>
              </w:rPr>
              <w:br/>
              <w:t>(4) publication requirements in relation to covered bonds.</w:t>
            </w:r>
          </w:p>
        </w:tc>
        <w:tc>
          <w:tcPr>
            <w:tcW w:w="624" w:type="dxa"/>
            <w:tcBorders>
              <w:left w:val="single" w:sz="12" w:space="0" w:color="auto"/>
            </w:tcBorders>
          </w:tcPr>
          <w:p w14:paraId="24E29A74" w14:textId="59674A1A" w:rsidR="00717DF1" w:rsidRPr="00DF12A5" w:rsidRDefault="007262FB"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44C284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w:t>
            </w:r>
          </w:p>
        </w:tc>
        <w:tc>
          <w:tcPr>
            <w:tcW w:w="5130" w:type="dxa"/>
          </w:tcPr>
          <w:p w14:paraId="18B251B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subject matter of this Law is to lay down investor protection rules concerning covered bonds, by regulating:</w:t>
            </w:r>
            <w:r>
              <w:rPr>
                <w:rFonts w:ascii="Times New Roman" w:hAnsi="Times New Roman"/>
                <w:color w:val="000000"/>
                <w:sz w:val="20"/>
              </w:rPr>
              <w:br/>
              <w:t>a) the requirements for issuing covered bonds;</w:t>
            </w:r>
            <w:r>
              <w:rPr>
                <w:rFonts w:ascii="Times New Roman" w:hAnsi="Times New Roman"/>
                <w:color w:val="000000"/>
                <w:sz w:val="20"/>
              </w:rPr>
              <w:br/>
              <w:t>b) the structural features of covered bonds;</w:t>
            </w:r>
            <w:r>
              <w:rPr>
                <w:rFonts w:ascii="Times New Roman" w:hAnsi="Times New Roman"/>
                <w:color w:val="000000"/>
                <w:sz w:val="20"/>
              </w:rPr>
              <w:br/>
              <w:t>c) covered bond public supervision;</w:t>
            </w:r>
            <w:r>
              <w:rPr>
                <w:rFonts w:ascii="Times New Roman" w:hAnsi="Times New Roman"/>
                <w:color w:val="000000"/>
                <w:sz w:val="20"/>
              </w:rPr>
              <w:br/>
              <w:t>(d) publication requirements in relation to covered bonds.</w:t>
            </w:r>
          </w:p>
        </w:tc>
        <w:tc>
          <w:tcPr>
            <w:tcW w:w="900" w:type="dxa"/>
          </w:tcPr>
          <w:p w14:paraId="0BF48643" w14:textId="1761B243" w:rsidR="003E7E51" w:rsidRPr="00DF12A5" w:rsidRDefault="007262FB">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ECF6A1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6888E76A" w14:textId="77777777" w:rsidTr="00BB0DAB">
        <w:tc>
          <w:tcPr>
            <w:tcW w:w="800" w:type="dxa"/>
            <w:tcBorders>
              <w:left w:val="single" w:sz="12" w:space="0" w:color="auto"/>
            </w:tcBorders>
          </w:tcPr>
          <w:p w14:paraId="66E4FD7C"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w:t>
            </w:r>
          </w:p>
        </w:tc>
        <w:tc>
          <w:tcPr>
            <w:tcW w:w="5220" w:type="dxa"/>
            <w:tcBorders>
              <w:right w:val="single" w:sz="12" w:space="0" w:color="auto"/>
            </w:tcBorders>
          </w:tcPr>
          <w:p w14:paraId="3E3911D7"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Scope</w:t>
            </w:r>
            <w:r>
              <w:rPr>
                <w:rFonts w:ascii="Times New Roman" w:hAnsi="Times New Roman"/>
                <w:color w:val="000000"/>
                <w:sz w:val="20"/>
              </w:rPr>
              <w:br/>
              <w:t>This Directive applies to covered bonds issued by credit institutions established in the Union.</w:t>
            </w:r>
          </w:p>
        </w:tc>
        <w:tc>
          <w:tcPr>
            <w:tcW w:w="624" w:type="dxa"/>
            <w:tcBorders>
              <w:left w:val="single" w:sz="12" w:space="0" w:color="auto"/>
            </w:tcBorders>
          </w:tcPr>
          <w:p w14:paraId="2E6E3EA5" w14:textId="3EE1B9B4" w:rsidR="00717DF1" w:rsidRPr="00DF12A5" w:rsidRDefault="00223E79" w:rsidP="00BB0DAB">
            <w:pPr>
              <w:spacing w:after="0" w:line="240" w:lineRule="auto"/>
              <w:jc w:val="center"/>
              <w:rPr>
                <w:rFonts w:ascii="Times New Roman" w:hAnsi="Times New Roman" w:cs="Times New Roman"/>
                <w:sz w:val="20"/>
                <w:szCs w:val="20"/>
                <w:highlight w:val="yellow"/>
                <w:lang w:val="sq-AL"/>
              </w:rPr>
            </w:pPr>
            <w:r w:rsidRPr="00223E79">
              <w:rPr>
                <w:rFonts w:ascii="Times New Roman" w:hAnsi="Times New Roman" w:cs="Times New Roman"/>
                <w:sz w:val="20"/>
                <w:szCs w:val="20"/>
                <w:lang w:val="sq-AL"/>
              </w:rPr>
              <w:t>0.1</w:t>
            </w:r>
          </w:p>
        </w:tc>
        <w:tc>
          <w:tcPr>
            <w:tcW w:w="906" w:type="dxa"/>
          </w:tcPr>
          <w:p w14:paraId="56661C1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w:t>
            </w:r>
          </w:p>
        </w:tc>
        <w:tc>
          <w:tcPr>
            <w:tcW w:w="5130" w:type="dxa"/>
          </w:tcPr>
          <w:p w14:paraId="2650FB5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This Law applies to covered bonds issued by credit institutions established in the Republic of Albania.</w:t>
            </w:r>
          </w:p>
        </w:tc>
        <w:tc>
          <w:tcPr>
            <w:tcW w:w="900" w:type="dxa"/>
          </w:tcPr>
          <w:p w14:paraId="0BC64585" w14:textId="747BB68B" w:rsidR="003E7E51" w:rsidRPr="00DF12A5" w:rsidRDefault="00223E7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065B2CB"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7C32D6C1" w14:textId="77777777" w:rsidTr="00BB0DAB">
        <w:tc>
          <w:tcPr>
            <w:tcW w:w="800" w:type="dxa"/>
            <w:tcBorders>
              <w:left w:val="single" w:sz="12" w:space="0" w:color="auto"/>
            </w:tcBorders>
          </w:tcPr>
          <w:p w14:paraId="6722CD42"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w:t>
            </w:r>
          </w:p>
        </w:tc>
        <w:tc>
          <w:tcPr>
            <w:tcW w:w="5220" w:type="dxa"/>
            <w:tcBorders>
              <w:right w:val="single" w:sz="12" w:space="0" w:color="auto"/>
            </w:tcBorders>
          </w:tcPr>
          <w:p w14:paraId="4E7D6E38"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Definitions</w:t>
            </w:r>
            <w:r>
              <w:rPr>
                <w:rFonts w:ascii="Times New Roman" w:hAnsi="Times New Roman"/>
                <w:color w:val="000000"/>
                <w:sz w:val="20"/>
              </w:rPr>
              <w:br/>
              <w:t>(1) ‘covered bond’ means a debt obligation that is issued by a credit institution in accordance with the provisions of national law transposing the mandatory requirements of this Directive and that is secured by cover assets to which covered bond investors have direct recourse as preferred creditors;</w:t>
            </w:r>
          </w:p>
        </w:tc>
        <w:tc>
          <w:tcPr>
            <w:tcW w:w="624" w:type="dxa"/>
            <w:tcBorders>
              <w:left w:val="single" w:sz="12" w:space="0" w:color="auto"/>
            </w:tcBorders>
          </w:tcPr>
          <w:p w14:paraId="3CFA3CCD" w14:textId="1A465949" w:rsidR="00717DF1" w:rsidRPr="00DF12A5" w:rsidRDefault="00223E7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6FB51D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22</w:t>
            </w:r>
          </w:p>
        </w:tc>
        <w:tc>
          <w:tcPr>
            <w:tcW w:w="5130" w:type="dxa"/>
          </w:tcPr>
          <w:p w14:paraId="5280CA3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22. “Covered bond” means a debt obligation issued by a credit institution in accordance with this Law and secured by cover assets to which covered bond investors have direct recourse as preferred creditors.</w:t>
            </w:r>
          </w:p>
        </w:tc>
        <w:tc>
          <w:tcPr>
            <w:tcW w:w="900" w:type="dxa"/>
          </w:tcPr>
          <w:p w14:paraId="31D9FFD6" w14:textId="0D2AD43A" w:rsidR="003E7E51" w:rsidRPr="00DF12A5" w:rsidRDefault="00223E7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3389182"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5907921F" w14:textId="77777777" w:rsidTr="00BB0DAB">
        <w:tc>
          <w:tcPr>
            <w:tcW w:w="800" w:type="dxa"/>
            <w:tcBorders>
              <w:left w:val="single" w:sz="12" w:space="0" w:color="auto"/>
            </w:tcBorders>
          </w:tcPr>
          <w:p w14:paraId="4565A299" w14:textId="7429AB19" w:rsidR="00717DF1" w:rsidRPr="00DF12A5" w:rsidRDefault="0063722F"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 xml:space="preserve">Article 3, </w:t>
            </w:r>
            <w:r>
              <w:rPr>
                <w:rFonts w:ascii="Times New Roman" w:hAnsi="Times New Roman"/>
                <w:color w:val="000000"/>
                <w:sz w:val="20"/>
              </w:rPr>
              <w:lastRenderedPageBreak/>
              <w:t>paragraph 2</w:t>
            </w:r>
          </w:p>
        </w:tc>
        <w:tc>
          <w:tcPr>
            <w:tcW w:w="5220" w:type="dxa"/>
            <w:tcBorders>
              <w:right w:val="single" w:sz="12" w:space="0" w:color="auto"/>
            </w:tcBorders>
          </w:tcPr>
          <w:p w14:paraId="671BA46B"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lastRenderedPageBreak/>
              <w:t xml:space="preserve">(2) ‘covered bond programme’ means the structural features of a covered bonds issue that are determined by statutory rules and by contractual terms and conditions, in accordance with the </w:t>
            </w:r>
            <w:r>
              <w:rPr>
                <w:rFonts w:ascii="Times New Roman" w:hAnsi="Times New Roman"/>
                <w:color w:val="000000"/>
                <w:sz w:val="20"/>
              </w:rPr>
              <w:lastRenderedPageBreak/>
              <w:t>permission granted to the credit institution issuing the covered bonds;</w:t>
            </w:r>
          </w:p>
        </w:tc>
        <w:tc>
          <w:tcPr>
            <w:tcW w:w="624" w:type="dxa"/>
            <w:tcBorders>
              <w:left w:val="single" w:sz="12" w:space="0" w:color="auto"/>
            </w:tcBorders>
          </w:tcPr>
          <w:p w14:paraId="2A7F78BC" w14:textId="3ED887DA" w:rsidR="00717DF1" w:rsidRPr="00DF12A5" w:rsidRDefault="00223E7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lastRenderedPageBreak/>
              <w:t>0.1</w:t>
            </w:r>
          </w:p>
        </w:tc>
        <w:tc>
          <w:tcPr>
            <w:tcW w:w="906" w:type="dxa"/>
          </w:tcPr>
          <w:p w14:paraId="7747924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 xml:space="preserve">Article 3, </w:t>
            </w:r>
            <w:r>
              <w:rPr>
                <w:rFonts w:ascii="Times New Roman" w:hAnsi="Times New Roman"/>
                <w:color w:val="000000"/>
                <w:sz w:val="20"/>
              </w:rPr>
              <w:lastRenderedPageBreak/>
              <w:t>paragraph 23</w:t>
            </w:r>
          </w:p>
        </w:tc>
        <w:tc>
          <w:tcPr>
            <w:tcW w:w="5130" w:type="dxa"/>
          </w:tcPr>
          <w:p w14:paraId="0FC44AD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lastRenderedPageBreak/>
              <w:t xml:space="preserve">23. “Covered bond programme” means the structural features of a covered bond issue that are determined by statutory rules and by contractual terms and conditions, in accordance with </w:t>
            </w:r>
            <w:r>
              <w:rPr>
                <w:rFonts w:ascii="Times New Roman" w:hAnsi="Times New Roman"/>
                <w:color w:val="000000"/>
                <w:sz w:val="20"/>
              </w:rPr>
              <w:lastRenderedPageBreak/>
              <w:t>the permission granted to the credit institution issuing the covered bonds.</w:t>
            </w:r>
          </w:p>
        </w:tc>
        <w:tc>
          <w:tcPr>
            <w:tcW w:w="900" w:type="dxa"/>
          </w:tcPr>
          <w:p w14:paraId="787732A0" w14:textId="422B1A47" w:rsidR="003E7E51" w:rsidRPr="00DF12A5" w:rsidRDefault="00223E7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lastRenderedPageBreak/>
              <w:t>F</w:t>
            </w:r>
          </w:p>
        </w:tc>
        <w:tc>
          <w:tcPr>
            <w:tcW w:w="1710" w:type="dxa"/>
            <w:tcBorders>
              <w:right w:val="single" w:sz="12" w:space="0" w:color="auto"/>
            </w:tcBorders>
          </w:tcPr>
          <w:p w14:paraId="0FDE2A4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1751D6D9" w14:textId="77777777" w:rsidTr="00BB0DAB">
        <w:tc>
          <w:tcPr>
            <w:tcW w:w="800" w:type="dxa"/>
            <w:tcBorders>
              <w:left w:val="single" w:sz="12" w:space="0" w:color="auto"/>
            </w:tcBorders>
          </w:tcPr>
          <w:p w14:paraId="127D83EF" w14:textId="77777777" w:rsidR="00717DF1" w:rsidRPr="00DF12A5" w:rsidRDefault="002C6CEA"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3</w:t>
            </w:r>
          </w:p>
        </w:tc>
        <w:tc>
          <w:tcPr>
            <w:tcW w:w="5220" w:type="dxa"/>
            <w:tcBorders>
              <w:right w:val="single" w:sz="12" w:space="0" w:color="auto"/>
            </w:tcBorders>
          </w:tcPr>
          <w:p w14:paraId="743B250A"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‘cover pool’ means a clearly defined set of assets securing the payment obligations attached to covered bonds that are segregated from other assets held by the credit institution issuing the covered bonds;</w:t>
            </w:r>
          </w:p>
        </w:tc>
        <w:tc>
          <w:tcPr>
            <w:tcW w:w="624" w:type="dxa"/>
            <w:tcBorders>
              <w:left w:val="single" w:sz="12" w:space="0" w:color="auto"/>
            </w:tcBorders>
          </w:tcPr>
          <w:p w14:paraId="1C08D9D6" w14:textId="7C755489" w:rsidR="00717DF1" w:rsidRPr="00DF12A5" w:rsidRDefault="00223E7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A999B1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11</w:t>
            </w:r>
          </w:p>
        </w:tc>
        <w:tc>
          <w:tcPr>
            <w:tcW w:w="5130" w:type="dxa"/>
          </w:tcPr>
          <w:p w14:paraId="11E0A67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11. “Cover pool” means a clearly defined set of assets securing the payment obligations attached to covered bonds that are segregated from the issuer’s other assets.</w:t>
            </w:r>
          </w:p>
        </w:tc>
        <w:tc>
          <w:tcPr>
            <w:tcW w:w="900" w:type="dxa"/>
          </w:tcPr>
          <w:p w14:paraId="725EF187" w14:textId="1C503F80" w:rsidR="003E7E51" w:rsidRPr="00DF12A5" w:rsidRDefault="00223E7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F64C12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7B9DA246" w14:textId="77777777" w:rsidTr="00BB0DAB">
        <w:tc>
          <w:tcPr>
            <w:tcW w:w="800" w:type="dxa"/>
            <w:tcBorders>
              <w:left w:val="single" w:sz="12" w:space="0" w:color="auto"/>
            </w:tcBorders>
          </w:tcPr>
          <w:p w14:paraId="39ABFDBA" w14:textId="77777777" w:rsidR="00717DF1" w:rsidRPr="00DF12A5" w:rsidRDefault="00565A50"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4</w:t>
            </w:r>
          </w:p>
        </w:tc>
        <w:tc>
          <w:tcPr>
            <w:tcW w:w="5220" w:type="dxa"/>
            <w:tcBorders>
              <w:right w:val="single" w:sz="12" w:space="0" w:color="auto"/>
            </w:tcBorders>
          </w:tcPr>
          <w:p w14:paraId="16319992"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‘cover assets’ means assets included in a cover pool;</w:t>
            </w:r>
          </w:p>
        </w:tc>
        <w:tc>
          <w:tcPr>
            <w:tcW w:w="624" w:type="dxa"/>
            <w:tcBorders>
              <w:left w:val="single" w:sz="12" w:space="0" w:color="auto"/>
            </w:tcBorders>
          </w:tcPr>
          <w:p w14:paraId="07DD3715" w14:textId="64BB5D45" w:rsidR="00717DF1" w:rsidRPr="00DF12A5" w:rsidRDefault="00223E7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C96C73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w:t>
            </w:r>
          </w:p>
        </w:tc>
        <w:tc>
          <w:tcPr>
            <w:tcW w:w="5130" w:type="dxa"/>
          </w:tcPr>
          <w:p w14:paraId="4F6577B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“Cover assets” means assets included in a cover pool.</w:t>
            </w:r>
          </w:p>
        </w:tc>
        <w:tc>
          <w:tcPr>
            <w:tcW w:w="900" w:type="dxa"/>
          </w:tcPr>
          <w:p w14:paraId="02AEDFE2" w14:textId="2139246F" w:rsidR="003E7E51" w:rsidRPr="00DF12A5" w:rsidRDefault="00223E7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9CF954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581F5318" w14:textId="77777777" w:rsidTr="00BB0DAB">
        <w:tc>
          <w:tcPr>
            <w:tcW w:w="800" w:type="dxa"/>
            <w:tcBorders>
              <w:left w:val="single" w:sz="12" w:space="0" w:color="auto"/>
            </w:tcBorders>
          </w:tcPr>
          <w:p w14:paraId="69674916" w14:textId="77777777" w:rsidR="00717DF1" w:rsidRPr="00DF12A5" w:rsidRDefault="00F87277"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5</w:t>
            </w:r>
          </w:p>
        </w:tc>
        <w:tc>
          <w:tcPr>
            <w:tcW w:w="5220" w:type="dxa"/>
            <w:tcBorders>
              <w:right w:val="single" w:sz="12" w:space="0" w:color="auto"/>
            </w:tcBorders>
          </w:tcPr>
          <w:p w14:paraId="3A6BB0AD"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‘collateral assets’ means physical assets and assets in the form of exposures that secure cover assets;</w:t>
            </w:r>
          </w:p>
        </w:tc>
        <w:tc>
          <w:tcPr>
            <w:tcW w:w="624" w:type="dxa"/>
            <w:tcBorders>
              <w:left w:val="single" w:sz="12" w:space="0" w:color="auto"/>
            </w:tcBorders>
          </w:tcPr>
          <w:p w14:paraId="5065B4F6" w14:textId="5F5FA58B" w:rsidR="00717DF1" w:rsidRPr="00DF12A5" w:rsidRDefault="00223E7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8DC329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14</w:t>
            </w:r>
          </w:p>
        </w:tc>
        <w:tc>
          <w:tcPr>
            <w:tcW w:w="5130" w:type="dxa"/>
          </w:tcPr>
          <w:p w14:paraId="628D699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14. “Collateral assets” means physical assets and assets in the form of exposures that secure cover assets.</w:t>
            </w:r>
          </w:p>
        </w:tc>
        <w:tc>
          <w:tcPr>
            <w:tcW w:w="900" w:type="dxa"/>
          </w:tcPr>
          <w:p w14:paraId="6618185F" w14:textId="74F06074" w:rsidR="003E7E51" w:rsidRPr="00DF12A5" w:rsidRDefault="00223E7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56BEAE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231127F5" w14:textId="77777777" w:rsidTr="00BB0DAB">
        <w:tc>
          <w:tcPr>
            <w:tcW w:w="800" w:type="dxa"/>
            <w:tcBorders>
              <w:left w:val="single" w:sz="12" w:space="0" w:color="auto"/>
            </w:tcBorders>
          </w:tcPr>
          <w:p w14:paraId="44C39BE1" w14:textId="77777777" w:rsidR="00717DF1" w:rsidRPr="00DF12A5" w:rsidRDefault="00F87277"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6</w:t>
            </w:r>
          </w:p>
        </w:tc>
        <w:tc>
          <w:tcPr>
            <w:tcW w:w="5220" w:type="dxa"/>
            <w:tcBorders>
              <w:right w:val="single" w:sz="12" w:space="0" w:color="auto"/>
            </w:tcBorders>
          </w:tcPr>
          <w:p w14:paraId="1F3FF09D"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(6) ‘segregation’ means the actions performed by a credit institution issuing covered bonds to identify cover assets and put them legally beyond the reach of creditors other than covered bond investors and counterparties of derivative contracts;</w:t>
            </w:r>
          </w:p>
        </w:tc>
        <w:tc>
          <w:tcPr>
            <w:tcW w:w="624" w:type="dxa"/>
            <w:tcBorders>
              <w:left w:val="single" w:sz="12" w:space="0" w:color="auto"/>
            </w:tcBorders>
          </w:tcPr>
          <w:p w14:paraId="72FE83C2" w14:textId="4D57AC70" w:rsidR="00717DF1" w:rsidRPr="00DF12A5" w:rsidRDefault="00223E7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911A9AE" w14:textId="0081F781"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20;</w:t>
            </w:r>
          </w:p>
        </w:tc>
        <w:tc>
          <w:tcPr>
            <w:tcW w:w="5130" w:type="dxa"/>
          </w:tcPr>
          <w:p w14:paraId="25A749F6" w14:textId="5EC6824F"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20. “Segregation” means the actions performed by a credit institution to identify cover assets and put them legally beyond the reach of creditors other than covered bond investors and counterparties of derivative contracts.</w:t>
            </w:r>
          </w:p>
        </w:tc>
        <w:tc>
          <w:tcPr>
            <w:tcW w:w="900" w:type="dxa"/>
          </w:tcPr>
          <w:p w14:paraId="1DCD1C5D" w14:textId="607E8DF3" w:rsidR="003E7E51" w:rsidRPr="00DF12A5" w:rsidRDefault="00223E7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0C5E5E3"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743087F6" w14:textId="77777777" w:rsidTr="00BB0DAB">
        <w:tc>
          <w:tcPr>
            <w:tcW w:w="800" w:type="dxa"/>
            <w:tcBorders>
              <w:left w:val="single" w:sz="12" w:space="0" w:color="auto"/>
            </w:tcBorders>
          </w:tcPr>
          <w:p w14:paraId="6436AA75" w14:textId="77777777" w:rsidR="00717DF1" w:rsidRPr="00DF12A5" w:rsidRDefault="00F87277"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7</w:t>
            </w:r>
          </w:p>
        </w:tc>
        <w:tc>
          <w:tcPr>
            <w:tcW w:w="5220" w:type="dxa"/>
            <w:tcBorders>
              <w:right w:val="single" w:sz="12" w:space="0" w:color="auto"/>
            </w:tcBorders>
          </w:tcPr>
          <w:p w14:paraId="20363D25"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(7) ‘credit institution’ means a credit institution as defined in point (1) of Article 4(1) of Regulation (EU) No 575/2013;</w:t>
            </w:r>
          </w:p>
        </w:tc>
        <w:tc>
          <w:tcPr>
            <w:tcW w:w="624" w:type="dxa"/>
            <w:tcBorders>
              <w:left w:val="single" w:sz="12" w:space="0" w:color="auto"/>
            </w:tcBorders>
          </w:tcPr>
          <w:p w14:paraId="5BD48AD5" w14:textId="4316FA88" w:rsidR="00717DF1" w:rsidRPr="00DF12A5" w:rsidRDefault="00EC710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3DEF7C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12</w:t>
            </w:r>
          </w:p>
        </w:tc>
        <w:tc>
          <w:tcPr>
            <w:tcW w:w="5130" w:type="dxa"/>
          </w:tcPr>
          <w:p w14:paraId="1BD4647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12. “Credit institution” means a credit institution as defined in the legislation governing the activity of credit institutions in the Republic of Albania.</w:t>
            </w:r>
          </w:p>
        </w:tc>
        <w:tc>
          <w:tcPr>
            <w:tcW w:w="900" w:type="dxa"/>
          </w:tcPr>
          <w:p w14:paraId="3E1DD9AE" w14:textId="0E2AFFB3" w:rsidR="003E7E51" w:rsidRPr="00DF12A5" w:rsidRDefault="00EC710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A34BC82"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2FF37200" w14:textId="77777777" w:rsidTr="00BB0DAB">
        <w:tc>
          <w:tcPr>
            <w:tcW w:w="800" w:type="dxa"/>
            <w:tcBorders>
              <w:left w:val="single" w:sz="12" w:space="0" w:color="auto"/>
            </w:tcBorders>
          </w:tcPr>
          <w:p w14:paraId="04DCE62D" w14:textId="77777777" w:rsidR="00717DF1" w:rsidRPr="00DF12A5" w:rsidRDefault="00F87277"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8</w:t>
            </w:r>
          </w:p>
        </w:tc>
        <w:tc>
          <w:tcPr>
            <w:tcW w:w="5220" w:type="dxa"/>
            <w:tcBorders>
              <w:right w:val="single" w:sz="12" w:space="0" w:color="auto"/>
            </w:tcBorders>
          </w:tcPr>
          <w:p w14:paraId="2976FEED"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(8) ‘specialised mortgage credit institution’ means a credit institution which funds loans solely or mainly through the issue of covered bonds, which is permitted by law only to carry out mortgage and public sector lending and which is not permitted to take deposits, but which takes other repayable funds from the public;</w:t>
            </w:r>
          </w:p>
        </w:tc>
        <w:tc>
          <w:tcPr>
            <w:tcW w:w="624" w:type="dxa"/>
            <w:tcBorders>
              <w:left w:val="single" w:sz="12" w:space="0" w:color="auto"/>
            </w:tcBorders>
          </w:tcPr>
          <w:p w14:paraId="551E94E0" w14:textId="286E8C53" w:rsidR="00717DF1" w:rsidRPr="00DF12A5" w:rsidRDefault="00EC710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14239D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13</w:t>
            </w:r>
          </w:p>
        </w:tc>
        <w:tc>
          <w:tcPr>
            <w:tcW w:w="5130" w:type="dxa"/>
          </w:tcPr>
          <w:p w14:paraId="34B2504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13. “Specialised mortgage credit institution” means a credit institution which funds loans solely or mainly through the issue of covered bonds, which carries out only mortgage and public-sector lending and which is not permitted to take deposits, but may take other repayable funds from the public.</w:t>
            </w:r>
          </w:p>
        </w:tc>
        <w:tc>
          <w:tcPr>
            <w:tcW w:w="900" w:type="dxa"/>
          </w:tcPr>
          <w:p w14:paraId="37BEF688" w14:textId="03635E54" w:rsidR="003E7E51" w:rsidRPr="00DF12A5" w:rsidRDefault="00EC710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4049C7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613DC8C0" w14:textId="77777777" w:rsidTr="00BB0DAB">
        <w:tc>
          <w:tcPr>
            <w:tcW w:w="800" w:type="dxa"/>
            <w:tcBorders>
              <w:left w:val="single" w:sz="12" w:space="0" w:color="auto"/>
            </w:tcBorders>
          </w:tcPr>
          <w:p w14:paraId="29692BA4" w14:textId="77777777" w:rsidR="00717DF1" w:rsidRPr="00DF12A5" w:rsidRDefault="00F87277"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9</w:t>
            </w:r>
          </w:p>
        </w:tc>
        <w:tc>
          <w:tcPr>
            <w:tcW w:w="5220" w:type="dxa"/>
            <w:tcBorders>
              <w:right w:val="single" w:sz="12" w:space="0" w:color="auto"/>
            </w:tcBorders>
          </w:tcPr>
          <w:p w14:paraId="42BBEA8D"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(9) ‘automatic acceleration’ means a situation in which a covered bond automatically becomes immediately due and payable upon the insolvency or resolution of the issuer and in respect of which the covered bond investors have an enforceable claim for repayment at a time earlier than the original maturity date;</w:t>
            </w:r>
          </w:p>
        </w:tc>
        <w:tc>
          <w:tcPr>
            <w:tcW w:w="624" w:type="dxa"/>
            <w:tcBorders>
              <w:left w:val="single" w:sz="12" w:space="0" w:color="auto"/>
            </w:tcBorders>
          </w:tcPr>
          <w:p w14:paraId="3E21F100" w14:textId="795C7C97" w:rsidR="00717DF1" w:rsidRPr="00DF12A5" w:rsidRDefault="00EC7109"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727554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24</w:t>
            </w:r>
          </w:p>
        </w:tc>
        <w:tc>
          <w:tcPr>
            <w:tcW w:w="5130" w:type="dxa"/>
          </w:tcPr>
          <w:p w14:paraId="7B00760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24. “Automatic acceleration” means a situation in which a covered bond automatically becomes immediately due and payable upon the insolvency or resolution of the issuer and in respect of which the covered bond investors have an enforceable claim for repayment at a time earlier than the original maturity date.</w:t>
            </w:r>
          </w:p>
        </w:tc>
        <w:tc>
          <w:tcPr>
            <w:tcW w:w="900" w:type="dxa"/>
          </w:tcPr>
          <w:p w14:paraId="5BBD3C44" w14:textId="5583109B" w:rsidR="003E7E51" w:rsidRPr="00DF12A5" w:rsidRDefault="00EC7109">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5BDE66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17DF1" w:rsidRPr="00DF12A5" w14:paraId="7870F355" w14:textId="77777777" w:rsidTr="00BB0DAB">
        <w:tc>
          <w:tcPr>
            <w:tcW w:w="800" w:type="dxa"/>
            <w:tcBorders>
              <w:left w:val="single" w:sz="12" w:space="0" w:color="auto"/>
            </w:tcBorders>
          </w:tcPr>
          <w:p w14:paraId="1A4B4FD5" w14:textId="7E059794" w:rsidR="00717DF1" w:rsidRPr="00DF12A5" w:rsidRDefault="00F87277"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10</w:t>
            </w:r>
          </w:p>
        </w:tc>
        <w:tc>
          <w:tcPr>
            <w:tcW w:w="5220" w:type="dxa"/>
            <w:tcBorders>
              <w:right w:val="single" w:sz="12" w:space="0" w:color="auto"/>
            </w:tcBorders>
          </w:tcPr>
          <w:p w14:paraId="56426F4D" w14:textId="77777777" w:rsidR="00717DF1" w:rsidRPr="00DF12A5" w:rsidRDefault="00717DF1" w:rsidP="001A1B6A">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(10) ‘market value’ means, for the purposes of immovable property, market value as defined in point (76) of Article 4(1) of Regulation (EU) No 575/2013;</w:t>
            </w:r>
          </w:p>
        </w:tc>
        <w:tc>
          <w:tcPr>
            <w:tcW w:w="624" w:type="dxa"/>
            <w:tcBorders>
              <w:left w:val="single" w:sz="12" w:space="0" w:color="auto"/>
            </w:tcBorders>
          </w:tcPr>
          <w:p w14:paraId="4DB4BD68" w14:textId="0F59732C" w:rsidR="00717DF1" w:rsidRPr="00DF12A5" w:rsidRDefault="00CF6E4A"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9D30FD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27</w:t>
            </w:r>
          </w:p>
        </w:tc>
        <w:tc>
          <w:tcPr>
            <w:tcW w:w="5130" w:type="dxa"/>
          </w:tcPr>
          <w:p w14:paraId="21140C9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27. “Market value” means market value as defined in the regulatory framework in force and, upon the accession of the Republic of Albania to the European Union, in point (76) of Article 4(1) of Regulation (EU) No 575/2013.</w:t>
            </w:r>
          </w:p>
        </w:tc>
        <w:tc>
          <w:tcPr>
            <w:tcW w:w="900" w:type="dxa"/>
          </w:tcPr>
          <w:p w14:paraId="1932DF82" w14:textId="33539FCE" w:rsidR="003E7E51" w:rsidRPr="00DF12A5" w:rsidRDefault="00CF6E4A">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FB546FB"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4C51C464" w14:textId="77777777" w:rsidTr="00BB0DAB">
        <w:tc>
          <w:tcPr>
            <w:tcW w:w="800" w:type="dxa"/>
            <w:tcBorders>
              <w:left w:val="single" w:sz="12" w:space="0" w:color="auto"/>
            </w:tcBorders>
          </w:tcPr>
          <w:p w14:paraId="2033F027" w14:textId="085D7130"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lastRenderedPageBreak/>
              <w:t>Article 3, paragraph 11</w:t>
            </w:r>
          </w:p>
        </w:tc>
        <w:tc>
          <w:tcPr>
            <w:tcW w:w="5220" w:type="dxa"/>
            <w:tcBorders>
              <w:right w:val="single" w:sz="12" w:space="0" w:color="auto"/>
            </w:tcBorders>
          </w:tcPr>
          <w:p w14:paraId="0390CDC8"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(11) ‘mortgage lending value’ means, for the purposes of immovable property, the mortgage lending value as defined in point (74) of Article 4(1) of Regulation (EU) No 575/2013;</w:t>
            </w:r>
          </w:p>
        </w:tc>
        <w:tc>
          <w:tcPr>
            <w:tcW w:w="624" w:type="dxa"/>
            <w:tcBorders>
              <w:left w:val="single" w:sz="12" w:space="0" w:color="auto"/>
            </w:tcBorders>
          </w:tcPr>
          <w:p w14:paraId="65331B50" w14:textId="5CE1188D" w:rsidR="00751469" w:rsidRPr="00DF12A5" w:rsidRDefault="00CF6E4A"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4ABCBF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28</w:t>
            </w:r>
          </w:p>
        </w:tc>
        <w:tc>
          <w:tcPr>
            <w:tcW w:w="5130" w:type="dxa"/>
          </w:tcPr>
          <w:p w14:paraId="7DBC9EE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28. “Mortgage lending value” means, for the purposes of immovable property, mortgage lending value as defined in point (74) of Article 4(1) of Regulation (EU) No 575/2013.</w:t>
            </w:r>
          </w:p>
        </w:tc>
        <w:tc>
          <w:tcPr>
            <w:tcW w:w="900" w:type="dxa"/>
          </w:tcPr>
          <w:p w14:paraId="48287ADA" w14:textId="0581D9F6" w:rsidR="003E7E51" w:rsidRPr="00DF12A5" w:rsidRDefault="00CF6E4A">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3FDD7EF"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1C2E41C7" w14:textId="77777777" w:rsidTr="00BB0DAB">
        <w:trPr>
          <w:trHeight w:val="377"/>
        </w:trPr>
        <w:tc>
          <w:tcPr>
            <w:tcW w:w="800" w:type="dxa"/>
            <w:tcBorders>
              <w:left w:val="single" w:sz="12" w:space="0" w:color="auto"/>
            </w:tcBorders>
          </w:tcPr>
          <w:p w14:paraId="77E7FEA0" w14:textId="71A8CB2C"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12</w:t>
            </w:r>
          </w:p>
        </w:tc>
        <w:tc>
          <w:tcPr>
            <w:tcW w:w="5220" w:type="dxa"/>
            <w:tcBorders>
              <w:right w:val="single" w:sz="12" w:space="0" w:color="auto"/>
            </w:tcBorders>
          </w:tcPr>
          <w:p w14:paraId="1A203936"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(12) ‘primary assets’ means dominant cover assets that determine the nature of the cover pool;</w:t>
            </w:r>
          </w:p>
        </w:tc>
        <w:tc>
          <w:tcPr>
            <w:tcW w:w="624" w:type="dxa"/>
            <w:tcBorders>
              <w:left w:val="single" w:sz="12" w:space="0" w:color="auto"/>
            </w:tcBorders>
          </w:tcPr>
          <w:p w14:paraId="613F9479" w14:textId="5F1660AC" w:rsidR="00751469" w:rsidRPr="00DF12A5" w:rsidRDefault="00CF6E4A"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F2FC73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3</w:t>
            </w:r>
          </w:p>
        </w:tc>
        <w:tc>
          <w:tcPr>
            <w:tcW w:w="5130" w:type="dxa"/>
          </w:tcPr>
          <w:p w14:paraId="46FA59F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“Primary assets” means dominant cover assets that determine the nature of the cover pool.</w:t>
            </w:r>
          </w:p>
        </w:tc>
        <w:tc>
          <w:tcPr>
            <w:tcW w:w="900" w:type="dxa"/>
          </w:tcPr>
          <w:p w14:paraId="0D5AB33A" w14:textId="062C89F6" w:rsidR="003E7E51" w:rsidRPr="00DF12A5" w:rsidRDefault="00CF6E4A">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B9A5EA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5ADBAFDA" w14:textId="77777777" w:rsidTr="00BB0DAB">
        <w:tc>
          <w:tcPr>
            <w:tcW w:w="800" w:type="dxa"/>
            <w:tcBorders>
              <w:left w:val="single" w:sz="12" w:space="0" w:color="auto"/>
            </w:tcBorders>
          </w:tcPr>
          <w:p w14:paraId="359E34C1" w14:textId="05BAB664"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13</w:t>
            </w:r>
          </w:p>
        </w:tc>
        <w:tc>
          <w:tcPr>
            <w:tcW w:w="5220" w:type="dxa"/>
            <w:tcBorders>
              <w:right w:val="single" w:sz="12" w:space="0" w:color="auto"/>
            </w:tcBorders>
          </w:tcPr>
          <w:p w14:paraId="115A9234"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(13) ‘substitution assets’ means cover assets that contribute to the coverage requirements, other than primary assets;</w:t>
            </w:r>
          </w:p>
        </w:tc>
        <w:tc>
          <w:tcPr>
            <w:tcW w:w="624" w:type="dxa"/>
            <w:tcBorders>
              <w:left w:val="single" w:sz="12" w:space="0" w:color="auto"/>
            </w:tcBorders>
          </w:tcPr>
          <w:p w14:paraId="5AA7904F" w14:textId="136DBACD" w:rsidR="00751469" w:rsidRPr="00DF12A5" w:rsidRDefault="00CF6E4A"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958021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4</w:t>
            </w:r>
          </w:p>
        </w:tc>
        <w:tc>
          <w:tcPr>
            <w:tcW w:w="5130" w:type="dxa"/>
          </w:tcPr>
          <w:p w14:paraId="7055DD1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“Substitution assets” means cover assets that contribute to the coverage requirements, other than primary assets.</w:t>
            </w:r>
          </w:p>
        </w:tc>
        <w:tc>
          <w:tcPr>
            <w:tcW w:w="900" w:type="dxa"/>
          </w:tcPr>
          <w:p w14:paraId="290F8AEE" w14:textId="7543C598" w:rsidR="003E7E51" w:rsidRPr="00DF12A5" w:rsidRDefault="00CF6E4A">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451A2B4"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1F92E975" w14:textId="77777777" w:rsidTr="00BB0DAB">
        <w:tc>
          <w:tcPr>
            <w:tcW w:w="800" w:type="dxa"/>
            <w:tcBorders>
              <w:left w:val="single" w:sz="12" w:space="0" w:color="auto"/>
            </w:tcBorders>
          </w:tcPr>
          <w:p w14:paraId="38F61D94" w14:textId="176B0C3B"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14</w:t>
            </w:r>
          </w:p>
        </w:tc>
        <w:tc>
          <w:tcPr>
            <w:tcW w:w="5220" w:type="dxa"/>
            <w:tcBorders>
              <w:right w:val="single" w:sz="12" w:space="0" w:color="auto"/>
            </w:tcBorders>
          </w:tcPr>
          <w:p w14:paraId="54D9995F"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(14) ‘overcollateralisation’ means the entirety of the statutory, contractual or voluntary level of collateral that exceeds the coverage requirement set out in Article 15;</w:t>
            </w:r>
          </w:p>
        </w:tc>
        <w:tc>
          <w:tcPr>
            <w:tcW w:w="624" w:type="dxa"/>
            <w:tcBorders>
              <w:left w:val="single" w:sz="12" w:space="0" w:color="auto"/>
            </w:tcBorders>
          </w:tcPr>
          <w:p w14:paraId="3ADDACDA" w14:textId="51687C00" w:rsidR="00751469" w:rsidRPr="00DF12A5" w:rsidRDefault="00CF6E4A"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53CEAC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18</w:t>
            </w:r>
          </w:p>
        </w:tc>
        <w:tc>
          <w:tcPr>
            <w:tcW w:w="5130" w:type="dxa"/>
          </w:tcPr>
          <w:p w14:paraId="6D07CE5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18. “Overcollateralisation” means the entirety of the statutory, contractual or voluntary level of collateral that exceeds the coverage requirement laid down in Article 16 of this Law.</w:t>
            </w:r>
          </w:p>
        </w:tc>
        <w:tc>
          <w:tcPr>
            <w:tcW w:w="900" w:type="dxa"/>
          </w:tcPr>
          <w:p w14:paraId="5F842869" w14:textId="6AF0ABC6" w:rsidR="003E7E51" w:rsidRPr="00DF12A5" w:rsidRDefault="00CF6E4A">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C0F3C8D"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0A8ED49D" w14:textId="77777777" w:rsidTr="00BB0DAB">
        <w:tc>
          <w:tcPr>
            <w:tcW w:w="800" w:type="dxa"/>
            <w:tcBorders>
              <w:left w:val="single" w:sz="12" w:space="0" w:color="auto"/>
            </w:tcBorders>
          </w:tcPr>
          <w:p w14:paraId="6212E746" w14:textId="2C9ADED1"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15</w:t>
            </w:r>
          </w:p>
        </w:tc>
        <w:tc>
          <w:tcPr>
            <w:tcW w:w="5220" w:type="dxa"/>
            <w:tcBorders>
              <w:right w:val="single" w:sz="12" w:space="0" w:color="auto"/>
            </w:tcBorders>
          </w:tcPr>
          <w:p w14:paraId="0A3F43FF"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(15) ‘match funding requirements’ means rules requiring that the cash flows between liabilities and assets falling due be matched by ensuring in contractual terms and conditions that payments from borrowers and counterparties of derivative contracts fall due before payments are made to covered bond investors and to the counterparties of derivative contracts, that the amounts received are at least equal in value to the payments to be made to covered bond investors and to counterparties of derivative contracts, and that the amounts received from borrowers and counterparties of derivative contracts are included in the cover pool in accordance with Article 16(3) until the payments become due to the covered bond investors and counterparties of derivative contracts;</w:t>
            </w:r>
          </w:p>
        </w:tc>
        <w:tc>
          <w:tcPr>
            <w:tcW w:w="624" w:type="dxa"/>
            <w:tcBorders>
              <w:left w:val="single" w:sz="12" w:space="0" w:color="auto"/>
            </w:tcBorders>
          </w:tcPr>
          <w:p w14:paraId="38203FC4" w14:textId="1186EAE7" w:rsidR="00751469" w:rsidRPr="00DF12A5" w:rsidRDefault="00CF6E4A"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83B098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15</w:t>
            </w:r>
          </w:p>
        </w:tc>
        <w:tc>
          <w:tcPr>
            <w:tcW w:w="5130" w:type="dxa"/>
          </w:tcPr>
          <w:p w14:paraId="1BE9A39D"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15. “Match funding requirements” means rules requiring that:</w:t>
            </w:r>
            <w:r>
              <w:rPr>
                <w:rFonts w:ascii="Times New Roman" w:hAnsi="Times New Roman"/>
                <w:color w:val="000000"/>
                <w:sz w:val="20"/>
              </w:rPr>
              <w:br/>
              <w:t>a) the cash flows between liabilities and assets falling due be matched by ensuring, in the contractual terms and conditions, that payments from borrowers and counterparties of derivative contracts fall due before payments are made to covered bond investors and counterparties of derivative contracts;</w:t>
            </w:r>
            <w:r>
              <w:rPr>
                <w:rFonts w:ascii="Times New Roman" w:hAnsi="Times New Roman"/>
                <w:color w:val="000000"/>
                <w:sz w:val="20"/>
              </w:rPr>
              <w:br/>
              <w:t>b) the amounts received are at least equal in value to the payments to be made to covered bond investors and counterparties of derivative contracts;</w:t>
            </w:r>
            <w:r>
              <w:rPr>
                <w:rFonts w:ascii="Times New Roman" w:hAnsi="Times New Roman"/>
                <w:color w:val="000000"/>
                <w:sz w:val="20"/>
              </w:rPr>
              <w:br/>
              <w:t>c) the amounts received from borrowers and counterparties of derivative contracts are included in the cover pool in accordance with Article 17(3) until the payments become due to covered bond investors and counterparties of derivative contracts.</w:t>
            </w:r>
          </w:p>
        </w:tc>
        <w:tc>
          <w:tcPr>
            <w:tcW w:w="900" w:type="dxa"/>
          </w:tcPr>
          <w:p w14:paraId="6D368584" w14:textId="764F8C5C" w:rsidR="003E7E51" w:rsidRPr="00DF12A5" w:rsidRDefault="00CF6E4A">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FACFDBB" w14:textId="7D204840"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5B69ED01" w14:textId="77777777" w:rsidTr="00BB0DAB">
        <w:tc>
          <w:tcPr>
            <w:tcW w:w="800" w:type="dxa"/>
            <w:tcBorders>
              <w:left w:val="single" w:sz="12" w:space="0" w:color="auto"/>
            </w:tcBorders>
          </w:tcPr>
          <w:p w14:paraId="247F512C" w14:textId="6D36645F"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16</w:t>
            </w:r>
          </w:p>
        </w:tc>
        <w:tc>
          <w:tcPr>
            <w:tcW w:w="5220" w:type="dxa"/>
            <w:tcBorders>
              <w:right w:val="single" w:sz="12" w:space="0" w:color="auto"/>
            </w:tcBorders>
          </w:tcPr>
          <w:p w14:paraId="4359B90F"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(16) ‘net liquidity outflow’ means all payment outflows falling due on one day, including principal and interest payments and payments under derivative contracts of the covered bond programme, net of all payment inflows falling due on the same day for claims related to the cover assets;</w:t>
            </w:r>
          </w:p>
        </w:tc>
        <w:tc>
          <w:tcPr>
            <w:tcW w:w="624" w:type="dxa"/>
            <w:tcBorders>
              <w:left w:val="single" w:sz="12" w:space="0" w:color="auto"/>
            </w:tcBorders>
          </w:tcPr>
          <w:p w14:paraId="641D5781" w14:textId="5665EA24" w:rsidR="00751469" w:rsidRPr="00DF12A5" w:rsidRDefault="00CF6E4A"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4B2CEA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9</w:t>
            </w:r>
          </w:p>
        </w:tc>
        <w:tc>
          <w:tcPr>
            <w:tcW w:w="5130" w:type="dxa"/>
          </w:tcPr>
          <w:p w14:paraId="6AAE878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9. “Net liquidity outflow” means all payment outflows falling due on one day, including principal and interest payments and payments under derivative contracts of the covered bond programme, net of all payment inflows falling due on the same day for claims related to the cover assets.</w:t>
            </w:r>
          </w:p>
        </w:tc>
        <w:tc>
          <w:tcPr>
            <w:tcW w:w="900" w:type="dxa"/>
          </w:tcPr>
          <w:p w14:paraId="44921BFC" w14:textId="340B9CBC" w:rsidR="003E7E51" w:rsidRPr="00DF12A5" w:rsidRDefault="00CF6E4A">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448798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1EAD197C" w14:textId="77777777" w:rsidTr="00BB0DAB">
        <w:tc>
          <w:tcPr>
            <w:tcW w:w="800" w:type="dxa"/>
            <w:tcBorders>
              <w:left w:val="single" w:sz="12" w:space="0" w:color="auto"/>
            </w:tcBorders>
          </w:tcPr>
          <w:p w14:paraId="09B62079" w14:textId="6D672E81"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17</w:t>
            </w:r>
          </w:p>
        </w:tc>
        <w:tc>
          <w:tcPr>
            <w:tcW w:w="5220" w:type="dxa"/>
            <w:tcBorders>
              <w:right w:val="single" w:sz="12" w:space="0" w:color="auto"/>
            </w:tcBorders>
          </w:tcPr>
          <w:p w14:paraId="2B088505"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(17) ‘extendable maturity structure’ means a mechanism which provides for the possibility of extending the scheduled maturity of covered bonds for a pre-determined period of time and in the event that a specific trigger occurs;</w:t>
            </w:r>
          </w:p>
        </w:tc>
        <w:tc>
          <w:tcPr>
            <w:tcW w:w="624" w:type="dxa"/>
            <w:tcBorders>
              <w:left w:val="single" w:sz="12" w:space="0" w:color="auto"/>
            </w:tcBorders>
          </w:tcPr>
          <w:p w14:paraId="00E3DA1A" w14:textId="47CBB91F"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032BD4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w:t>
            </w:r>
            <w:r>
              <w:rPr>
                <w:rFonts w:ascii="Times New Roman" w:hAnsi="Times New Roman"/>
                <w:color w:val="000000"/>
                <w:sz w:val="20"/>
              </w:rPr>
              <w:lastRenderedPageBreak/>
              <w:t>phs 7 and 26</w:t>
            </w:r>
          </w:p>
        </w:tc>
        <w:tc>
          <w:tcPr>
            <w:tcW w:w="5130" w:type="dxa"/>
          </w:tcPr>
          <w:p w14:paraId="759468F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lastRenderedPageBreak/>
              <w:t>7. “Final maturity date” means the date until which the maturity of covered bonds may be extended under an extendable maturity structure.</w:t>
            </w:r>
            <w:r>
              <w:rPr>
                <w:rFonts w:ascii="Times New Roman" w:hAnsi="Times New Roman"/>
                <w:color w:val="000000"/>
                <w:sz w:val="20"/>
              </w:rPr>
              <w:br/>
              <w:t xml:space="preserve">26. “Extendable maturity structure” means a mechanism </w:t>
            </w:r>
            <w:r>
              <w:rPr>
                <w:rFonts w:ascii="Times New Roman" w:hAnsi="Times New Roman"/>
                <w:color w:val="000000"/>
                <w:sz w:val="20"/>
              </w:rPr>
              <w:lastRenderedPageBreak/>
              <w:t>which provides for the possibility of extending the scheduled maturity of covered bonds for a predetermined period of time and in the event that a specific trigger occurs.</w:t>
            </w:r>
          </w:p>
        </w:tc>
        <w:tc>
          <w:tcPr>
            <w:tcW w:w="900" w:type="dxa"/>
          </w:tcPr>
          <w:p w14:paraId="598ADF88" w14:textId="54DDD17D"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lastRenderedPageBreak/>
              <w:t>F</w:t>
            </w:r>
          </w:p>
        </w:tc>
        <w:tc>
          <w:tcPr>
            <w:tcW w:w="1710" w:type="dxa"/>
            <w:tcBorders>
              <w:right w:val="single" w:sz="12" w:space="0" w:color="auto"/>
            </w:tcBorders>
          </w:tcPr>
          <w:p w14:paraId="3FAE5985"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213C95E6" w14:textId="77777777" w:rsidTr="00BB0DAB">
        <w:tc>
          <w:tcPr>
            <w:tcW w:w="800" w:type="dxa"/>
            <w:tcBorders>
              <w:left w:val="single" w:sz="12" w:space="0" w:color="auto"/>
            </w:tcBorders>
          </w:tcPr>
          <w:p w14:paraId="71B77F8A" w14:textId="1A5C108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18</w:t>
            </w:r>
          </w:p>
        </w:tc>
        <w:tc>
          <w:tcPr>
            <w:tcW w:w="5220" w:type="dxa"/>
            <w:tcBorders>
              <w:right w:val="single" w:sz="12" w:space="0" w:color="auto"/>
            </w:tcBorders>
          </w:tcPr>
          <w:p w14:paraId="27A4B4A4"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(18) ‘covered bond public supervision’ means the supervision of covered bond programmes ensuring compliance with, and the enforcement of, the requirements applicable to the issue of covered bonds;</w:t>
            </w:r>
          </w:p>
        </w:tc>
        <w:tc>
          <w:tcPr>
            <w:tcW w:w="624" w:type="dxa"/>
            <w:tcBorders>
              <w:left w:val="single" w:sz="12" w:space="0" w:color="auto"/>
            </w:tcBorders>
          </w:tcPr>
          <w:p w14:paraId="74B2B371" w14:textId="690BACFA"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69AFB4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16</w:t>
            </w:r>
          </w:p>
        </w:tc>
        <w:tc>
          <w:tcPr>
            <w:tcW w:w="5130" w:type="dxa"/>
          </w:tcPr>
          <w:p w14:paraId="02A684C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16. “Covered bond public supervision” means the supervision of covered bond programmes ensuring compliance with, and the enforcement of, the requirements applicable to the issue of covered bonds.</w:t>
            </w:r>
          </w:p>
        </w:tc>
        <w:tc>
          <w:tcPr>
            <w:tcW w:w="900" w:type="dxa"/>
          </w:tcPr>
          <w:p w14:paraId="49405953" w14:textId="63BA9B4D"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4AFA43D"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253143EA" w14:textId="77777777" w:rsidTr="00BB0DAB">
        <w:tc>
          <w:tcPr>
            <w:tcW w:w="800" w:type="dxa"/>
            <w:tcBorders>
              <w:left w:val="single" w:sz="12" w:space="0" w:color="auto"/>
            </w:tcBorders>
          </w:tcPr>
          <w:p w14:paraId="2C4F54F3" w14:textId="77AB0775"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19</w:t>
            </w:r>
          </w:p>
        </w:tc>
        <w:tc>
          <w:tcPr>
            <w:tcW w:w="5220" w:type="dxa"/>
            <w:tcBorders>
              <w:right w:val="single" w:sz="12" w:space="0" w:color="auto"/>
            </w:tcBorders>
          </w:tcPr>
          <w:p w14:paraId="7A7AB12F"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(19) ‘special administrator’ means the person or entity appointed to administrate a covered bond programme in the event of the insolvency of a credit institution issuing covered bonds under that programme, or when such credit institution has been determined to be failing or likely to fail pursuant to Article 32(1) of Directive 2014/59/EU or, in exceptional circumstances, where the relevant competent authority determines that the proper functioning of that credit institution is seriously at risk;</w:t>
            </w:r>
          </w:p>
        </w:tc>
        <w:tc>
          <w:tcPr>
            <w:tcW w:w="624" w:type="dxa"/>
            <w:tcBorders>
              <w:left w:val="single" w:sz="12" w:space="0" w:color="auto"/>
            </w:tcBorders>
          </w:tcPr>
          <w:p w14:paraId="4FEC6025" w14:textId="7A9CDF32"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A313FE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5</w:t>
            </w:r>
          </w:p>
        </w:tc>
        <w:tc>
          <w:tcPr>
            <w:tcW w:w="5130" w:type="dxa"/>
          </w:tcPr>
          <w:p w14:paraId="0E6CB62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“Special administrator” means the natural or legal person appointed to administer a covered bond programme in the event of:</w:t>
            </w:r>
            <w:r>
              <w:rPr>
                <w:rFonts w:ascii="Times New Roman" w:hAnsi="Times New Roman"/>
                <w:color w:val="000000"/>
                <w:sz w:val="20"/>
              </w:rPr>
              <w:br/>
              <w:t>a) the insolvency of the credit institution which issued the covered bonds;</w:t>
            </w:r>
            <w:r>
              <w:rPr>
                <w:rFonts w:ascii="Times New Roman" w:hAnsi="Times New Roman"/>
                <w:color w:val="000000"/>
                <w:sz w:val="20"/>
              </w:rPr>
              <w:br/>
              <w:t>b) that institution having been determined to be failing or likely to fail pursuant to the legislation in force on the recovery and resolution of credit institutions;</w:t>
            </w:r>
            <w:r>
              <w:rPr>
                <w:rFonts w:ascii="Times New Roman" w:hAnsi="Times New Roman"/>
                <w:color w:val="000000"/>
                <w:sz w:val="20"/>
              </w:rPr>
              <w:br/>
              <w:t>c) exceptional circumstances in which the relevant competent authority determines that the proper functioning of that credit institution is seriously at risk.</w:t>
            </w:r>
          </w:p>
        </w:tc>
        <w:tc>
          <w:tcPr>
            <w:tcW w:w="900" w:type="dxa"/>
          </w:tcPr>
          <w:p w14:paraId="7B945246" w14:textId="72093096"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4254769"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13235C43" w14:textId="77777777" w:rsidTr="00BB0DAB">
        <w:tc>
          <w:tcPr>
            <w:tcW w:w="800" w:type="dxa"/>
            <w:tcBorders>
              <w:left w:val="single" w:sz="12" w:space="0" w:color="auto"/>
            </w:tcBorders>
          </w:tcPr>
          <w:p w14:paraId="6E072765" w14:textId="39338B90"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20</w:t>
            </w:r>
          </w:p>
        </w:tc>
        <w:tc>
          <w:tcPr>
            <w:tcW w:w="5220" w:type="dxa"/>
            <w:tcBorders>
              <w:right w:val="single" w:sz="12" w:space="0" w:color="auto"/>
            </w:tcBorders>
          </w:tcPr>
          <w:p w14:paraId="237F4128"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(20) ‘resolution’ means resolution as defined in point (1) of Article 2(1) of Directive 2014/59/EU;</w:t>
            </w:r>
          </w:p>
        </w:tc>
        <w:tc>
          <w:tcPr>
            <w:tcW w:w="624" w:type="dxa"/>
            <w:tcBorders>
              <w:left w:val="single" w:sz="12" w:space="0" w:color="auto"/>
            </w:tcBorders>
          </w:tcPr>
          <w:p w14:paraId="63F371EC" w14:textId="21C279A0"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D66552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21</w:t>
            </w:r>
          </w:p>
        </w:tc>
        <w:tc>
          <w:tcPr>
            <w:tcW w:w="5130" w:type="dxa"/>
          </w:tcPr>
          <w:p w14:paraId="29DCD07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21. “Resolution” means the process as defined in the legislation in force on the recovery and resolution of credit institutions in the Republic of Albania.</w:t>
            </w:r>
          </w:p>
        </w:tc>
        <w:tc>
          <w:tcPr>
            <w:tcW w:w="900" w:type="dxa"/>
          </w:tcPr>
          <w:p w14:paraId="17375522" w14:textId="4791E3F1"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0C9A74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71C89403" w14:textId="77777777" w:rsidTr="00BB0DAB">
        <w:tc>
          <w:tcPr>
            <w:tcW w:w="800" w:type="dxa"/>
            <w:tcBorders>
              <w:left w:val="single" w:sz="12" w:space="0" w:color="auto"/>
            </w:tcBorders>
          </w:tcPr>
          <w:p w14:paraId="4E97276B" w14:textId="6F2DDF4D"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21</w:t>
            </w:r>
          </w:p>
        </w:tc>
        <w:tc>
          <w:tcPr>
            <w:tcW w:w="5220" w:type="dxa"/>
            <w:tcBorders>
              <w:right w:val="single" w:sz="12" w:space="0" w:color="auto"/>
            </w:tcBorders>
          </w:tcPr>
          <w:p w14:paraId="17D00CBD"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(21) ‘group’ means a group as defined in point (138) of Article 4(1) of Regulation (EU) No 575/2013;</w:t>
            </w:r>
          </w:p>
        </w:tc>
        <w:tc>
          <w:tcPr>
            <w:tcW w:w="624" w:type="dxa"/>
            <w:tcBorders>
              <w:left w:val="single" w:sz="12" w:space="0" w:color="auto"/>
            </w:tcBorders>
          </w:tcPr>
          <w:p w14:paraId="23857279" w14:textId="55B90D63"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1854E3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10</w:t>
            </w:r>
          </w:p>
        </w:tc>
        <w:tc>
          <w:tcPr>
            <w:tcW w:w="5130" w:type="dxa"/>
          </w:tcPr>
          <w:p w14:paraId="02159D8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10. “Group” means a group as defined in the legislation governing credit institutions and, upon the accession of the Republic of Albania to the European Union, as defined in point (138) of Article 4(1) of Regulation (EU) No 575/2013.</w:t>
            </w:r>
          </w:p>
        </w:tc>
        <w:tc>
          <w:tcPr>
            <w:tcW w:w="900" w:type="dxa"/>
          </w:tcPr>
          <w:p w14:paraId="1248CA7D" w14:textId="1F12C0B0"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D8CE8B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4F812EF0" w14:textId="77777777" w:rsidTr="00BB0DAB">
        <w:tc>
          <w:tcPr>
            <w:tcW w:w="800" w:type="dxa"/>
            <w:tcBorders>
              <w:left w:val="single" w:sz="12" w:space="0" w:color="auto"/>
            </w:tcBorders>
          </w:tcPr>
          <w:p w14:paraId="36E327A2"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22</w:t>
            </w:r>
          </w:p>
        </w:tc>
        <w:tc>
          <w:tcPr>
            <w:tcW w:w="5220" w:type="dxa"/>
            <w:tcBorders>
              <w:right w:val="single" w:sz="12" w:space="0" w:color="auto"/>
            </w:tcBorders>
          </w:tcPr>
          <w:p w14:paraId="43744519"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(22) ‘public undertakings’ means public undertakings as defined in point (b) of Article 2 of Commission Directive 2006/111/EC.</w:t>
            </w:r>
          </w:p>
        </w:tc>
        <w:tc>
          <w:tcPr>
            <w:tcW w:w="624" w:type="dxa"/>
            <w:tcBorders>
              <w:left w:val="single" w:sz="12" w:space="0" w:color="auto"/>
            </w:tcBorders>
          </w:tcPr>
          <w:p w14:paraId="5E8BA25A" w14:textId="319D0560"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DE0417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 paragraph 19</w:t>
            </w:r>
          </w:p>
        </w:tc>
        <w:tc>
          <w:tcPr>
            <w:tcW w:w="5130" w:type="dxa"/>
          </w:tcPr>
          <w:p w14:paraId="0F3C6C3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19. “Public undertaking” means any undertaking over which public authorities may exercise, directly or indirectly, a dominant influence by virtue of their ownership of it, their financial participation therein, or the rules which govern it. A dominant influence on the part of the public authorities shall be presumed where those authorities, directly or indirectly:</w:t>
            </w:r>
            <w:r>
              <w:rPr>
                <w:rFonts w:ascii="Times New Roman" w:hAnsi="Times New Roman"/>
                <w:color w:val="000000"/>
                <w:sz w:val="20"/>
              </w:rPr>
              <w:br/>
              <w:t>a) hold the major part of the undertaking’s subscribed capital; or</w:t>
            </w:r>
            <w:r>
              <w:rPr>
                <w:rFonts w:ascii="Times New Roman" w:hAnsi="Times New Roman"/>
                <w:color w:val="000000"/>
                <w:sz w:val="20"/>
              </w:rPr>
              <w:br/>
              <w:t>b) control the majority of the votes attaching to shares issued by the undertaking; or</w:t>
            </w:r>
            <w:r>
              <w:rPr>
                <w:rFonts w:ascii="Times New Roman" w:hAnsi="Times New Roman"/>
                <w:color w:val="000000"/>
                <w:sz w:val="20"/>
              </w:rPr>
              <w:br/>
              <w:t>c) can appoint more than half of the members of the undertaking’s administrative, management or supervisory body.</w:t>
            </w:r>
          </w:p>
        </w:tc>
        <w:tc>
          <w:tcPr>
            <w:tcW w:w="900" w:type="dxa"/>
          </w:tcPr>
          <w:p w14:paraId="1C1048BC" w14:textId="4650D05F"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7C3041A"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5AE7C062" w14:textId="77777777" w:rsidTr="00BB0DAB">
        <w:tc>
          <w:tcPr>
            <w:tcW w:w="800" w:type="dxa"/>
            <w:tcBorders>
              <w:left w:val="single" w:sz="12" w:space="0" w:color="auto"/>
            </w:tcBorders>
          </w:tcPr>
          <w:p w14:paraId="29F290B2"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 paragraph 1</w:t>
            </w:r>
          </w:p>
        </w:tc>
        <w:tc>
          <w:tcPr>
            <w:tcW w:w="5220" w:type="dxa"/>
            <w:tcBorders>
              <w:right w:val="single" w:sz="12" w:space="0" w:color="auto"/>
            </w:tcBorders>
          </w:tcPr>
          <w:p w14:paraId="45A51844" w14:textId="77777777" w:rsidR="00751469" w:rsidRPr="00DF12A5" w:rsidRDefault="00751469" w:rsidP="00751469">
            <w:pPr>
              <w:pStyle w:val="Heading3"/>
              <w:spacing w:before="0" w:after="0" w:line="240" w:lineRule="auto"/>
              <w:jc w:val="both"/>
              <w:rPr>
                <w:rFonts w:ascii="Times New Roman" w:eastAsiaTheme="minorEastAsia" w:hAnsi="Times New Roman" w:cs="Times New Roman"/>
                <w:color w:val="auto"/>
                <w:sz w:val="20"/>
                <w:szCs w:val="20"/>
                <w:lang w:val="sq-AL"/>
              </w:rPr>
            </w:pPr>
            <w:r>
              <w:rPr>
                <w:rFonts w:ascii="Times New Roman" w:hAnsi="Times New Roman"/>
                <w:color w:val="000000"/>
                <w:sz w:val="20"/>
              </w:rPr>
              <w:t>Dual recourse</w:t>
            </w:r>
            <w:r>
              <w:rPr>
                <w:rFonts w:ascii="Times New Roman" w:hAnsi="Times New Roman"/>
                <w:color w:val="000000"/>
                <w:sz w:val="20"/>
              </w:rPr>
              <w:br/>
              <w:t>Member States shall lay down rules entitling covered bond investors and counterparties of derivative contracts that comply with Article 11 to the following claims:</w:t>
            </w:r>
            <w:r>
              <w:rPr>
                <w:rFonts w:ascii="Times New Roman" w:hAnsi="Times New Roman"/>
                <w:color w:val="000000"/>
                <w:sz w:val="20"/>
              </w:rPr>
              <w:br/>
              <w:t>(a) a claim against the credit institution issuing the covered bonds;</w:t>
            </w:r>
            <w:r>
              <w:rPr>
                <w:rFonts w:ascii="Times New Roman" w:hAnsi="Times New Roman"/>
                <w:color w:val="000000"/>
                <w:sz w:val="20"/>
              </w:rPr>
              <w:br/>
              <w:t>(b) in the case of the insolvency or resolution of the credit institution issuing the covered bonds, a priority claim against the principal and any accrued and future interest on cover assets;</w:t>
            </w:r>
            <w:r>
              <w:rPr>
                <w:rFonts w:ascii="Times New Roman" w:hAnsi="Times New Roman"/>
                <w:color w:val="000000"/>
                <w:sz w:val="20"/>
              </w:rPr>
              <w:br/>
              <w:t>(c) in the case of the insolvency of the credit institution issuing the covered bonds and in the event that the priority claim as referred to in point (b) cannot be fully satisfied, a claim against the insolvency estate of that credit institution, which ranks pari passu with the claims of the credit institution’s ordinary unsecured creditors determined in accordance with the national laws governing the ranking in normal insolvency proceedings.</w:t>
            </w:r>
          </w:p>
        </w:tc>
        <w:tc>
          <w:tcPr>
            <w:tcW w:w="624" w:type="dxa"/>
            <w:tcBorders>
              <w:left w:val="single" w:sz="12" w:space="0" w:color="auto"/>
            </w:tcBorders>
          </w:tcPr>
          <w:p w14:paraId="17E68D10" w14:textId="7C31D0A5"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2BE63C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 paragraph 1</w:t>
            </w:r>
          </w:p>
        </w:tc>
        <w:tc>
          <w:tcPr>
            <w:tcW w:w="5130" w:type="dxa"/>
          </w:tcPr>
          <w:p w14:paraId="5D05746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Covered bond investors and counterparties of derivative contracts that comply with the conditions laid down in Article 10 of this Law shall be entitled to the following claims:</w:t>
            </w:r>
            <w:r>
              <w:rPr>
                <w:rFonts w:ascii="Times New Roman" w:hAnsi="Times New Roman"/>
                <w:color w:val="000000"/>
                <w:sz w:val="20"/>
              </w:rPr>
              <w:br/>
              <w:t>(a) a claim against the credit institution issuing the covered bonds;</w:t>
            </w:r>
            <w:r>
              <w:rPr>
                <w:rFonts w:ascii="Times New Roman" w:hAnsi="Times New Roman"/>
                <w:color w:val="000000"/>
                <w:sz w:val="20"/>
              </w:rPr>
              <w:br/>
              <w:t>(b) in the case of the insolvency or resolution of the credit institution issuing the covered bonds, a priority claim against the principal and any accrued and future interest on cover assets;</w:t>
            </w:r>
            <w:r>
              <w:rPr>
                <w:rFonts w:ascii="Times New Roman" w:hAnsi="Times New Roman"/>
                <w:color w:val="000000"/>
                <w:sz w:val="20"/>
              </w:rPr>
              <w:br/>
              <w:t>(c) in the case of the insolvency of the credit institution issuing the covered bonds and where the assets in the cover pool are insufficient to fully satisfy the priority claim referred to in point (b) of this paragraph, a claim against the liquidation estate of that credit institution, which ranks pari passu with the claims of ordinary unsecured creditors, in accordance with the legislation in force governing the ranking of creditors in liquidation proceedings.</w:t>
            </w:r>
          </w:p>
        </w:tc>
        <w:tc>
          <w:tcPr>
            <w:tcW w:w="900" w:type="dxa"/>
          </w:tcPr>
          <w:p w14:paraId="35502B81" w14:textId="0AE9E0F3"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FA1BD4B"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76F99952" w14:textId="77777777" w:rsidTr="00BB0DAB">
        <w:tc>
          <w:tcPr>
            <w:tcW w:w="800" w:type="dxa"/>
            <w:tcBorders>
              <w:left w:val="single" w:sz="12" w:space="0" w:color="auto"/>
            </w:tcBorders>
          </w:tcPr>
          <w:p w14:paraId="07CC5D27"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 paragraph 2</w:t>
            </w:r>
          </w:p>
        </w:tc>
        <w:tc>
          <w:tcPr>
            <w:tcW w:w="5220" w:type="dxa"/>
            <w:tcBorders>
              <w:right w:val="single" w:sz="12" w:space="0" w:color="auto"/>
            </w:tcBorders>
          </w:tcPr>
          <w:p w14:paraId="461E43B6"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claims referred to in paragraph 1 shall be limited to the full payment obligations attached to the covered bonds.</w:t>
            </w:r>
          </w:p>
        </w:tc>
        <w:tc>
          <w:tcPr>
            <w:tcW w:w="624" w:type="dxa"/>
            <w:tcBorders>
              <w:left w:val="single" w:sz="12" w:space="0" w:color="auto"/>
            </w:tcBorders>
          </w:tcPr>
          <w:p w14:paraId="12186CD8" w14:textId="66716A83" w:rsidR="00751469" w:rsidRPr="00DF12A5" w:rsidRDefault="00D15FBC" w:rsidP="00BB0DAB">
            <w:pPr>
              <w:spacing w:after="0" w:line="240" w:lineRule="auto"/>
              <w:jc w:val="center"/>
              <w:rPr>
                <w:rFonts w:ascii="Times New Roman" w:eastAsia="Calibri" w:hAnsi="Times New Roman" w:cs="Times New Roman"/>
                <w:sz w:val="20"/>
                <w:szCs w:val="20"/>
                <w:lang w:val="sq-AL"/>
              </w:rPr>
            </w:pPr>
            <w:r>
              <w:rPr>
                <w:rFonts w:ascii="Times New Roman" w:eastAsia="Calibri" w:hAnsi="Times New Roman" w:cs="Times New Roman"/>
                <w:sz w:val="20"/>
                <w:szCs w:val="20"/>
                <w:lang w:val="sq-AL"/>
              </w:rPr>
              <w:t>0.1</w:t>
            </w:r>
          </w:p>
        </w:tc>
        <w:tc>
          <w:tcPr>
            <w:tcW w:w="906" w:type="dxa"/>
          </w:tcPr>
          <w:p w14:paraId="4E14582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 paragraph 2</w:t>
            </w:r>
          </w:p>
        </w:tc>
        <w:tc>
          <w:tcPr>
            <w:tcW w:w="5130" w:type="dxa"/>
          </w:tcPr>
          <w:p w14:paraId="7D85FCF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claims referred to in paragraph 1 of this Article shall be limited to the full payment obligations attached to the covered bonds.</w:t>
            </w:r>
          </w:p>
        </w:tc>
        <w:tc>
          <w:tcPr>
            <w:tcW w:w="900" w:type="dxa"/>
          </w:tcPr>
          <w:p w14:paraId="1847AB04" w14:textId="0AFE19AB"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0786CFB"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3DD446B3" w14:textId="77777777" w:rsidTr="00BB0DAB">
        <w:tc>
          <w:tcPr>
            <w:tcW w:w="800" w:type="dxa"/>
            <w:tcBorders>
              <w:left w:val="single" w:sz="12" w:space="0" w:color="auto"/>
            </w:tcBorders>
          </w:tcPr>
          <w:p w14:paraId="607BCB35"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 paragraph 3</w:t>
            </w:r>
          </w:p>
        </w:tc>
        <w:tc>
          <w:tcPr>
            <w:tcW w:w="5220" w:type="dxa"/>
            <w:tcBorders>
              <w:right w:val="single" w:sz="12" w:space="0" w:color="auto"/>
            </w:tcBorders>
          </w:tcPr>
          <w:p w14:paraId="082FAA2A"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point (c) of paragraph 1 of this Article, in the case of the insolvency of a specialised mortgage credit institution, Member States may lay down rules granting the covered bond investors and counterparties of derivative contracts that comply with Article 11 a claim that ranks senior to the claim of that specialised mortgage credit institution’s ordinary unsecured creditors, determined in accordance with the national laws governing the ranking of creditors in normal insolvency proceedings, but junior to any other preferred creditors.</w:t>
            </w:r>
          </w:p>
        </w:tc>
        <w:tc>
          <w:tcPr>
            <w:tcW w:w="624" w:type="dxa"/>
            <w:tcBorders>
              <w:left w:val="single" w:sz="12" w:space="0" w:color="auto"/>
            </w:tcBorders>
          </w:tcPr>
          <w:p w14:paraId="279FD50A" w14:textId="45D5EA28"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9BCBAE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 paragraph 3</w:t>
            </w:r>
          </w:p>
        </w:tc>
        <w:tc>
          <w:tcPr>
            <w:tcW w:w="5130" w:type="dxa"/>
          </w:tcPr>
          <w:p w14:paraId="185BC4D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For the purposes of point (c) of paragraph 1 of this Article, in the case of the insolvency of a specialised mortgage credit institution, rules may be laid down granting covered bond investors and counterparties of derivative contracts that comply with Article 10 of this Law a claim that:</w:t>
            </w:r>
            <w:r>
              <w:rPr>
                <w:rFonts w:ascii="Times New Roman" w:hAnsi="Times New Roman"/>
                <w:color w:val="000000"/>
                <w:sz w:val="20"/>
              </w:rPr>
              <w:br/>
              <w:t>(a) ranks senior to the claims of that credit institution’s ordinary unsecured creditors, in accordance with Albanian legislation governing the ranking of creditors in insolvency proceedings; and</w:t>
            </w:r>
            <w:r>
              <w:rPr>
                <w:rFonts w:ascii="Times New Roman" w:hAnsi="Times New Roman"/>
                <w:color w:val="000000"/>
                <w:sz w:val="20"/>
              </w:rPr>
              <w:br/>
              <w:t>(b) ranks junior to the claims of any other preferred creditors.</w:t>
            </w:r>
          </w:p>
        </w:tc>
        <w:tc>
          <w:tcPr>
            <w:tcW w:w="900" w:type="dxa"/>
          </w:tcPr>
          <w:p w14:paraId="139BC63A" w14:textId="179A4A97"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A10492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09F670EE" w14:textId="77777777" w:rsidTr="00BB0DAB">
        <w:tc>
          <w:tcPr>
            <w:tcW w:w="800" w:type="dxa"/>
            <w:tcBorders>
              <w:left w:val="single" w:sz="12" w:space="0" w:color="auto"/>
            </w:tcBorders>
          </w:tcPr>
          <w:p w14:paraId="13A90477"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5</w:t>
            </w:r>
          </w:p>
        </w:tc>
        <w:tc>
          <w:tcPr>
            <w:tcW w:w="5220" w:type="dxa"/>
            <w:tcBorders>
              <w:right w:val="single" w:sz="12" w:space="0" w:color="auto"/>
            </w:tcBorders>
          </w:tcPr>
          <w:p w14:paraId="33D4DDDF" w14:textId="77777777" w:rsidR="00751469" w:rsidRPr="00DF12A5" w:rsidRDefault="00751469" w:rsidP="00751469">
            <w:pPr>
              <w:pStyle w:val="Heading3"/>
              <w:spacing w:before="0" w:after="0" w:line="240" w:lineRule="auto"/>
              <w:jc w:val="both"/>
              <w:rPr>
                <w:rFonts w:ascii="Times New Roman" w:eastAsiaTheme="minorEastAsia" w:hAnsi="Times New Roman" w:cs="Times New Roman"/>
                <w:color w:val="auto"/>
                <w:sz w:val="20"/>
                <w:szCs w:val="20"/>
                <w:lang w:val="sq-AL"/>
              </w:rPr>
            </w:pPr>
            <w:r>
              <w:rPr>
                <w:rFonts w:ascii="Times New Roman" w:hAnsi="Times New Roman"/>
                <w:color w:val="000000"/>
                <w:sz w:val="20"/>
              </w:rPr>
              <w:t>Bankruptcy remoteness of covered bonds</w:t>
            </w:r>
            <w:r>
              <w:rPr>
                <w:rFonts w:ascii="Times New Roman" w:hAnsi="Times New Roman"/>
                <w:color w:val="000000"/>
                <w:sz w:val="20"/>
              </w:rPr>
              <w:br/>
              <w:t>Member States shall ensure that the payment obligations attached to covered bonds are not subject to automatic acceleration upon the insolvency or resolution of the credit institution issuing the covered bonds.</w:t>
            </w:r>
          </w:p>
        </w:tc>
        <w:tc>
          <w:tcPr>
            <w:tcW w:w="624" w:type="dxa"/>
            <w:tcBorders>
              <w:left w:val="single" w:sz="12" w:space="0" w:color="auto"/>
            </w:tcBorders>
          </w:tcPr>
          <w:p w14:paraId="1417049D" w14:textId="10F34DE2"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218B78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5, paragraphs 1-2</w:t>
            </w:r>
          </w:p>
        </w:tc>
        <w:tc>
          <w:tcPr>
            <w:tcW w:w="5130" w:type="dxa"/>
          </w:tcPr>
          <w:p w14:paraId="194499B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In the event of the insolvency, compulsory liquidation or resolution of the issuing credit institution, the payment obligations attached to covered bonds shall not be subject to automatic acceleration or be declared immediately due and payable by investors solely by reason of the insolvency, compulsory liquidation or resolution of the issuing credit institution.</w:t>
            </w:r>
            <w:r>
              <w:rPr>
                <w:rFonts w:ascii="Times New Roman" w:hAnsi="Times New Roman"/>
                <w:color w:val="000000"/>
                <w:sz w:val="20"/>
              </w:rPr>
              <w:br/>
              <w:t>2. In the event of the insolvency or compulsory liquidation of the issuing credit institution, the claims of covered bond investors and counterparties of derivative contracts shall fall due in accordance with the agreed terms and shall be paid from the cover pool in accordance with this Law. The cover pool shall not form part of the liquidation estate of the issuing credit institution, except in the cases provided for in this Law.</w:t>
            </w:r>
          </w:p>
        </w:tc>
        <w:tc>
          <w:tcPr>
            <w:tcW w:w="900" w:type="dxa"/>
          </w:tcPr>
          <w:p w14:paraId="77CAEB9B" w14:textId="461DE551"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EBD947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101DF51A" w14:textId="77777777" w:rsidTr="00BB0DAB">
        <w:tc>
          <w:tcPr>
            <w:tcW w:w="800" w:type="dxa"/>
            <w:tcBorders>
              <w:left w:val="single" w:sz="12" w:space="0" w:color="auto"/>
            </w:tcBorders>
          </w:tcPr>
          <w:p w14:paraId="4E57150E"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1</w:t>
            </w:r>
          </w:p>
        </w:tc>
        <w:tc>
          <w:tcPr>
            <w:tcW w:w="5220" w:type="dxa"/>
            <w:tcBorders>
              <w:right w:val="single" w:sz="12" w:space="0" w:color="auto"/>
            </w:tcBorders>
          </w:tcPr>
          <w:p w14:paraId="1FA9F9ED" w14:textId="77777777" w:rsidR="00751469" w:rsidRPr="00DF12A5" w:rsidRDefault="00751469" w:rsidP="00751469">
            <w:pPr>
              <w:pStyle w:val="Heading3"/>
              <w:spacing w:before="0" w:after="0" w:line="240" w:lineRule="auto"/>
              <w:jc w:val="both"/>
              <w:rPr>
                <w:rFonts w:ascii="Times New Roman" w:eastAsiaTheme="minorEastAsia" w:hAnsi="Times New Roman" w:cs="Times New Roman"/>
                <w:color w:val="auto"/>
                <w:sz w:val="20"/>
                <w:szCs w:val="20"/>
                <w:lang w:val="sq-AL"/>
              </w:rPr>
            </w:pPr>
            <w:r>
              <w:rPr>
                <w:rFonts w:ascii="Times New Roman" w:hAnsi="Times New Roman"/>
                <w:color w:val="000000"/>
                <w:sz w:val="20"/>
              </w:rPr>
              <w:t>Eligible cover assets</w:t>
            </w:r>
            <w:r>
              <w:rPr>
                <w:rFonts w:ascii="Times New Roman" w:hAnsi="Times New Roman"/>
                <w:color w:val="000000"/>
                <w:sz w:val="20"/>
              </w:rPr>
              <w:br/>
              <w:t>Member States shall require that covered bonds are at all times secured by:</w:t>
            </w:r>
            <w:r>
              <w:rPr>
                <w:rFonts w:ascii="Times New Roman" w:hAnsi="Times New Roman"/>
                <w:color w:val="000000"/>
                <w:sz w:val="20"/>
              </w:rPr>
              <w:br/>
              <w:t>(a) assets that are eligible pursuant to Article 129(1) of Regulation (EU) No 575/2013, provided that the credit institution issuing the covered bonds meets the requirements of paragraphs 1a to 3 of Article 129 of that Regulation;</w:t>
            </w:r>
            <w:r>
              <w:rPr>
                <w:rFonts w:ascii="Times New Roman" w:hAnsi="Times New Roman"/>
                <w:color w:val="000000"/>
                <w:sz w:val="20"/>
              </w:rPr>
              <w:br/>
              <w:t>(b) high-quality cover assets that ensure that the credit institution issuing the covered bonds has a claim for payment as set out in paragraph 2 and are secured by collateral assets as set out in paragraph 3; or</w:t>
            </w:r>
            <w:r>
              <w:rPr>
                <w:rFonts w:ascii="Times New Roman" w:hAnsi="Times New Roman"/>
                <w:color w:val="000000"/>
                <w:sz w:val="20"/>
              </w:rPr>
              <w:br/>
              <w:t>(c) assets in the form of loans to or guaranteed by public undertakings, subject to paragraph 4 of this Article.</w:t>
            </w:r>
          </w:p>
        </w:tc>
        <w:tc>
          <w:tcPr>
            <w:tcW w:w="624" w:type="dxa"/>
            <w:tcBorders>
              <w:left w:val="single" w:sz="12" w:space="0" w:color="auto"/>
            </w:tcBorders>
          </w:tcPr>
          <w:p w14:paraId="19764F28" w14:textId="575CC074"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AC7840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1</w:t>
            </w:r>
          </w:p>
        </w:tc>
        <w:tc>
          <w:tcPr>
            <w:tcW w:w="5130" w:type="dxa"/>
          </w:tcPr>
          <w:p w14:paraId="0320D9DD"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Credit institutions issuing covered bonds shall ensure that those bonds are at all times secured by:</w:t>
            </w:r>
            <w:r>
              <w:rPr>
                <w:rFonts w:ascii="Times New Roman" w:hAnsi="Times New Roman"/>
                <w:color w:val="000000"/>
                <w:sz w:val="20"/>
              </w:rPr>
              <w:br/>
              <w:t>(a) assets that are eligible under the prudential regulatory framework on capital requirements and, upon the accession of the Republic of Albania to the European Union, pursuant to Article 129(1) of Regulation (EU) No 575/2013, provided that the issuer meets the requirements of the prudential regulatory framework on capital requirements and, upon the accession of the Republic of Albania to the European Union, the requirements of Article 129(1) to (3) of Regulation (EU) No 575/2013;</w:t>
            </w:r>
            <w:r>
              <w:rPr>
                <w:rFonts w:ascii="Times New Roman" w:hAnsi="Times New Roman"/>
                <w:color w:val="000000"/>
                <w:sz w:val="20"/>
              </w:rPr>
              <w:br/>
              <w:t>(b) high-quality cover assets that ensure that the credit institution issuing the covered bonds has a claim for payment in accordance with paragraph 2 and that are secured by collateral assets in accordance with paragraph 3 of this Article;</w:t>
            </w:r>
            <w:r>
              <w:rPr>
                <w:rFonts w:ascii="Times New Roman" w:hAnsi="Times New Roman"/>
                <w:color w:val="000000"/>
                <w:sz w:val="20"/>
              </w:rPr>
              <w:br/>
              <w:t>(c) assets in the form of loans to or guaranteed by public undertakings, in accordance with paragraph 4 of this Article.</w:t>
            </w:r>
          </w:p>
        </w:tc>
        <w:tc>
          <w:tcPr>
            <w:tcW w:w="900" w:type="dxa"/>
          </w:tcPr>
          <w:p w14:paraId="1E52942E" w14:textId="47D54C11"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10B789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295F3B92" w14:textId="77777777" w:rsidTr="00BB0DAB">
        <w:tc>
          <w:tcPr>
            <w:tcW w:w="800" w:type="dxa"/>
            <w:tcBorders>
              <w:left w:val="single" w:sz="12" w:space="0" w:color="auto"/>
            </w:tcBorders>
          </w:tcPr>
          <w:p w14:paraId="68509B6B"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2</w:t>
            </w:r>
          </w:p>
        </w:tc>
        <w:tc>
          <w:tcPr>
            <w:tcW w:w="5220" w:type="dxa"/>
            <w:tcBorders>
              <w:right w:val="single" w:sz="12" w:space="0" w:color="auto"/>
            </w:tcBorders>
          </w:tcPr>
          <w:p w14:paraId="776741D1"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claim for payment referred to in point (b) of paragraph 1 shall be subject to the following legal requirements:</w:t>
            </w:r>
            <w:r>
              <w:rPr>
                <w:rFonts w:ascii="Times New Roman" w:hAnsi="Times New Roman"/>
                <w:color w:val="000000"/>
                <w:sz w:val="20"/>
              </w:rPr>
              <w:br/>
              <w:t>(a) the asset represents a claim for payment of monies that has a minimum value that is determinable at all times, that is legally valid and enforceable, that is not subject to conditions other than the condition that the claim matures at a future date, and that is secured by a mortgage, charge, lien or other guarantee;</w:t>
            </w:r>
            <w:r>
              <w:rPr>
                <w:rFonts w:ascii="Times New Roman" w:hAnsi="Times New Roman"/>
                <w:color w:val="000000"/>
                <w:sz w:val="20"/>
              </w:rPr>
              <w:br/>
              <w:t>(b) the mortgage, charge, lien or other guarantee securing the claim for payment is enforceable;</w:t>
            </w:r>
            <w:r>
              <w:rPr>
                <w:rFonts w:ascii="Times New Roman" w:hAnsi="Times New Roman"/>
                <w:color w:val="000000"/>
                <w:sz w:val="20"/>
              </w:rPr>
              <w:br/>
              <w:t>(c) all legal requirements for establishing the mortgage, charge, lien or guarantee securing the claim for payment have been fulfilled;</w:t>
            </w:r>
            <w:r>
              <w:rPr>
                <w:rFonts w:ascii="Times New Roman" w:hAnsi="Times New Roman"/>
                <w:color w:val="000000"/>
                <w:sz w:val="20"/>
              </w:rPr>
              <w:br/>
              <w:t>(d) the mortgage, charge, lien or guarantee securing the claim for payment enables the credit institution issuing the covered bonds to recover the value of the claim without undue delay. Member States shall require that credit institutions issuing covered bonds assess the enforceability of claims for payment and the ability to realise collateral assets before including them in the cover pool.</w:t>
            </w:r>
          </w:p>
        </w:tc>
        <w:tc>
          <w:tcPr>
            <w:tcW w:w="624" w:type="dxa"/>
            <w:tcBorders>
              <w:left w:val="single" w:sz="12" w:space="0" w:color="auto"/>
            </w:tcBorders>
          </w:tcPr>
          <w:p w14:paraId="6DE6FB98" w14:textId="68C6E8AD"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14EE8B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paragraphs 2-3</w:t>
            </w:r>
          </w:p>
        </w:tc>
        <w:tc>
          <w:tcPr>
            <w:tcW w:w="5130" w:type="dxa"/>
          </w:tcPr>
          <w:p w14:paraId="5B42621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claim for payment referred to in paragraph 1(b) of this Article shall:</w:t>
            </w:r>
            <w:r>
              <w:rPr>
                <w:rFonts w:ascii="Times New Roman" w:hAnsi="Times New Roman"/>
                <w:color w:val="000000"/>
                <w:sz w:val="20"/>
              </w:rPr>
              <w:br/>
              <w:t>(a) represent a claim for payment of monies that has a minimum value determinable at all times, is legally valid and enforceable, and is not subject to conditions other than the condition that the claim matures at a future date;</w:t>
            </w:r>
            <w:r>
              <w:rPr>
                <w:rFonts w:ascii="Times New Roman" w:hAnsi="Times New Roman"/>
                <w:color w:val="000000"/>
                <w:sz w:val="20"/>
              </w:rPr>
              <w:br/>
              <w:t>(b) be secured by a mortgage, charge, lien or guarantee;</w:t>
            </w:r>
            <w:r>
              <w:rPr>
                <w:rFonts w:ascii="Times New Roman" w:hAnsi="Times New Roman"/>
                <w:color w:val="000000"/>
                <w:sz w:val="20"/>
              </w:rPr>
              <w:br/>
              <w:t>(c) meet all legal requirements for establishing the mortgage, charge, lien or guarantee;</w:t>
            </w:r>
            <w:r>
              <w:rPr>
                <w:rFonts w:ascii="Times New Roman" w:hAnsi="Times New Roman"/>
                <w:color w:val="000000"/>
                <w:sz w:val="20"/>
              </w:rPr>
              <w:br/>
              <w:t>(d) ensure that the mortgage, charge, lien or guarantee securing the claim for payment enables the credit institution issuing the covered bonds to recover the value of that claim without undue delay.</w:t>
            </w:r>
            <w:r>
              <w:rPr>
                <w:rFonts w:ascii="Times New Roman" w:hAnsi="Times New Roman"/>
                <w:color w:val="000000"/>
                <w:sz w:val="20"/>
              </w:rPr>
              <w:br/>
              <w:t>3. Before including assets in the cover pool, credit institutions issuing covered bonds shall assess the enforceability of the claims for payment and the ability to realise the collateral assets.</w:t>
            </w:r>
          </w:p>
        </w:tc>
        <w:tc>
          <w:tcPr>
            <w:tcW w:w="900" w:type="dxa"/>
          </w:tcPr>
          <w:p w14:paraId="1CBABDC4" w14:textId="73FA8F38"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30EC9C4"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6B203E09" w14:textId="77777777" w:rsidTr="00BB0DAB">
        <w:tc>
          <w:tcPr>
            <w:tcW w:w="800" w:type="dxa"/>
            <w:tcBorders>
              <w:left w:val="single" w:sz="12" w:space="0" w:color="auto"/>
            </w:tcBorders>
          </w:tcPr>
          <w:p w14:paraId="457D21F0"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3</w:t>
            </w:r>
          </w:p>
        </w:tc>
        <w:tc>
          <w:tcPr>
            <w:tcW w:w="5220" w:type="dxa"/>
            <w:tcBorders>
              <w:right w:val="single" w:sz="12" w:space="0" w:color="auto"/>
            </w:tcBorders>
          </w:tcPr>
          <w:p w14:paraId="6C8BBC1E"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collateral assets referred to in point (b) of paragraph 1 shall meet one of the following requirements:</w:t>
            </w:r>
            <w:r>
              <w:rPr>
                <w:rFonts w:ascii="Times New Roman" w:hAnsi="Times New Roman"/>
                <w:color w:val="000000"/>
                <w:sz w:val="20"/>
              </w:rPr>
              <w:br/>
              <w:t>(a) for physical collateral assets, there exist valuation standards that are generally accepted among experts and that are appropriate for the physical collateral asset concerned and there exists a public register that records ownership of and claims on those physical collateral assets; or</w:t>
            </w:r>
            <w:r>
              <w:rPr>
                <w:rFonts w:ascii="Times New Roman" w:hAnsi="Times New Roman"/>
                <w:color w:val="000000"/>
                <w:sz w:val="20"/>
              </w:rPr>
              <w:br/>
              <w:t>(b) for assets in the form of exposures, the safety and soundness of the exposure counterparty is implied by tax-raising powers or by being subject to ongoing public supervision of the counterparty’s operational soundness and financial solvability. Physical collateral assets referred to in point (a) of the first subparagraph of this paragraph shall contribute to coverage of liabilities attached to the covered bond up to the lesser of the principal amount of the liens that are combined with any prior liens and 70 % of the value of those physical collateral assets. Physical collateral assets referred to in point (a) of the first subparagraph of this paragraph which secure assets as referred to in point (a) of paragraph 1 shall not be required to comply with the limit of 70 % or with the limits of Article 129(1) of Regulation (EU) No 575/2013. Where, for the purposes of point (a) of the first subparagraph of this paragraph, no public register for a particular physical collateral asset exists, Member States may provide for an alternative form of certification of the ownership of and claims on that physical collateral asset, insofar as that form of certification provides protection that is comparable to the protection provided by a public register in the sense that it allows interested third parties, in accordance with the law of the Member State concerned, to access information in relation to the identification of the encumbered physical collateral asset, the attribution of ownership, the documentation and attribution of encumbrances and the enforceability of security interests.</w:t>
            </w:r>
          </w:p>
        </w:tc>
        <w:tc>
          <w:tcPr>
            <w:tcW w:w="624" w:type="dxa"/>
            <w:tcBorders>
              <w:left w:val="single" w:sz="12" w:space="0" w:color="auto"/>
            </w:tcBorders>
          </w:tcPr>
          <w:p w14:paraId="41ACAF0C" w14:textId="1F63C937" w:rsidR="00751469" w:rsidRPr="00DF12A5" w:rsidRDefault="00D15FB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8C4496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paragraphs 4-8</w:t>
            </w:r>
          </w:p>
        </w:tc>
        <w:tc>
          <w:tcPr>
            <w:tcW w:w="5130" w:type="dxa"/>
          </w:tcPr>
          <w:p w14:paraId="3D400F4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The physical collateral assets referred to in paragraph 1(a) of this Article shall contribute to coverage of the liabilities attached to the covered bonds up to the lesser of:</w:t>
            </w:r>
            <w:r>
              <w:rPr>
                <w:rFonts w:ascii="Times New Roman" w:hAnsi="Times New Roman"/>
                <w:color w:val="000000"/>
                <w:sz w:val="20"/>
              </w:rPr>
              <w:br/>
              <w:t>a) the principal amount of the liens on those assets, combined with any prior liens; and</w:t>
            </w:r>
            <w:r>
              <w:rPr>
                <w:rFonts w:ascii="Times New Roman" w:hAnsi="Times New Roman"/>
                <w:color w:val="000000"/>
                <w:sz w:val="20"/>
              </w:rPr>
              <w:br/>
              <w:t>b) 70 % of the value of those physical collateral assets.</w:t>
            </w:r>
            <w:r>
              <w:rPr>
                <w:rFonts w:ascii="Times New Roman" w:hAnsi="Times New Roman"/>
                <w:color w:val="000000"/>
                <w:sz w:val="20"/>
              </w:rPr>
              <w:br/>
              <w:t>5. The physical collateral assets referred to in paragraph 1(a) of this Article which secure assets under that same point shall not be subject to the 70 % limit and, upon the accession of the Republic of Albania to the European Union, shall be subject to the limits laid down in Article 129(1) of Regulation (EU) No 575/2013.</w:t>
            </w:r>
            <w:r>
              <w:rPr>
                <w:rFonts w:ascii="Times New Roman" w:hAnsi="Times New Roman"/>
                <w:color w:val="000000"/>
                <w:sz w:val="20"/>
              </w:rPr>
              <w:br/>
              <w:t>6. Where ownership of and claims on a particular physical collateral asset cannot be evidenced by a public register, they shall be evidenced by an alternative form of certification. Such alternative form shall be permitted only where it provides a level of protection comparable to that provided by a public register for the purposes of paragraph 1(a) of this Article.</w:t>
            </w:r>
            <w:r>
              <w:rPr>
                <w:rFonts w:ascii="Times New Roman" w:hAnsi="Times New Roman"/>
                <w:color w:val="000000"/>
                <w:sz w:val="20"/>
              </w:rPr>
              <w:br/>
              <w:t>7. The alternative form of certification referred to in paragraph 6 of this Article shall ensure that interested parties, in accordance with the legislation in force, have access to information concerning:</w:t>
            </w:r>
            <w:r>
              <w:rPr>
                <w:rFonts w:ascii="Times New Roman" w:hAnsi="Times New Roman"/>
                <w:color w:val="000000"/>
                <w:sz w:val="20"/>
              </w:rPr>
              <w:br/>
              <w:t>(a) identification of the encumbered physical collateral asset;</w:t>
            </w:r>
            <w:r>
              <w:rPr>
                <w:rFonts w:ascii="Times New Roman" w:hAnsi="Times New Roman"/>
                <w:color w:val="000000"/>
                <w:sz w:val="20"/>
              </w:rPr>
              <w:br/>
              <w:t>(b) attribution of ownership of that asset;</w:t>
            </w:r>
            <w:r>
              <w:rPr>
                <w:rFonts w:ascii="Times New Roman" w:hAnsi="Times New Roman"/>
                <w:color w:val="000000"/>
                <w:sz w:val="20"/>
              </w:rPr>
              <w:br/>
              <w:t>(c) documentation and registration of encumbrances on that asset;</w:t>
            </w:r>
            <w:r>
              <w:rPr>
                <w:rFonts w:ascii="Times New Roman" w:hAnsi="Times New Roman"/>
                <w:color w:val="000000"/>
                <w:sz w:val="20"/>
              </w:rPr>
              <w:br/>
              <w:t>(d) enforceability of security interests against third parties.</w:t>
            </w:r>
            <w:r>
              <w:rPr>
                <w:rFonts w:ascii="Times New Roman" w:hAnsi="Times New Roman"/>
                <w:color w:val="000000"/>
                <w:sz w:val="20"/>
              </w:rPr>
              <w:br/>
              <w:t>8. The collateral securing assets under paragraph 1(b) of this Article shall meet at least one of the following requirements:</w:t>
            </w:r>
            <w:r>
              <w:rPr>
                <w:rFonts w:ascii="Times New Roman" w:hAnsi="Times New Roman"/>
                <w:color w:val="000000"/>
                <w:sz w:val="20"/>
              </w:rPr>
              <w:br/>
              <w:t>(a) for physical collateral assets, there exist appropriate valuation standards generally accepted among experts and a public register recording ownership of and claims on those collateral assets; or</w:t>
            </w:r>
            <w:r>
              <w:rPr>
                <w:rFonts w:ascii="Times New Roman" w:hAnsi="Times New Roman"/>
                <w:color w:val="000000"/>
                <w:sz w:val="20"/>
              </w:rPr>
              <w:br/>
              <w:t>(b) for assets in the form of exposures, the safety and soundness of the exposure counterparty derives from its tax-raising powers or from its being subject to ongoing public supervision of its operational soundness and its ability to meet financial obligations.</w:t>
            </w:r>
          </w:p>
        </w:tc>
        <w:tc>
          <w:tcPr>
            <w:tcW w:w="900" w:type="dxa"/>
          </w:tcPr>
          <w:p w14:paraId="5D96754C" w14:textId="584E74DE" w:rsidR="003E7E51" w:rsidRPr="00DF12A5" w:rsidRDefault="00D15FB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01EDD64"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26F80367" w14:textId="77777777" w:rsidTr="00BB0DAB">
        <w:tc>
          <w:tcPr>
            <w:tcW w:w="800" w:type="dxa"/>
            <w:tcBorders>
              <w:left w:val="single" w:sz="12" w:space="0" w:color="auto"/>
            </w:tcBorders>
          </w:tcPr>
          <w:p w14:paraId="4EF8D116" w14:textId="77777777" w:rsidR="00751469" w:rsidRPr="00DF12A5" w:rsidRDefault="00751469" w:rsidP="00751469">
            <w:pPr>
              <w:tabs>
                <w:tab w:val="left" w:pos="720"/>
              </w:tabs>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4</w:t>
            </w:r>
          </w:p>
        </w:tc>
        <w:tc>
          <w:tcPr>
            <w:tcW w:w="5220" w:type="dxa"/>
            <w:tcBorders>
              <w:right w:val="single" w:sz="12" w:space="0" w:color="auto"/>
            </w:tcBorders>
          </w:tcPr>
          <w:p w14:paraId="3A7A0F89"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point (c) of paragraph 1, covered bonds secured by loans to or guaranteed by public undertakings as primary assets shall be subject to a minimum level of 10 % of overcollateralisation and subject to all the following conditions:</w:t>
            </w:r>
            <w:r>
              <w:rPr>
                <w:rFonts w:ascii="Times New Roman" w:hAnsi="Times New Roman"/>
                <w:color w:val="000000"/>
                <w:sz w:val="20"/>
              </w:rPr>
              <w:br/>
              <w:t>(a) the public undertakings provide essential public services on the basis of a licence, a concession contract or other form of entrustment granted by a public authority;</w:t>
            </w:r>
            <w:r>
              <w:rPr>
                <w:rFonts w:ascii="Times New Roman" w:hAnsi="Times New Roman"/>
                <w:color w:val="000000"/>
                <w:sz w:val="20"/>
              </w:rPr>
              <w:br/>
              <w:t>(b) the public undertakings are subject to public supervision;</w:t>
            </w:r>
            <w:r>
              <w:rPr>
                <w:rFonts w:ascii="Times New Roman" w:hAnsi="Times New Roman"/>
                <w:color w:val="000000"/>
                <w:sz w:val="20"/>
              </w:rPr>
              <w:br/>
              <w:t>(c) the public undertakings have sufficient revenue generating powers, which are ensured by the fact of such public undertakings:</w:t>
            </w:r>
            <w:r>
              <w:rPr>
                <w:rFonts w:ascii="Times New Roman" w:hAnsi="Times New Roman"/>
                <w:color w:val="000000"/>
                <w:sz w:val="20"/>
              </w:rPr>
              <w:br/>
              <w:t>(i) having adequate flexibility to collect and to increase fees, charges and receivables for the service provided in order to ensure their financial soundness and solvability;</w:t>
            </w:r>
            <w:r>
              <w:rPr>
                <w:rFonts w:ascii="Times New Roman" w:hAnsi="Times New Roman"/>
                <w:color w:val="000000"/>
                <w:sz w:val="20"/>
              </w:rPr>
              <w:br/>
              <w:t>(ii) receiving sufficient grants on a statutory basis in order to ensure their financial soundness and solvability in exchange for providing essential public services; or</w:t>
            </w:r>
            <w:r>
              <w:rPr>
                <w:rFonts w:ascii="Times New Roman" w:hAnsi="Times New Roman"/>
                <w:color w:val="000000"/>
                <w:sz w:val="20"/>
              </w:rPr>
              <w:br/>
              <w:t>(iii) having entered into a profit and loss transfer agreement with a public authority.</w:t>
            </w:r>
          </w:p>
        </w:tc>
        <w:tc>
          <w:tcPr>
            <w:tcW w:w="624" w:type="dxa"/>
            <w:tcBorders>
              <w:left w:val="single" w:sz="12" w:space="0" w:color="auto"/>
            </w:tcBorders>
          </w:tcPr>
          <w:p w14:paraId="24301843" w14:textId="2736AF0B" w:rsidR="00751469" w:rsidRPr="00DF12A5" w:rsidRDefault="00EE2B5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41F79D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9</w:t>
            </w:r>
          </w:p>
        </w:tc>
        <w:tc>
          <w:tcPr>
            <w:tcW w:w="5130" w:type="dxa"/>
          </w:tcPr>
          <w:p w14:paraId="2692DD9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9. For the purposes of paragraph 1(c) of this Article, covered bonds secured by loans to or guaranteed by public undertakings as primary assets shall be subject to a minimum level of 10 % overcollateralisation, and those public undertakings shall meet all the following conditions:</w:t>
            </w:r>
            <w:r>
              <w:rPr>
                <w:rFonts w:ascii="Times New Roman" w:hAnsi="Times New Roman"/>
                <w:color w:val="000000"/>
                <w:sz w:val="20"/>
              </w:rPr>
              <w:br/>
              <w:t>(a) they provide essential public services on the basis of a licence, concession contract or other form of entrustment granted by a public authority;</w:t>
            </w:r>
            <w:r>
              <w:rPr>
                <w:rFonts w:ascii="Times New Roman" w:hAnsi="Times New Roman"/>
                <w:color w:val="000000"/>
                <w:sz w:val="20"/>
              </w:rPr>
              <w:br/>
              <w:t>(b) they are subject to public supervision;</w:t>
            </w:r>
            <w:r>
              <w:rPr>
                <w:rFonts w:ascii="Times New Roman" w:hAnsi="Times New Roman"/>
                <w:color w:val="000000"/>
                <w:sz w:val="20"/>
              </w:rPr>
              <w:br/>
              <w:t>(c) they have sufficient revenue-generating powers, ensured by the fact that they:</w:t>
            </w:r>
            <w:r>
              <w:rPr>
                <w:rFonts w:ascii="Times New Roman" w:hAnsi="Times New Roman"/>
                <w:color w:val="000000"/>
                <w:sz w:val="20"/>
              </w:rPr>
              <w:br/>
              <w:t>(i) have adequate flexibility to collect and increase fees, charges and receivables for the services provided in order to ensure their financial soundness and solvability;</w:t>
            </w:r>
            <w:r>
              <w:rPr>
                <w:rFonts w:ascii="Times New Roman" w:hAnsi="Times New Roman"/>
                <w:color w:val="000000"/>
                <w:sz w:val="20"/>
              </w:rPr>
              <w:br/>
              <w:t>(ii) receive sufficient grants on a statutory basis in order to ensure their financial soundness and solvability in exchange for providing essential public services; or</w:t>
            </w:r>
            <w:r>
              <w:rPr>
                <w:rFonts w:ascii="Times New Roman" w:hAnsi="Times New Roman"/>
                <w:color w:val="000000"/>
                <w:sz w:val="20"/>
              </w:rPr>
              <w:br/>
              <w:t>(iii) have entered into a profit and loss transfer agreement with a public authority.</w:t>
            </w:r>
          </w:p>
        </w:tc>
        <w:tc>
          <w:tcPr>
            <w:tcW w:w="900" w:type="dxa"/>
          </w:tcPr>
          <w:p w14:paraId="6B4CB111" w14:textId="4ED81FA6" w:rsidR="003E7E51" w:rsidRPr="00DF12A5" w:rsidRDefault="00EE2B5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831BBA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06B642A3" w14:textId="77777777" w:rsidTr="00BB0DAB">
        <w:tc>
          <w:tcPr>
            <w:tcW w:w="800" w:type="dxa"/>
            <w:tcBorders>
              <w:left w:val="single" w:sz="12" w:space="0" w:color="auto"/>
            </w:tcBorders>
          </w:tcPr>
          <w:p w14:paraId="13A76043"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5</w:t>
            </w:r>
          </w:p>
        </w:tc>
        <w:tc>
          <w:tcPr>
            <w:tcW w:w="5220" w:type="dxa"/>
            <w:tcBorders>
              <w:right w:val="single" w:sz="12" w:space="0" w:color="auto"/>
            </w:tcBorders>
          </w:tcPr>
          <w:p w14:paraId="172495A7"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lay down rules on the methodology and process for the valuation of physical collateral assets which secure assets as referred to in points (a) and (b) of paragraph 1. Those rules shall ensure at least the following:</w:t>
            </w:r>
            <w:r>
              <w:rPr>
                <w:rFonts w:ascii="Times New Roman" w:hAnsi="Times New Roman"/>
                <w:color w:val="000000"/>
                <w:sz w:val="20"/>
              </w:rPr>
              <w:br/>
              <w:t>(a) for each physical collateral asset, that a current valuation at or at less than market value or mortgage lending value exists at the moment of inclusion of the cover asset in the cover pool;</w:t>
            </w:r>
            <w:r>
              <w:rPr>
                <w:rFonts w:ascii="Times New Roman" w:hAnsi="Times New Roman"/>
                <w:color w:val="000000"/>
                <w:sz w:val="20"/>
              </w:rPr>
              <w:br/>
              <w:t>(b) that the valuation is carried out by a valuer who possesses the necessary qualifications, ability and experience; and</w:t>
            </w:r>
            <w:r>
              <w:rPr>
                <w:rFonts w:ascii="Times New Roman" w:hAnsi="Times New Roman"/>
                <w:color w:val="000000"/>
                <w:sz w:val="20"/>
              </w:rPr>
              <w:br/>
              <w:t>(c) that the valuer is independent from the credit decision process, does not take into account speculative elements in the assessment of the value of the physical collateral asset, and documents the value of the physical collateral asset in a transparent and clear manner.</w:t>
            </w:r>
          </w:p>
        </w:tc>
        <w:tc>
          <w:tcPr>
            <w:tcW w:w="624" w:type="dxa"/>
            <w:tcBorders>
              <w:left w:val="single" w:sz="12" w:space="0" w:color="auto"/>
            </w:tcBorders>
          </w:tcPr>
          <w:p w14:paraId="2FAB0EB1" w14:textId="322D9446" w:rsidR="00751469" w:rsidRPr="00DF12A5" w:rsidRDefault="00EE2B5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05F70D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paragraphs 10 and 14</w:t>
            </w:r>
          </w:p>
        </w:tc>
        <w:tc>
          <w:tcPr>
            <w:tcW w:w="5130" w:type="dxa"/>
          </w:tcPr>
          <w:p w14:paraId="7877FDE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10. The valuation of physical collateral assets securing assets under paragraph 1(a) and (b) of this Article shall ensure that:</w:t>
            </w:r>
            <w:r>
              <w:rPr>
                <w:rFonts w:ascii="Times New Roman" w:hAnsi="Times New Roman"/>
                <w:color w:val="000000"/>
                <w:sz w:val="20"/>
              </w:rPr>
              <w:br/>
              <w:t>(a) for each physical collateral asset, a current valuation at or below market value or mortgage lending value exists at the time the cover asset is included in the cover pool;</w:t>
            </w:r>
            <w:r>
              <w:rPr>
                <w:rFonts w:ascii="Times New Roman" w:hAnsi="Times New Roman"/>
                <w:color w:val="000000"/>
                <w:sz w:val="20"/>
              </w:rPr>
              <w:br/>
              <w:t>(b) the valuation is carried out by a valuer who possesses the necessary qualifications, ability and experience;</w:t>
            </w:r>
            <w:r>
              <w:rPr>
                <w:rFonts w:ascii="Times New Roman" w:hAnsi="Times New Roman"/>
                <w:color w:val="000000"/>
                <w:sz w:val="20"/>
              </w:rPr>
              <w:br/>
              <w:t>(c) the valuer is independent from the credit decision process, does not take speculative elements into account in assessing the value and documents the value of the physical collateral asset in a clear and transparent manner.</w:t>
            </w:r>
            <w:r>
              <w:rPr>
                <w:rFonts w:ascii="Times New Roman" w:hAnsi="Times New Roman"/>
                <w:color w:val="000000"/>
                <w:sz w:val="20"/>
              </w:rPr>
              <w:br/>
              <w:t>14. In addition to the criteria laid down in paragraph 13 of this Article, the Bank of Albania may lay down additional criteria by regulation.</w:t>
            </w:r>
          </w:p>
        </w:tc>
        <w:tc>
          <w:tcPr>
            <w:tcW w:w="900" w:type="dxa"/>
          </w:tcPr>
          <w:p w14:paraId="2E5584E7" w14:textId="5DF9C0BC" w:rsidR="003E7E51" w:rsidRPr="00DF12A5" w:rsidRDefault="00EE2B5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1D86C0F"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51469" w:rsidRPr="00DF12A5" w14:paraId="7FEFB62A" w14:textId="77777777" w:rsidTr="00BB0DAB">
        <w:tc>
          <w:tcPr>
            <w:tcW w:w="800" w:type="dxa"/>
            <w:tcBorders>
              <w:left w:val="single" w:sz="12" w:space="0" w:color="auto"/>
            </w:tcBorders>
          </w:tcPr>
          <w:p w14:paraId="192709C2"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6</w:t>
            </w:r>
          </w:p>
        </w:tc>
        <w:tc>
          <w:tcPr>
            <w:tcW w:w="5220" w:type="dxa"/>
            <w:tcBorders>
              <w:right w:val="single" w:sz="12" w:space="0" w:color="auto"/>
            </w:tcBorders>
          </w:tcPr>
          <w:p w14:paraId="09AE2734" w14:textId="77777777" w:rsidR="00751469" w:rsidRPr="00DF12A5" w:rsidRDefault="00751469" w:rsidP="0075146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require that credit institutions issuing covered bonds have in place procedures to monitor that the physical collateral assets which secure assets as referred to in points (a) and (b) of paragraph 1 of this Article are adequately insured against the risk of damage and that the insurance claim is segregated in accordance with Article 12.</w:t>
            </w:r>
          </w:p>
        </w:tc>
        <w:tc>
          <w:tcPr>
            <w:tcW w:w="624" w:type="dxa"/>
            <w:tcBorders>
              <w:left w:val="single" w:sz="12" w:space="0" w:color="auto"/>
            </w:tcBorders>
          </w:tcPr>
          <w:p w14:paraId="434F3B3B" w14:textId="7556A50E" w:rsidR="00751469" w:rsidRPr="00DF12A5" w:rsidRDefault="00EE2B5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1A02EF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11</w:t>
            </w:r>
          </w:p>
        </w:tc>
        <w:tc>
          <w:tcPr>
            <w:tcW w:w="5130" w:type="dxa"/>
          </w:tcPr>
          <w:p w14:paraId="093655C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11. Credit institutions issuing covered bonds shall have clearly defined procedures to monitor that the physical collateral assets securing the assets referred to in paragraph 1(a) and (b) of this Article are adequately insured against the risk of damage and that the insurance claim is segregated in accordance with Article 11 of this Law.</w:t>
            </w:r>
          </w:p>
        </w:tc>
        <w:tc>
          <w:tcPr>
            <w:tcW w:w="900" w:type="dxa"/>
          </w:tcPr>
          <w:p w14:paraId="0484A469" w14:textId="609890D6" w:rsidR="003E7E51" w:rsidRPr="00DF12A5" w:rsidRDefault="00EE2B5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FA3F4B5" w14:textId="77777777" w:rsidR="003E7E51" w:rsidRPr="00DF12A5" w:rsidRDefault="003E7E51">
            <w:pPr>
              <w:spacing w:after="0" w:line="240" w:lineRule="auto"/>
              <w:jc w:val="both"/>
              <w:rPr>
                <w:rFonts w:ascii="Times New Roman" w:hAnsi="Times New Roman" w:cs="Times New Roman"/>
                <w:sz w:val="20"/>
                <w:szCs w:val="20"/>
                <w:lang w:val="sq-AL"/>
              </w:rPr>
            </w:pPr>
          </w:p>
        </w:tc>
      </w:tr>
      <w:tr w:rsidR="00D15EC2" w:rsidRPr="00DF12A5" w14:paraId="3FB7FBC9" w14:textId="77777777" w:rsidTr="00BB0DAB">
        <w:tc>
          <w:tcPr>
            <w:tcW w:w="800" w:type="dxa"/>
            <w:tcBorders>
              <w:left w:val="single" w:sz="12" w:space="0" w:color="auto"/>
            </w:tcBorders>
          </w:tcPr>
          <w:p w14:paraId="2A2C778C" w14:textId="77777777" w:rsidR="00D15EC2" w:rsidRPr="00DF12A5" w:rsidRDefault="00D15EC2" w:rsidP="00D15EC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7</w:t>
            </w:r>
          </w:p>
        </w:tc>
        <w:tc>
          <w:tcPr>
            <w:tcW w:w="5220" w:type="dxa"/>
            <w:tcBorders>
              <w:right w:val="single" w:sz="12" w:space="0" w:color="auto"/>
            </w:tcBorders>
          </w:tcPr>
          <w:p w14:paraId="06F30D4E" w14:textId="77777777" w:rsidR="00D15EC2" w:rsidRPr="00DF12A5" w:rsidRDefault="00D15EC2" w:rsidP="00D15EC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require credit institutions issuing covered bonds to document the cover assets referred to in points (a) and (b) of paragraph 1 and the compliance of their lending policies with the provisions of national law transposing this Article.</w:t>
            </w:r>
          </w:p>
        </w:tc>
        <w:tc>
          <w:tcPr>
            <w:tcW w:w="624" w:type="dxa"/>
            <w:tcBorders>
              <w:left w:val="single" w:sz="12" w:space="0" w:color="auto"/>
            </w:tcBorders>
          </w:tcPr>
          <w:p w14:paraId="35521BD7" w14:textId="369B699B" w:rsidR="00D15EC2" w:rsidRPr="00DF12A5" w:rsidRDefault="00EE2B5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A02CAE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12</w:t>
            </w:r>
          </w:p>
        </w:tc>
        <w:tc>
          <w:tcPr>
            <w:tcW w:w="5130" w:type="dxa"/>
          </w:tcPr>
          <w:p w14:paraId="482F5B9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12. Credit institutions issuing covered bonds shall keep them in a register and document:</w:t>
            </w:r>
            <w:r>
              <w:rPr>
                <w:rFonts w:ascii="Times New Roman" w:hAnsi="Times New Roman"/>
                <w:color w:val="000000"/>
                <w:sz w:val="20"/>
              </w:rPr>
              <w:br/>
              <w:t>(a) the cover assets referred to in paragraph 1(a) and (b) of this Article; and</w:t>
            </w:r>
            <w:r>
              <w:rPr>
                <w:rFonts w:ascii="Times New Roman" w:hAnsi="Times New Roman"/>
                <w:color w:val="000000"/>
                <w:sz w:val="20"/>
              </w:rPr>
              <w:br/>
              <w:t>(b) the compliance of their lending policies with this Law.</w:t>
            </w:r>
          </w:p>
        </w:tc>
        <w:tc>
          <w:tcPr>
            <w:tcW w:w="900" w:type="dxa"/>
          </w:tcPr>
          <w:p w14:paraId="5BDA3906" w14:textId="41D364F7" w:rsidR="003E7E51" w:rsidRPr="00DF12A5" w:rsidRDefault="00EE2B5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DCA94B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D15EC2" w:rsidRPr="00DF12A5" w14:paraId="54A40A30" w14:textId="77777777" w:rsidTr="00BB0DAB">
        <w:tc>
          <w:tcPr>
            <w:tcW w:w="800" w:type="dxa"/>
            <w:tcBorders>
              <w:left w:val="single" w:sz="12" w:space="0" w:color="auto"/>
            </w:tcBorders>
          </w:tcPr>
          <w:p w14:paraId="1043168E" w14:textId="77777777" w:rsidR="00D15EC2" w:rsidRPr="00DF12A5" w:rsidRDefault="00D15EC2" w:rsidP="00D15EC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 8</w:t>
            </w:r>
          </w:p>
        </w:tc>
        <w:tc>
          <w:tcPr>
            <w:tcW w:w="5220" w:type="dxa"/>
            <w:tcBorders>
              <w:right w:val="single" w:sz="12" w:space="0" w:color="auto"/>
            </w:tcBorders>
          </w:tcPr>
          <w:p w14:paraId="78C4F277" w14:textId="77777777" w:rsidR="00D15EC2" w:rsidRPr="00DF12A5" w:rsidRDefault="00D15EC2" w:rsidP="00D15EC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lay down rules ensuring risk diversification in the cover pool in relation to granularity and material concentration for assets not eligible under point (a) of paragraph 1.</w:t>
            </w:r>
          </w:p>
        </w:tc>
        <w:tc>
          <w:tcPr>
            <w:tcW w:w="624" w:type="dxa"/>
            <w:tcBorders>
              <w:left w:val="single" w:sz="12" w:space="0" w:color="auto"/>
            </w:tcBorders>
          </w:tcPr>
          <w:p w14:paraId="4F188435" w14:textId="1CF15216" w:rsidR="00D15EC2" w:rsidRPr="00DF12A5" w:rsidRDefault="00EE2B5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A94C6C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6, paragraphs 13-14</w:t>
            </w:r>
          </w:p>
        </w:tc>
        <w:tc>
          <w:tcPr>
            <w:tcW w:w="5130" w:type="dxa"/>
          </w:tcPr>
          <w:p w14:paraId="389BE01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13. In addition to the criteria laid down in paragraphs 1 to 5 of this Article, the assets in the cover pool shall meet the following criteria:</w:t>
            </w:r>
            <w:r>
              <w:rPr>
                <w:rFonts w:ascii="Times New Roman" w:hAnsi="Times New Roman"/>
                <w:color w:val="000000"/>
                <w:sz w:val="20"/>
              </w:rPr>
              <w:br/>
              <w:t>a) the value of each individual exposure represented by a financial instrument issued by the Government of the Republic of Albania shall not exceed 10 % of the total cover pool;</w:t>
            </w:r>
            <w:r>
              <w:rPr>
                <w:rFonts w:ascii="Times New Roman" w:hAnsi="Times New Roman"/>
                <w:color w:val="000000"/>
                <w:sz w:val="20"/>
              </w:rPr>
              <w:br/>
              <w:t>b) the value of each individual exposure other than that referred to in point (a) of this paragraph, calculated as part of the cover pool, shall not exceed 5 % of the total cover pool;</w:t>
            </w:r>
            <w:r>
              <w:rPr>
                <w:rFonts w:ascii="Times New Roman" w:hAnsi="Times New Roman"/>
                <w:color w:val="000000"/>
                <w:sz w:val="20"/>
              </w:rPr>
              <w:br/>
              <w:t>c) each exposure in the cover pool having the characteristics of a loan shall be secured by immovable property. In that case, the value of the loan calculated as part of the cover pool shall not exceed 60 % of the value of the immovable property accepted as collateral by the issuing financial institution;</w:t>
            </w:r>
            <w:r>
              <w:rPr>
                <w:rFonts w:ascii="Times New Roman" w:hAnsi="Times New Roman"/>
                <w:color w:val="000000"/>
                <w:sz w:val="20"/>
              </w:rPr>
              <w:br/>
              <w:t>(d) the value of non-mortgage loans forming part of the cover pool shall not exceed 20 % of the value of the cover pool;</w:t>
            </w:r>
            <w:r>
              <w:rPr>
                <w:rFonts w:ascii="Times New Roman" w:hAnsi="Times New Roman"/>
                <w:color w:val="000000"/>
                <w:sz w:val="20"/>
              </w:rPr>
              <w:br/>
              <w:t>(e) collateral assets accepted as security for cover pool assets shall be located in the Republic of Albania or in a Member State of the European Union.</w:t>
            </w:r>
            <w:r>
              <w:rPr>
                <w:rFonts w:ascii="Times New Roman" w:hAnsi="Times New Roman"/>
                <w:color w:val="000000"/>
                <w:sz w:val="20"/>
              </w:rPr>
              <w:br/>
              <w:t>14. In addition to the criteria laid down in paragraph 13 of this Article, the Bank of Albania may lay down additional criteria by regulation.</w:t>
            </w:r>
          </w:p>
        </w:tc>
        <w:tc>
          <w:tcPr>
            <w:tcW w:w="900" w:type="dxa"/>
          </w:tcPr>
          <w:p w14:paraId="4EEFE988" w14:textId="633E7612" w:rsidR="003E7E51" w:rsidRPr="00DF12A5" w:rsidRDefault="00EE2B5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4DEDBD3" w14:textId="77777777" w:rsidR="003E7E51" w:rsidRPr="00DF12A5" w:rsidRDefault="003E7E51">
            <w:pPr>
              <w:spacing w:after="0" w:line="240" w:lineRule="auto"/>
              <w:jc w:val="both"/>
              <w:rPr>
                <w:rFonts w:ascii="Times New Roman" w:hAnsi="Times New Roman" w:cs="Times New Roman"/>
                <w:sz w:val="20"/>
                <w:szCs w:val="20"/>
                <w:lang w:val="sq-AL"/>
              </w:rPr>
            </w:pPr>
          </w:p>
        </w:tc>
      </w:tr>
      <w:tr w:rsidR="00307A73" w:rsidRPr="00DF12A5" w14:paraId="5EC1F834" w14:textId="77777777" w:rsidTr="00BB0DAB">
        <w:tc>
          <w:tcPr>
            <w:tcW w:w="800" w:type="dxa"/>
            <w:tcBorders>
              <w:left w:val="single" w:sz="12" w:space="0" w:color="auto"/>
            </w:tcBorders>
          </w:tcPr>
          <w:p w14:paraId="3427B9CA"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7, paragraph 1</w:t>
            </w:r>
          </w:p>
        </w:tc>
        <w:tc>
          <w:tcPr>
            <w:tcW w:w="5220" w:type="dxa"/>
            <w:tcBorders>
              <w:right w:val="single" w:sz="12" w:space="0" w:color="auto"/>
            </w:tcBorders>
          </w:tcPr>
          <w:p w14:paraId="2ED1185D"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Collateral assets located outside the Union</w:t>
            </w:r>
            <w:r>
              <w:rPr>
                <w:rFonts w:ascii="Times New Roman" w:hAnsi="Times New Roman"/>
                <w:color w:val="000000"/>
                <w:sz w:val="20"/>
              </w:rPr>
              <w:br/>
              <w:t>Subject to paragraph 2, Member States may allow credit institutions issuing covered bonds to include assets in the cover pool that are secured by collateral assets located outside the Union.</w:t>
            </w:r>
          </w:p>
        </w:tc>
        <w:tc>
          <w:tcPr>
            <w:tcW w:w="624" w:type="dxa"/>
            <w:tcBorders>
              <w:left w:val="single" w:sz="12" w:space="0" w:color="auto"/>
            </w:tcBorders>
          </w:tcPr>
          <w:p w14:paraId="26A067DA" w14:textId="74F5347D"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2BCD548" w14:textId="204818EF"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514F291C" w14:textId="2E6E906C"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64E8FE0C" w14:textId="62A75DA4"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5966FB42" w14:textId="6FC981DC"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7 of the Directive is an optional provision. Article 6(13), point (e), of the draft law does not permit collateral located outside Albania or the European Union.</w:t>
            </w:r>
          </w:p>
        </w:tc>
      </w:tr>
      <w:tr w:rsidR="00307A73" w:rsidRPr="00DF12A5" w14:paraId="178CA87F" w14:textId="77777777" w:rsidTr="00BB0DAB">
        <w:tc>
          <w:tcPr>
            <w:tcW w:w="800" w:type="dxa"/>
            <w:tcBorders>
              <w:left w:val="single" w:sz="12" w:space="0" w:color="auto"/>
            </w:tcBorders>
          </w:tcPr>
          <w:p w14:paraId="525BCBF0"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7, paragraph 2</w:t>
            </w:r>
          </w:p>
        </w:tc>
        <w:tc>
          <w:tcPr>
            <w:tcW w:w="5220" w:type="dxa"/>
            <w:tcBorders>
              <w:right w:val="single" w:sz="12" w:space="0" w:color="auto"/>
            </w:tcBorders>
          </w:tcPr>
          <w:p w14:paraId="228CC281" w14:textId="0ABDAA56"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Member States allow for the inclusion of assets as referred to in paragraph 1, they shall ensure investor protection by requiring that credit institutions verify that those collateral assets meet all the requirements set out in Article 6. Member States shall ensure that those collateral assets offer a level of security similar to that of collateral assets located in the Union and shall ensure that the realisation of those collateral assets is legally enforceable in a way which is equivalent in effect to the realisation of collateral assets located in the Union.</w:t>
            </w:r>
          </w:p>
        </w:tc>
        <w:tc>
          <w:tcPr>
            <w:tcW w:w="624" w:type="dxa"/>
            <w:tcBorders>
              <w:left w:val="single" w:sz="12" w:space="0" w:color="auto"/>
            </w:tcBorders>
          </w:tcPr>
          <w:p w14:paraId="04936847" w14:textId="45CF57C1"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6141023" w14:textId="6837F06C"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6ABBC5DC" w14:textId="77E75336"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40A27D23" w14:textId="0070444B"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34A776FD" w14:textId="2A2A1AB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7 of the Directive is an optional provision. Article 6(13), point (e), of the draft law does not permit collateral located outside Albania or the European Union.</w:t>
            </w:r>
          </w:p>
        </w:tc>
      </w:tr>
      <w:tr w:rsidR="00D15EC2" w:rsidRPr="00DF12A5" w14:paraId="4932FA3E" w14:textId="77777777" w:rsidTr="00BB0DAB">
        <w:tc>
          <w:tcPr>
            <w:tcW w:w="800" w:type="dxa"/>
            <w:tcBorders>
              <w:left w:val="single" w:sz="12" w:space="0" w:color="auto"/>
            </w:tcBorders>
          </w:tcPr>
          <w:p w14:paraId="0A28C8C9" w14:textId="77777777" w:rsidR="00D15EC2" w:rsidRPr="00DF12A5" w:rsidRDefault="00D15EC2" w:rsidP="00D15EC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8</w:t>
            </w:r>
          </w:p>
        </w:tc>
        <w:tc>
          <w:tcPr>
            <w:tcW w:w="5220" w:type="dxa"/>
            <w:tcBorders>
              <w:right w:val="single" w:sz="12" w:space="0" w:color="auto"/>
            </w:tcBorders>
          </w:tcPr>
          <w:p w14:paraId="59AB86C8" w14:textId="77777777" w:rsidR="00D15EC2" w:rsidRPr="00DF12A5" w:rsidRDefault="00D15EC2" w:rsidP="00D15EC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Intragroup pooled covered bond structures</w:t>
            </w:r>
            <w:r>
              <w:rPr>
                <w:rFonts w:ascii="Times New Roman" w:hAnsi="Times New Roman"/>
                <w:color w:val="000000"/>
                <w:sz w:val="20"/>
              </w:rPr>
              <w:br/>
              <w:t>Member States may lay down rules regarding the use of intragroup pooled covered bond structures under which covered bonds issued by a credit institution that belongs to a group (‘internally issued covered bonds’) are used as cover assets for the external issue of covered bonds by another credit institution that belongs to the same group (‘externally issued covered bonds’). Those rules shall include at least the following requirements:</w:t>
            </w:r>
            <w:r>
              <w:rPr>
                <w:rFonts w:ascii="Times New Roman" w:hAnsi="Times New Roman"/>
                <w:color w:val="000000"/>
                <w:sz w:val="20"/>
              </w:rPr>
              <w:br/>
              <w:t>(a) the internally issued covered bonds are sold to the credit institution issuing the externally issued covered bonds;</w:t>
            </w:r>
            <w:r>
              <w:rPr>
                <w:rFonts w:ascii="Times New Roman" w:hAnsi="Times New Roman"/>
                <w:color w:val="000000"/>
                <w:sz w:val="20"/>
              </w:rPr>
              <w:br/>
              <w:t>(b) the internally issued covered bonds are used as cover assets in the cover pool for the externally issued covered bonds and are recorded on the balance sheet of the credit institution issuing the externally issued covered bonds;</w:t>
            </w:r>
            <w:r>
              <w:rPr>
                <w:rFonts w:ascii="Times New Roman" w:hAnsi="Times New Roman"/>
                <w:color w:val="000000"/>
                <w:sz w:val="20"/>
              </w:rPr>
              <w:br/>
              <w:t>(c) the cover pool for the externally issued covered bonds contains only internally issued covered bonds issued by a single credit institution within the group;</w:t>
            </w:r>
            <w:r>
              <w:rPr>
                <w:rFonts w:ascii="Times New Roman" w:hAnsi="Times New Roman"/>
                <w:color w:val="000000"/>
                <w:sz w:val="20"/>
              </w:rPr>
              <w:br/>
              <w:t>(d) the credit institution issuing the externally issued covered bonds intends to sell them to covered bond investors outside the group;</w:t>
            </w:r>
            <w:r>
              <w:rPr>
                <w:rFonts w:ascii="Times New Roman" w:hAnsi="Times New Roman"/>
                <w:color w:val="000000"/>
                <w:sz w:val="20"/>
              </w:rPr>
              <w:br/>
              <w:t>(e) both the internally and externally issued covered bonds qualify for credit quality step 1 as referred to in Part Three, Title II, Chapter 2 of Regulation (EU) No 575/2013 at the time of issue and are secured by eligible cover assets as referred to in Article 6 of this Directive;</w:t>
            </w:r>
            <w:r>
              <w:rPr>
                <w:rFonts w:ascii="Times New Roman" w:hAnsi="Times New Roman"/>
                <w:color w:val="000000"/>
                <w:sz w:val="20"/>
              </w:rPr>
              <w:br/>
              <w:t>(f) in the case of cross-border intragroup pooled covered bond structures, the cover assets of the internally issued covered bonds comply with the eligibility and coverage requirements of the externally issued covered bonds. For the purposes of point (e) of the first subparagraph of this Article, competent authorities designated pursuant to Article 18(2) may allow covered bonds that qualify for credit quality step 2 following a change that results in a lower credit quality step of the covered bonds to continue to be part of an intragroup pooled covered bond structure, provided that those competent authorities conclude that the change in credit quality step is not due to a breach of the requirements for permission as set out in the provisions of national law transposing Article 19(2). Competent authorities designated pursuant to Article 18(2) shall subsequently notify EBA of any decision pursuant to this subparagraph.</w:t>
            </w:r>
          </w:p>
        </w:tc>
        <w:tc>
          <w:tcPr>
            <w:tcW w:w="624" w:type="dxa"/>
            <w:tcBorders>
              <w:left w:val="single" w:sz="12" w:space="0" w:color="auto"/>
            </w:tcBorders>
          </w:tcPr>
          <w:p w14:paraId="14E82D24" w14:textId="6FFAC39E" w:rsidR="00D15EC2" w:rsidRPr="00DF12A5" w:rsidRDefault="00BA7AD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A188AA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7, paragraphs 1-3</w:t>
            </w:r>
          </w:p>
        </w:tc>
        <w:tc>
          <w:tcPr>
            <w:tcW w:w="5130" w:type="dxa"/>
          </w:tcPr>
          <w:p w14:paraId="0A8C1AF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An issuing credit institution may use intragroup pooled covered bond structures under which covered bonds issued by a credit institution within the group (“internally issued covered bonds”) are used as cover assets for the issue of covered bonds by another credit institution within the same group (“externally issued covered bonds”). Such structures shall meet the following requirements:</w:t>
            </w:r>
            <w:r>
              <w:rPr>
                <w:rFonts w:ascii="Times New Roman" w:hAnsi="Times New Roman"/>
                <w:color w:val="000000"/>
                <w:sz w:val="20"/>
              </w:rPr>
              <w:br/>
              <w:t>(a) the internally issued covered bonds are sold to the credit institution issuing the externally issued covered bonds;</w:t>
            </w:r>
            <w:r>
              <w:rPr>
                <w:rFonts w:ascii="Times New Roman" w:hAnsi="Times New Roman"/>
                <w:color w:val="000000"/>
                <w:sz w:val="20"/>
              </w:rPr>
              <w:br/>
              <w:t>(b) the internally issued covered bonds are used as cover assets in the cover pool for the externally issued covered bonds and are recorded on the balance sheet of the credit institution issuing the externally issued covered bonds;</w:t>
            </w:r>
            <w:r>
              <w:rPr>
                <w:rFonts w:ascii="Times New Roman" w:hAnsi="Times New Roman"/>
                <w:color w:val="000000"/>
                <w:sz w:val="20"/>
              </w:rPr>
              <w:br/>
              <w:t>(c) the cover pool for the externally issued covered bonds contains only internally issued covered bonds issued by a single credit institution within the group;</w:t>
            </w:r>
            <w:r>
              <w:rPr>
                <w:rFonts w:ascii="Times New Roman" w:hAnsi="Times New Roman"/>
                <w:color w:val="000000"/>
                <w:sz w:val="20"/>
              </w:rPr>
              <w:br/>
              <w:t>(d) the credit institution issuing the externally issued covered bonds intends to sell them to covered bond investors outside the group;</w:t>
            </w:r>
            <w:r>
              <w:rPr>
                <w:rFonts w:ascii="Times New Roman" w:hAnsi="Times New Roman"/>
                <w:color w:val="000000"/>
                <w:sz w:val="20"/>
              </w:rPr>
              <w:br/>
              <w:t>(e) both the internally and externally issued covered bonds qualify for credit quality step 1 under the prudential regulatory framework on capital requirements and, upon the accession of the Republic of Albania to the European Union, as referred to in Part Three, Title II, Chapter 2 of Regulation (EU) No 575/2013 at the time of issue, and are secured by eligible cover assets referred to in Article 6;</w:t>
            </w:r>
            <w:r>
              <w:rPr>
                <w:rFonts w:ascii="Times New Roman" w:hAnsi="Times New Roman"/>
                <w:color w:val="000000"/>
                <w:sz w:val="20"/>
              </w:rPr>
              <w:br/>
              <w:t>(f) in the case of cross-border intragroup pooled covered bond structures, the cover assets of the internally issued covered bonds meet the eligibility and coverage requirements applicable to the externally issued covered bonds.</w:t>
            </w:r>
            <w:r>
              <w:rPr>
                <w:rFonts w:ascii="Times New Roman" w:hAnsi="Times New Roman"/>
                <w:color w:val="000000"/>
                <w:sz w:val="20"/>
              </w:rPr>
              <w:br/>
              <w:t>2. For the purposes of paragraph 1(e) of this Article, the Bank of Albania/relevant competent authority may allow covered bonds which, following issue, qualify for a lower credit quality step as a result of a change leading to a reduction in their credit quality step to continue to form part of an intragroup pooled covered bond structure, provided that that authority concludes that the change is not the result of a breach of the permission requirements laid down in Article 21(2) of this Law.</w:t>
            </w:r>
            <w:r>
              <w:rPr>
                <w:rFonts w:ascii="Times New Roman" w:hAnsi="Times New Roman"/>
                <w:color w:val="000000"/>
                <w:sz w:val="20"/>
              </w:rPr>
              <w:br/>
              <w:t>3. The Authority shall notify the European Banking Authority of any decision taken pursuant to paragraph 2 of this Article.</w:t>
            </w:r>
          </w:p>
        </w:tc>
        <w:tc>
          <w:tcPr>
            <w:tcW w:w="900" w:type="dxa"/>
          </w:tcPr>
          <w:p w14:paraId="3BF21CBD" w14:textId="741B9865" w:rsidR="003E7E51" w:rsidRPr="00DF12A5" w:rsidRDefault="00BA7AD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245574D" w14:textId="77777777" w:rsidR="003E7E51" w:rsidRPr="00DF12A5" w:rsidRDefault="003E7E51">
            <w:pPr>
              <w:spacing w:after="0" w:line="240" w:lineRule="auto"/>
              <w:jc w:val="both"/>
              <w:rPr>
                <w:rFonts w:ascii="Times New Roman" w:hAnsi="Times New Roman" w:cs="Times New Roman"/>
                <w:sz w:val="20"/>
                <w:szCs w:val="20"/>
                <w:lang w:val="sq-AL"/>
              </w:rPr>
            </w:pPr>
          </w:p>
        </w:tc>
      </w:tr>
      <w:tr w:rsidR="00E31FD2" w:rsidRPr="00DF12A5" w14:paraId="6EB6C897" w14:textId="77777777" w:rsidTr="00BB0DAB">
        <w:tc>
          <w:tcPr>
            <w:tcW w:w="800" w:type="dxa"/>
            <w:tcBorders>
              <w:left w:val="single" w:sz="12" w:space="0" w:color="auto"/>
            </w:tcBorders>
          </w:tcPr>
          <w:p w14:paraId="43B6EB20"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9, paragraph 1</w:t>
            </w:r>
          </w:p>
        </w:tc>
        <w:tc>
          <w:tcPr>
            <w:tcW w:w="5220" w:type="dxa"/>
            <w:tcBorders>
              <w:right w:val="single" w:sz="12" w:space="0" w:color="auto"/>
            </w:tcBorders>
          </w:tcPr>
          <w:p w14:paraId="177F994C"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Joint funding</w:t>
            </w:r>
            <w:r>
              <w:rPr>
                <w:rFonts w:ascii="Times New Roman" w:hAnsi="Times New Roman"/>
                <w:color w:val="000000"/>
                <w:sz w:val="20"/>
              </w:rPr>
              <w:br/>
              <w:t>Member States shall allow eligible cover assets that were originated by a credit institution and have been purchased by a credit institution issuing covered bonds to be used as cover assets for the issue of covered bonds. Member States shall regulate such purchases in order to ensure that the requirements set out in Articles 6 and 12 are met.</w:t>
            </w:r>
          </w:p>
        </w:tc>
        <w:tc>
          <w:tcPr>
            <w:tcW w:w="624" w:type="dxa"/>
            <w:tcBorders>
              <w:left w:val="single" w:sz="12" w:space="0" w:color="auto"/>
            </w:tcBorders>
          </w:tcPr>
          <w:p w14:paraId="55B4AA46" w14:textId="7F123F5C" w:rsidR="00E31FD2" w:rsidRPr="00DF12A5" w:rsidRDefault="00BA7AD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EF5212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8, paragraph 1</w:t>
            </w:r>
          </w:p>
        </w:tc>
        <w:tc>
          <w:tcPr>
            <w:tcW w:w="5130" w:type="dxa"/>
          </w:tcPr>
          <w:p w14:paraId="6D05102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Eligible cover assets originated by a credit institution and purchased by a credit institution issuing covered bonds may be used as cover assets for the issue of covered bonds.</w:t>
            </w:r>
            <w:r>
              <w:rPr>
                <w:rFonts w:ascii="Times New Roman" w:hAnsi="Times New Roman"/>
                <w:color w:val="000000"/>
                <w:sz w:val="20"/>
              </w:rPr>
              <w:br/>
              <w:t>The purchase of those assets shall be regulated so as to ensure compliance with the requirements laid down in Articles 6 and 11 of this Law.</w:t>
            </w:r>
          </w:p>
        </w:tc>
        <w:tc>
          <w:tcPr>
            <w:tcW w:w="900" w:type="dxa"/>
          </w:tcPr>
          <w:p w14:paraId="7649C391" w14:textId="29282EEE" w:rsidR="003E7E51" w:rsidRPr="00DF12A5" w:rsidRDefault="00BA7AD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6E08764" w14:textId="77777777" w:rsidR="003E7E51" w:rsidRPr="00DF12A5" w:rsidRDefault="003E7E51">
            <w:pPr>
              <w:spacing w:after="0" w:line="240" w:lineRule="auto"/>
              <w:jc w:val="both"/>
              <w:rPr>
                <w:rFonts w:ascii="Times New Roman" w:hAnsi="Times New Roman" w:cs="Times New Roman"/>
                <w:sz w:val="20"/>
                <w:szCs w:val="20"/>
                <w:lang w:val="sq-AL"/>
              </w:rPr>
            </w:pPr>
          </w:p>
        </w:tc>
      </w:tr>
      <w:tr w:rsidR="00E31FD2" w:rsidRPr="00DF12A5" w14:paraId="6186FDFE" w14:textId="77777777" w:rsidTr="00BB0DAB">
        <w:tc>
          <w:tcPr>
            <w:tcW w:w="800" w:type="dxa"/>
            <w:tcBorders>
              <w:left w:val="single" w:sz="12" w:space="0" w:color="auto"/>
            </w:tcBorders>
          </w:tcPr>
          <w:p w14:paraId="753A2AB5"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9, paragraph 2</w:t>
            </w:r>
          </w:p>
        </w:tc>
        <w:tc>
          <w:tcPr>
            <w:tcW w:w="5220" w:type="dxa"/>
            <w:tcBorders>
              <w:right w:val="single" w:sz="12" w:space="0" w:color="auto"/>
            </w:tcBorders>
          </w:tcPr>
          <w:p w14:paraId="53856AA6"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Without prejudice to the requirement set out in the second subparagraph of paragraph 1 of this Article, Member States may allow transfers by way of financial collateral arrangement pursuant to Directive 2002/47/EC.</w:t>
            </w:r>
          </w:p>
        </w:tc>
        <w:tc>
          <w:tcPr>
            <w:tcW w:w="624" w:type="dxa"/>
            <w:tcBorders>
              <w:left w:val="single" w:sz="12" w:space="0" w:color="auto"/>
            </w:tcBorders>
          </w:tcPr>
          <w:p w14:paraId="405936C0" w14:textId="084F45FC" w:rsidR="00E31FD2" w:rsidRPr="00DF12A5" w:rsidRDefault="00BA7AD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996326D"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8, paragraph 2</w:t>
            </w:r>
          </w:p>
        </w:tc>
        <w:tc>
          <w:tcPr>
            <w:tcW w:w="5130" w:type="dxa"/>
          </w:tcPr>
          <w:p w14:paraId="52194EC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Without prejudice to the requirement laid down in the second subparagraph of paragraph 1 of this Article, the transfer of those assets by way of a financial collateral arrangement shall be permitted in accordance with the legislation in force governing financial collateral arrangements.</w:t>
            </w:r>
          </w:p>
        </w:tc>
        <w:tc>
          <w:tcPr>
            <w:tcW w:w="900" w:type="dxa"/>
          </w:tcPr>
          <w:p w14:paraId="2FF0C1BA" w14:textId="7FE22F5E" w:rsidR="003E7E51" w:rsidRPr="00DF12A5" w:rsidRDefault="00BA7AD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244B95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E31FD2" w:rsidRPr="00DF12A5" w14:paraId="7A839033" w14:textId="77777777" w:rsidTr="00BB0DAB">
        <w:tc>
          <w:tcPr>
            <w:tcW w:w="800" w:type="dxa"/>
            <w:tcBorders>
              <w:left w:val="single" w:sz="12" w:space="0" w:color="auto"/>
            </w:tcBorders>
          </w:tcPr>
          <w:p w14:paraId="12CAECBE"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9, paragraph 3</w:t>
            </w:r>
          </w:p>
        </w:tc>
        <w:tc>
          <w:tcPr>
            <w:tcW w:w="5220" w:type="dxa"/>
            <w:tcBorders>
              <w:right w:val="single" w:sz="12" w:space="0" w:color="auto"/>
            </w:tcBorders>
          </w:tcPr>
          <w:p w14:paraId="497E14EE"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Without prejudice to the requirement set out in the second subparagraph of paragraph 1, Member States may also allow assets that were originated by an undertaking that is not a credit institution to be used as cover assets. Where Member States exercise that option, they shall require that the credit institution issuing the covered bonds either assess the credit-granting standards of the undertaking which originated the cover assets, or itself perform a thorough assessment of the borrower’s creditworthiness.</w:t>
            </w:r>
          </w:p>
        </w:tc>
        <w:tc>
          <w:tcPr>
            <w:tcW w:w="624" w:type="dxa"/>
            <w:tcBorders>
              <w:left w:val="single" w:sz="12" w:space="0" w:color="auto"/>
            </w:tcBorders>
          </w:tcPr>
          <w:p w14:paraId="04F5CAC7" w14:textId="68F16E7F" w:rsidR="00E31FD2" w:rsidRPr="00DF12A5" w:rsidRDefault="00BA7AD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470DF6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8, paragraph 3</w:t>
            </w:r>
          </w:p>
        </w:tc>
        <w:tc>
          <w:tcPr>
            <w:tcW w:w="5130" w:type="dxa"/>
          </w:tcPr>
          <w:p w14:paraId="593650B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Without prejudice to the requirement laid down in the second subparagraph of paragraph 1 of this Article, assets originated by an undertaking that is not a credit institution may be used as cover assets. In that case, the credit institution issuing the covered bonds shall:</w:t>
            </w:r>
            <w:r>
              <w:rPr>
                <w:rFonts w:ascii="Times New Roman" w:hAnsi="Times New Roman"/>
                <w:color w:val="000000"/>
                <w:sz w:val="20"/>
              </w:rPr>
              <w:br/>
              <w:t>(a) assess the credit-granting standards of the undertaking which originated those assets; or</w:t>
            </w:r>
            <w:r>
              <w:rPr>
                <w:rFonts w:ascii="Times New Roman" w:hAnsi="Times New Roman"/>
                <w:color w:val="000000"/>
                <w:sz w:val="20"/>
              </w:rPr>
              <w:br/>
              <w:t>(b) itself perform a thorough assessment of the borrower’s creditworthiness.</w:t>
            </w:r>
          </w:p>
        </w:tc>
        <w:tc>
          <w:tcPr>
            <w:tcW w:w="900" w:type="dxa"/>
          </w:tcPr>
          <w:p w14:paraId="13C3A3CC" w14:textId="6ECCFB75" w:rsidR="003E7E51" w:rsidRPr="00DF12A5" w:rsidRDefault="00BA7AD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36F93BD" w14:textId="77777777" w:rsidR="003E7E51" w:rsidRPr="00DF12A5" w:rsidRDefault="003E7E51">
            <w:pPr>
              <w:spacing w:after="0" w:line="240" w:lineRule="auto"/>
              <w:jc w:val="both"/>
              <w:rPr>
                <w:rFonts w:ascii="Times New Roman" w:hAnsi="Times New Roman" w:cs="Times New Roman"/>
                <w:sz w:val="20"/>
                <w:szCs w:val="20"/>
                <w:lang w:val="sq-AL"/>
              </w:rPr>
            </w:pPr>
          </w:p>
        </w:tc>
      </w:tr>
      <w:tr w:rsidR="00E31FD2" w:rsidRPr="00DF12A5" w14:paraId="0CF08922" w14:textId="77777777" w:rsidTr="00BB0DAB">
        <w:tc>
          <w:tcPr>
            <w:tcW w:w="800" w:type="dxa"/>
            <w:tcBorders>
              <w:left w:val="single" w:sz="12" w:space="0" w:color="auto"/>
            </w:tcBorders>
          </w:tcPr>
          <w:p w14:paraId="243FECDD"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10</w:t>
            </w:r>
          </w:p>
        </w:tc>
        <w:tc>
          <w:tcPr>
            <w:tcW w:w="5220" w:type="dxa"/>
            <w:tcBorders>
              <w:right w:val="single" w:sz="12" w:space="0" w:color="auto"/>
            </w:tcBorders>
          </w:tcPr>
          <w:p w14:paraId="436EA956" w14:textId="77777777" w:rsidR="00E31FD2" w:rsidRPr="00DF12A5" w:rsidRDefault="00E31FD2" w:rsidP="00E31FD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Composition of the cover pool</w:t>
            </w:r>
            <w:r>
              <w:rPr>
                <w:rFonts w:ascii="Times New Roman" w:hAnsi="Times New Roman"/>
                <w:color w:val="000000"/>
                <w:sz w:val="20"/>
              </w:rPr>
              <w:br/>
              <w:t>Member States shall ensure investor protection by laying down rules on the composition of cover pools. Those rules shall, where relevant, set the conditions for the inclusion by credit institutions issuing covered bonds of primary assets that have differing characteristics in terms of structural features, lifetime or risk profile in the cover pool.</w:t>
            </w:r>
          </w:p>
        </w:tc>
        <w:tc>
          <w:tcPr>
            <w:tcW w:w="624" w:type="dxa"/>
            <w:tcBorders>
              <w:left w:val="single" w:sz="12" w:space="0" w:color="auto"/>
            </w:tcBorders>
          </w:tcPr>
          <w:p w14:paraId="076313EC" w14:textId="6F3F36B5" w:rsidR="00E31FD2" w:rsidRPr="00DF12A5" w:rsidRDefault="00BA7AD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F0009BD"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9, paragraphs 1-3</w:t>
            </w:r>
          </w:p>
        </w:tc>
        <w:tc>
          <w:tcPr>
            <w:tcW w:w="5130" w:type="dxa"/>
          </w:tcPr>
          <w:p w14:paraId="3F82A30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cover pool shall consist of eligible cover assets and shall be subject to rules ensuring its appropriate composition, and shall include, as applicable:</w:t>
            </w:r>
            <w:r>
              <w:rPr>
                <w:rFonts w:ascii="Times New Roman" w:hAnsi="Times New Roman"/>
                <w:color w:val="000000"/>
                <w:sz w:val="20"/>
              </w:rPr>
              <w:br/>
              <w:t>(a) primary cover assets referred to in Article 6(1) of this Law;</w:t>
            </w:r>
            <w:r>
              <w:rPr>
                <w:rFonts w:ascii="Times New Roman" w:hAnsi="Times New Roman"/>
                <w:color w:val="000000"/>
                <w:sz w:val="20"/>
              </w:rPr>
              <w:br/>
              <w:t>(b) liquid assets constituting the liquidity buffer, in accordance with regulations of the Bank of Albania;</w:t>
            </w:r>
            <w:r>
              <w:rPr>
                <w:rFonts w:ascii="Times New Roman" w:hAnsi="Times New Roman"/>
                <w:color w:val="000000"/>
                <w:sz w:val="20"/>
              </w:rPr>
              <w:br/>
              <w:t>(c) derivative contracts that comply with the requirements laid down in Article 10 of this Law.</w:t>
            </w:r>
            <w:r>
              <w:rPr>
                <w:rFonts w:ascii="Times New Roman" w:hAnsi="Times New Roman"/>
                <w:color w:val="000000"/>
                <w:sz w:val="20"/>
              </w:rPr>
              <w:br/>
              <w:t>2. Cash and cash flows derived from the assets included in the cover pool pursuant to paragraph 1 of this Article shall form an integral part of the cover pool and shall be subject to all rules governing its segregation and protection under this Law.</w:t>
            </w:r>
            <w:r>
              <w:rPr>
                <w:rFonts w:ascii="Times New Roman" w:hAnsi="Times New Roman"/>
                <w:color w:val="000000"/>
                <w:sz w:val="20"/>
              </w:rPr>
              <w:br/>
              <w:t>3. The Authority shall adopt rules laying down the conditions under which credit institutions issuing covered bonds may include in the cover pool primary assets having different features in terms of structure, lifetime or risk profile.</w:t>
            </w:r>
          </w:p>
        </w:tc>
        <w:tc>
          <w:tcPr>
            <w:tcW w:w="900" w:type="dxa"/>
          </w:tcPr>
          <w:p w14:paraId="11B517B1" w14:textId="3A8235E4" w:rsidR="003E7E51" w:rsidRPr="00DF12A5" w:rsidRDefault="00BA7AD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B5A941A"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06CF9221" w14:textId="77777777" w:rsidTr="00BB0DAB">
        <w:tc>
          <w:tcPr>
            <w:tcW w:w="800" w:type="dxa"/>
            <w:tcBorders>
              <w:left w:val="single" w:sz="12" w:space="0" w:color="auto"/>
            </w:tcBorders>
          </w:tcPr>
          <w:p w14:paraId="02C98F2F"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11, paragraph 1</w:t>
            </w:r>
          </w:p>
        </w:tc>
        <w:tc>
          <w:tcPr>
            <w:tcW w:w="5220" w:type="dxa"/>
            <w:tcBorders>
              <w:right w:val="single" w:sz="12" w:space="0" w:color="auto"/>
            </w:tcBorders>
          </w:tcPr>
          <w:p w14:paraId="284D227D"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Derivative contracts in the cover pool</w:t>
            </w:r>
            <w:r>
              <w:rPr>
                <w:rFonts w:ascii="Times New Roman" w:hAnsi="Times New Roman"/>
                <w:color w:val="000000"/>
                <w:sz w:val="20"/>
              </w:rPr>
              <w:br/>
              <w:t>Member States shall ensure investor protection by allowing derivative contracts to be included in the cover pool only where at least the following requirements are met:</w:t>
            </w:r>
            <w:r>
              <w:rPr>
                <w:rFonts w:ascii="Times New Roman" w:hAnsi="Times New Roman"/>
                <w:color w:val="000000"/>
                <w:sz w:val="20"/>
              </w:rPr>
              <w:br/>
              <w:t>(a) the derivative contracts are included in the cover pool exclusively for risk hedging purposes, their volume is adjusted in the case of a reduction in the hedged risk and they are removed when the hedged risk ceases to exist;</w:t>
            </w:r>
            <w:r>
              <w:rPr>
                <w:rFonts w:ascii="Times New Roman" w:hAnsi="Times New Roman"/>
                <w:color w:val="000000"/>
                <w:sz w:val="20"/>
              </w:rPr>
              <w:br/>
              <w:t>(b) the derivative contracts are sufficiently documented;</w:t>
            </w:r>
            <w:r>
              <w:rPr>
                <w:rFonts w:ascii="Times New Roman" w:hAnsi="Times New Roman"/>
                <w:color w:val="000000"/>
                <w:sz w:val="20"/>
              </w:rPr>
              <w:br/>
              <w:t>(c) the derivative contracts are segregated in accordance with Article 12;</w:t>
            </w:r>
            <w:r>
              <w:rPr>
                <w:rFonts w:ascii="Times New Roman" w:hAnsi="Times New Roman"/>
                <w:color w:val="000000"/>
                <w:sz w:val="20"/>
              </w:rPr>
              <w:br/>
              <w:t>(d) the derivative contracts cannot be terminated upon the insolvency or resolution of the credit institution that issued the covered bonds;</w:t>
            </w:r>
            <w:r>
              <w:rPr>
                <w:rFonts w:ascii="Times New Roman" w:hAnsi="Times New Roman"/>
                <w:color w:val="000000"/>
                <w:sz w:val="20"/>
              </w:rPr>
              <w:br/>
              <w:t>(e) the derivative contracts comply with the rules laid down in accordance with paragraph 2.</w:t>
            </w:r>
          </w:p>
        </w:tc>
        <w:tc>
          <w:tcPr>
            <w:tcW w:w="624" w:type="dxa"/>
            <w:tcBorders>
              <w:left w:val="single" w:sz="12" w:space="0" w:color="auto"/>
            </w:tcBorders>
          </w:tcPr>
          <w:p w14:paraId="58728B70" w14:textId="64269975" w:rsidR="00972280" w:rsidRPr="00DF12A5" w:rsidRDefault="006433BD"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D5C305D"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10, paragraphs 1-4</w:t>
            </w:r>
          </w:p>
        </w:tc>
        <w:tc>
          <w:tcPr>
            <w:tcW w:w="5130" w:type="dxa"/>
          </w:tcPr>
          <w:p w14:paraId="14B8301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issuing credit institution may include a derivative contract in the cover pool only where the following conditions are met:</w:t>
            </w:r>
            <w:r>
              <w:rPr>
                <w:rFonts w:ascii="Times New Roman" w:hAnsi="Times New Roman"/>
                <w:color w:val="000000"/>
                <w:sz w:val="20"/>
              </w:rPr>
              <w:br/>
              <w:t>(a) the derivative contracts are included in the cover pool exclusively for risk-hedging purposes, their volume is adjusted where the hedged risk is reduced, and they are removed where the hedged risk ceases to exist;</w:t>
            </w:r>
            <w:r>
              <w:rPr>
                <w:rFonts w:ascii="Times New Roman" w:hAnsi="Times New Roman"/>
                <w:color w:val="000000"/>
                <w:sz w:val="20"/>
              </w:rPr>
              <w:br/>
              <w:t>(b) the derivative contracts are sufficiently documented;</w:t>
            </w:r>
            <w:r>
              <w:rPr>
                <w:rFonts w:ascii="Times New Roman" w:hAnsi="Times New Roman"/>
                <w:color w:val="000000"/>
                <w:sz w:val="20"/>
              </w:rPr>
              <w:br/>
              <w:t>(c) the derivative contracts are segregated in accordance with Article 11 of this Law;</w:t>
            </w:r>
            <w:r>
              <w:rPr>
                <w:rFonts w:ascii="Times New Roman" w:hAnsi="Times New Roman"/>
                <w:color w:val="000000"/>
                <w:sz w:val="20"/>
              </w:rPr>
              <w:br/>
              <w:t>(d) the derivative contracts cannot be terminated upon the insolvency or resolution of the credit institution that issued the covered bonds;</w:t>
            </w:r>
            <w:r>
              <w:rPr>
                <w:rFonts w:ascii="Times New Roman" w:hAnsi="Times New Roman"/>
                <w:color w:val="000000"/>
                <w:sz w:val="20"/>
              </w:rPr>
              <w:br/>
              <w:t>(e) the derivative contracts comply with paragraph 2 of this Article.</w:t>
            </w:r>
            <w:r>
              <w:rPr>
                <w:rFonts w:ascii="Times New Roman" w:hAnsi="Times New Roman"/>
                <w:color w:val="000000"/>
                <w:sz w:val="20"/>
              </w:rPr>
              <w:br/>
              <w:t>2. Derivative contracts with the same counterparty that hedge risks in the cover pool shall not be included in the same netting set as other derivative contracts entered into by the covered bond issuer with the same counterparty which do not hedge risks in the cover pool.</w:t>
            </w:r>
            <w:r>
              <w:rPr>
                <w:rFonts w:ascii="Times New Roman" w:hAnsi="Times New Roman"/>
                <w:color w:val="000000"/>
                <w:sz w:val="20"/>
              </w:rPr>
              <w:br/>
              <w:t>3. Derivative contracts with the same counterparty that hedge risks in the cover pool of one covered bond programme shall not be included in the same netting set as derivative contracts relating to the cover pool of another covered bond programme.</w:t>
            </w:r>
            <w:r>
              <w:rPr>
                <w:rFonts w:ascii="Times New Roman" w:hAnsi="Times New Roman"/>
                <w:color w:val="000000"/>
                <w:sz w:val="20"/>
              </w:rPr>
              <w:br/>
              <w:t>4. Derivative contracts shall be entered in the cover pool register with the prior approval of the cover pool monitor and the prior approval of the other counterparty to those derivative contracts. Any entry made without those prior approvals shall be invalid.</w:t>
            </w:r>
          </w:p>
        </w:tc>
        <w:tc>
          <w:tcPr>
            <w:tcW w:w="900" w:type="dxa"/>
          </w:tcPr>
          <w:p w14:paraId="791A7138" w14:textId="70D554D6" w:rsidR="003E7E51" w:rsidRPr="00DF12A5" w:rsidRDefault="00126C13">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6766363"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49141773" w14:textId="77777777" w:rsidTr="00BB0DAB">
        <w:tc>
          <w:tcPr>
            <w:tcW w:w="800" w:type="dxa"/>
            <w:tcBorders>
              <w:left w:val="single" w:sz="12" w:space="0" w:color="auto"/>
            </w:tcBorders>
          </w:tcPr>
          <w:p w14:paraId="6425A233"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11, paragraph 2</w:t>
            </w:r>
          </w:p>
        </w:tc>
        <w:tc>
          <w:tcPr>
            <w:tcW w:w="5220" w:type="dxa"/>
            <w:tcBorders>
              <w:right w:val="single" w:sz="12" w:space="0" w:color="auto"/>
            </w:tcBorders>
          </w:tcPr>
          <w:p w14:paraId="480FF5A9"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ensuring compliance with the requirements listed in paragraph 1, Member States shall lay down rules for derivative contracts in the cover pool. Those rules shall specify:</w:t>
            </w:r>
            <w:r>
              <w:rPr>
                <w:rFonts w:ascii="Times New Roman" w:hAnsi="Times New Roman"/>
                <w:color w:val="000000"/>
                <w:sz w:val="20"/>
              </w:rPr>
              <w:br/>
              <w:t>(a) the eligibility criteria for the hedging counterparties;</w:t>
            </w:r>
            <w:r>
              <w:rPr>
                <w:rFonts w:ascii="Times New Roman" w:hAnsi="Times New Roman"/>
                <w:color w:val="000000"/>
                <w:sz w:val="20"/>
              </w:rPr>
              <w:br/>
              <w:t>(b) the necessary documentation to be provided in relation to derivative contracts.</w:t>
            </w:r>
          </w:p>
        </w:tc>
        <w:tc>
          <w:tcPr>
            <w:tcW w:w="624" w:type="dxa"/>
            <w:tcBorders>
              <w:left w:val="single" w:sz="12" w:space="0" w:color="auto"/>
            </w:tcBorders>
          </w:tcPr>
          <w:p w14:paraId="2C4887BC" w14:textId="6EF4431A" w:rsidR="00972280" w:rsidRPr="00DF12A5" w:rsidRDefault="00126C1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58BFF8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10, paragraph 5</w:t>
            </w:r>
          </w:p>
        </w:tc>
        <w:tc>
          <w:tcPr>
            <w:tcW w:w="5130" w:type="dxa"/>
          </w:tcPr>
          <w:p w14:paraId="16D6BBC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For the purpose of ensuring compliance with paragraph 1 of this Article, the Authority shall adopt rules on derivative contracts included in the cover pool, laying down at least:</w:t>
            </w:r>
            <w:r>
              <w:rPr>
                <w:rFonts w:ascii="Times New Roman" w:hAnsi="Times New Roman"/>
                <w:color w:val="000000"/>
                <w:sz w:val="20"/>
              </w:rPr>
              <w:br/>
              <w:t>(a) eligibility criteria for the counterparties to derivative contracts;</w:t>
            </w:r>
            <w:r>
              <w:rPr>
                <w:rFonts w:ascii="Times New Roman" w:hAnsi="Times New Roman"/>
                <w:color w:val="000000"/>
                <w:sz w:val="20"/>
              </w:rPr>
              <w:br/>
              <w:t>(b) the documentation requirements to be met in relation to derivative contracts.</w:t>
            </w:r>
          </w:p>
        </w:tc>
        <w:tc>
          <w:tcPr>
            <w:tcW w:w="900" w:type="dxa"/>
          </w:tcPr>
          <w:p w14:paraId="46EEA420" w14:textId="5F6D21BE" w:rsidR="003E7E51" w:rsidRPr="00DF12A5" w:rsidRDefault="00126C13">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C1B298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6B0282CC" w14:textId="77777777" w:rsidTr="00BB0DAB">
        <w:tc>
          <w:tcPr>
            <w:tcW w:w="800" w:type="dxa"/>
            <w:tcBorders>
              <w:left w:val="single" w:sz="12" w:space="0" w:color="auto"/>
            </w:tcBorders>
          </w:tcPr>
          <w:p w14:paraId="22D46B99"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12, paragraph 1</w:t>
            </w:r>
          </w:p>
        </w:tc>
        <w:tc>
          <w:tcPr>
            <w:tcW w:w="5220" w:type="dxa"/>
            <w:tcBorders>
              <w:right w:val="single" w:sz="12" w:space="0" w:color="auto"/>
            </w:tcBorders>
          </w:tcPr>
          <w:p w14:paraId="4539E841"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Segregation of cover assets</w:t>
            </w:r>
            <w:r>
              <w:rPr>
                <w:rFonts w:ascii="Times New Roman" w:hAnsi="Times New Roman"/>
                <w:color w:val="000000"/>
                <w:sz w:val="20"/>
              </w:rPr>
              <w:br/>
              <w:t>Member States shall lay down rules regulating the segregation of cover assets. Those rules shall include at least the following requirements:</w:t>
            </w:r>
            <w:r>
              <w:rPr>
                <w:rFonts w:ascii="Times New Roman" w:hAnsi="Times New Roman"/>
                <w:color w:val="000000"/>
                <w:sz w:val="20"/>
              </w:rPr>
              <w:br/>
              <w:t>(a) all cover assets are identifiable by the credit institution issuing the covered bonds at all times;</w:t>
            </w:r>
            <w:r>
              <w:rPr>
                <w:rFonts w:ascii="Times New Roman" w:hAnsi="Times New Roman"/>
                <w:color w:val="000000"/>
                <w:sz w:val="20"/>
              </w:rPr>
              <w:br/>
              <w:t>(b) all cover assets are subject to legally binding and enforceable segregation by the credit institution issuing the covered bonds;</w:t>
            </w:r>
            <w:r>
              <w:rPr>
                <w:rFonts w:ascii="Times New Roman" w:hAnsi="Times New Roman"/>
                <w:color w:val="000000"/>
                <w:sz w:val="20"/>
              </w:rPr>
              <w:br/>
              <w:t>(c) all cover assets are protected from any third party claims and no cover asset forms part of the insolvency estate of the credit institution issuing the covered bonds until the priority claim referred to in point (b) of Article 4(1) has been satisfied. For the purposes of the first subparagraph, the cover assets shall include any collateral received in connection with derivative contract positions.</w:t>
            </w:r>
          </w:p>
        </w:tc>
        <w:tc>
          <w:tcPr>
            <w:tcW w:w="624" w:type="dxa"/>
            <w:tcBorders>
              <w:left w:val="single" w:sz="12" w:space="0" w:color="auto"/>
            </w:tcBorders>
          </w:tcPr>
          <w:p w14:paraId="3C06CA64" w14:textId="1E7FBAA9" w:rsidR="00972280" w:rsidRPr="00DF12A5" w:rsidRDefault="00126C1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B8F2D3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11, paragraphs 1-4; Article 12</w:t>
            </w:r>
          </w:p>
        </w:tc>
        <w:tc>
          <w:tcPr>
            <w:tcW w:w="5130" w:type="dxa"/>
          </w:tcPr>
          <w:p w14:paraId="6EC6EE2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11</w:t>
            </w:r>
            <w:r>
              <w:rPr>
                <w:rFonts w:ascii="Times New Roman" w:hAnsi="Times New Roman"/>
                <w:color w:val="000000"/>
                <w:sz w:val="20"/>
              </w:rPr>
              <w:br/>
            </w:r>
            <w:r>
              <w:rPr>
                <w:rFonts w:ascii="Times New Roman" w:hAnsi="Times New Roman"/>
                <w:color w:val="000000"/>
                <w:sz w:val="20"/>
              </w:rPr>
              <w:br/>
              <w:t>1. The issuing credit institution shall ensure that all cover assets are identifiable at all times. It shall establish a cover pool register in which it shall record all assets constituting the cover pool.</w:t>
            </w:r>
            <w:r>
              <w:rPr>
                <w:rFonts w:ascii="Times New Roman" w:hAnsi="Times New Roman"/>
                <w:color w:val="000000"/>
                <w:sz w:val="20"/>
              </w:rPr>
              <w:br/>
              <w:t>2. Upon entry in the cover pool register, the cover assets shall be subject to mandatory and enforceable legal segregation from all other assets of the issuing credit institution. By virtue of that segregation, the cover assets shall be protected from all claims.</w:t>
            </w:r>
            <w:r>
              <w:rPr>
                <w:rFonts w:ascii="Times New Roman" w:hAnsi="Times New Roman"/>
                <w:color w:val="000000"/>
                <w:sz w:val="20"/>
              </w:rPr>
              <w:br/>
              <w:t>3. The cover assets shall be protected against all third-party claims and shall not form part of the liquidation estate of the credit institution issuing the covered bonds until the priority claims referred to in Article 4(1)(b) of this Law have been satisfied in full.</w:t>
            </w:r>
            <w:r>
              <w:rPr>
                <w:rFonts w:ascii="Times New Roman" w:hAnsi="Times New Roman"/>
                <w:color w:val="000000"/>
                <w:sz w:val="20"/>
              </w:rPr>
              <w:br/>
              <w:t>4. For the purposes of this Article, cover assets shall include any collateral received in connection with positions under derivative contracts.</w:t>
            </w:r>
            <w:r>
              <w:rPr>
                <w:rFonts w:ascii="Times New Roman" w:hAnsi="Times New Roman"/>
                <w:color w:val="000000"/>
                <w:sz w:val="20"/>
              </w:rPr>
              <w:br/>
            </w:r>
            <w:r>
              <w:rPr>
                <w:rFonts w:ascii="Times New Roman" w:hAnsi="Times New Roman"/>
                <w:color w:val="000000"/>
                <w:sz w:val="20"/>
              </w:rPr>
              <w:br/>
              <w:t>Article 12</w:t>
            </w:r>
            <w:r>
              <w:rPr>
                <w:rFonts w:ascii="Times New Roman" w:hAnsi="Times New Roman"/>
                <w:color w:val="000000"/>
                <w:sz w:val="20"/>
              </w:rPr>
              <w:br/>
            </w:r>
            <w:r>
              <w:rPr>
                <w:rFonts w:ascii="Times New Roman" w:hAnsi="Times New Roman"/>
                <w:color w:val="000000"/>
                <w:sz w:val="20"/>
              </w:rPr>
              <w:br/>
              <w:t>1. The credit institution issuing covered bonds shall establish and maintain a single cover pool register for all covered bond issues made under a single programme.</w:t>
            </w:r>
            <w:r>
              <w:rPr>
                <w:rFonts w:ascii="Times New Roman" w:hAnsi="Times New Roman"/>
                <w:color w:val="000000"/>
                <w:sz w:val="20"/>
              </w:rPr>
              <w:br/>
              <w:t>2. The cover pool register shall contain information on the assets enabling their identification at all times and the determination of their value and of the collateral securing them.</w:t>
            </w:r>
            <w:r>
              <w:rPr>
                <w:rFonts w:ascii="Times New Roman" w:hAnsi="Times New Roman"/>
                <w:color w:val="000000"/>
                <w:sz w:val="20"/>
              </w:rPr>
              <w:br/>
              <w:t>3. Assets recorded in the cover pool register shall be considered part of the cover pool for as long as they remain identifiable.</w:t>
            </w:r>
            <w:r>
              <w:rPr>
                <w:rFonts w:ascii="Times New Roman" w:hAnsi="Times New Roman"/>
                <w:color w:val="000000"/>
                <w:sz w:val="20"/>
              </w:rPr>
              <w:br/>
              <w:t>4. The issuing credit institution shall enter all assets in the cover pool register before the covered bonds are issued.</w:t>
            </w:r>
            <w:r>
              <w:rPr>
                <w:rFonts w:ascii="Times New Roman" w:hAnsi="Times New Roman"/>
                <w:color w:val="000000"/>
                <w:sz w:val="20"/>
              </w:rPr>
              <w:br/>
              <w:t>5. The issuing credit institution shall, without delay, enter any asset that becomes part of the cover pool after issue, subject to the prior approval of the cover pool monitor.</w:t>
            </w:r>
            <w:r>
              <w:rPr>
                <w:rFonts w:ascii="Times New Roman" w:hAnsi="Times New Roman"/>
                <w:color w:val="000000"/>
                <w:sz w:val="20"/>
              </w:rPr>
              <w:br/>
              <w:t>6. The issuing credit institution shall, without delay, remove any asset that ceases to form part of the cover pool, subject to the prior approval of the cover pool monitor.</w:t>
            </w:r>
            <w:r>
              <w:rPr>
                <w:rFonts w:ascii="Times New Roman" w:hAnsi="Times New Roman"/>
                <w:color w:val="000000"/>
                <w:sz w:val="20"/>
              </w:rPr>
              <w:br/>
              <w:t>7. The cover pool monitor shall refuse prior approval for an entry in or removal from the register where that action would result in non-compliance with the conditions laid down in this Law, the regulations, the permission to issue covered bonds or the issue prospectus. In particular, the cover pool monitor shall refuse prior approval for entry where the asset proposed as a cover asset does not satisfy the conditions applicable to cover assets.</w:t>
            </w:r>
            <w:r>
              <w:rPr>
                <w:rFonts w:ascii="Times New Roman" w:hAnsi="Times New Roman"/>
                <w:color w:val="000000"/>
                <w:sz w:val="20"/>
              </w:rPr>
              <w:br/>
              <w:t>8. An entry in or removal from the cover pool register without the prior approval of the cover pool monitor shall have no legal effect and shall not produce any consequences.</w:t>
            </w:r>
            <w:r>
              <w:rPr>
                <w:rFonts w:ascii="Times New Roman" w:hAnsi="Times New Roman"/>
                <w:color w:val="000000"/>
                <w:sz w:val="20"/>
              </w:rPr>
              <w:br/>
              <w:t>9. An extract from the cover pool register, together with any change to the cover pool assets during the covered bond issue, shall be submitted electronically to the Authority and the Bank of Albania without delay and as soon as possible, but in any event no later than the next working day after the relevant change is made.</w:t>
            </w:r>
            <w:r>
              <w:rPr>
                <w:rFonts w:ascii="Times New Roman" w:hAnsi="Times New Roman"/>
                <w:color w:val="000000"/>
                <w:sz w:val="20"/>
              </w:rPr>
              <w:br/>
              <w:t>10. The extract referred to in paragraph 9 of this Article shall be accompanied by the document evidencing the cover pool monitor’s approval of the entry of the asset in or its removal from the cover pool register.</w:t>
            </w:r>
            <w:r>
              <w:rPr>
                <w:rFonts w:ascii="Times New Roman" w:hAnsi="Times New Roman"/>
                <w:color w:val="000000"/>
                <w:sz w:val="20"/>
              </w:rPr>
              <w:br/>
              <w:t>11. In the event of a dispute concerning the composition of the cover pool, the cover pool shall be deemed to consist of the assets recorded in the most recent extract submitted to the Authority pursuant to paragraph 9 of this Article.</w:t>
            </w:r>
          </w:p>
        </w:tc>
        <w:tc>
          <w:tcPr>
            <w:tcW w:w="900" w:type="dxa"/>
          </w:tcPr>
          <w:p w14:paraId="60AC0199" w14:textId="215256A0" w:rsidR="003E7E51" w:rsidRPr="00DF12A5" w:rsidRDefault="00126C13">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1C62EE9"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52F7A40D" w14:textId="77777777" w:rsidTr="00BB0DAB">
        <w:tc>
          <w:tcPr>
            <w:tcW w:w="800" w:type="dxa"/>
            <w:tcBorders>
              <w:left w:val="single" w:sz="12" w:space="0" w:color="auto"/>
            </w:tcBorders>
          </w:tcPr>
          <w:p w14:paraId="5A60CA5D"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12, paragraph 2</w:t>
            </w:r>
          </w:p>
        </w:tc>
        <w:tc>
          <w:tcPr>
            <w:tcW w:w="5220" w:type="dxa"/>
            <w:tcBorders>
              <w:right w:val="single" w:sz="12" w:space="0" w:color="auto"/>
            </w:tcBorders>
          </w:tcPr>
          <w:p w14:paraId="4E402E2C"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segregation of cover assets referred to in paragraph 1 shall also apply in the case of insolvency or resolution of the credit institution issuing covered bonds.</w:t>
            </w:r>
          </w:p>
        </w:tc>
        <w:tc>
          <w:tcPr>
            <w:tcW w:w="624" w:type="dxa"/>
            <w:tcBorders>
              <w:left w:val="single" w:sz="12" w:space="0" w:color="auto"/>
            </w:tcBorders>
          </w:tcPr>
          <w:p w14:paraId="0F382667" w14:textId="5BEE374C" w:rsidR="00972280" w:rsidRPr="00DF12A5" w:rsidRDefault="00126C1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825FDC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11, paragraph 5</w:t>
            </w:r>
          </w:p>
        </w:tc>
        <w:tc>
          <w:tcPr>
            <w:tcW w:w="5130" w:type="dxa"/>
          </w:tcPr>
          <w:p w14:paraId="6485BC9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The segregation of cover assets under this Article shall also apply in the event of the insolvency, liquidation or resolution of the issuing credit institution.</w:t>
            </w:r>
          </w:p>
        </w:tc>
        <w:tc>
          <w:tcPr>
            <w:tcW w:w="900" w:type="dxa"/>
          </w:tcPr>
          <w:p w14:paraId="79A1E704" w14:textId="20E94D99" w:rsidR="003E7E51" w:rsidRPr="00DF12A5" w:rsidRDefault="00126C13">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3287AB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417BC678" w14:textId="77777777" w:rsidTr="00BB0DAB">
        <w:tc>
          <w:tcPr>
            <w:tcW w:w="800" w:type="dxa"/>
            <w:tcBorders>
              <w:left w:val="single" w:sz="12" w:space="0" w:color="auto"/>
            </w:tcBorders>
          </w:tcPr>
          <w:p w14:paraId="015D7911"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 1</w:t>
            </w:r>
          </w:p>
        </w:tc>
        <w:tc>
          <w:tcPr>
            <w:tcW w:w="5220" w:type="dxa"/>
            <w:tcBorders>
              <w:right w:val="single" w:sz="12" w:space="0" w:color="auto"/>
            </w:tcBorders>
          </w:tcPr>
          <w:p w14:paraId="0FD0F030"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Cover pool monitor</w:t>
            </w:r>
            <w:r>
              <w:rPr>
                <w:rFonts w:ascii="Times New Roman" w:hAnsi="Times New Roman"/>
                <w:color w:val="000000"/>
                <w:sz w:val="20"/>
              </w:rPr>
              <w:br/>
              <w:t>Member States may require that credit institutions issuing covered bonds appoint a cover pool monitor to perform ongoing monitoring of the cover pool with regard to the requirements set out in Articles 6 to 12 and Articles 14 to 17.</w:t>
            </w:r>
          </w:p>
        </w:tc>
        <w:tc>
          <w:tcPr>
            <w:tcW w:w="624" w:type="dxa"/>
            <w:tcBorders>
              <w:left w:val="single" w:sz="12" w:space="0" w:color="auto"/>
            </w:tcBorders>
          </w:tcPr>
          <w:p w14:paraId="5D9B1C41" w14:textId="23180CB7"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297DA0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 1</w:t>
            </w:r>
          </w:p>
        </w:tc>
        <w:tc>
          <w:tcPr>
            <w:tcW w:w="5130" w:type="dxa"/>
          </w:tcPr>
          <w:p w14:paraId="369343E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A credit institution issuing covered bonds shall appoint a cover pool monitor before submitting an application for permission for the covered bond programme.</w:t>
            </w:r>
            <w:r>
              <w:rPr>
                <w:rFonts w:ascii="Times New Roman" w:hAnsi="Times New Roman"/>
                <w:color w:val="000000"/>
                <w:sz w:val="20"/>
              </w:rPr>
              <w:br/>
              <w:t>The monitor shall confirm in writing that, at the time of the issue of the covered bonds, a sufficient cover pool exists and has been recorded in the cover pool register in accordance with this Law.</w:t>
            </w:r>
            <w:r>
              <w:rPr>
                <w:rFonts w:ascii="Times New Roman" w:hAnsi="Times New Roman"/>
                <w:color w:val="000000"/>
                <w:sz w:val="20"/>
              </w:rPr>
              <w:br/>
              <w:t>The written confirmation shall also include an assessment of whether the issuer and the cover pool comply with this Law, the regulations and the contractual terms and conditions of the covered bonds as regards:</w:t>
            </w:r>
            <w:r>
              <w:rPr>
                <w:rFonts w:ascii="Times New Roman" w:hAnsi="Times New Roman"/>
                <w:color w:val="000000"/>
                <w:sz w:val="20"/>
              </w:rPr>
              <w:br/>
              <w:t>(a) the eligibility of assets in the cover pool;</w:t>
            </w:r>
            <w:r>
              <w:rPr>
                <w:rFonts w:ascii="Times New Roman" w:hAnsi="Times New Roman"/>
                <w:color w:val="000000"/>
                <w:sz w:val="20"/>
              </w:rPr>
              <w:br/>
              <w:t>(b) compliance with the conditions for joint funding of the covered bond issue;</w:t>
            </w:r>
            <w:r>
              <w:rPr>
                <w:rFonts w:ascii="Times New Roman" w:hAnsi="Times New Roman"/>
                <w:color w:val="000000"/>
                <w:sz w:val="20"/>
              </w:rPr>
              <w:br/>
              <w:t>(c) the composition of the cover pool;</w:t>
            </w:r>
            <w:r>
              <w:rPr>
                <w:rFonts w:ascii="Times New Roman" w:hAnsi="Times New Roman"/>
                <w:color w:val="000000"/>
                <w:sz w:val="20"/>
              </w:rPr>
              <w:br/>
              <w:t>(d) derivative contracts in the cover pool;</w:t>
            </w:r>
            <w:r>
              <w:rPr>
                <w:rFonts w:ascii="Times New Roman" w:hAnsi="Times New Roman"/>
                <w:color w:val="000000"/>
                <w:sz w:val="20"/>
              </w:rPr>
              <w:br/>
              <w:t>(e) the segregation of cover assets and protection against other creditors;</w:t>
            </w:r>
            <w:r>
              <w:rPr>
                <w:rFonts w:ascii="Times New Roman" w:hAnsi="Times New Roman"/>
                <w:color w:val="000000"/>
                <w:sz w:val="20"/>
              </w:rPr>
              <w:br/>
              <w:t>(f) the cover pool register;</w:t>
            </w:r>
            <w:r>
              <w:rPr>
                <w:rFonts w:ascii="Times New Roman" w:hAnsi="Times New Roman"/>
                <w:color w:val="000000"/>
                <w:sz w:val="20"/>
              </w:rPr>
              <w:br/>
              <w:t>(g) coverage requirements, including the accuracy of the valuation of assets in the cover pool;</w:t>
            </w:r>
            <w:r>
              <w:rPr>
                <w:rFonts w:ascii="Times New Roman" w:hAnsi="Times New Roman"/>
                <w:color w:val="000000"/>
                <w:sz w:val="20"/>
              </w:rPr>
              <w:br/>
              <w:t>(h) requirements relating to the cover pool liquidity buffer;</w:t>
            </w:r>
            <w:r>
              <w:rPr>
                <w:rFonts w:ascii="Times New Roman" w:hAnsi="Times New Roman"/>
                <w:color w:val="000000"/>
                <w:sz w:val="20"/>
              </w:rPr>
              <w:br/>
              <w:t>(i) investor protection in relation to covered bonds with extendable maturity structures.</w:t>
            </w:r>
          </w:p>
        </w:tc>
        <w:tc>
          <w:tcPr>
            <w:tcW w:w="900" w:type="dxa"/>
          </w:tcPr>
          <w:p w14:paraId="4AA0280B" w14:textId="328EDB7C"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D2CF9E5"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7636E88E" w14:textId="77777777" w:rsidTr="00BB0DAB">
        <w:tc>
          <w:tcPr>
            <w:tcW w:w="800" w:type="dxa"/>
            <w:tcBorders>
              <w:left w:val="single" w:sz="12" w:space="0" w:color="auto"/>
            </w:tcBorders>
          </w:tcPr>
          <w:p w14:paraId="4479C23C"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 2</w:t>
            </w:r>
          </w:p>
        </w:tc>
        <w:tc>
          <w:tcPr>
            <w:tcW w:w="5220" w:type="dxa"/>
            <w:tcBorders>
              <w:right w:val="single" w:sz="12" w:space="0" w:color="auto"/>
            </w:tcBorders>
          </w:tcPr>
          <w:p w14:paraId="0E1D4D12"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Member States exercise the option provided for in paragraph 1, they shall lay down rules at least on the following aspects:</w:t>
            </w:r>
            <w:r>
              <w:rPr>
                <w:rFonts w:ascii="Times New Roman" w:hAnsi="Times New Roman"/>
                <w:color w:val="000000"/>
                <w:sz w:val="20"/>
              </w:rPr>
              <w:br/>
              <w:t>(a) the appointment and dismissal of the cover pool monitor;</w:t>
            </w:r>
            <w:r>
              <w:rPr>
                <w:rFonts w:ascii="Times New Roman" w:hAnsi="Times New Roman"/>
                <w:color w:val="000000"/>
                <w:sz w:val="20"/>
              </w:rPr>
              <w:br/>
              <w:t>(b) any eligibility criteria for the cover pool monitor;</w:t>
            </w:r>
            <w:r>
              <w:rPr>
                <w:rFonts w:ascii="Times New Roman" w:hAnsi="Times New Roman"/>
                <w:color w:val="000000"/>
                <w:sz w:val="20"/>
              </w:rPr>
              <w:br/>
              <w:t>(c) the role and duties of the cover pool monitor, including in the case of the insolvency or resolution of the credit institution issuing the covered bonds;</w:t>
            </w:r>
            <w:r>
              <w:rPr>
                <w:rFonts w:ascii="Times New Roman" w:hAnsi="Times New Roman"/>
                <w:color w:val="000000"/>
                <w:sz w:val="20"/>
              </w:rPr>
              <w:br/>
              <w:t>(d) the obligation to report to the competent authorities designated pursuant to Article 18(2);</w:t>
            </w:r>
            <w:r>
              <w:rPr>
                <w:rFonts w:ascii="Times New Roman" w:hAnsi="Times New Roman"/>
                <w:color w:val="000000"/>
                <w:sz w:val="20"/>
              </w:rPr>
              <w:br/>
              <w:t>(e) the right of access to information necessary for the performance of the cover pool monitor’s duties.</w:t>
            </w:r>
          </w:p>
        </w:tc>
        <w:tc>
          <w:tcPr>
            <w:tcW w:w="624" w:type="dxa"/>
            <w:tcBorders>
              <w:left w:val="single" w:sz="12" w:space="0" w:color="auto"/>
            </w:tcBorders>
          </w:tcPr>
          <w:p w14:paraId="58C1A7BE" w14:textId="551C7B28"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84CF87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paragraphs 2 and 7-17</w:t>
            </w:r>
          </w:p>
        </w:tc>
        <w:tc>
          <w:tcPr>
            <w:tcW w:w="5130" w:type="dxa"/>
          </w:tcPr>
          <w:p w14:paraId="5BE4E24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Credit institutions issuing covered bonds shall have internal rules and procedures governing the function of the cover pool monitor in accordance with this Law. Those rules and procedures shall include at least:</w:t>
            </w:r>
            <w:r>
              <w:rPr>
                <w:rFonts w:ascii="Times New Roman" w:hAnsi="Times New Roman"/>
                <w:color w:val="000000"/>
                <w:sz w:val="20"/>
              </w:rPr>
              <w:br/>
              <w:t>a) the appointment and dismissal of the cover pool monitor;</w:t>
            </w:r>
            <w:r>
              <w:rPr>
                <w:rFonts w:ascii="Times New Roman" w:hAnsi="Times New Roman"/>
                <w:color w:val="000000"/>
                <w:sz w:val="20"/>
              </w:rPr>
              <w:br/>
              <w:t>b) the monitor’s eligibility criteria and qualification requirements;</w:t>
            </w:r>
            <w:r>
              <w:rPr>
                <w:rFonts w:ascii="Times New Roman" w:hAnsi="Times New Roman"/>
                <w:color w:val="000000"/>
                <w:sz w:val="20"/>
              </w:rPr>
              <w:br/>
              <w:t>c) the role and duties of the monitor, including in the event of the insolvency or resolution of the issuing credit institution;</w:t>
            </w:r>
            <w:r>
              <w:rPr>
                <w:rFonts w:ascii="Times New Roman" w:hAnsi="Times New Roman"/>
                <w:color w:val="000000"/>
                <w:sz w:val="20"/>
              </w:rPr>
              <w:br/>
              <w:t>(d) the obligation to report to the Authority;</w:t>
            </w:r>
            <w:r>
              <w:rPr>
                <w:rFonts w:ascii="Times New Roman" w:hAnsi="Times New Roman"/>
                <w:color w:val="000000"/>
                <w:sz w:val="20"/>
              </w:rPr>
              <w:br/>
              <w:t>(e) the right of access to information necessary for the performance of the monitor’s duties.</w:t>
            </w:r>
            <w:r>
              <w:rPr>
                <w:rFonts w:ascii="Times New Roman" w:hAnsi="Times New Roman"/>
                <w:color w:val="000000"/>
                <w:sz w:val="20"/>
              </w:rPr>
              <w:br/>
              <w:t>7. The cover pool monitor shall monitor on an ongoing basis whether the issuing credit institution and the cover pool comply with the requirements laid down in Articles 6 to 11, 14 and 16 to 18 of this Law, the regulations and the contractual terms and conditions of the covered bonds as regards:</w:t>
            </w:r>
            <w:r>
              <w:rPr>
                <w:rFonts w:ascii="Times New Roman" w:hAnsi="Times New Roman"/>
                <w:color w:val="000000"/>
                <w:sz w:val="20"/>
              </w:rPr>
              <w:br/>
              <w:t>(a) the eligibility of assets in the cover pool;</w:t>
            </w:r>
            <w:r>
              <w:rPr>
                <w:rFonts w:ascii="Times New Roman" w:hAnsi="Times New Roman"/>
                <w:color w:val="000000"/>
                <w:sz w:val="20"/>
              </w:rPr>
              <w:br/>
              <w:t>(b) compliance with the conditions for joint funding;</w:t>
            </w:r>
            <w:r>
              <w:rPr>
                <w:rFonts w:ascii="Times New Roman" w:hAnsi="Times New Roman"/>
                <w:color w:val="000000"/>
                <w:sz w:val="20"/>
              </w:rPr>
              <w:br/>
              <w:t>(c) the composition of the cover pool;</w:t>
            </w:r>
            <w:r>
              <w:rPr>
                <w:rFonts w:ascii="Times New Roman" w:hAnsi="Times New Roman"/>
                <w:color w:val="000000"/>
                <w:sz w:val="20"/>
              </w:rPr>
              <w:br/>
              <w:t>(d) derivative contracts in the cover pool;</w:t>
            </w:r>
            <w:r>
              <w:rPr>
                <w:rFonts w:ascii="Times New Roman" w:hAnsi="Times New Roman"/>
                <w:color w:val="000000"/>
                <w:sz w:val="20"/>
              </w:rPr>
              <w:br/>
              <w:t>(e) the segregation of cover assets and protection against third-party claims;</w:t>
            </w:r>
            <w:r>
              <w:rPr>
                <w:rFonts w:ascii="Times New Roman" w:hAnsi="Times New Roman"/>
                <w:color w:val="000000"/>
                <w:sz w:val="20"/>
              </w:rPr>
              <w:br/>
              <w:t>(f) the cover pool register;</w:t>
            </w:r>
            <w:r>
              <w:rPr>
                <w:rFonts w:ascii="Times New Roman" w:hAnsi="Times New Roman"/>
                <w:color w:val="000000"/>
                <w:sz w:val="20"/>
              </w:rPr>
              <w:br/>
              <w:t>(g) the relevance and accuracy of information for investors;</w:t>
            </w:r>
            <w:r>
              <w:rPr>
                <w:rFonts w:ascii="Times New Roman" w:hAnsi="Times New Roman"/>
                <w:color w:val="000000"/>
                <w:sz w:val="20"/>
              </w:rPr>
              <w:br/>
              <w:t>(h) coverage requirements;</w:t>
            </w:r>
            <w:r>
              <w:rPr>
                <w:rFonts w:ascii="Times New Roman" w:hAnsi="Times New Roman"/>
                <w:color w:val="000000"/>
                <w:sz w:val="20"/>
              </w:rPr>
              <w:br/>
              <w:t>(i) requirements relating to the liquidity buffer;</w:t>
            </w:r>
            <w:r>
              <w:rPr>
                <w:rFonts w:ascii="Times New Roman" w:hAnsi="Times New Roman"/>
                <w:color w:val="000000"/>
                <w:sz w:val="20"/>
              </w:rPr>
              <w:br/>
              <w:t>(j) investor protection, including in the case of covered bonds with extendable maturity structures;</w:t>
            </w:r>
            <w:r>
              <w:rPr>
                <w:rFonts w:ascii="Times New Roman" w:hAnsi="Times New Roman"/>
                <w:color w:val="000000"/>
                <w:sz w:val="20"/>
              </w:rPr>
              <w:br/>
              <w:t>(k) any other obligation laid down in this Law.</w:t>
            </w:r>
            <w:r>
              <w:rPr>
                <w:rFonts w:ascii="Times New Roman" w:hAnsi="Times New Roman"/>
                <w:color w:val="000000"/>
                <w:sz w:val="20"/>
              </w:rPr>
              <w:br/>
              <w:t>8. In performing the duties referred to in paragraph 7 of this Article, the cover pool monitor shall:</w:t>
            </w:r>
            <w:r>
              <w:rPr>
                <w:rFonts w:ascii="Times New Roman" w:hAnsi="Times New Roman"/>
                <w:color w:val="000000"/>
                <w:sz w:val="20"/>
              </w:rPr>
              <w:br/>
              <w:t>(a) verify the coverage and liquidity calculations;</w:t>
            </w:r>
            <w:r>
              <w:rPr>
                <w:rFonts w:ascii="Times New Roman" w:hAnsi="Times New Roman"/>
                <w:color w:val="000000"/>
                <w:sz w:val="20"/>
              </w:rPr>
              <w:br/>
              <w:t>(b) confirm the accuracy of the valuation of assets in the cover pool;</w:t>
            </w:r>
            <w:r>
              <w:rPr>
                <w:rFonts w:ascii="Times New Roman" w:hAnsi="Times New Roman"/>
                <w:color w:val="000000"/>
                <w:sz w:val="20"/>
              </w:rPr>
              <w:br/>
              <w:t>(c) carry out random audits of assets in the cover pool;</w:t>
            </w:r>
            <w:r>
              <w:rPr>
                <w:rFonts w:ascii="Times New Roman" w:hAnsi="Times New Roman"/>
                <w:color w:val="000000"/>
                <w:sz w:val="20"/>
              </w:rPr>
              <w:br/>
              <w:t>(d) monitor the cover pool register until the covered bonds have been repaid in full, in order to ensure that the issuer maintains the value of the cover pool in accordance with this Law, the regulations and the contractual terms and conditions;</w:t>
            </w:r>
            <w:r>
              <w:rPr>
                <w:rFonts w:ascii="Times New Roman" w:hAnsi="Times New Roman"/>
                <w:color w:val="000000"/>
                <w:sz w:val="20"/>
              </w:rPr>
              <w:br/>
              <w:t>(e) ensure the accuracy of the recording of assets in the cover pool register by verifying that assets proposed for entry meet the eligibility conditions laid down in this Law and the relevant regulations.</w:t>
            </w:r>
            <w:r>
              <w:rPr>
                <w:rFonts w:ascii="Times New Roman" w:hAnsi="Times New Roman"/>
                <w:color w:val="000000"/>
                <w:sz w:val="20"/>
              </w:rPr>
              <w:br/>
              <w:t>9. The issuing credit institution shall not dispose of assets included in the cover pool without the prior approval of the cover pool monitor.</w:t>
            </w:r>
            <w:r>
              <w:rPr>
                <w:rFonts w:ascii="Times New Roman" w:hAnsi="Times New Roman"/>
                <w:color w:val="000000"/>
                <w:sz w:val="20"/>
              </w:rPr>
              <w:br/>
              <w:t>The cover pool monitor shall approve any removal, substitution or addition of assets in the cover pool register only where, following the proposed changes, the cover pool continues to comply with this Law, the relevant regulations and the contractual terms and conditions of the covered bonds.</w:t>
            </w:r>
            <w:r>
              <w:rPr>
                <w:rFonts w:ascii="Times New Roman" w:hAnsi="Times New Roman"/>
                <w:color w:val="000000"/>
                <w:sz w:val="20"/>
              </w:rPr>
              <w:br/>
              <w:t>10. The issuing credit institution shall ensure that the cover pool monitor has access at all times to the cover pool register and immediate access to all documentation relating to the covered bonds or cover assets, including credit files, contracts, collateral documentation, asset valuations and any other similar documents relating to loans included in the cover pool.</w:t>
            </w:r>
            <w:r>
              <w:rPr>
                <w:rFonts w:ascii="Times New Roman" w:hAnsi="Times New Roman"/>
                <w:color w:val="000000"/>
                <w:sz w:val="20"/>
              </w:rPr>
              <w:br/>
              <w:t>The issuing credit institution shall make available to the cover pool monitor data on the potential costs of compulsory liquidation and any other information necessary for the performance of the monitor’s duties.</w:t>
            </w:r>
            <w:r>
              <w:rPr>
                <w:rFonts w:ascii="Times New Roman" w:hAnsi="Times New Roman"/>
                <w:color w:val="000000"/>
                <w:sz w:val="20"/>
              </w:rPr>
              <w:br/>
              <w:t>11. The Authority may allow the cover pool monitor not to be separate from the credit institution (“internal cover pool monitor”) where the following conditions are met:</w:t>
            </w:r>
            <w:r>
              <w:rPr>
                <w:rFonts w:ascii="Times New Roman" w:hAnsi="Times New Roman"/>
                <w:color w:val="000000"/>
                <w:sz w:val="20"/>
              </w:rPr>
              <w:br/>
              <w:t>(a) the cover pool monitor is independent from the credit decision process of the credit institution issuing the covered bonds;</w:t>
            </w:r>
            <w:r>
              <w:rPr>
                <w:rFonts w:ascii="Times New Roman" w:hAnsi="Times New Roman"/>
                <w:color w:val="000000"/>
                <w:sz w:val="20"/>
              </w:rPr>
              <w:br/>
              <w:t>(b) without prejudice to paragraph 2(a) of this Article, the credit institution issuing the covered bonds ensures that the cover pool monitor cannot be removed from that function without the prior approval of its management body;</w:t>
            </w:r>
            <w:r>
              <w:rPr>
                <w:rFonts w:ascii="Times New Roman" w:hAnsi="Times New Roman"/>
                <w:color w:val="000000"/>
                <w:sz w:val="20"/>
              </w:rPr>
              <w:br/>
              <w:t>(c) where necessary, the cover pool monitor has direct access to the management body in its supervisory function.</w:t>
            </w:r>
            <w:r>
              <w:rPr>
                <w:rFonts w:ascii="Times New Roman" w:hAnsi="Times New Roman"/>
                <w:color w:val="000000"/>
                <w:sz w:val="20"/>
              </w:rPr>
              <w:br/>
              <w:t>12. The cover pool monitor shall take into account the conclusions of the stress-test analysis referred to in Article 25(3) of this Law when assessing whether the issuer and the cover pool continue to comply with this Law, the regulations and the contractual terms and conditions of the covered bonds, and shall notify the Authority and the Bank of Albania thereof.</w:t>
            </w:r>
            <w:r>
              <w:rPr>
                <w:rFonts w:ascii="Times New Roman" w:hAnsi="Times New Roman"/>
                <w:color w:val="000000"/>
                <w:sz w:val="20"/>
              </w:rPr>
              <w:br/>
              <w:t>The issuing credit institution shall make available to the cover pool monitor data on the potential costs of compulsory liquidation which it is required to report to the European Systemic Risk Board, as well as any other information necessary for the performance of the monitor’s duties.</w:t>
            </w:r>
            <w:r>
              <w:rPr>
                <w:rFonts w:ascii="Times New Roman" w:hAnsi="Times New Roman"/>
                <w:color w:val="000000"/>
                <w:sz w:val="20"/>
              </w:rPr>
              <w:br/>
              <w:t>13. Every six months, the cover pool monitor shall submit to the Authority and the Bank of Albania a report confirming the compliance of the cover pool with the statutory and regulatory requirements. Where the register extract differs from the most recently submitted extract, it shall be attached to the report.</w:t>
            </w:r>
            <w:r>
              <w:rPr>
                <w:rFonts w:ascii="Times New Roman" w:hAnsi="Times New Roman"/>
                <w:color w:val="000000"/>
                <w:sz w:val="20"/>
              </w:rPr>
              <w:br/>
              <w:t>14. The cover pool monitor shall inform the Authority and the Bank of Albania of any material finding concerning the covered bond programme, including cases where assets have been removed from, substituted in or added to the cover pool.</w:t>
            </w:r>
            <w:r>
              <w:rPr>
                <w:rFonts w:ascii="Times New Roman" w:hAnsi="Times New Roman"/>
                <w:color w:val="000000"/>
                <w:sz w:val="20"/>
              </w:rPr>
              <w:br/>
              <w:t>15. The cover pool monitor shall respond to requests for information from the Bank of Albania or the Authority within the time limits specified by them.</w:t>
            </w:r>
            <w:r>
              <w:rPr>
                <w:rFonts w:ascii="Times New Roman" w:hAnsi="Times New Roman"/>
                <w:color w:val="000000"/>
                <w:sz w:val="20"/>
              </w:rPr>
              <w:br/>
              <w:t>16) The management body/supervisory board of the issuing credit institution may dismiss the cover pool monitor where:</w:t>
            </w:r>
            <w:r>
              <w:rPr>
                <w:rFonts w:ascii="Times New Roman" w:hAnsi="Times New Roman"/>
                <w:color w:val="000000"/>
                <w:sz w:val="20"/>
              </w:rPr>
              <w:br/>
              <w:t>(a) the monitor no longer meets the conditions laid down in this Article;</w:t>
            </w:r>
            <w:r>
              <w:rPr>
                <w:rFonts w:ascii="Times New Roman" w:hAnsi="Times New Roman"/>
                <w:color w:val="000000"/>
                <w:sz w:val="20"/>
              </w:rPr>
              <w:br/>
              <w:t>(b) the monitor fails to perform the duties laid down in this Law;</w:t>
            </w:r>
            <w:r>
              <w:rPr>
                <w:rFonts w:ascii="Times New Roman" w:hAnsi="Times New Roman"/>
                <w:color w:val="000000"/>
                <w:sz w:val="20"/>
              </w:rPr>
              <w:br/>
              <w:t>(c) dismissal is ordered by the Authority or the Bank of Albania;</w:t>
            </w:r>
            <w:r>
              <w:rPr>
                <w:rFonts w:ascii="Times New Roman" w:hAnsi="Times New Roman"/>
                <w:color w:val="000000"/>
                <w:sz w:val="20"/>
              </w:rPr>
              <w:br/>
              <w:t>(d) the monitor resigns, in which case the monitor shall remain in office until a new monitor is appointed.</w:t>
            </w:r>
            <w:r>
              <w:rPr>
                <w:rFonts w:ascii="Times New Roman" w:hAnsi="Times New Roman"/>
                <w:color w:val="000000"/>
                <w:sz w:val="20"/>
              </w:rPr>
              <w:br/>
              <w:t>17. The cover pool monitor shall be liable towards the issuer, investors and counterparties of derivative contracts only in cases of wilful misconduct or gross negligence.</w:t>
            </w:r>
          </w:p>
        </w:tc>
        <w:tc>
          <w:tcPr>
            <w:tcW w:w="900" w:type="dxa"/>
          </w:tcPr>
          <w:p w14:paraId="76C94043" w14:textId="5F56D4D7"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1B34A52"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5BE64468" w14:textId="77777777" w:rsidTr="00BB0DAB">
        <w:tc>
          <w:tcPr>
            <w:tcW w:w="800" w:type="dxa"/>
            <w:tcBorders>
              <w:left w:val="single" w:sz="12" w:space="0" w:color="auto"/>
            </w:tcBorders>
          </w:tcPr>
          <w:p w14:paraId="33847557"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 3</w:t>
            </w:r>
          </w:p>
        </w:tc>
        <w:tc>
          <w:tcPr>
            <w:tcW w:w="5220" w:type="dxa"/>
            <w:tcBorders>
              <w:right w:val="single" w:sz="12" w:space="0" w:color="auto"/>
            </w:tcBorders>
          </w:tcPr>
          <w:p w14:paraId="7B9657DA"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Member States exercise the option provided for in paragraph 1, the cover pool monitor shall be separate and independent from the credit institution issuing the covered bonds and from that credit institution’s auditor. Member States may, however, allow a cover pool monitor that is not separate from the credit institution (‘internal cover pool monitor’) where:</w:t>
            </w:r>
            <w:r>
              <w:rPr>
                <w:rFonts w:ascii="Times New Roman" w:hAnsi="Times New Roman"/>
                <w:color w:val="000000"/>
                <w:sz w:val="20"/>
              </w:rPr>
              <w:br/>
              <w:t>(a) the internal cover pool monitor is independent from the credit decision process of the credit institution issuing the covered bonds;</w:t>
            </w:r>
            <w:r>
              <w:rPr>
                <w:rFonts w:ascii="Times New Roman" w:hAnsi="Times New Roman"/>
                <w:color w:val="000000"/>
                <w:sz w:val="20"/>
              </w:rPr>
              <w:br/>
              <w:t>(b) without prejudice to point (a) of paragraph 2, Member States ensure that the internal cover pool monitor cannot be removed from that function as cover pool monitor without the prior approval of the management body in its supervisory function of the credit institution issuing the covered bonds; and</w:t>
            </w:r>
            <w:r>
              <w:rPr>
                <w:rFonts w:ascii="Times New Roman" w:hAnsi="Times New Roman"/>
                <w:color w:val="000000"/>
                <w:sz w:val="20"/>
              </w:rPr>
              <w:br/>
              <w:t>(c) where necessary, the internal cover pool monitor has direct access to the management body in its supervisory function.</w:t>
            </w:r>
          </w:p>
        </w:tc>
        <w:tc>
          <w:tcPr>
            <w:tcW w:w="624" w:type="dxa"/>
            <w:tcBorders>
              <w:left w:val="single" w:sz="12" w:space="0" w:color="auto"/>
            </w:tcBorders>
          </w:tcPr>
          <w:p w14:paraId="745362AA" w14:textId="096372F3"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DFD0C2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paragraphs 3 and 11</w:t>
            </w:r>
          </w:p>
        </w:tc>
        <w:tc>
          <w:tcPr>
            <w:tcW w:w="5130" w:type="dxa"/>
          </w:tcPr>
          <w:p w14:paraId="2FC8BA7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The cover pool monitor shall be a person entered in the Register of Statutory Auditors in the Republic of Albania, independent from the credit institution issuing the covered bonds and from its auditor, and possessing appropriate professional experience in the financial sector, in particular in the audit of credit institutions, financial institutions, capital-market infrastructures, investment fund management companies, pension fund management companies or insurance undertakings.</w:t>
            </w:r>
            <w:r>
              <w:rPr>
                <w:rFonts w:ascii="Times New Roman" w:hAnsi="Times New Roman"/>
                <w:color w:val="000000"/>
                <w:sz w:val="20"/>
              </w:rPr>
              <w:br/>
              <w:t>11. The Authority may allow the cover pool monitor not to be separate from the credit institution (“internal cover pool monitor”) where the following conditions are met:</w:t>
            </w:r>
            <w:r>
              <w:rPr>
                <w:rFonts w:ascii="Times New Roman" w:hAnsi="Times New Roman"/>
                <w:color w:val="000000"/>
                <w:sz w:val="20"/>
              </w:rPr>
              <w:br/>
              <w:t>(a) the cover pool monitor is independent from the credit decision process of the credit institution issuing the covered bonds;</w:t>
            </w:r>
            <w:r>
              <w:rPr>
                <w:rFonts w:ascii="Times New Roman" w:hAnsi="Times New Roman"/>
                <w:color w:val="000000"/>
                <w:sz w:val="20"/>
              </w:rPr>
              <w:br/>
              <w:t>(b) without prejudice to paragraph 2(a) of this Article, the credit institution issuing the covered bonds ensures that the cover pool monitor cannot be removed from that function without the prior approval of its management body;</w:t>
            </w:r>
            <w:r>
              <w:rPr>
                <w:rFonts w:ascii="Times New Roman" w:hAnsi="Times New Roman"/>
                <w:color w:val="000000"/>
                <w:sz w:val="20"/>
              </w:rPr>
              <w:br/>
              <w:t>(c) where necessary, the cover pool monitor has direct access to the management body in its supervisory function.</w:t>
            </w:r>
          </w:p>
        </w:tc>
        <w:tc>
          <w:tcPr>
            <w:tcW w:w="900" w:type="dxa"/>
          </w:tcPr>
          <w:p w14:paraId="42A74AB1" w14:textId="1CE45BEE"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6E936C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595397FE" w14:textId="77777777" w:rsidTr="00BB0DAB">
        <w:tc>
          <w:tcPr>
            <w:tcW w:w="800" w:type="dxa"/>
            <w:tcBorders>
              <w:left w:val="single" w:sz="12" w:space="0" w:color="auto"/>
            </w:tcBorders>
          </w:tcPr>
          <w:p w14:paraId="2BDB2FC3"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 4</w:t>
            </w:r>
          </w:p>
        </w:tc>
        <w:tc>
          <w:tcPr>
            <w:tcW w:w="5220" w:type="dxa"/>
            <w:tcBorders>
              <w:right w:val="single" w:sz="12" w:space="0" w:color="auto"/>
            </w:tcBorders>
          </w:tcPr>
          <w:p w14:paraId="12C4077C"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Member States exercise the option provided for in paragraph 1, they shall notify EBA.</w:t>
            </w:r>
          </w:p>
        </w:tc>
        <w:tc>
          <w:tcPr>
            <w:tcW w:w="624" w:type="dxa"/>
            <w:tcBorders>
              <w:left w:val="single" w:sz="12" w:space="0" w:color="auto"/>
            </w:tcBorders>
          </w:tcPr>
          <w:p w14:paraId="055FEA01" w14:textId="26D247A8"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BA0E68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13, paragraph 18</w:t>
            </w:r>
          </w:p>
        </w:tc>
        <w:tc>
          <w:tcPr>
            <w:tcW w:w="5130" w:type="dxa"/>
          </w:tcPr>
          <w:p w14:paraId="76B9A64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18. The Authority shall notify the European Banking Authority (EBA) of the requirement to appoint a cover pool monitor pursuant to paragraph 1 of this Article.</w:t>
            </w:r>
          </w:p>
        </w:tc>
        <w:tc>
          <w:tcPr>
            <w:tcW w:w="900" w:type="dxa"/>
          </w:tcPr>
          <w:p w14:paraId="4B2D0A0C" w14:textId="4A68033C"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9E74BCC"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4032AFCA" w14:textId="77777777" w:rsidTr="00BB0DAB">
        <w:tc>
          <w:tcPr>
            <w:tcW w:w="800" w:type="dxa"/>
            <w:tcBorders>
              <w:left w:val="single" w:sz="12" w:space="0" w:color="auto"/>
            </w:tcBorders>
          </w:tcPr>
          <w:p w14:paraId="76FABEAA"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14, paragraph 1</w:t>
            </w:r>
          </w:p>
        </w:tc>
        <w:tc>
          <w:tcPr>
            <w:tcW w:w="5220" w:type="dxa"/>
            <w:tcBorders>
              <w:right w:val="single" w:sz="12" w:space="0" w:color="auto"/>
            </w:tcBorders>
          </w:tcPr>
          <w:p w14:paraId="7A3B270B"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Investor information</w:t>
            </w:r>
            <w:r>
              <w:rPr>
                <w:rFonts w:ascii="Times New Roman" w:hAnsi="Times New Roman"/>
                <w:color w:val="000000"/>
                <w:sz w:val="20"/>
              </w:rPr>
              <w:br/>
              <w:t>Member States shall ensure that credit institutions issuing covered bonds provide information on their covered bond programmes that is sufficiently detailed to allow investors to assess the profile and risks of that programme and to carry out their due diligence.</w:t>
            </w:r>
          </w:p>
        </w:tc>
        <w:tc>
          <w:tcPr>
            <w:tcW w:w="624" w:type="dxa"/>
            <w:tcBorders>
              <w:left w:val="single" w:sz="12" w:space="0" w:color="auto"/>
            </w:tcBorders>
          </w:tcPr>
          <w:p w14:paraId="4A55CBBA" w14:textId="52036971"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8758CC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14, paragraph 1</w:t>
            </w:r>
          </w:p>
        </w:tc>
        <w:tc>
          <w:tcPr>
            <w:tcW w:w="5130" w:type="dxa"/>
          </w:tcPr>
          <w:p w14:paraId="30A702A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issuer shall ensure that sufficiently detailed information on the covered bond programme is made available to investors to enable them to assess the profile and risks of that programme and to carry out their due diligence.</w:t>
            </w:r>
          </w:p>
        </w:tc>
        <w:tc>
          <w:tcPr>
            <w:tcW w:w="900" w:type="dxa"/>
          </w:tcPr>
          <w:p w14:paraId="121D1E94" w14:textId="24B189A9"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22AD4CF"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7474AB95" w14:textId="77777777" w:rsidTr="00BB0DAB">
        <w:tc>
          <w:tcPr>
            <w:tcW w:w="800" w:type="dxa"/>
            <w:tcBorders>
              <w:left w:val="single" w:sz="12" w:space="0" w:color="auto"/>
            </w:tcBorders>
          </w:tcPr>
          <w:p w14:paraId="738EA0C3"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14, paragraph 2</w:t>
            </w:r>
          </w:p>
        </w:tc>
        <w:tc>
          <w:tcPr>
            <w:tcW w:w="5220" w:type="dxa"/>
            <w:tcBorders>
              <w:right w:val="single" w:sz="12" w:space="0" w:color="auto"/>
            </w:tcBorders>
          </w:tcPr>
          <w:p w14:paraId="41BA5B84"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paragraph 1, Member States shall ensure that the information is provided to investors at least on a quarterly basis and includes the following minimum portfolio information:</w:t>
            </w:r>
            <w:r>
              <w:rPr>
                <w:rFonts w:ascii="Times New Roman" w:hAnsi="Times New Roman"/>
                <w:color w:val="000000"/>
                <w:sz w:val="20"/>
              </w:rPr>
              <w:br/>
              <w:t>(a) the value of the cover pool and outstanding covered bonds;</w:t>
            </w:r>
            <w:r>
              <w:rPr>
                <w:rFonts w:ascii="Times New Roman" w:hAnsi="Times New Roman"/>
                <w:color w:val="000000"/>
                <w:sz w:val="20"/>
              </w:rPr>
              <w:br/>
              <w:t>(b) a list of the International Securities Identification Numbers (ISINs) for all covered bond issues under that programme, to which an ISIN has been attributed;</w:t>
            </w:r>
            <w:r>
              <w:rPr>
                <w:rFonts w:ascii="Times New Roman" w:hAnsi="Times New Roman"/>
                <w:color w:val="000000"/>
                <w:sz w:val="20"/>
              </w:rPr>
              <w:br/>
              <w:t>(c) the geographical distribution and type of cover assets, their loan size and valuation method;</w:t>
            </w:r>
            <w:r>
              <w:rPr>
                <w:rFonts w:ascii="Times New Roman" w:hAnsi="Times New Roman"/>
                <w:color w:val="000000"/>
                <w:sz w:val="20"/>
              </w:rPr>
              <w:br/>
              <w:t>(d) details in relation to market risk, including interest rate risk and currency risk, and credit and liquidity risks;</w:t>
            </w:r>
            <w:r>
              <w:rPr>
                <w:rFonts w:ascii="Times New Roman" w:hAnsi="Times New Roman"/>
                <w:color w:val="000000"/>
                <w:sz w:val="20"/>
              </w:rPr>
              <w:br/>
              <w:t>(e) the maturity structure of cover assets and covered bonds, including an overview of the maturity extension triggers if applicable;</w:t>
            </w:r>
            <w:r>
              <w:rPr>
                <w:rFonts w:ascii="Times New Roman" w:hAnsi="Times New Roman"/>
                <w:color w:val="000000"/>
                <w:sz w:val="20"/>
              </w:rPr>
              <w:br/>
              <w:t>(f) the levels of required and available coverage, and the levels of statutory, contractual and voluntary overcollateralisation;</w:t>
            </w:r>
            <w:r>
              <w:rPr>
                <w:rFonts w:ascii="Times New Roman" w:hAnsi="Times New Roman"/>
                <w:color w:val="000000"/>
                <w:sz w:val="20"/>
              </w:rPr>
              <w:br/>
              <w:t>(g) the percentage of loans where a default is considered to have occurred pursuant to Article 178 of Regulation (EU) No 575/2013 and in any case where the loans are more than 90 days past due. Member States shall ensure that for externally issued covered bonds under intragroup pooled covered bond structures as referred to in Article 8, the information referred to in the first subparagraph of this paragraph, or a link thereto, is provided to investors in respect of all internally issued covered bonds of the group. Member States shall ensure that that information is provided to investors on at least an aggregated basis.</w:t>
            </w:r>
          </w:p>
        </w:tc>
        <w:tc>
          <w:tcPr>
            <w:tcW w:w="624" w:type="dxa"/>
            <w:tcBorders>
              <w:left w:val="single" w:sz="12" w:space="0" w:color="auto"/>
            </w:tcBorders>
          </w:tcPr>
          <w:p w14:paraId="1908B2BD" w14:textId="413A73EE"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DBDBA9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14, paragraphs 2-3</w:t>
            </w:r>
          </w:p>
        </w:tc>
        <w:tc>
          <w:tcPr>
            <w:tcW w:w="5130" w:type="dxa"/>
          </w:tcPr>
          <w:p w14:paraId="72AD6E4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For the purposes of paragraph 1 of this Article, the issuing credit institution shall ensure that information is made available to investors at least quarterly and includes at least the following:</w:t>
            </w:r>
            <w:r>
              <w:rPr>
                <w:rFonts w:ascii="Times New Roman" w:hAnsi="Times New Roman"/>
                <w:color w:val="000000"/>
                <w:sz w:val="20"/>
              </w:rPr>
              <w:br/>
              <w:t>(a) the value of the cover pool and the outstanding covered bonds;</w:t>
            </w:r>
            <w:r>
              <w:rPr>
                <w:rFonts w:ascii="Times New Roman" w:hAnsi="Times New Roman"/>
                <w:color w:val="000000"/>
                <w:sz w:val="20"/>
              </w:rPr>
              <w:br/>
              <w:t>(b) a list of the International Securities Identification Numbers (ISINs) for all covered bond issues under the programme to which an ISIN has been attributed;</w:t>
            </w:r>
            <w:r>
              <w:rPr>
                <w:rFonts w:ascii="Times New Roman" w:hAnsi="Times New Roman"/>
                <w:color w:val="000000"/>
                <w:sz w:val="20"/>
              </w:rPr>
              <w:br/>
              <w:t>(c) the geographical distribution and type of cover assets, their loan size and valuation method;</w:t>
            </w:r>
            <w:r>
              <w:rPr>
                <w:rFonts w:ascii="Times New Roman" w:hAnsi="Times New Roman"/>
                <w:color w:val="000000"/>
                <w:sz w:val="20"/>
              </w:rPr>
              <w:br/>
              <w:t>(d) details in relation to market risk, including interest-rate risk and currency risk, and credit and liquidity risks;</w:t>
            </w:r>
            <w:r>
              <w:rPr>
                <w:rFonts w:ascii="Times New Roman" w:hAnsi="Times New Roman"/>
                <w:color w:val="000000"/>
                <w:sz w:val="20"/>
              </w:rPr>
              <w:br/>
              <w:t>(e) the maturity structure of cover assets and covered bonds, including an overview of the maturity extension triggers, where applicable;</w:t>
            </w:r>
            <w:r>
              <w:rPr>
                <w:rFonts w:ascii="Times New Roman" w:hAnsi="Times New Roman"/>
                <w:color w:val="000000"/>
                <w:sz w:val="20"/>
              </w:rPr>
              <w:br/>
              <w:t>(f) the levels of required and available coverage and the levels of statutory, contractual and voluntary overcollateralisation;</w:t>
            </w:r>
            <w:r>
              <w:rPr>
                <w:rFonts w:ascii="Times New Roman" w:hAnsi="Times New Roman"/>
                <w:color w:val="000000"/>
                <w:sz w:val="20"/>
              </w:rPr>
              <w:br/>
              <w:t>(g) the percentage of loans where a default is considered to have occurred in accordance with the regulatory framework on credit-risk management and, upon the accession of the Republic of Albania to the European Union, in accordance with Article 178 of Regulation (EU) No 575/2013, and in any event where the loans are more than 90 days past due.</w:t>
            </w:r>
            <w:r>
              <w:rPr>
                <w:rFonts w:ascii="Times New Roman" w:hAnsi="Times New Roman"/>
                <w:color w:val="000000"/>
                <w:sz w:val="20"/>
              </w:rPr>
              <w:br/>
              <w:t>3. In the case of externally issued covered bonds under intragroup pooled covered bond structures as referred to in Article 7 of this Law, the issuer shall ensure that the information referred to in paragraph 2 of this Article, or a reference or link thereto, is made available to investors in respect of all internally issued covered bonds. That information shall be made available to investors at least on an aggregated basis.</w:t>
            </w:r>
          </w:p>
        </w:tc>
        <w:tc>
          <w:tcPr>
            <w:tcW w:w="900" w:type="dxa"/>
          </w:tcPr>
          <w:p w14:paraId="026C9833" w14:textId="5791F7DF"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B17A07D"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249B5526" w14:textId="77777777" w:rsidTr="00BB0DAB">
        <w:tc>
          <w:tcPr>
            <w:tcW w:w="800" w:type="dxa"/>
            <w:tcBorders>
              <w:left w:val="single" w:sz="12" w:space="0" w:color="auto"/>
            </w:tcBorders>
          </w:tcPr>
          <w:p w14:paraId="3AE7719C"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14, paragraph 3</w:t>
            </w:r>
          </w:p>
        </w:tc>
        <w:tc>
          <w:tcPr>
            <w:tcW w:w="5220" w:type="dxa"/>
            <w:tcBorders>
              <w:right w:val="single" w:sz="12" w:space="0" w:color="auto"/>
            </w:tcBorders>
          </w:tcPr>
          <w:p w14:paraId="5BFE3886"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investor protection by requiring credit institutions issuing covered bonds to publish on their website the information made available to investors in accordance with paragraphs 1 and 2. Member States shall not require those credit institutions to publish that information on paper.</w:t>
            </w:r>
          </w:p>
        </w:tc>
        <w:tc>
          <w:tcPr>
            <w:tcW w:w="624" w:type="dxa"/>
            <w:tcBorders>
              <w:left w:val="single" w:sz="12" w:space="0" w:color="auto"/>
            </w:tcBorders>
          </w:tcPr>
          <w:p w14:paraId="42CB5821" w14:textId="5FDDA22B"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E00AF9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14, paragraph 4</w:t>
            </w:r>
          </w:p>
        </w:tc>
        <w:tc>
          <w:tcPr>
            <w:tcW w:w="5130" w:type="dxa"/>
          </w:tcPr>
          <w:p w14:paraId="4B5D509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The issuing credit institution shall publish on its official website the information made available to investors in accordance with paragraphs 1 and 2 of this Article. Publication shall be made in electronic form only.</w:t>
            </w:r>
          </w:p>
        </w:tc>
        <w:tc>
          <w:tcPr>
            <w:tcW w:w="900" w:type="dxa"/>
          </w:tcPr>
          <w:p w14:paraId="55EA23D9" w14:textId="12064FDC"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26E17FF"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0756F8AC" w14:textId="77777777" w:rsidTr="00BB0DAB">
        <w:tc>
          <w:tcPr>
            <w:tcW w:w="800" w:type="dxa"/>
            <w:tcBorders>
              <w:left w:val="single" w:sz="12" w:space="0" w:color="auto"/>
            </w:tcBorders>
          </w:tcPr>
          <w:p w14:paraId="761E5F87"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1</w:t>
            </w:r>
          </w:p>
        </w:tc>
        <w:tc>
          <w:tcPr>
            <w:tcW w:w="5220" w:type="dxa"/>
            <w:tcBorders>
              <w:right w:val="single" w:sz="12" w:space="0" w:color="auto"/>
            </w:tcBorders>
          </w:tcPr>
          <w:p w14:paraId="6FE648A2"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Coverage requirements</w:t>
            </w:r>
            <w:r>
              <w:rPr>
                <w:rFonts w:ascii="Times New Roman" w:hAnsi="Times New Roman"/>
                <w:color w:val="000000"/>
                <w:sz w:val="20"/>
              </w:rPr>
              <w:br/>
              <w:t>Member States shall ensure investor protection by requiring covered bond programmes to comply at all times with at least the coverage requirements laid down in paragraphs 2 to 8.</w:t>
            </w:r>
          </w:p>
        </w:tc>
        <w:tc>
          <w:tcPr>
            <w:tcW w:w="624" w:type="dxa"/>
            <w:tcBorders>
              <w:left w:val="single" w:sz="12" w:space="0" w:color="auto"/>
            </w:tcBorders>
          </w:tcPr>
          <w:p w14:paraId="707D4F35" w14:textId="2D834DD5"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25494E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1</w:t>
            </w:r>
          </w:p>
        </w:tc>
        <w:tc>
          <w:tcPr>
            <w:tcW w:w="5130" w:type="dxa"/>
          </w:tcPr>
          <w:p w14:paraId="51E0092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issuing credit institution shall ensure investor protection by ensuring that the covered bond programme complies at all times with the coverage requirements laid down in paragraphs 2 to 7 of this Article.</w:t>
            </w:r>
          </w:p>
        </w:tc>
        <w:tc>
          <w:tcPr>
            <w:tcW w:w="900" w:type="dxa"/>
          </w:tcPr>
          <w:p w14:paraId="1ACBE45A" w14:textId="3C8D52C7"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B04199A"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6C00EE20" w14:textId="77777777" w:rsidTr="00BB0DAB">
        <w:tc>
          <w:tcPr>
            <w:tcW w:w="800" w:type="dxa"/>
            <w:tcBorders>
              <w:left w:val="single" w:sz="12" w:space="0" w:color="auto"/>
            </w:tcBorders>
          </w:tcPr>
          <w:p w14:paraId="2E8E9C27"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2</w:t>
            </w:r>
          </w:p>
        </w:tc>
        <w:tc>
          <w:tcPr>
            <w:tcW w:w="5220" w:type="dxa"/>
            <w:tcBorders>
              <w:right w:val="single" w:sz="12" w:space="0" w:color="auto"/>
            </w:tcBorders>
          </w:tcPr>
          <w:p w14:paraId="30094A74"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All liabilities of the covered bonds shall be covered by claims for payment attached to the cover assets.</w:t>
            </w:r>
          </w:p>
        </w:tc>
        <w:tc>
          <w:tcPr>
            <w:tcW w:w="624" w:type="dxa"/>
            <w:tcBorders>
              <w:left w:val="single" w:sz="12" w:space="0" w:color="auto"/>
            </w:tcBorders>
          </w:tcPr>
          <w:p w14:paraId="6F7A0626" w14:textId="6BCC0087"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74AE0F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2</w:t>
            </w:r>
          </w:p>
        </w:tc>
        <w:tc>
          <w:tcPr>
            <w:tcW w:w="5130" w:type="dxa"/>
          </w:tcPr>
          <w:p w14:paraId="4EA5DCB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All liabilities arising from the covered bonds shall be covered by claims for payment attached to the assets included in the cover pool, over which investors have a claim.</w:t>
            </w:r>
          </w:p>
        </w:tc>
        <w:tc>
          <w:tcPr>
            <w:tcW w:w="900" w:type="dxa"/>
          </w:tcPr>
          <w:p w14:paraId="4C114906" w14:textId="5CFE8F01"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E2B3E4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1561A760" w14:textId="77777777" w:rsidTr="00BB0DAB">
        <w:tc>
          <w:tcPr>
            <w:tcW w:w="800" w:type="dxa"/>
            <w:tcBorders>
              <w:left w:val="single" w:sz="12" w:space="0" w:color="auto"/>
            </w:tcBorders>
          </w:tcPr>
          <w:p w14:paraId="7ABC34A3"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3</w:t>
            </w:r>
          </w:p>
        </w:tc>
        <w:tc>
          <w:tcPr>
            <w:tcW w:w="5220" w:type="dxa"/>
            <w:tcBorders>
              <w:right w:val="single" w:sz="12" w:space="0" w:color="auto"/>
            </w:tcBorders>
          </w:tcPr>
          <w:p w14:paraId="213C4A87"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liabilities referred to in paragraph 2 shall include:</w:t>
            </w:r>
            <w:r>
              <w:rPr>
                <w:rFonts w:ascii="Times New Roman" w:hAnsi="Times New Roman"/>
                <w:color w:val="000000"/>
                <w:sz w:val="20"/>
              </w:rPr>
              <w:br/>
              <w:t>(a) the obligations for the payment of the principal amount of outstanding covered bonds;</w:t>
            </w:r>
            <w:r>
              <w:rPr>
                <w:rFonts w:ascii="Times New Roman" w:hAnsi="Times New Roman"/>
                <w:color w:val="000000"/>
                <w:sz w:val="20"/>
              </w:rPr>
              <w:br/>
              <w:t>(b) the obligations for the payment of any interest on outstanding covered bonds;</w:t>
            </w:r>
            <w:r>
              <w:rPr>
                <w:rFonts w:ascii="Times New Roman" w:hAnsi="Times New Roman"/>
                <w:color w:val="000000"/>
                <w:sz w:val="20"/>
              </w:rPr>
              <w:br/>
              <w:t>(c) the payment obligations attached to derivative contracts held in accordance with Article 11; and</w:t>
            </w:r>
            <w:r>
              <w:rPr>
                <w:rFonts w:ascii="Times New Roman" w:hAnsi="Times New Roman"/>
                <w:color w:val="000000"/>
                <w:sz w:val="20"/>
              </w:rPr>
              <w:br/>
              <w:t>(d) the expected costs related to maintenance and administration for the winding-down of the covered bond programme. For the purposes of point (d) of the first subparagraph, Member States may allow a lump sum calculation.</w:t>
            </w:r>
          </w:p>
        </w:tc>
        <w:tc>
          <w:tcPr>
            <w:tcW w:w="624" w:type="dxa"/>
            <w:tcBorders>
              <w:left w:val="single" w:sz="12" w:space="0" w:color="auto"/>
            </w:tcBorders>
          </w:tcPr>
          <w:p w14:paraId="0A662065" w14:textId="738E119A"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AF57B9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3</w:t>
            </w:r>
          </w:p>
        </w:tc>
        <w:tc>
          <w:tcPr>
            <w:tcW w:w="5130" w:type="dxa"/>
          </w:tcPr>
          <w:p w14:paraId="069217F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The liabilities referred to in paragraph 2 of this Article shall include:</w:t>
            </w:r>
            <w:r>
              <w:rPr>
                <w:rFonts w:ascii="Times New Roman" w:hAnsi="Times New Roman"/>
                <w:color w:val="000000"/>
                <w:sz w:val="20"/>
              </w:rPr>
              <w:br/>
              <w:t>(a) the obligations for the payment of the outstanding principal amount of outstanding covered bonds;</w:t>
            </w:r>
            <w:r>
              <w:rPr>
                <w:rFonts w:ascii="Times New Roman" w:hAnsi="Times New Roman"/>
                <w:color w:val="000000"/>
                <w:sz w:val="20"/>
              </w:rPr>
              <w:br/>
              <w:t>(b) the obligations for the payment of any interest on outstanding covered bonds;</w:t>
            </w:r>
            <w:r>
              <w:rPr>
                <w:rFonts w:ascii="Times New Roman" w:hAnsi="Times New Roman"/>
                <w:color w:val="000000"/>
                <w:sz w:val="20"/>
              </w:rPr>
              <w:br/>
              <w:t>(c) the payment obligations attached to derivative contracts held in accordance with Article 10 of this Law;</w:t>
            </w:r>
            <w:r>
              <w:rPr>
                <w:rFonts w:ascii="Times New Roman" w:hAnsi="Times New Roman"/>
                <w:color w:val="000000"/>
                <w:sz w:val="20"/>
              </w:rPr>
              <w:br/>
              <w:t>(d) the expected costs related to maintenance and administration for the winding-down of the covered bond programme in the event of liquidation, including the foreseeable costs of the cover pool monitor and the special administrator until the maximum possible duration of the covered bond programme.</w:t>
            </w:r>
            <w:r>
              <w:rPr>
                <w:rFonts w:ascii="Times New Roman" w:hAnsi="Times New Roman"/>
                <w:color w:val="000000"/>
                <w:sz w:val="20"/>
              </w:rPr>
              <w:br/>
              <w:t>For the purposes of point (d) of this paragraph, the issuing credit institution may use a lump-sum calculation.</w:t>
            </w:r>
          </w:p>
        </w:tc>
        <w:tc>
          <w:tcPr>
            <w:tcW w:w="900" w:type="dxa"/>
          </w:tcPr>
          <w:p w14:paraId="2DAEDBC4" w14:textId="2208A93A"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831B10A" w14:textId="084F53F0"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15BE3A8B" w14:textId="77777777" w:rsidTr="00BB0DAB">
        <w:tc>
          <w:tcPr>
            <w:tcW w:w="800" w:type="dxa"/>
            <w:tcBorders>
              <w:left w:val="single" w:sz="12" w:space="0" w:color="auto"/>
            </w:tcBorders>
          </w:tcPr>
          <w:p w14:paraId="5E5EC013"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4</w:t>
            </w:r>
          </w:p>
        </w:tc>
        <w:tc>
          <w:tcPr>
            <w:tcW w:w="5220" w:type="dxa"/>
            <w:tcBorders>
              <w:right w:val="single" w:sz="12" w:space="0" w:color="auto"/>
            </w:tcBorders>
          </w:tcPr>
          <w:p w14:paraId="73FB8D90"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following cover assets shall be considered to contribute to the coverage requirement:</w:t>
            </w:r>
            <w:r>
              <w:rPr>
                <w:rFonts w:ascii="Times New Roman" w:hAnsi="Times New Roman"/>
                <w:color w:val="000000"/>
                <w:sz w:val="20"/>
              </w:rPr>
              <w:br/>
              <w:t>(a) primary assets;</w:t>
            </w:r>
            <w:r>
              <w:rPr>
                <w:rFonts w:ascii="Times New Roman" w:hAnsi="Times New Roman"/>
                <w:color w:val="000000"/>
                <w:sz w:val="20"/>
              </w:rPr>
              <w:br/>
              <w:t>(b) substitution assets;</w:t>
            </w:r>
            <w:r>
              <w:rPr>
                <w:rFonts w:ascii="Times New Roman" w:hAnsi="Times New Roman"/>
                <w:color w:val="000000"/>
                <w:sz w:val="20"/>
              </w:rPr>
              <w:br/>
              <w:t>(c) liquid assets held in accordance with Article 16; and</w:t>
            </w:r>
            <w:r>
              <w:rPr>
                <w:rFonts w:ascii="Times New Roman" w:hAnsi="Times New Roman"/>
                <w:color w:val="000000"/>
                <w:sz w:val="20"/>
              </w:rPr>
              <w:br/>
              <w:t>(d) claims for payment attached to derivative contracts held in accordance with Article 11. Uncollateralised claims where a default is considered to have occurred pursuant to Article 178 of Regulation (EU) No 575/2013 do not contribute to coverage.</w:t>
            </w:r>
          </w:p>
        </w:tc>
        <w:tc>
          <w:tcPr>
            <w:tcW w:w="624" w:type="dxa"/>
            <w:tcBorders>
              <w:left w:val="single" w:sz="12" w:space="0" w:color="auto"/>
            </w:tcBorders>
          </w:tcPr>
          <w:p w14:paraId="70565418" w14:textId="2DD7824E"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AE50B7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4</w:t>
            </w:r>
          </w:p>
        </w:tc>
        <w:tc>
          <w:tcPr>
            <w:tcW w:w="5130" w:type="dxa"/>
          </w:tcPr>
          <w:p w14:paraId="7FF599A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The following assets shall be considered as contributing to the coverage requirement:</w:t>
            </w:r>
            <w:r>
              <w:rPr>
                <w:rFonts w:ascii="Times New Roman" w:hAnsi="Times New Roman"/>
                <w:color w:val="000000"/>
                <w:sz w:val="20"/>
              </w:rPr>
              <w:br/>
              <w:t>(a) primary assets;</w:t>
            </w:r>
            <w:r>
              <w:rPr>
                <w:rFonts w:ascii="Times New Roman" w:hAnsi="Times New Roman"/>
                <w:color w:val="000000"/>
                <w:sz w:val="20"/>
              </w:rPr>
              <w:br/>
              <w:t>(b) substitution assets;</w:t>
            </w:r>
            <w:r>
              <w:rPr>
                <w:rFonts w:ascii="Times New Roman" w:hAnsi="Times New Roman"/>
                <w:color w:val="000000"/>
                <w:sz w:val="20"/>
              </w:rPr>
              <w:br/>
              <w:t>(c) liquid assets held in accordance with Article 17 of this Law;</w:t>
            </w:r>
            <w:r>
              <w:rPr>
                <w:rFonts w:ascii="Times New Roman" w:hAnsi="Times New Roman"/>
                <w:color w:val="000000"/>
                <w:sz w:val="20"/>
              </w:rPr>
              <w:br/>
              <w:t>(d) claims for payment attached to derivative contracts held in accordance with Article 10 of this Law.</w:t>
            </w:r>
            <w:r>
              <w:rPr>
                <w:rFonts w:ascii="Times New Roman" w:hAnsi="Times New Roman"/>
                <w:color w:val="000000"/>
                <w:sz w:val="20"/>
              </w:rPr>
              <w:br/>
              <w:t>Uncollateralised claims where a default is considered to have occurred in accordance with the regulatory framework for credit risk management and, upon accession of the Republic of Albania to the European Union, Article 178 of Regulation (EU) No 575/2013, shall not contribute to coverage.</w:t>
            </w:r>
          </w:p>
        </w:tc>
        <w:tc>
          <w:tcPr>
            <w:tcW w:w="900" w:type="dxa"/>
          </w:tcPr>
          <w:p w14:paraId="0C15DD64" w14:textId="2B672987"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DDB00E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2FD8649B" w14:textId="77777777" w:rsidTr="00BB0DAB">
        <w:tc>
          <w:tcPr>
            <w:tcW w:w="800" w:type="dxa"/>
            <w:tcBorders>
              <w:left w:val="single" w:sz="12" w:space="0" w:color="auto"/>
            </w:tcBorders>
          </w:tcPr>
          <w:p w14:paraId="3DD8A8CF"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5</w:t>
            </w:r>
          </w:p>
        </w:tc>
        <w:tc>
          <w:tcPr>
            <w:tcW w:w="5220" w:type="dxa"/>
            <w:tcBorders>
              <w:right w:val="single" w:sz="12" w:space="0" w:color="auto"/>
            </w:tcBorders>
          </w:tcPr>
          <w:p w14:paraId="3BD0DD86"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point (c) of the first subparagraph of paragraph 3 and point (d) of the first subparagraph of paragraph 4, Member States shall lay down rules on the valuation of derivative contracts.</w:t>
            </w:r>
          </w:p>
        </w:tc>
        <w:tc>
          <w:tcPr>
            <w:tcW w:w="624" w:type="dxa"/>
            <w:tcBorders>
              <w:left w:val="single" w:sz="12" w:space="0" w:color="auto"/>
            </w:tcBorders>
          </w:tcPr>
          <w:p w14:paraId="56CF2CBA" w14:textId="40DC996D"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4F3CD9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5</w:t>
            </w:r>
          </w:p>
        </w:tc>
        <w:tc>
          <w:tcPr>
            <w:tcW w:w="5130" w:type="dxa"/>
          </w:tcPr>
          <w:p w14:paraId="7823C50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For the purposes of paragraph 3, point (c), and paragraph 4, point (d), of this Article, the Authority shall adopt detailed rules on the methodology for and valuation of derivative contracts.</w:t>
            </w:r>
          </w:p>
        </w:tc>
        <w:tc>
          <w:tcPr>
            <w:tcW w:w="900" w:type="dxa"/>
          </w:tcPr>
          <w:p w14:paraId="0F4B1C01" w14:textId="3D2813D9"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F7E0025"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1E7A0C51" w14:textId="77777777" w:rsidTr="00BB0DAB">
        <w:tc>
          <w:tcPr>
            <w:tcW w:w="800" w:type="dxa"/>
            <w:tcBorders>
              <w:left w:val="single" w:sz="12" w:space="0" w:color="auto"/>
            </w:tcBorders>
          </w:tcPr>
          <w:p w14:paraId="1B986DFF"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6</w:t>
            </w:r>
          </w:p>
        </w:tc>
        <w:tc>
          <w:tcPr>
            <w:tcW w:w="5220" w:type="dxa"/>
            <w:tcBorders>
              <w:right w:val="single" w:sz="12" w:space="0" w:color="auto"/>
            </w:tcBorders>
          </w:tcPr>
          <w:p w14:paraId="41C08164"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calculation of the required coverage shall ensure that the aggregate principal amount of all cover assets is equal to or exceeds the aggregate principal amount of outstanding covered bonds (‘nominal principle’). Member States may allow for other principles of calculation, provided that they do not result in a higher ratio of coverage than that calculated under the nominal principle. Member States shall lay down rules on the calculation of any interest payable in respect of outstanding covered bonds and interest receivable in respect of cover assets, which shall reflect sound prudential principles in accordance with applicable accounting standards.</w:t>
            </w:r>
          </w:p>
        </w:tc>
        <w:tc>
          <w:tcPr>
            <w:tcW w:w="624" w:type="dxa"/>
            <w:tcBorders>
              <w:left w:val="single" w:sz="12" w:space="0" w:color="auto"/>
            </w:tcBorders>
          </w:tcPr>
          <w:p w14:paraId="266A3E81" w14:textId="00A034C9"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4ECAAE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6</w:t>
            </w:r>
          </w:p>
        </w:tc>
        <w:tc>
          <w:tcPr>
            <w:tcW w:w="5130" w:type="dxa"/>
          </w:tcPr>
          <w:p w14:paraId="1664A00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6. When calculating the required coverage, the issuing credit institution shall ensure that the aggregate nominal amount of the principal of all assets included in the cover pool is at least 5% higher than the aggregate nominal amount of the outstanding principal of the outstanding covered bonds (the ‘nominal principle’).</w:t>
            </w:r>
            <w:r>
              <w:rPr>
                <w:rFonts w:ascii="Times New Roman" w:hAnsi="Times New Roman"/>
                <w:color w:val="000000"/>
                <w:sz w:val="20"/>
              </w:rPr>
              <w:br/>
              <w:t>Other principles of calculation may be permitted, provided that they do not result in a higher coverage ratio than that calculated under the nominal principle.</w:t>
            </w:r>
          </w:p>
        </w:tc>
        <w:tc>
          <w:tcPr>
            <w:tcW w:w="900" w:type="dxa"/>
          </w:tcPr>
          <w:p w14:paraId="2D5B2287" w14:textId="625516D9"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C48588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7A785777" w14:textId="77777777" w:rsidTr="00BB0DAB">
        <w:tc>
          <w:tcPr>
            <w:tcW w:w="800" w:type="dxa"/>
            <w:tcBorders>
              <w:left w:val="single" w:sz="12" w:space="0" w:color="auto"/>
            </w:tcBorders>
          </w:tcPr>
          <w:p w14:paraId="4B3732E7"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7</w:t>
            </w:r>
          </w:p>
        </w:tc>
        <w:tc>
          <w:tcPr>
            <w:tcW w:w="5220" w:type="dxa"/>
            <w:tcBorders>
              <w:right w:val="single" w:sz="12" w:space="0" w:color="auto"/>
            </w:tcBorders>
          </w:tcPr>
          <w:p w14:paraId="1FA89998"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By way of derogation from the first subparagraph of paragraph 6, Member States may, in a manner which reflects sound prudential principles and in accordance with applicable accounting standards, allow for future interest receivable on the cover asset net of future interest payable on the corresponding covered bond to be taken into consideration in order to balance any shortfall in coverage of the principal payment obligation attached to the covered bond where there is a close correspondence as defined in the applicable delegated regulation adopted pursuant to Article 33(4) of Regulation (EU) No 575/2013, subject to the following conditions:</w:t>
            </w:r>
            <w:r>
              <w:rPr>
                <w:rFonts w:ascii="Times New Roman" w:hAnsi="Times New Roman"/>
                <w:color w:val="000000"/>
                <w:sz w:val="20"/>
              </w:rPr>
              <w:br/>
              <w:t>(a) payments received during the lifetime of the cover asset and necessary for coverage of the payment obligation attached to the corresponding covered bond are segregated in accordance with Article 12 or are included in the cover pool in the form of cover assets referred to in Article 6 until the payments become due; and</w:t>
            </w:r>
            <w:r>
              <w:rPr>
                <w:rFonts w:ascii="Times New Roman" w:hAnsi="Times New Roman"/>
                <w:color w:val="000000"/>
                <w:sz w:val="20"/>
              </w:rPr>
              <w:br/>
              <w:t>(b) prepayment of the cover asset is only possible by way of exercising the delivery option, as defined in the applicable delegated regulation adopted pursuant to Article 33(4) of Regulation (EU) No 575/2013 or, in the case of covered bonds callable at par by the credit institution issuing the covered bonds, by way of the cover asset’s borrower paying at least the called covered bond’s par amount.</w:t>
            </w:r>
          </w:p>
        </w:tc>
        <w:tc>
          <w:tcPr>
            <w:tcW w:w="624" w:type="dxa"/>
            <w:tcBorders>
              <w:left w:val="single" w:sz="12" w:space="0" w:color="auto"/>
            </w:tcBorders>
          </w:tcPr>
          <w:p w14:paraId="363FCE4A" w14:textId="7B4B6AF9"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8D9B8D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7</w:t>
            </w:r>
          </w:p>
        </w:tc>
        <w:tc>
          <w:tcPr>
            <w:tcW w:w="5130" w:type="dxa"/>
          </w:tcPr>
          <w:p w14:paraId="6395B0CD"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7. By way of derogation from paragraph 6 of this Article, the issuing credit institution may, in accordance with sound prudential principles and applicable accounting standards, take into account future interest receivable on the cover assets, net of future interest payable on the corresponding covered bonds, in order to offset any shortfall in coverage of the obligation for payment of the principal attached to the covered bonds. This shall apply where there is a close correspondence between the payment flows of the cover assets and the liabilities of the covered bonds, as determined in the delegated regulation adopted in accordance with the requirements of the regulatory framework for own funds and, upon Albania’s accession to the European Union, Article 33(4) of Regulation (EU) No 575/2013, provided that:</w:t>
            </w:r>
            <w:r>
              <w:rPr>
                <w:rFonts w:ascii="Times New Roman" w:hAnsi="Times New Roman"/>
                <w:color w:val="000000"/>
                <w:sz w:val="20"/>
              </w:rPr>
              <w:br/>
              <w:t>(a) payments received during the life of the cover assets which are necessary for the coverage of the payment obligation attached to the corresponding covered bond are segregated in accordance with Article 11 of this Law or are included in the cover pool in the form of cover assets referred to in Article 6 of this Law until those payments become due; and</w:t>
            </w:r>
            <w:r>
              <w:rPr>
                <w:rFonts w:ascii="Times New Roman" w:hAnsi="Times New Roman"/>
                <w:color w:val="000000"/>
                <w:sz w:val="20"/>
              </w:rPr>
              <w:br/>
              <w:t>(b) prepayment of the cover assets is possible only through the exercise of the delivery option, as defined in the regulation adopted in accordance with the requirements of the regulatory framework for own funds and, upon accession of the Republic of Albania to the European Union, Article 33(4) of Regulation (EU) No 575/2013, or, in the case of bonds callable at par by the issuing credit institution, through payment by the borrower of at least the par value of the called bond.</w:t>
            </w:r>
          </w:p>
        </w:tc>
        <w:tc>
          <w:tcPr>
            <w:tcW w:w="900" w:type="dxa"/>
          </w:tcPr>
          <w:p w14:paraId="00ACA35C" w14:textId="02D730F9"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A03AFB3"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72280" w:rsidRPr="00DF12A5" w14:paraId="6B94E1F1" w14:textId="77777777" w:rsidTr="00BB0DAB">
        <w:tc>
          <w:tcPr>
            <w:tcW w:w="800" w:type="dxa"/>
            <w:tcBorders>
              <w:left w:val="single" w:sz="12" w:space="0" w:color="auto"/>
            </w:tcBorders>
          </w:tcPr>
          <w:p w14:paraId="75C07C1E"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8</w:t>
            </w:r>
          </w:p>
        </w:tc>
        <w:tc>
          <w:tcPr>
            <w:tcW w:w="5220" w:type="dxa"/>
            <w:tcBorders>
              <w:right w:val="single" w:sz="12" w:space="0" w:color="auto"/>
            </w:tcBorders>
          </w:tcPr>
          <w:p w14:paraId="74668FE5" w14:textId="77777777" w:rsidR="00972280" w:rsidRPr="00DF12A5" w:rsidRDefault="00972280" w:rsidP="00972280">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the calculation of cover assets and liabilities is based on the same methodology. Member States may allow for different calculation methodologies for the calculation of cover assets on the one hand and liabilities on the other, provided that the use of such different methodologies does not result in a higher ratio of coverage than that calculated using the same methodology for the calculation of both cover assets and liabilities.</w:t>
            </w:r>
          </w:p>
        </w:tc>
        <w:tc>
          <w:tcPr>
            <w:tcW w:w="624" w:type="dxa"/>
            <w:tcBorders>
              <w:left w:val="single" w:sz="12" w:space="0" w:color="auto"/>
            </w:tcBorders>
          </w:tcPr>
          <w:p w14:paraId="1DAB2DEB" w14:textId="2BC26DC6" w:rsidR="00972280"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B0D4F3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8</w:t>
            </w:r>
          </w:p>
        </w:tc>
        <w:tc>
          <w:tcPr>
            <w:tcW w:w="5130" w:type="dxa"/>
          </w:tcPr>
          <w:p w14:paraId="58A599D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8. The issuing credit institution shall ensure that the calculation of cover assets and liabilities is based on the same methodology. Different methodologies may be applied, provided that their use does not result in a higher coverage ratio than would result from the use of the same methodology for calculating both cover assets and liabilities.</w:t>
            </w:r>
          </w:p>
        </w:tc>
        <w:tc>
          <w:tcPr>
            <w:tcW w:w="900" w:type="dxa"/>
          </w:tcPr>
          <w:p w14:paraId="640BE6A2" w14:textId="7F0E84AE"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79BB5A9"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06346399" w14:textId="77777777" w:rsidTr="00BB0DAB">
        <w:tc>
          <w:tcPr>
            <w:tcW w:w="800" w:type="dxa"/>
            <w:tcBorders>
              <w:left w:val="single" w:sz="12" w:space="0" w:color="auto"/>
            </w:tcBorders>
          </w:tcPr>
          <w:p w14:paraId="49ACDAAE"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1</w:t>
            </w:r>
          </w:p>
        </w:tc>
        <w:tc>
          <w:tcPr>
            <w:tcW w:w="5220" w:type="dxa"/>
            <w:tcBorders>
              <w:right w:val="single" w:sz="12" w:space="0" w:color="auto"/>
            </w:tcBorders>
          </w:tcPr>
          <w:p w14:paraId="58CB2142"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Requirement for a cover pool liquidity buffer</w:t>
            </w:r>
            <w:r>
              <w:rPr>
                <w:rFonts w:ascii="Times New Roman" w:hAnsi="Times New Roman"/>
                <w:color w:val="000000"/>
                <w:sz w:val="20"/>
              </w:rPr>
              <w:br/>
              <w:t>Member States shall ensure investor protection by requiring that the cover pool includes at all times a liquidity buffer composed of liquid assets available to cover the net liquidity outflow of the covered bond programme.</w:t>
            </w:r>
          </w:p>
        </w:tc>
        <w:tc>
          <w:tcPr>
            <w:tcW w:w="624" w:type="dxa"/>
            <w:tcBorders>
              <w:left w:val="single" w:sz="12" w:space="0" w:color="auto"/>
            </w:tcBorders>
          </w:tcPr>
          <w:p w14:paraId="03C7CCF4" w14:textId="7868190F" w:rsidR="008A7904" w:rsidRPr="00DF12A5" w:rsidRDefault="0023799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30E564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 1</w:t>
            </w:r>
          </w:p>
        </w:tc>
        <w:tc>
          <w:tcPr>
            <w:tcW w:w="5130" w:type="dxa"/>
          </w:tcPr>
          <w:p w14:paraId="7811A18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issuer shall ensure investor protection by ensuring that the cover pool includes at all times a liquidity buffer composed of liquid assets available to cover the net liquidity outflow of the covered bond programme.</w:t>
            </w:r>
          </w:p>
        </w:tc>
        <w:tc>
          <w:tcPr>
            <w:tcW w:w="900" w:type="dxa"/>
          </w:tcPr>
          <w:p w14:paraId="576DFAC0" w14:textId="3C26946A" w:rsidR="003E7E51" w:rsidRPr="00DF12A5" w:rsidRDefault="0023799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13981C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45CDFA2B" w14:textId="77777777" w:rsidTr="00BB0DAB">
        <w:tc>
          <w:tcPr>
            <w:tcW w:w="800" w:type="dxa"/>
            <w:tcBorders>
              <w:left w:val="single" w:sz="12" w:space="0" w:color="auto"/>
            </w:tcBorders>
          </w:tcPr>
          <w:p w14:paraId="22DD8FD1"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2</w:t>
            </w:r>
          </w:p>
        </w:tc>
        <w:tc>
          <w:tcPr>
            <w:tcW w:w="5220" w:type="dxa"/>
            <w:tcBorders>
              <w:right w:val="single" w:sz="12" w:space="0" w:color="auto"/>
            </w:tcBorders>
          </w:tcPr>
          <w:p w14:paraId="28E31759"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cover pool liquidity buffer shall cover the maximum cumulative net liquidity outflow over the next 180 days.</w:t>
            </w:r>
          </w:p>
        </w:tc>
        <w:tc>
          <w:tcPr>
            <w:tcW w:w="624" w:type="dxa"/>
            <w:tcBorders>
              <w:left w:val="single" w:sz="12" w:space="0" w:color="auto"/>
            </w:tcBorders>
          </w:tcPr>
          <w:p w14:paraId="2B0383AE" w14:textId="78D467D7" w:rsidR="008A7904" w:rsidRPr="00DF12A5" w:rsidRDefault="00222F6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0DF759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 2</w:t>
            </w:r>
          </w:p>
        </w:tc>
        <w:tc>
          <w:tcPr>
            <w:tcW w:w="5130" w:type="dxa"/>
          </w:tcPr>
          <w:p w14:paraId="57AEF15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cover pool liquidity buffer shall cover the maximum cumulative net liquidity outflow over the next 180 days.</w:t>
            </w:r>
          </w:p>
        </w:tc>
        <w:tc>
          <w:tcPr>
            <w:tcW w:w="900" w:type="dxa"/>
          </w:tcPr>
          <w:p w14:paraId="6D6DFF2E" w14:textId="371091C2" w:rsidR="003E7E51" w:rsidRPr="00DF12A5" w:rsidRDefault="00222F6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FE380B9"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263A006C" w14:textId="77777777" w:rsidTr="00BB0DAB">
        <w:tc>
          <w:tcPr>
            <w:tcW w:w="800" w:type="dxa"/>
            <w:tcBorders>
              <w:left w:val="single" w:sz="12" w:space="0" w:color="auto"/>
            </w:tcBorders>
          </w:tcPr>
          <w:p w14:paraId="0A032FF9"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3</w:t>
            </w:r>
          </w:p>
        </w:tc>
        <w:tc>
          <w:tcPr>
            <w:tcW w:w="5220" w:type="dxa"/>
            <w:tcBorders>
              <w:right w:val="single" w:sz="12" w:space="0" w:color="auto"/>
            </w:tcBorders>
          </w:tcPr>
          <w:p w14:paraId="37540999"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the cover pool liquidity buffer referred to in paragraph 1 of this Article consists of the following types of assets, segregated in accordance with Article 12 of this Directive:</w:t>
            </w:r>
            <w:r>
              <w:rPr>
                <w:rFonts w:ascii="Times New Roman" w:hAnsi="Times New Roman"/>
                <w:color w:val="000000"/>
                <w:sz w:val="20"/>
              </w:rPr>
              <w:br/>
              <w:t>(a) assets qualifying as level 1, level 2A or level 2B assets pursuant to the applicable delegated regulation adopted pursuant to Article 460 of Regulation (EU) No 575/2013, that are valued in accordance with that delegated regulation, and are not issued by the credit institution issuing the covered bonds itself, its parent undertaking, other than a public sector entity that is not a credit institution, its subsidiary or another subsidiary of its parent undertaking or by a securitisation special purpose entity with which the credit institution has close links;</w:t>
            </w:r>
            <w:r>
              <w:rPr>
                <w:rFonts w:ascii="Times New Roman" w:hAnsi="Times New Roman"/>
                <w:color w:val="000000"/>
                <w:sz w:val="20"/>
              </w:rPr>
              <w:br/>
              <w:t>(b) short-term exposures to credit institutions that qualify for credit quality step 1 or 2, or short-term deposits to credit institutions that qualify for credit quality step 1, 2 or 3, in accordance with point (c) of Article 129(1) of Regulation (EU) No 575/2013. Member States may restrict the types of liquid assets to be used for the purposes of points (a) and (b) of the first subparagraph. Member States shall ensure that uncollateralised claims from exposures considered in default pursuant to Article 178 of Regulation (EU) No 575/2013 cannot contribute to the cover pool liquidity buffer.</w:t>
            </w:r>
          </w:p>
        </w:tc>
        <w:tc>
          <w:tcPr>
            <w:tcW w:w="624" w:type="dxa"/>
            <w:tcBorders>
              <w:left w:val="single" w:sz="12" w:space="0" w:color="auto"/>
            </w:tcBorders>
          </w:tcPr>
          <w:p w14:paraId="0BF88DBF" w14:textId="55906C92" w:rsidR="008A7904" w:rsidRPr="00DF12A5" w:rsidRDefault="00222F6C"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9629DF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paragraphs 3-4</w:t>
            </w:r>
          </w:p>
        </w:tc>
        <w:tc>
          <w:tcPr>
            <w:tcW w:w="5130" w:type="dxa"/>
          </w:tcPr>
          <w:p w14:paraId="37540FA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The liquidity buffer referred to in paragraph 1 of this Article shall consist of the following types of assets, segregated in accordance with Article 11 of this Law:</w:t>
            </w:r>
            <w:r>
              <w:rPr>
                <w:rFonts w:ascii="Times New Roman" w:hAnsi="Times New Roman"/>
                <w:color w:val="000000"/>
                <w:sz w:val="20"/>
              </w:rPr>
              <w:br/>
              <w:t>(a) assets qualifying as level 1, level 2A or level 2B assets in accordance with the requirements of the regulatory framework for liquidity and, upon accession of the Republic of Albania to the European Union, Article 460 of Regulation (EU) No 575/2013, valued in accordance with that Regulation, and which have not been issued by the credit institution issuing the covered bonds itself, by its parent undertaking (unless it is a public sector entity that is not a credit institution), by its subsidiary, by another subsidiary of its parent undertaking, or by a securitisation special purpose entity with which the credit institution has close links;</w:t>
            </w:r>
            <w:r>
              <w:rPr>
                <w:rFonts w:ascii="Times New Roman" w:hAnsi="Times New Roman"/>
                <w:color w:val="000000"/>
                <w:sz w:val="20"/>
              </w:rPr>
              <w:br/>
              <w:t>(b) short-term exposures to credit institutions that qualify for credit quality step 1 or 2, or short-term deposits with credit institutions that qualify for credit quality step 1, 2 or 3, in accordance with the requirements of the regulatory framework for capital and, upon accession of the Republic of Albania to the European Union, Article 129(1), point (c), of Regulation (EU) No 575/2013.</w:t>
            </w:r>
            <w:r>
              <w:rPr>
                <w:rFonts w:ascii="Times New Roman" w:hAnsi="Times New Roman"/>
                <w:color w:val="000000"/>
                <w:sz w:val="20"/>
              </w:rPr>
              <w:br/>
              <w:t>The Authority may restrict the types of liquid assets to be used for the purposes of points (a) and (b) of this paragraph.</w:t>
            </w:r>
            <w:r>
              <w:rPr>
                <w:rFonts w:ascii="Times New Roman" w:hAnsi="Times New Roman"/>
                <w:color w:val="000000"/>
                <w:sz w:val="20"/>
              </w:rPr>
              <w:br/>
              <w:t>4. Uncollateralised claims from exposures considered in default in accordance with the requirements of the regulatory framework for credit risk management and, upon accession of the Republic of Albania to the European Union, Article 178 of Regulation (EU) No 575/2013, may not be included in the cover pool liquidity buffer.</w:t>
            </w:r>
          </w:p>
        </w:tc>
        <w:tc>
          <w:tcPr>
            <w:tcW w:w="900" w:type="dxa"/>
          </w:tcPr>
          <w:p w14:paraId="2EE99FEF" w14:textId="019CDB00" w:rsidR="003E7E51" w:rsidRPr="00DF12A5" w:rsidRDefault="00222F6C">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3A96FFC"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4861936C" w14:textId="77777777" w:rsidTr="00BB0DAB">
        <w:tc>
          <w:tcPr>
            <w:tcW w:w="800" w:type="dxa"/>
            <w:tcBorders>
              <w:left w:val="single" w:sz="12" w:space="0" w:color="auto"/>
            </w:tcBorders>
          </w:tcPr>
          <w:p w14:paraId="1A2EFBF7"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4</w:t>
            </w:r>
          </w:p>
        </w:tc>
        <w:tc>
          <w:tcPr>
            <w:tcW w:w="5220" w:type="dxa"/>
            <w:tcBorders>
              <w:right w:val="single" w:sz="12" w:space="0" w:color="auto"/>
            </w:tcBorders>
          </w:tcPr>
          <w:p w14:paraId="1784E636"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credit institutions issuing covered bonds are subject to liquidity requirements set out in other Union legal acts that result in an overlap with the cover pool liquidity buffer, Member States may decide not to apply the provisions of national law transposing paragraphs 1, 2 and 3 for the period provided for in those Union legal acts. Member States may exercise that option only until the date on which an amendment to those Union legal acts to eliminate the overlap becomes applicable and shall inform the Commission and EBA where they exercise that option.</w:t>
            </w:r>
          </w:p>
        </w:tc>
        <w:tc>
          <w:tcPr>
            <w:tcW w:w="624" w:type="dxa"/>
            <w:tcBorders>
              <w:left w:val="single" w:sz="12" w:space="0" w:color="auto"/>
            </w:tcBorders>
          </w:tcPr>
          <w:p w14:paraId="608050ED" w14:textId="1BBC8975" w:rsidR="008A7904" w:rsidRPr="00DF12A5" w:rsidRDefault="004C205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5AD6D7D"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 6</w:t>
            </w:r>
          </w:p>
        </w:tc>
        <w:tc>
          <w:tcPr>
            <w:tcW w:w="5130" w:type="dxa"/>
          </w:tcPr>
          <w:p w14:paraId="594E22A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6. Credit institutions issuing covered bonds shall be subject to liquidity requirements under the regulatory acts of the Bank of Albania on liquidity risk management which overlap with the cover pool liquidity buffer. The issuer may refrain from applying the national legal provisions transposing paragraphs 1, 2 and 3 for the period provided for in those acts. That option may be exercised only upon the entry into force of the relevant amendments eliminating that overlap. The Authority shall notify the Commission and the European Banking Authority (EBA) when it exercises that option.</w:t>
            </w:r>
          </w:p>
        </w:tc>
        <w:tc>
          <w:tcPr>
            <w:tcW w:w="900" w:type="dxa"/>
          </w:tcPr>
          <w:p w14:paraId="259392F8" w14:textId="23BA30B9" w:rsidR="003E7E51" w:rsidRPr="00DF12A5" w:rsidRDefault="004C205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97A0013"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43F796B4" w14:textId="77777777" w:rsidTr="00BB0DAB">
        <w:tc>
          <w:tcPr>
            <w:tcW w:w="800" w:type="dxa"/>
            <w:tcBorders>
              <w:left w:val="single" w:sz="12" w:space="0" w:color="auto"/>
            </w:tcBorders>
          </w:tcPr>
          <w:p w14:paraId="62616AC0"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5</w:t>
            </w:r>
          </w:p>
        </w:tc>
        <w:tc>
          <w:tcPr>
            <w:tcW w:w="5220" w:type="dxa"/>
            <w:tcBorders>
              <w:right w:val="single" w:sz="12" w:space="0" w:color="auto"/>
            </w:tcBorders>
          </w:tcPr>
          <w:p w14:paraId="4E4943C1"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may allow for the calculation of the principal for extendable maturity structures to be based on the final maturity date in accordance with the contractual terms and conditions of the covered bond.</w:t>
            </w:r>
          </w:p>
        </w:tc>
        <w:tc>
          <w:tcPr>
            <w:tcW w:w="624" w:type="dxa"/>
            <w:tcBorders>
              <w:left w:val="single" w:sz="12" w:space="0" w:color="auto"/>
            </w:tcBorders>
          </w:tcPr>
          <w:p w14:paraId="6BB9348D" w14:textId="3B901D98" w:rsidR="008A7904" w:rsidRPr="00DF12A5" w:rsidRDefault="004C2052"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B22059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 5</w:t>
            </w:r>
          </w:p>
        </w:tc>
        <w:tc>
          <w:tcPr>
            <w:tcW w:w="5130" w:type="dxa"/>
          </w:tcPr>
          <w:p w14:paraId="233CB81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For the purposes of calculating the net liquidity outflow under paragraph 2 of this Article, in the case of extendable maturity structures, the principal calculation shall be based on the final maturity date of the covered bonds, in accordance with the terms and conditions of those covered bonds.</w:t>
            </w:r>
          </w:p>
        </w:tc>
        <w:tc>
          <w:tcPr>
            <w:tcW w:w="900" w:type="dxa"/>
          </w:tcPr>
          <w:p w14:paraId="6B6EFC1B" w14:textId="0A8AF4C0" w:rsidR="003E7E51" w:rsidRPr="00DF12A5" w:rsidRDefault="004C2052">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BCA8907"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45E816E5" w14:textId="77777777" w:rsidTr="00BB0DAB">
        <w:tc>
          <w:tcPr>
            <w:tcW w:w="800" w:type="dxa"/>
            <w:tcBorders>
              <w:left w:val="single" w:sz="12" w:space="0" w:color="auto"/>
            </w:tcBorders>
          </w:tcPr>
          <w:p w14:paraId="0C5D43F9"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16, paragraph 6</w:t>
            </w:r>
          </w:p>
        </w:tc>
        <w:tc>
          <w:tcPr>
            <w:tcW w:w="5220" w:type="dxa"/>
            <w:tcBorders>
              <w:right w:val="single" w:sz="12" w:space="0" w:color="auto"/>
            </w:tcBorders>
          </w:tcPr>
          <w:p w14:paraId="71054CFE"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may provide that paragraph 1 does not apply to covered bonds that are subject to match funding requirements.</w:t>
            </w:r>
          </w:p>
        </w:tc>
        <w:tc>
          <w:tcPr>
            <w:tcW w:w="624" w:type="dxa"/>
            <w:tcBorders>
              <w:left w:val="single" w:sz="12" w:space="0" w:color="auto"/>
            </w:tcBorders>
          </w:tcPr>
          <w:p w14:paraId="7367AC8C" w14:textId="5D3752F2" w:rsidR="008A7904" w:rsidRPr="00DF12A5" w:rsidRDefault="004C40F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B5375D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 7</w:t>
            </w:r>
          </w:p>
        </w:tc>
        <w:tc>
          <w:tcPr>
            <w:tcW w:w="5130" w:type="dxa"/>
          </w:tcPr>
          <w:p w14:paraId="7BDD74A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7. The issuing credit institution may provide that paragraph 1 of this Article shall not apply to covered bonds that are subject to match funding requirements.</w:t>
            </w:r>
          </w:p>
        </w:tc>
        <w:tc>
          <w:tcPr>
            <w:tcW w:w="900" w:type="dxa"/>
          </w:tcPr>
          <w:p w14:paraId="79D01A21" w14:textId="7E902E87" w:rsidR="003E7E51" w:rsidRPr="00DF12A5" w:rsidRDefault="004C40F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F87558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3DB776D7" w14:textId="77777777" w:rsidTr="00BB0DAB">
        <w:tc>
          <w:tcPr>
            <w:tcW w:w="800" w:type="dxa"/>
            <w:tcBorders>
              <w:left w:val="single" w:sz="12" w:space="0" w:color="auto"/>
            </w:tcBorders>
          </w:tcPr>
          <w:p w14:paraId="73C331A5"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 1</w:t>
            </w:r>
          </w:p>
        </w:tc>
        <w:tc>
          <w:tcPr>
            <w:tcW w:w="5220" w:type="dxa"/>
            <w:tcBorders>
              <w:right w:val="single" w:sz="12" w:space="0" w:color="auto"/>
            </w:tcBorders>
          </w:tcPr>
          <w:p w14:paraId="1DF43DA9"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Conditions for extendable maturity structures</w:t>
            </w:r>
            <w:r>
              <w:rPr>
                <w:rFonts w:ascii="Times New Roman" w:hAnsi="Times New Roman"/>
                <w:color w:val="000000"/>
                <w:sz w:val="20"/>
              </w:rPr>
              <w:br/>
              <w:t>Member States may allow for the issue of covered bonds with extendable maturity structures where investor protection is ensured by at least the following:</w:t>
            </w:r>
            <w:r>
              <w:rPr>
                <w:rFonts w:ascii="Times New Roman" w:hAnsi="Times New Roman"/>
                <w:color w:val="000000"/>
                <w:sz w:val="20"/>
              </w:rPr>
              <w:br/>
              <w:t>(a) the maturity can only be extended subject to objective triggers specified in national law, and not at the discretion of the credit institution issuing the covered bonds;</w:t>
            </w:r>
            <w:r>
              <w:rPr>
                <w:rFonts w:ascii="Times New Roman" w:hAnsi="Times New Roman"/>
                <w:color w:val="000000"/>
                <w:sz w:val="20"/>
              </w:rPr>
              <w:br/>
              <w:t>(b) the maturity extension triggers are specified in the contractual terms and conditions of the covered bond;</w:t>
            </w:r>
            <w:r>
              <w:rPr>
                <w:rFonts w:ascii="Times New Roman" w:hAnsi="Times New Roman"/>
                <w:color w:val="000000"/>
                <w:sz w:val="20"/>
              </w:rPr>
              <w:br/>
              <w:t>(c) the information provided to investors about the maturity structure is sufficient to enable them to determine the risk of the covered bond, and includes a detailed description of:</w:t>
            </w:r>
            <w:r>
              <w:rPr>
                <w:rFonts w:ascii="Times New Roman" w:hAnsi="Times New Roman"/>
                <w:color w:val="000000"/>
                <w:sz w:val="20"/>
              </w:rPr>
              <w:br/>
              <w:t>(i) the maturity extension triggers;</w:t>
            </w:r>
            <w:r>
              <w:rPr>
                <w:rFonts w:ascii="Times New Roman" w:hAnsi="Times New Roman"/>
                <w:color w:val="000000"/>
                <w:sz w:val="20"/>
              </w:rPr>
              <w:br/>
              <w:t>(ii) the consequences for a maturity extension of the insolvency or resolution of the credit institution issuing the covered bonds;</w:t>
            </w:r>
            <w:r>
              <w:rPr>
                <w:rFonts w:ascii="Times New Roman" w:hAnsi="Times New Roman"/>
                <w:color w:val="000000"/>
                <w:sz w:val="20"/>
              </w:rPr>
              <w:br/>
              <w:t>(iii) the role of the competent authorities designated pursuant to Article 18(2) and, where relevant, of the special administrator with regard to the maturity extension;</w:t>
            </w:r>
            <w:r>
              <w:rPr>
                <w:rFonts w:ascii="Times New Roman" w:hAnsi="Times New Roman"/>
                <w:color w:val="000000"/>
                <w:sz w:val="20"/>
              </w:rPr>
              <w:br/>
              <w:t>(d) the final maturity date of the covered bond is at all times determinable;</w:t>
            </w:r>
            <w:r>
              <w:rPr>
                <w:rFonts w:ascii="Times New Roman" w:hAnsi="Times New Roman"/>
                <w:color w:val="000000"/>
                <w:sz w:val="20"/>
              </w:rPr>
              <w:br/>
              <w:t>(e) in the event of the insolvency or resolution of the credit institution issuing the covered bonds, maturity extensions do not affect the ranking of covered bond investors or invert the sequencing of the covered bond programme’s original maturity schedule;</w:t>
            </w:r>
            <w:r>
              <w:rPr>
                <w:rFonts w:ascii="Times New Roman" w:hAnsi="Times New Roman"/>
                <w:color w:val="000000"/>
                <w:sz w:val="20"/>
              </w:rPr>
              <w:br/>
              <w:t>(f) the maturity extension does not change the structural features of the covered bonds regarding dual recourse as referred to in Article 4 and bankruptcy remoteness as referred to in Article 5.</w:t>
            </w:r>
          </w:p>
        </w:tc>
        <w:tc>
          <w:tcPr>
            <w:tcW w:w="624" w:type="dxa"/>
            <w:tcBorders>
              <w:left w:val="single" w:sz="12" w:space="0" w:color="auto"/>
            </w:tcBorders>
          </w:tcPr>
          <w:p w14:paraId="0EB26980" w14:textId="30FFF23F" w:rsidR="008A7904" w:rsidRPr="00DF12A5" w:rsidRDefault="004C40F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D860CE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1</w:t>
            </w:r>
          </w:p>
        </w:tc>
        <w:tc>
          <w:tcPr>
            <w:tcW w:w="5130" w:type="dxa"/>
          </w:tcPr>
          <w:p w14:paraId="4AA98C4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A credit institution may issue covered bonds with extendable maturity structures, provided that investor protection is ensured by at least the following requirements:</w:t>
            </w:r>
            <w:r>
              <w:rPr>
                <w:rFonts w:ascii="Times New Roman" w:hAnsi="Times New Roman"/>
                <w:color w:val="000000"/>
                <w:sz w:val="20"/>
              </w:rPr>
              <w:br/>
              <w:t>(a) the maturity can be extended only subject to objective triggers specified in this Law or in the relevant implementing acts and not at the discretion of the issuing credit institution;</w:t>
            </w:r>
            <w:r>
              <w:rPr>
                <w:rFonts w:ascii="Times New Roman" w:hAnsi="Times New Roman"/>
                <w:color w:val="000000"/>
                <w:sz w:val="20"/>
              </w:rPr>
              <w:br/>
              <w:t>(b) the maturity extension triggers are clearly specified in the terms and conditions of the covered bond;</w:t>
            </w:r>
            <w:r>
              <w:rPr>
                <w:rFonts w:ascii="Times New Roman" w:hAnsi="Times New Roman"/>
                <w:color w:val="000000"/>
                <w:sz w:val="20"/>
              </w:rPr>
              <w:br/>
              <w:t>(c) the information provided to investors about the maturity structure is sufficient to enable them to determine the risk of the covered bond and includes a detailed description of:</w:t>
            </w:r>
            <w:r>
              <w:rPr>
                <w:rFonts w:ascii="Times New Roman" w:hAnsi="Times New Roman"/>
                <w:color w:val="000000"/>
                <w:sz w:val="20"/>
              </w:rPr>
              <w:br/>
              <w:t>(i) the maturity extension triggers;</w:t>
            </w:r>
            <w:r>
              <w:rPr>
                <w:rFonts w:ascii="Times New Roman" w:hAnsi="Times New Roman"/>
                <w:color w:val="000000"/>
                <w:sz w:val="20"/>
              </w:rPr>
              <w:br/>
              <w:t>(ii) the consequences of insolvency or resolution of the issuing credit institution for a maturity extension;</w:t>
            </w:r>
            <w:r>
              <w:rPr>
                <w:rFonts w:ascii="Times New Roman" w:hAnsi="Times New Roman"/>
                <w:color w:val="000000"/>
                <w:sz w:val="20"/>
              </w:rPr>
              <w:br/>
              <w:t>(iii) the role of the competent authorities and, where relevant, of the special administrator with regard to the maturity extension;</w:t>
            </w:r>
            <w:r>
              <w:rPr>
                <w:rFonts w:ascii="Times New Roman" w:hAnsi="Times New Roman"/>
                <w:color w:val="000000"/>
                <w:sz w:val="20"/>
              </w:rPr>
              <w:br/>
              <w:t>(d) the final maturity date of the covered bond is at all times determinable;</w:t>
            </w:r>
            <w:r>
              <w:rPr>
                <w:rFonts w:ascii="Times New Roman" w:hAnsi="Times New Roman"/>
                <w:color w:val="000000"/>
                <w:sz w:val="20"/>
              </w:rPr>
              <w:br/>
              <w:t>(e) in the event of insolvency or resolution of the issuing credit institution, maturity extensions do not affect the ranking of covered bond investors and do not invert the sequence of the original maturity schedule of the covered bond programme;</w:t>
            </w:r>
            <w:r>
              <w:rPr>
                <w:rFonts w:ascii="Times New Roman" w:hAnsi="Times New Roman"/>
                <w:color w:val="000000"/>
                <w:sz w:val="20"/>
              </w:rPr>
              <w:br/>
              <w:t>(f) the maturity extension does not change the structural features of the covered bonds regarding the dual recourse referred to in Article 4 of this Law and bankruptcy remoteness referred to in Article 5 of this Law.</w:t>
            </w:r>
          </w:p>
        </w:tc>
        <w:tc>
          <w:tcPr>
            <w:tcW w:w="900" w:type="dxa"/>
          </w:tcPr>
          <w:p w14:paraId="65774699" w14:textId="3CA34357" w:rsidR="003E7E51" w:rsidRPr="00DF12A5" w:rsidRDefault="004C40F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BDC4E6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65E984B8" w14:textId="77777777" w:rsidTr="00BB0DAB">
        <w:tc>
          <w:tcPr>
            <w:tcW w:w="800" w:type="dxa"/>
            <w:tcBorders>
              <w:left w:val="single" w:sz="12" w:space="0" w:color="auto"/>
            </w:tcBorders>
          </w:tcPr>
          <w:p w14:paraId="4256F843"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17, paragraph 2</w:t>
            </w:r>
          </w:p>
        </w:tc>
        <w:tc>
          <w:tcPr>
            <w:tcW w:w="5220" w:type="dxa"/>
            <w:tcBorders>
              <w:right w:val="single" w:sz="12" w:space="0" w:color="auto"/>
            </w:tcBorders>
          </w:tcPr>
          <w:p w14:paraId="1D7EFA3C"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which allow the issue of covered bonds with extendable maturity structures shall notify EBA accordingly.</w:t>
            </w:r>
          </w:p>
        </w:tc>
        <w:tc>
          <w:tcPr>
            <w:tcW w:w="624" w:type="dxa"/>
            <w:tcBorders>
              <w:left w:val="single" w:sz="12" w:space="0" w:color="auto"/>
            </w:tcBorders>
          </w:tcPr>
          <w:p w14:paraId="2B5285BF" w14:textId="56077D54" w:rsidR="008A7904" w:rsidRPr="00DF12A5" w:rsidRDefault="004C40F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7E1C1D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2</w:t>
            </w:r>
          </w:p>
        </w:tc>
        <w:tc>
          <w:tcPr>
            <w:tcW w:w="5130" w:type="dxa"/>
          </w:tcPr>
          <w:p w14:paraId="4AD5F33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Authority shall notify the European Banking Authority (EBA) where the issuance of covered bonds with extendable maturity structures is permitted.</w:t>
            </w:r>
          </w:p>
        </w:tc>
        <w:tc>
          <w:tcPr>
            <w:tcW w:w="900" w:type="dxa"/>
          </w:tcPr>
          <w:p w14:paraId="0CE0D2A9" w14:textId="11363D51" w:rsidR="003E7E51" w:rsidRPr="00DF12A5" w:rsidRDefault="004C40F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7FE680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575EFC17" w14:textId="77777777" w:rsidTr="00BB0DAB">
        <w:tc>
          <w:tcPr>
            <w:tcW w:w="800" w:type="dxa"/>
            <w:tcBorders>
              <w:left w:val="single" w:sz="12" w:space="0" w:color="auto"/>
            </w:tcBorders>
          </w:tcPr>
          <w:p w14:paraId="4A957F2E"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1</w:t>
            </w:r>
          </w:p>
        </w:tc>
        <w:tc>
          <w:tcPr>
            <w:tcW w:w="5220" w:type="dxa"/>
            <w:tcBorders>
              <w:right w:val="single" w:sz="12" w:space="0" w:color="auto"/>
            </w:tcBorders>
          </w:tcPr>
          <w:p w14:paraId="0D0202C8"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Covered bond public supervision</w:t>
            </w:r>
            <w:r>
              <w:rPr>
                <w:rFonts w:ascii="Times New Roman" w:hAnsi="Times New Roman"/>
                <w:color w:val="000000"/>
                <w:sz w:val="20"/>
              </w:rPr>
              <w:br/>
              <w:t>Member States shall ensure investor protection by providing that the issue of covered bonds is subject to covered bond public supervision.</w:t>
            </w:r>
          </w:p>
        </w:tc>
        <w:tc>
          <w:tcPr>
            <w:tcW w:w="624" w:type="dxa"/>
            <w:tcBorders>
              <w:left w:val="single" w:sz="12" w:space="0" w:color="auto"/>
            </w:tcBorders>
          </w:tcPr>
          <w:p w14:paraId="2131598C" w14:textId="30C5F632" w:rsidR="008A7904" w:rsidRPr="00DF12A5" w:rsidRDefault="004C40F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D450DB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 1</w:t>
            </w:r>
          </w:p>
        </w:tc>
        <w:tc>
          <w:tcPr>
            <w:tcW w:w="5130" w:type="dxa"/>
          </w:tcPr>
          <w:p w14:paraId="5D2D59F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In order to ensure investor protection, the issuance of covered bonds shall be subject to public supervision.</w:t>
            </w:r>
          </w:p>
        </w:tc>
        <w:tc>
          <w:tcPr>
            <w:tcW w:w="900" w:type="dxa"/>
          </w:tcPr>
          <w:p w14:paraId="2FE02847" w14:textId="7319EFB2" w:rsidR="003E7E51" w:rsidRPr="00DF12A5" w:rsidRDefault="004C40F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575E85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393E39CD" w14:textId="77777777" w:rsidTr="00BB0DAB">
        <w:tc>
          <w:tcPr>
            <w:tcW w:w="800" w:type="dxa"/>
            <w:tcBorders>
              <w:left w:val="single" w:sz="12" w:space="0" w:color="auto"/>
            </w:tcBorders>
          </w:tcPr>
          <w:p w14:paraId="71F9D7D1"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2</w:t>
            </w:r>
          </w:p>
        </w:tc>
        <w:tc>
          <w:tcPr>
            <w:tcW w:w="5220" w:type="dxa"/>
            <w:tcBorders>
              <w:right w:val="single" w:sz="12" w:space="0" w:color="auto"/>
            </w:tcBorders>
          </w:tcPr>
          <w:p w14:paraId="18D9687C"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the covered bond public supervision referred to in paragraph 1, Member States shall designate one or more competent authorities. They shall inform the Commission and EBA of those designated authorities and shall indicate any division of functions and duties.</w:t>
            </w:r>
          </w:p>
        </w:tc>
        <w:tc>
          <w:tcPr>
            <w:tcW w:w="624" w:type="dxa"/>
            <w:tcBorders>
              <w:left w:val="single" w:sz="12" w:space="0" w:color="auto"/>
            </w:tcBorders>
          </w:tcPr>
          <w:p w14:paraId="678A24C0" w14:textId="366C3B5F" w:rsidR="008A7904" w:rsidRPr="00DF12A5" w:rsidRDefault="00D16FB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9B0D36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 2</w:t>
            </w:r>
          </w:p>
        </w:tc>
        <w:tc>
          <w:tcPr>
            <w:tcW w:w="5130" w:type="dxa"/>
          </w:tcPr>
          <w:p w14:paraId="4FAC229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Authority shall be the competent authority responsible for covered bond public supervision.</w:t>
            </w:r>
          </w:p>
        </w:tc>
        <w:tc>
          <w:tcPr>
            <w:tcW w:w="900" w:type="dxa"/>
          </w:tcPr>
          <w:p w14:paraId="19B6D4F8" w14:textId="1FFB282A" w:rsidR="003E7E51" w:rsidRPr="00DF12A5" w:rsidRDefault="00D16FB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614DBBA"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1BA89772" w14:textId="77777777" w:rsidTr="00BB0DAB">
        <w:tc>
          <w:tcPr>
            <w:tcW w:w="800" w:type="dxa"/>
            <w:tcBorders>
              <w:left w:val="single" w:sz="12" w:space="0" w:color="auto"/>
            </w:tcBorders>
          </w:tcPr>
          <w:p w14:paraId="233C2F09"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3</w:t>
            </w:r>
          </w:p>
        </w:tc>
        <w:tc>
          <w:tcPr>
            <w:tcW w:w="5220" w:type="dxa"/>
            <w:tcBorders>
              <w:right w:val="single" w:sz="12" w:space="0" w:color="auto"/>
            </w:tcBorders>
          </w:tcPr>
          <w:p w14:paraId="3460961D"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the competent authorities designated pursuant to paragraph 2 monitor the issue of covered bonds to assess compliance with the requirements laid down in the provisions of national law transposing this Directive.</w:t>
            </w:r>
          </w:p>
        </w:tc>
        <w:tc>
          <w:tcPr>
            <w:tcW w:w="624" w:type="dxa"/>
            <w:tcBorders>
              <w:left w:val="single" w:sz="12" w:space="0" w:color="auto"/>
            </w:tcBorders>
          </w:tcPr>
          <w:p w14:paraId="786B9E77" w14:textId="210A01DE" w:rsidR="008A7904" w:rsidRPr="00DF12A5" w:rsidRDefault="00D16FB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3AB237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 5</w:t>
            </w:r>
          </w:p>
        </w:tc>
        <w:tc>
          <w:tcPr>
            <w:tcW w:w="5130" w:type="dxa"/>
          </w:tcPr>
          <w:p w14:paraId="677C0C7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The Authority shall monitor the issuance of covered bonds in order to assess the compliance of the issuer and the covered bond programme with the requirements of this Law and the implementing acts adopted pursuant to it.</w:t>
            </w:r>
          </w:p>
        </w:tc>
        <w:tc>
          <w:tcPr>
            <w:tcW w:w="900" w:type="dxa"/>
          </w:tcPr>
          <w:p w14:paraId="1CF6ACE3" w14:textId="62F10E6B" w:rsidR="003E7E51" w:rsidRPr="00DF12A5" w:rsidRDefault="00D16FB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E5345C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214F4C8B" w14:textId="77777777" w:rsidTr="00BB0DAB">
        <w:tc>
          <w:tcPr>
            <w:tcW w:w="800" w:type="dxa"/>
            <w:tcBorders>
              <w:left w:val="single" w:sz="12" w:space="0" w:color="auto"/>
            </w:tcBorders>
          </w:tcPr>
          <w:p w14:paraId="2DC6B413"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4</w:t>
            </w:r>
          </w:p>
        </w:tc>
        <w:tc>
          <w:tcPr>
            <w:tcW w:w="5220" w:type="dxa"/>
            <w:tcBorders>
              <w:right w:val="single" w:sz="12" w:space="0" w:color="auto"/>
            </w:tcBorders>
          </w:tcPr>
          <w:p w14:paraId="3AF71791"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credit institutions issuing covered bonds register all their transactions in relation to the covered bond programme and have in place adequate and appropriate documentation systems and processes.</w:t>
            </w:r>
          </w:p>
        </w:tc>
        <w:tc>
          <w:tcPr>
            <w:tcW w:w="624" w:type="dxa"/>
            <w:tcBorders>
              <w:left w:val="single" w:sz="12" w:space="0" w:color="auto"/>
            </w:tcBorders>
          </w:tcPr>
          <w:p w14:paraId="344FE746" w14:textId="628D9E58" w:rsidR="008A7904" w:rsidRPr="00DF12A5" w:rsidRDefault="00D16FB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8683AD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 8</w:t>
            </w:r>
          </w:p>
        </w:tc>
        <w:tc>
          <w:tcPr>
            <w:tcW w:w="5130" w:type="dxa"/>
          </w:tcPr>
          <w:p w14:paraId="51A68F8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8. Credit institutions issuing covered bonds shall record all transactions relating to the covered bond programme and shall have appropriate and adequate documentation systems and processes in place.</w:t>
            </w:r>
          </w:p>
        </w:tc>
        <w:tc>
          <w:tcPr>
            <w:tcW w:w="900" w:type="dxa"/>
          </w:tcPr>
          <w:p w14:paraId="7DDD92F2" w14:textId="23803658" w:rsidR="003E7E51" w:rsidRPr="00DF12A5" w:rsidRDefault="00D16FB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85B4ABF"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345C666F" w14:textId="77777777" w:rsidTr="00BB0DAB">
        <w:tc>
          <w:tcPr>
            <w:tcW w:w="800" w:type="dxa"/>
            <w:tcBorders>
              <w:left w:val="single" w:sz="12" w:space="0" w:color="auto"/>
            </w:tcBorders>
          </w:tcPr>
          <w:p w14:paraId="7A382B16"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5</w:t>
            </w:r>
          </w:p>
        </w:tc>
        <w:tc>
          <w:tcPr>
            <w:tcW w:w="5220" w:type="dxa"/>
            <w:tcBorders>
              <w:right w:val="single" w:sz="12" w:space="0" w:color="auto"/>
            </w:tcBorders>
          </w:tcPr>
          <w:p w14:paraId="57D9ECD7"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further ensure that appropriate measures are in place to enable the competent authorities designated pursuant to paragraph 2 of this Article to obtain the information necessary to assess the compliance with the requirements laid down in the provisions of national law transposing this Directive, investigate possible breaches of those requirements, and impose administrative penalties and other administrative measures in accordance with the provisions of national law transposing Article 23.</w:t>
            </w:r>
          </w:p>
        </w:tc>
        <w:tc>
          <w:tcPr>
            <w:tcW w:w="624" w:type="dxa"/>
            <w:tcBorders>
              <w:left w:val="single" w:sz="12" w:space="0" w:color="auto"/>
            </w:tcBorders>
          </w:tcPr>
          <w:p w14:paraId="5E5FEC10" w14:textId="3C31524E" w:rsidR="008A7904" w:rsidRPr="00DF12A5" w:rsidRDefault="00D16FBF"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0F01A9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paragraphs 3, 6-7; Articles 27, 30 and 33</w:t>
            </w:r>
          </w:p>
        </w:tc>
        <w:tc>
          <w:tcPr>
            <w:tcW w:w="5130" w:type="dxa"/>
          </w:tcPr>
          <w:p w14:paraId="363931E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w:t>
            </w:r>
            <w:r>
              <w:rPr>
                <w:rFonts w:ascii="Times New Roman" w:hAnsi="Times New Roman"/>
                <w:color w:val="000000"/>
                <w:sz w:val="20"/>
              </w:rPr>
              <w:br/>
            </w:r>
            <w:r>
              <w:rPr>
                <w:rFonts w:ascii="Times New Roman" w:hAnsi="Times New Roman"/>
                <w:color w:val="000000"/>
                <w:sz w:val="20"/>
              </w:rPr>
              <w:br/>
              <w:t>3. The Authority shall cooperate with the Bank of Albania in accordance with the respective powers of each authority arising from its remit under the relevant legislation and the powers conferred by this Law.</w:t>
            </w:r>
            <w:r>
              <w:rPr>
                <w:rFonts w:ascii="Times New Roman" w:hAnsi="Times New Roman"/>
                <w:color w:val="000000"/>
                <w:sz w:val="20"/>
              </w:rPr>
              <w:br/>
              <w:t>6. The Authority, the cover pool monitor and other relevant entities shall inform the Bank of Albania where they have reason to suspect that the valuation of the assets in the cover pool has not been carried out in accordance with the legal requirements.</w:t>
            </w:r>
            <w:r>
              <w:rPr>
                <w:rFonts w:ascii="Times New Roman" w:hAnsi="Times New Roman"/>
                <w:color w:val="000000"/>
                <w:sz w:val="20"/>
              </w:rPr>
              <w:br/>
              <w:t>7. The Authority shall have the right to require any necessary information from the issuer, the auditor, the cover pool monitor, the special administrator and any other party possessing relevant information for the purposes of:</w:t>
            </w:r>
            <w:r>
              <w:rPr>
                <w:rFonts w:ascii="Times New Roman" w:hAnsi="Times New Roman"/>
                <w:color w:val="000000"/>
                <w:sz w:val="20"/>
              </w:rPr>
              <w:br/>
              <w:t>(a) exercising supervision over the issuance of covered bonds, where such information is necessary to assess compliance with the requirements laid down in this Law;</w:t>
            </w:r>
            <w:r>
              <w:rPr>
                <w:rFonts w:ascii="Times New Roman" w:hAnsi="Times New Roman"/>
                <w:color w:val="000000"/>
                <w:sz w:val="20"/>
              </w:rPr>
              <w:br/>
              <w:t>(b) establishing possible infringements;</w:t>
            </w:r>
            <w:r>
              <w:rPr>
                <w:rFonts w:ascii="Times New Roman" w:hAnsi="Times New Roman"/>
                <w:color w:val="000000"/>
                <w:sz w:val="20"/>
              </w:rPr>
              <w:br/>
              <w:t>(c) imposing supervisory measures and pecuniary sanctions.</w:t>
            </w:r>
            <w:r>
              <w:rPr>
                <w:rFonts w:ascii="Times New Roman" w:hAnsi="Times New Roman"/>
                <w:color w:val="000000"/>
                <w:sz w:val="20"/>
              </w:rPr>
              <w:br/>
              <w:t>The provision of such information shall not constitute a breach of confidentiality or professional secrecy obligations.</w:t>
            </w:r>
            <w:r>
              <w:rPr>
                <w:rFonts w:ascii="Times New Roman" w:hAnsi="Times New Roman"/>
                <w:color w:val="000000"/>
                <w:sz w:val="20"/>
              </w:rPr>
              <w:br/>
            </w:r>
            <w:r>
              <w:rPr>
                <w:rFonts w:ascii="Times New Roman" w:hAnsi="Times New Roman"/>
                <w:color w:val="000000"/>
                <w:sz w:val="20"/>
              </w:rPr>
              <w:br/>
              <w:t>Article 27</w:t>
            </w:r>
            <w:r>
              <w:rPr>
                <w:rFonts w:ascii="Times New Roman" w:hAnsi="Times New Roman"/>
                <w:color w:val="000000"/>
                <w:sz w:val="20"/>
              </w:rPr>
              <w:br/>
            </w:r>
            <w:r>
              <w:rPr>
                <w:rFonts w:ascii="Times New Roman" w:hAnsi="Times New Roman"/>
                <w:color w:val="000000"/>
                <w:sz w:val="20"/>
              </w:rPr>
              <w:br/>
              <w:t>1. In the event of resolution of a credit institution which has issued covered bonds, the Authority shall cooperate with the resolution authority in order to verify, inter alia, the continuous and sound administration of the covered bond programme during the resolution process.</w:t>
            </w:r>
            <w:r>
              <w:rPr>
                <w:rFonts w:ascii="Times New Roman" w:hAnsi="Times New Roman"/>
                <w:color w:val="000000"/>
                <w:sz w:val="20"/>
              </w:rPr>
              <w:br/>
              <w:t>2. In the event of insolvency or resolution of a credit institution which has issued covered bonds, a special administrator shall be appointed in order to ensure that the rights and interests of covered bond investors are protected, including at least by verifying the continuous and sound administration of the covered bond programme during the necessary period.</w:t>
            </w:r>
            <w:r>
              <w:rPr>
                <w:rFonts w:ascii="Times New Roman" w:hAnsi="Times New Roman"/>
                <w:color w:val="000000"/>
                <w:sz w:val="20"/>
              </w:rPr>
              <w:br/>
              <w:t>3. The special administrator shall be appointed by the representative of the bondholders. The approval of the Authority shall be required for the special administrator’s appointment and removal. The representative of the bondholders may also perform the function of special administrator. Where the representative of the bondholders does not perform that function, the Authority shall appoint a special administrator.</w:t>
            </w:r>
            <w:r>
              <w:rPr>
                <w:rFonts w:ascii="Times New Roman" w:hAnsi="Times New Roman"/>
                <w:color w:val="000000"/>
                <w:sz w:val="20"/>
              </w:rPr>
              <w:br/>
              <w:t>4. The duties and responsibilities of the special administrator shall include at least:</w:t>
            </w:r>
            <w:r>
              <w:rPr>
                <w:rFonts w:ascii="Times New Roman" w:hAnsi="Times New Roman"/>
                <w:color w:val="000000"/>
                <w:sz w:val="20"/>
              </w:rPr>
              <w:br/>
              <w:t>(a) discharging the obligations arising from the covered bonds;</w:t>
            </w:r>
            <w:r>
              <w:rPr>
                <w:rFonts w:ascii="Times New Roman" w:hAnsi="Times New Roman"/>
                <w:color w:val="000000"/>
                <w:sz w:val="20"/>
              </w:rPr>
              <w:br/>
              <w:t>(b) administering and realising the cover assets, including their transfer, together with the covered bond liabilities, to another credit institution issuing covered bonds;</w:t>
            </w:r>
            <w:r>
              <w:rPr>
                <w:rFonts w:ascii="Times New Roman" w:hAnsi="Times New Roman"/>
                <w:color w:val="000000"/>
                <w:sz w:val="20"/>
              </w:rPr>
              <w:br/>
              <w:t>(c) ensuring that amounts obtained from the collection of claims included in the statutory lien and from the liquidation of other assets included therein are used to repay the bonds and other claims secured by that lien, in accordance with the terms of the covered bond programme;</w:t>
            </w:r>
            <w:r>
              <w:rPr>
                <w:rFonts w:ascii="Times New Roman" w:hAnsi="Times New Roman"/>
                <w:color w:val="000000"/>
                <w:sz w:val="20"/>
              </w:rPr>
              <w:br/>
              <w:t>(d) performing the legal acts necessary for the proper administration of the cover pool, for the ongoing monitoring of coverage of covered bond liabilities, for taking action to restore assets to the cover pool and for transferring residual assets to the insolvency estate of the credit institution which issued the covered bonds after all liabilities attached to them have been discharged.</w:t>
            </w:r>
            <w:r>
              <w:rPr>
                <w:rFonts w:ascii="Times New Roman" w:hAnsi="Times New Roman"/>
                <w:color w:val="000000"/>
                <w:sz w:val="20"/>
              </w:rPr>
              <w:br/>
              <w:t>5. The special administrator shall have the qualifications, abilities and knowledge necessary to perform the administrator’s duties.</w:t>
            </w:r>
            <w:r>
              <w:rPr>
                <w:rFonts w:ascii="Times New Roman" w:hAnsi="Times New Roman"/>
                <w:color w:val="000000"/>
                <w:sz w:val="20"/>
              </w:rPr>
              <w:br/>
              <w:t>6. For the purposes of the insolvency or resolution process of the credit institution, information may be exchanged among the Authority, the special administrator and, in the event of resolution, the resolution authority.</w:t>
            </w:r>
            <w:r>
              <w:rPr>
                <w:rFonts w:ascii="Times New Roman" w:hAnsi="Times New Roman"/>
                <w:color w:val="000000"/>
                <w:sz w:val="20"/>
              </w:rPr>
              <w:br/>
            </w:r>
            <w:r>
              <w:rPr>
                <w:rFonts w:ascii="Times New Roman" w:hAnsi="Times New Roman"/>
                <w:color w:val="000000"/>
                <w:sz w:val="20"/>
              </w:rPr>
              <w:br/>
              <w:t>Article 30</w:t>
            </w:r>
            <w:r>
              <w:rPr>
                <w:rFonts w:ascii="Times New Roman" w:hAnsi="Times New Roman"/>
                <w:color w:val="000000"/>
                <w:sz w:val="20"/>
              </w:rPr>
              <w:br/>
            </w:r>
            <w:r>
              <w:rPr>
                <w:rFonts w:ascii="Times New Roman" w:hAnsi="Times New Roman"/>
                <w:color w:val="000000"/>
                <w:sz w:val="20"/>
              </w:rPr>
              <w:br/>
              <w:t>1. The Bank of Albania, as the supervisory authority for credit institutions and, where applicable, as the resolution authority, and the Authority shall cooperate closely and exchange all information necessary for the exercise of their supervisory duties in accordance with and for the implementation of this Law, including in the event of resolution of a credit institution issuing covered bonds.</w:t>
            </w:r>
            <w:r>
              <w:rPr>
                <w:rFonts w:ascii="Times New Roman" w:hAnsi="Times New Roman"/>
                <w:color w:val="000000"/>
                <w:sz w:val="20"/>
              </w:rPr>
              <w:br/>
              <w:t>2. The Bank of Albania and the Authority shall also cooperate with the competent authorities of Member States designated for the regulation and supervision of the issuance of covered bonds and for their public supervision, in accordance with their legislation in force transposing European Union legislation on covered bonds.</w:t>
            </w:r>
            <w:r>
              <w:rPr>
                <w:rFonts w:ascii="Times New Roman" w:hAnsi="Times New Roman"/>
                <w:color w:val="000000"/>
                <w:sz w:val="20"/>
              </w:rPr>
              <w:br/>
              <w:t>3. For the purposes of paragraphs 1 and 2 of this Article, cooperation shall include:</w:t>
            </w:r>
            <w:r>
              <w:rPr>
                <w:rFonts w:ascii="Times New Roman" w:hAnsi="Times New Roman"/>
                <w:color w:val="000000"/>
                <w:sz w:val="20"/>
              </w:rPr>
              <w:br/>
              <w:t>(a) the provision of all relevant information at the request of the Authority, the Bank of Albania or another competent authority referred to in paragraph 2 of this Article;</w:t>
            </w:r>
            <w:r>
              <w:rPr>
                <w:rFonts w:ascii="Times New Roman" w:hAnsi="Times New Roman"/>
                <w:color w:val="000000"/>
                <w:sz w:val="20"/>
              </w:rPr>
              <w:br/>
              <w:t>(b) the provision, on their own initiative, of any essential information to other competent authorities of Member States designated as responsible for the regulation of the issuance and supervision of covered bonds under the relevant legislation in force.</w:t>
            </w:r>
            <w:r>
              <w:rPr>
                <w:rFonts w:ascii="Times New Roman" w:hAnsi="Times New Roman"/>
                <w:color w:val="000000"/>
                <w:sz w:val="20"/>
              </w:rPr>
              <w:br/>
              <w:t>4. For the purposes of implementing this Law, the Bank of Albania and the Authority shall cooperate with the European Banking Authority (EBA) and, where relevant, with the European Securities and Markets Authority (ESMA).</w:t>
            </w:r>
            <w:r>
              <w:rPr>
                <w:rFonts w:ascii="Times New Roman" w:hAnsi="Times New Roman"/>
                <w:color w:val="000000"/>
                <w:sz w:val="20"/>
              </w:rPr>
              <w:br/>
              <w:t>5. For the purposes of this Article, information shall be considered essential where it could materially influence the assessment of the issuance of covered bonds, including an issuance in another Member State.</w:t>
            </w:r>
            <w:r>
              <w:rPr>
                <w:rFonts w:ascii="Times New Roman" w:hAnsi="Times New Roman"/>
                <w:color w:val="000000"/>
                <w:sz w:val="20"/>
              </w:rPr>
              <w:br/>
            </w:r>
            <w:r>
              <w:rPr>
                <w:rFonts w:ascii="Times New Roman" w:hAnsi="Times New Roman"/>
                <w:color w:val="000000"/>
                <w:sz w:val="20"/>
              </w:rPr>
              <w:br/>
              <w:t>Article 33</w:t>
            </w:r>
            <w:r>
              <w:rPr>
                <w:rFonts w:ascii="Times New Roman" w:hAnsi="Times New Roman"/>
                <w:color w:val="000000"/>
                <w:sz w:val="20"/>
              </w:rPr>
              <w:br/>
            </w:r>
            <w:r>
              <w:rPr>
                <w:rFonts w:ascii="Times New Roman" w:hAnsi="Times New Roman"/>
                <w:color w:val="000000"/>
                <w:sz w:val="20"/>
              </w:rPr>
              <w:br/>
              <w:t>1. The Authority shall cooperate with the Bank of Albania where early intervention or resolution measures are applied to the issuer, in order to ensure protection of the rights and interests of covered bond investors. Such cooperation shall include at least verifying that the covered bond programme continues to be administered soundly and properly throughout those procedures.</w:t>
            </w:r>
            <w:r>
              <w:rPr>
                <w:rFonts w:ascii="Times New Roman" w:hAnsi="Times New Roman"/>
                <w:color w:val="000000"/>
                <w:sz w:val="20"/>
              </w:rPr>
              <w:br/>
              <w:t>2. The Authority shall cooperate with the Bank of Albania and, where applicable, with the Albanian Deposit Insurance Agency and the special administrator, for the exchange of information and coordination of action in the context of early intervention, resolution or compulsory liquidation proceedings, in order to ensure protection of the rights and interests of covered bond investors.</w:t>
            </w:r>
            <w:r>
              <w:rPr>
                <w:rFonts w:ascii="Times New Roman" w:hAnsi="Times New Roman"/>
                <w:color w:val="000000"/>
                <w:sz w:val="20"/>
              </w:rPr>
              <w:br/>
              <w:t>3. In the event of compulsory liquidation of the issuer, the Authority shall cooperate with the Albanian Deposit Insurance Agency and the special administrator, which shall exchange the necessary information with each other in order to ensure, inter alia, verification of the continuous and proper administration of the covered bond programme throughout the liquidation proceedings.</w:t>
            </w:r>
            <w:r>
              <w:rPr>
                <w:rFonts w:ascii="Times New Roman" w:hAnsi="Times New Roman"/>
                <w:color w:val="000000"/>
                <w:sz w:val="20"/>
              </w:rPr>
              <w:br/>
              <w:t>4. Bodies performing functions in the context of early intervention, resolution or compulsory liquidation under the legislation in force governing credit institutions shall exercise their powers in such a manner as not to prejudice the exercise of rights arising from covered bonds, including rights over the cover pool, to which investors are entitled under this Law.</w:t>
            </w:r>
            <w:r>
              <w:rPr>
                <w:rFonts w:ascii="Times New Roman" w:hAnsi="Times New Roman"/>
                <w:color w:val="000000"/>
                <w:sz w:val="20"/>
              </w:rPr>
              <w:br/>
              <w:t>5. This Article shall be without prejudice to, and shall not restrict, the powers of the Authority under this Law.</w:t>
            </w:r>
          </w:p>
        </w:tc>
        <w:tc>
          <w:tcPr>
            <w:tcW w:w="900" w:type="dxa"/>
          </w:tcPr>
          <w:p w14:paraId="4B3D42D7" w14:textId="6F1F5226" w:rsidR="003E7E51" w:rsidRPr="00DF12A5" w:rsidRDefault="00D16FBF">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83A019C"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A7904" w:rsidRPr="00DF12A5" w14:paraId="2FF7A03C" w14:textId="77777777" w:rsidTr="00BB0DAB">
        <w:tc>
          <w:tcPr>
            <w:tcW w:w="800" w:type="dxa"/>
            <w:tcBorders>
              <w:left w:val="single" w:sz="12" w:space="0" w:color="auto"/>
            </w:tcBorders>
          </w:tcPr>
          <w:p w14:paraId="57D282F8"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18, paragraph 6</w:t>
            </w:r>
          </w:p>
        </w:tc>
        <w:tc>
          <w:tcPr>
            <w:tcW w:w="5220" w:type="dxa"/>
            <w:tcBorders>
              <w:right w:val="single" w:sz="12" w:space="0" w:color="auto"/>
            </w:tcBorders>
          </w:tcPr>
          <w:p w14:paraId="41F74B58" w14:textId="77777777" w:rsidR="008A7904" w:rsidRPr="00DF12A5" w:rsidRDefault="008A7904" w:rsidP="008A790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the competent authorities designated pursuant to paragraph 2, have the expertise, resources, operational capacity, powers and independence necessary to carry out the functions relating to covered bond public supervision.</w:t>
            </w:r>
          </w:p>
        </w:tc>
        <w:tc>
          <w:tcPr>
            <w:tcW w:w="624" w:type="dxa"/>
            <w:tcBorders>
              <w:left w:val="single" w:sz="12" w:space="0" w:color="auto"/>
            </w:tcBorders>
          </w:tcPr>
          <w:p w14:paraId="47125459" w14:textId="06232096" w:rsidR="008A7904" w:rsidRPr="00DF12A5" w:rsidRDefault="00982A15"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53AAAF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 9</w:t>
            </w:r>
          </w:p>
        </w:tc>
        <w:tc>
          <w:tcPr>
            <w:tcW w:w="5130" w:type="dxa"/>
          </w:tcPr>
          <w:p w14:paraId="56BD3D9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9. The Authority shall take measures to ensure that it has the necessary expertise, resources, operational capacity, powers and independence required to exercise covered bond public supervision effectively.</w:t>
            </w:r>
          </w:p>
        </w:tc>
        <w:tc>
          <w:tcPr>
            <w:tcW w:w="900" w:type="dxa"/>
          </w:tcPr>
          <w:p w14:paraId="34EF9EDF" w14:textId="4FB33693" w:rsidR="003E7E51" w:rsidRPr="00DF12A5" w:rsidRDefault="00982A15">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7AE9784"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82E29" w:rsidRPr="00DF12A5" w14:paraId="75277889" w14:textId="77777777" w:rsidTr="00BB0DAB">
        <w:tc>
          <w:tcPr>
            <w:tcW w:w="800" w:type="dxa"/>
            <w:tcBorders>
              <w:left w:val="single" w:sz="12" w:space="0" w:color="auto"/>
            </w:tcBorders>
          </w:tcPr>
          <w:p w14:paraId="49CAEC3F" w14:textId="77777777" w:rsidR="00982E29" w:rsidRPr="00DF12A5" w:rsidRDefault="00982E29" w:rsidP="00982E2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 1</w:t>
            </w:r>
          </w:p>
        </w:tc>
        <w:tc>
          <w:tcPr>
            <w:tcW w:w="5220" w:type="dxa"/>
            <w:tcBorders>
              <w:right w:val="single" w:sz="12" w:space="0" w:color="auto"/>
            </w:tcBorders>
          </w:tcPr>
          <w:p w14:paraId="16D2737A" w14:textId="77777777" w:rsidR="00982E29" w:rsidRPr="00DF12A5" w:rsidRDefault="00982E29" w:rsidP="00982E29">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Permission for covered bond programmes</w:t>
            </w:r>
            <w:r>
              <w:rPr>
                <w:rFonts w:ascii="Times New Roman" w:hAnsi="Times New Roman"/>
                <w:color w:val="000000"/>
                <w:sz w:val="20"/>
              </w:rPr>
              <w:br/>
              <w:t>Member States shall ensure investor protection by requiring permission for a covered bond programme to be obtained before issuing covered bonds under that programme. Member States shall confer the power to grant such permission upon the competent authorities designated pursuant to Article 18(2).</w:t>
            </w:r>
          </w:p>
        </w:tc>
        <w:tc>
          <w:tcPr>
            <w:tcW w:w="624" w:type="dxa"/>
            <w:tcBorders>
              <w:left w:val="single" w:sz="12" w:space="0" w:color="auto"/>
            </w:tcBorders>
          </w:tcPr>
          <w:p w14:paraId="22A4CAF7" w14:textId="47C47700" w:rsidR="00982E29" w:rsidRPr="00DF12A5" w:rsidRDefault="00982A15"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70B2FB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Articles 20-21</w:t>
            </w:r>
          </w:p>
        </w:tc>
        <w:tc>
          <w:tcPr>
            <w:tcW w:w="5130" w:type="dxa"/>
          </w:tcPr>
          <w:p w14:paraId="1E7F9357"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t>Article 20</w:t>
            </w:r>
            <w:r>
              <w:rPr>
                <w:rFonts w:ascii="Times New Roman" w:hAnsi="Times New Roman"/>
                <w:color w:val="000000"/>
                <w:sz w:val="20"/>
              </w:rPr>
              <w:br/>
            </w:r>
            <w:r>
              <w:rPr>
                <w:rFonts w:ascii="Times New Roman" w:hAnsi="Times New Roman"/>
                <w:color w:val="000000"/>
                <w:sz w:val="20"/>
              </w:rPr>
              <w:br/>
              <w:t>1. A credit institution intending to carry out one or more issuances of covered bonds shall:</w:t>
            </w:r>
            <w:r>
              <w:rPr>
                <w:rFonts w:ascii="Times New Roman" w:hAnsi="Times New Roman"/>
                <w:color w:val="000000"/>
                <w:sz w:val="20"/>
              </w:rPr>
              <w:br/>
              <w:t>(a) submit to the Bank of Albania an application for a preliminary opinion on the programme of operations (business plan) setting out the issuance of covered bonds;</w:t>
            </w:r>
            <w:r>
              <w:rPr>
                <w:rFonts w:ascii="Times New Roman" w:hAnsi="Times New Roman"/>
                <w:color w:val="000000"/>
                <w:sz w:val="20"/>
              </w:rPr>
              <w:br/>
              <w:t>(b) after receiving the preliminary opinion from the Bank of Albania, submit to the Authority, within 30 days, an application for approval of the covered bond programme.</w:t>
            </w:r>
            <w:r>
              <w:rPr>
                <w:rFonts w:ascii="Times New Roman" w:hAnsi="Times New Roman"/>
                <w:color w:val="000000"/>
                <w:sz w:val="20"/>
              </w:rPr>
              <w:br/>
              <w:t>2. The application for a preliminary opinion shall contain the programme of operations (business plan) setting out the issuance of covered bonds, including a risk analysis which must clearly demonstrate that the issuance of covered bonds will not jeopardise:</w:t>
            </w:r>
            <w:r>
              <w:rPr>
                <w:rFonts w:ascii="Times New Roman" w:hAnsi="Times New Roman"/>
                <w:color w:val="000000"/>
                <w:sz w:val="20"/>
              </w:rPr>
              <w:br/>
              <w:t>(a) the long-term viability of the credit institution’s business;</w:t>
            </w:r>
            <w:r>
              <w:rPr>
                <w:rFonts w:ascii="Times New Roman" w:hAnsi="Times New Roman"/>
                <w:color w:val="000000"/>
                <w:sz w:val="20"/>
              </w:rPr>
              <w:br/>
              <w:t>(b) its capacity to comply with the regulatory requirements.</w:t>
            </w:r>
            <w:r>
              <w:rPr>
                <w:rFonts w:ascii="Times New Roman" w:hAnsi="Times New Roman"/>
                <w:color w:val="000000"/>
                <w:sz w:val="20"/>
              </w:rPr>
              <w:br/>
              <w:t>3. The application for approval of the programme under paragraph 1, point (b), of this Article shall include the following information concerning the administrative organisation and financial situation of the credit institution:</w:t>
            </w:r>
            <w:r>
              <w:rPr>
                <w:rFonts w:ascii="Times New Roman" w:hAnsi="Times New Roman"/>
                <w:color w:val="000000"/>
                <w:sz w:val="20"/>
              </w:rPr>
              <w:br/>
              <w:t>(a) a description of its financial situation demonstrating an adequate level of solvency that ensures compliance with its obligations towards creditors that are not covered bond investors;</w:t>
            </w:r>
            <w:r>
              <w:rPr>
                <w:rFonts w:ascii="Times New Roman" w:hAnsi="Times New Roman"/>
                <w:color w:val="000000"/>
                <w:sz w:val="20"/>
              </w:rPr>
              <w:br/>
              <w:t>(b) a description of its long-term business plans, focusing on liquidity and related risks, and the impact of the issuance of covered bonds on its long-term business plans;</w:t>
            </w:r>
            <w:r>
              <w:rPr>
                <w:rFonts w:ascii="Times New Roman" w:hAnsi="Times New Roman"/>
                <w:color w:val="000000"/>
                <w:sz w:val="20"/>
              </w:rPr>
              <w:br/>
              <w:t>(c) a description of its duties and responsibilities relating to the issuance of covered bonds, in particular as regards the segregation of cover assets;</w:t>
            </w:r>
            <w:r>
              <w:rPr>
                <w:rFonts w:ascii="Times New Roman" w:hAnsi="Times New Roman"/>
                <w:color w:val="000000"/>
                <w:sz w:val="20"/>
              </w:rPr>
              <w:br/>
              <w:t>(d) a description of the credit institution’s risk management in relation to covered bonds;</w:t>
            </w:r>
            <w:r>
              <w:rPr>
                <w:rFonts w:ascii="Times New Roman" w:hAnsi="Times New Roman"/>
                <w:color w:val="000000"/>
                <w:sz w:val="20"/>
              </w:rPr>
              <w:br/>
              <w:t>(e) a description of the internal audit procedures relating to the issuance of covered bonds, including their frequency and the applicable control procedures;</w:t>
            </w:r>
            <w:r>
              <w:rPr>
                <w:rFonts w:ascii="Times New Roman" w:hAnsi="Times New Roman"/>
                <w:color w:val="000000"/>
                <w:sz w:val="20"/>
              </w:rPr>
              <w:br/>
              <w:t>(f) a description of the procedures relating to the publication of information for covered bond investors;</w:t>
            </w:r>
            <w:r>
              <w:rPr>
                <w:rFonts w:ascii="Times New Roman" w:hAnsi="Times New Roman"/>
                <w:color w:val="000000"/>
                <w:sz w:val="20"/>
              </w:rPr>
              <w:br/>
              <w:t>(g) a description of the information technology systems used for maintaining the cover pool register;</w:t>
            </w:r>
            <w:r>
              <w:rPr>
                <w:rFonts w:ascii="Times New Roman" w:hAnsi="Times New Roman"/>
                <w:color w:val="000000"/>
                <w:sz w:val="20"/>
              </w:rPr>
              <w:br/>
              <w:t>(h) a description of the management/governing bodies and staff responsible for the covered bond programme who have appropriate qualifications and knowledge regarding the issuance of covered bonds and the administration of the covered bond programme.</w:t>
            </w:r>
            <w:r>
              <w:rPr>
                <w:rFonts w:ascii="Times New Roman" w:hAnsi="Times New Roman"/>
                <w:color w:val="000000"/>
                <w:sz w:val="20"/>
              </w:rPr>
              <w:br/>
              <w:t>4. The application under paragraph 1, point (b), of this Article shall also contain specific information on the covered bond programme and the programme of operations, including, inter alia:</w:t>
            </w:r>
            <w:r>
              <w:rPr>
                <w:rFonts w:ascii="Times New Roman" w:hAnsi="Times New Roman"/>
                <w:color w:val="000000"/>
                <w:sz w:val="20"/>
              </w:rPr>
              <w:br/>
              <w:t>(a) the targeted maximum aggregate nominal amount of covered bonds planned to be issued under the programme;</w:t>
            </w:r>
            <w:r>
              <w:rPr>
                <w:rFonts w:ascii="Times New Roman" w:hAnsi="Times New Roman"/>
                <w:color w:val="000000"/>
                <w:sz w:val="20"/>
              </w:rPr>
              <w:br/>
              <w:t>(b) the reason for issuing the covered bonds, including a qualitative and quantitative description of the planned use of the proceeds for the current and following financial year, as well as the estimated amount of the sale price of the covered bonds;</w:t>
            </w:r>
            <w:r>
              <w:rPr>
                <w:rFonts w:ascii="Times New Roman" w:hAnsi="Times New Roman"/>
                <w:color w:val="000000"/>
                <w:sz w:val="20"/>
              </w:rPr>
              <w:br/>
              <w:t>(c) evidence that the credit institution has adequate mechanisms for the separate registration and classification of documentation relating to claims forming part of the coverage and documentation relating to the issuance of covered bonds, separately from all other business processes of the credit institution;</w:t>
            </w:r>
            <w:r>
              <w:rPr>
                <w:rFonts w:ascii="Times New Roman" w:hAnsi="Times New Roman"/>
                <w:color w:val="000000"/>
                <w:sz w:val="20"/>
              </w:rPr>
              <w:br/>
              <w:t>(d) a description of the covered bond programme, including:</w:t>
            </w:r>
            <w:r>
              <w:rPr>
                <w:rFonts w:ascii="Times New Roman" w:hAnsi="Times New Roman"/>
                <w:color w:val="000000"/>
                <w:sz w:val="20"/>
              </w:rPr>
              <w:br/>
              <w:t>(i) operational procedures designed to ensure the proper functioning of the covered bond programme in the event of insolvency, compulsory liquidation or resolution of the credit institution;</w:t>
            </w:r>
            <w:r>
              <w:rPr>
                <w:rFonts w:ascii="Times New Roman" w:hAnsi="Times New Roman"/>
                <w:color w:val="000000"/>
                <w:sz w:val="20"/>
              </w:rPr>
              <w:br/>
              <w:t>(ii) evidence of adequate safeguards to ensure that debtors of loans included in the cover pool are treated equally with debtors of comparable loans not included in the cover pool;</w:t>
            </w:r>
            <w:r>
              <w:rPr>
                <w:rFonts w:ascii="Times New Roman" w:hAnsi="Times New Roman"/>
                <w:color w:val="000000"/>
                <w:sz w:val="20"/>
              </w:rPr>
              <w:br/>
              <w:t>(iii) the recording of all transactions relating to the covered bond programme and the establishment of appropriate documentation systems and processes;</w:t>
            </w:r>
            <w:r>
              <w:rPr>
                <w:rFonts w:ascii="Times New Roman" w:hAnsi="Times New Roman"/>
                <w:color w:val="000000"/>
                <w:sz w:val="20"/>
              </w:rPr>
              <w:br/>
              <w:t>(e) a description of the policies, processes and methodologies governing the approval, amendment, renewal and refinancing of loans included in the cover pool;</w:t>
            </w:r>
            <w:r>
              <w:rPr>
                <w:rFonts w:ascii="Times New Roman" w:hAnsi="Times New Roman"/>
                <w:color w:val="000000"/>
                <w:sz w:val="20"/>
              </w:rPr>
              <w:br/>
              <w:t>(f) details concerning the functioning, conduct and powers of the meeting/assembly of investors.</w:t>
            </w:r>
            <w:r>
              <w:rPr>
                <w:rFonts w:ascii="Times New Roman" w:hAnsi="Times New Roman"/>
                <w:color w:val="000000"/>
                <w:sz w:val="20"/>
              </w:rPr>
              <w:br/>
              <w:t>5. The application referred to in paragraph 1, point (b), of this Article shall be accompanied by:</w:t>
            </w:r>
            <w:r>
              <w:rPr>
                <w:rFonts w:ascii="Times New Roman" w:hAnsi="Times New Roman"/>
                <w:color w:val="000000"/>
                <w:sz w:val="20"/>
              </w:rPr>
              <w:br/>
              <w:t>(a) a detailed description of the assets constituting the cover pool and the arrangements for its ongoing monitoring;</w:t>
            </w:r>
            <w:r>
              <w:rPr>
                <w:rFonts w:ascii="Times New Roman" w:hAnsi="Times New Roman"/>
                <w:color w:val="000000"/>
                <w:sz w:val="20"/>
              </w:rPr>
              <w:br/>
              <w:t>(b) confirmation from the cover pool monitor that the assets comply with the legal requirements;</w:t>
            </w:r>
            <w:r>
              <w:rPr>
                <w:rFonts w:ascii="Times New Roman" w:hAnsi="Times New Roman"/>
                <w:color w:val="000000"/>
                <w:sz w:val="20"/>
              </w:rPr>
              <w:br/>
              <w:t>(c) a detailed plan for complying with the conditions for segregation of the cover assets and their protection from other creditors, and for the consequences of the opening of compulsory liquidation or resolution proceedings;</w:t>
            </w:r>
            <w:r>
              <w:rPr>
                <w:rFonts w:ascii="Times New Roman" w:hAnsi="Times New Roman"/>
                <w:color w:val="000000"/>
                <w:sz w:val="20"/>
              </w:rPr>
              <w:br/>
              <w:t>(d) the decision appointing the cover pool monitor and evidence that the monitor meets the legal requirements;</w:t>
            </w:r>
            <w:r>
              <w:rPr>
                <w:rFonts w:ascii="Times New Roman" w:hAnsi="Times New Roman"/>
                <w:color w:val="000000"/>
                <w:sz w:val="20"/>
              </w:rPr>
              <w:br/>
              <w:t>(e) other supporting evidence demonstrating the credit institution’s compliance with the legal requirements;</w:t>
            </w:r>
            <w:r>
              <w:rPr>
                <w:rFonts w:ascii="Times New Roman" w:hAnsi="Times New Roman"/>
                <w:color w:val="000000"/>
                <w:sz w:val="20"/>
              </w:rPr>
              <w:br/>
              <w:t>(f) proof of payment of the fee to the Authority in the amount determined by a regulation adopted by the Authority.</w:t>
            </w:r>
            <w:r>
              <w:rPr>
                <w:rFonts w:ascii="Times New Roman" w:hAnsi="Times New Roman"/>
                <w:color w:val="000000"/>
                <w:sz w:val="20"/>
              </w:rPr>
              <w:br/>
              <w:t>6. Following the initial issuance under the covered bond programme, the issuing credit institution may carry out a new issuance of covered bonds under that programme without applying for a new approval of the programme or, respectively, a preliminary opinion, provided that the issuance complies with the approval granted and with the provisions of this Law. Covered bonds issued in such an issuance shall rank pari passu with covered bonds previously issued under that programme as regards repayment from the cover pool.</w:t>
            </w:r>
            <w:r>
              <w:rPr>
                <w:rFonts w:ascii="Times New Roman" w:hAnsi="Times New Roman"/>
                <w:color w:val="000000"/>
                <w:sz w:val="20"/>
              </w:rPr>
              <w:br/>
              <w:t>7. The coverage requirements under Article 16 of this Law shall be met in respect of the liabilities arising from all covered bonds issued under the same programme. Where a new issuance would result in non-compliance with those requirements, the issuer shall not carry out the new issuance but shall apply for an additional approval or, respectively, a preliminary opinion, in accordance with Article 19(6) of this Law.</w:t>
            </w:r>
            <w:r>
              <w:rPr>
                <w:rFonts w:ascii="Times New Roman" w:hAnsi="Times New Roman"/>
                <w:color w:val="000000"/>
                <w:sz w:val="20"/>
              </w:rPr>
              <w:br/>
              <w:t>8. The Authority shall adopt detailed rules specifying the manner of submission, form and content of the application for approval of the covered bond programme, as well as the criteria applied by the Authority in examining and deciding on such applications.</w:t>
            </w:r>
          </w:p>
          <w:p w14:paraId="04FEBEB7" w14:textId="59A80974"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Article 21</w:t>
            </w:r>
          </w:p>
          <w:p w14:paraId="73313120" w14:textId="456313E3"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br/>
              <w:t>1. Covered bonds under this Law may be issued only by a credit institution having its registered office in the Republic of Albania and only after the Authority has approved the covered bond programme under which the covered bonds are issued.</w:t>
            </w:r>
            <w:r>
              <w:rPr>
                <w:rFonts w:ascii="Times New Roman" w:hAnsi="Times New Roman"/>
                <w:color w:val="000000"/>
                <w:sz w:val="20"/>
              </w:rPr>
              <w:br/>
              <w:t>2. The Authority shall approve the covered bond programme by decision, on the basis of: (a) the preliminary opinion of the Bank of Albania referred to in Article 19(6), and the application submitted under Article 20 of this Law;</w:t>
            </w:r>
            <w:r>
              <w:rPr>
                <w:rFonts w:ascii="Times New Roman" w:hAnsi="Times New Roman"/>
                <w:color w:val="000000"/>
                <w:sz w:val="20"/>
              </w:rPr>
              <w:br/>
              <w:t>(b) a finding that all conditions laid down in this Law, including those under Article 19 of this Law, have been met.</w:t>
            </w:r>
            <w:r>
              <w:rPr>
                <w:rFonts w:ascii="Times New Roman" w:hAnsi="Times New Roman"/>
                <w:color w:val="000000"/>
                <w:sz w:val="20"/>
              </w:rPr>
              <w:br/>
              <w:t>3. When examining a programme for approval, where the Authority identifies changes after receipt of the initial opinion from the Bank of Albania or considers that further clarification is necessary, it may request additional information from the Bank of Albania concerning the opinion issued within the meaning of Article 19(6) of this Law. The Bank of Albania shall respond within 15 days of receipt of the request.</w:t>
            </w:r>
            <w:r>
              <w:rPr>
                <w:rFonts w:ascii="Times New Roman" w:hAnsi="Times New Roman"/>
                <w:color w:val="000000"/>
                <w:sz w:val="20"/>
              </w:rPr>
              <w:br/>
              <w:t>4. The Bank of Albania shall issue the preliminary opinion under Article 20 of this Law within 60 days from the date of submission of the complete application for the preliminary opinion.</w:t>
            </w:r>
            <w:r>
              <w:rPr>
                <w:rFonts w:ascii="Times New Roman" w:hAnsi="Times New Roman"/>
                <w:color w:val="000000"/>
                <w:sz w:val="20"/>
              </w:rPr>
              <w:br/>
              <w:t>5. An issuer intending to amend the covered bond programme after receiving approval shall:</w:t>
            </w:r>
            <w:r>
              <w:rPr>
                <w:rFonts w:ascii="Times New Roman" w:hAnsi="Times New Roman"/>
                <w:color w:val="000000"/>
                <w:sz w:val="20"/>
              </w:rPr>
              <w:br/>
              <w:t>(a) notify the Bank of Albania and the Authority in advance of the planned amendments;</w:t>
            </w:r>
            <w:r>
              <w:rPr>
                <w:rFonts w:ascii="Times New Roman" w:hAnsi="Times New Roman"/>
                <w:color w:val="000000"/>
                <w:sz w:val="20"/>
              </w:rPr>
              <w:br/>
              <w:t>(b) apply for prior approval of any material amendment to the programme.</w:t>
            </w:r>
            <w:r>
              <w:rPr>
                <w:rFonts w:ascii="Times New Roman" w:hAnsi="Times New Roman"/>
                <w:color w:val="000000"/>
                <w:sz w:val="20"/>
              </w:rPr>
              <w:br/>
              <w:t>The procedure for approval of material amendments shall be subject to the same rules as the procedure for the initial approval of the covered bond programme.</w:t>
            </w:r>
            <w:r>
              <w:rPr>
                <w:rFonts w:ascii="Times New Roman" w:hAnsi="Times New Roman"/>
                <w:color w:val="000000"/>
                <w:sz w:val="20"/>
              </w:rPr>
              <w:br/>
              <w:t>6. The Authority shall adopt detailed rules specifying the criteria according to which an amendment is assessed as material.</w:t>
            </w:r>
            <w:r>
              <w:rPr>
                <w:rFonts w:ascii="Times New Roman" w:hAnsi="Times New Roman"/>
                <w:color w:val="000000"/>
                <w:sz w:val="20"/>
              </w:rPr>
              <w:br/>
              <w:t>7. The Bank of Albania shall adopt detailed rules specifying the criteria according to which it assesses whether an amendment to the programme of operations (business plan) is material.</w:t>
            </w:r>
          </w:p>
        </w:tc>
        <w:tc>
          <w:tcPr>
            <w:tcW w:w="900" w:type="dxa"/>
          </w:tcPr>
          <w:p w14:paraId="41368FB0" w14:textId="0613234E" w:rsidR="003E7E51" w:rsidRPr="00DF12A5" w:rsidRDefault="00982A15">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5331E8A" w14:textId="77777777" w:rsidR="003E7E51" w:rsidRPr="00DF12A5" w:rsidRDefault="003E7E51">
            <w:pPr>
              <w:spacing w:after="0" w:line="240" w:lineRule="auto"/>
              <w:jc w:val="both"/>
              <w:rPr>
                <w:rFonts w:ascii="Times New Roman" w:hAnsi="Times New Roman" w:cs="Times New Roman"/>
                <w:sz w:val="20"/>
                <w:szCs w:val="20"/>
                <w:lang w:val="sq-AL"/>
              </w:rPr>
            </w:pPr>
          </w:p>
        </w:tc>
      </w:tr>
      <w:tr w:rsidR="00606432" w:rsidRPr="00DF12A5" w14:paraId="6A41AC04" w14:textId="77777777" w:rsidTr="00BB0DAB">
        <w:tc>
          <w:tcPr>
            <w:tcW w:w="800" w:type="dxa"/>
            <w:tcBorders>
              <w:left w:val="single" w:sz="12" w:space="0" w:color="auto"/>
            </w:tcBorders>
          </w:tcPr>
          <w:p w14:paraId="064808E6"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19, paragraph 2</w:t>
            </w:r>
          </w:p>
        </w:tc>
        <w:tc>
          <w:tcPr>
            <w:tcW w:w="5220" w:type="dxa"/>
            <w:tcBorders>
              <w:right w:val="single" w:sz="12" w:space="0" w:color="auto"/>
            </w:tcBorders>
          </w:tcPr>
          <w:p w14:paraId="148A0D0A"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lay down the requirements for the permission referred to in paragraph 1, including at least the following:</w:t>
            </w:r>
            <w:r>
              <w:rPr>
                <w:rFonts w:ascii="Times New Roman" w:hAnsi="Times New Roman"/>
                <w:color w:val="000000"/>
                <w:sz w:val="20"/>
              </w:rPr>
              <w:br/>
              <w:t>(a) an adequate programme of operations setting out the issue of covered bonds;</w:t>
            </w:r>
            <w:r>
              <w:rPr>
                <w:rFonts w:ascii="Times New Roman" w:hAnsi="Times New Roman"/>
                <w:color w:val="000000"/>
                <w:sz w:val="20"/>
              </w:rPr>
              <w:br/>
              <w:t>(b) adequate policies, processes and methodologies aimed at investor protection for the approval, amendment, renewal and refinancing of loans included in the cover pool;</w:t>
            </w:r>
            <w:r>
              <w:rPr>
                <w:rFonts w:ascii="Times New Roman" w:hAnsi="Times New Roman"/>
                <w:color w:val="000000"/>
                <w:sz w:val="20"/>
              </w:rPr>
              <w:br/>
              <w:t>(c) management and staff dedicated to the covered bond programme which have adequate qualifications and knowledge regarding the issue of covered bonds and the administration of the covered bond programme;</w:t>
            </w:r>
            <w:r>
              <w:rPr>
                <w:rFonts w:ascii="Times New Roman" w:hAnsi="Times New Roman"/>
                <w:color w:val="000000"/>
                <w:sz w:val="20"/>
              </w:rPr>
              <w:br/>
              <w:t>(d) an administrative set-up of the cover pool and the monitoring thereof that meets the applicable requirements laid down in the provisions of national law transposing this Directive.</w:t>
            </w:r>
          </w:p>
        </w:tc>
        <w:tc>
          <w:tcPr>
            <w:tcW w:w="624" w:type="dxa"/>
            <w:tcBorders>
              <w:left w:val="single" w:sz="12" w:space="0" w:color="auto"/>
            </w:tcBorders>
          </w:tcPr>
          <w:p w14:paraId="297157AC" w14:textId="7D667A8B" w:rsidR="00606432"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C3D2B3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Articles 20-24; Article 13; Article 26</w:t>
            </w:r>
          </w:p>
        </w:tc>
        <w:tc>
          <w:tcPr>
            <w:tcW w:w="5130" w:type="dxa"/>
          </w:tcPr>
          <w:p w14:paraId="6FD60EC5"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t>Article 20</w:t>
            </w:r>
          </w:p>
          <w:p w14:paraId="411AC810"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1. A credit institution intending to carry out one or more issuances of covered bonds shall:</w:t>
            </w:r>
            <w:r>
              <w:rPr>
                <w:rFonts w:ascii="Times New Roman" w:hAnsi="Times New Roman"/>
                <w:color w:val="000000"/>
                <w:sz w:val="20"/>
              </w:rPr>
              <w:br/>
              <w:t>(a) submit to the Bank of Albania an application for a preliminary opinion on the programme of operations (business plan) setting out the issuance of covered bonds;</w:t>
            </w:r>
            <w:r>
              <w:rPr>
                <w:rFonts w:ascii="Times New Roman" w:hAnsi="Times New Roman"/>
                <w:color w:val="000000"/>
                <w:sz w:val="20"/>
              </w:rPr>
              <w:br/>
              <w:t>(b) after receiving the preliminary opinion from the Bank of Albania, submit to the Authority, within 30 days, an application for approval of the covered bond programme.</w:t>
            </w:r>
            <w:r>
              <w:rPr>
                <w:rFonts w:ascii="Times New Roman" w:hAnsi="Times New Roman"/>
                <w:color w:val="000000"/>
                <w:sz w:val="20"/>
              </w:rPr>
              <w:br/>
              <w:t>2. The application for a preliminary opinion shall contain the programme of operations (business plan) setting out the issuance of covered bonds, including a risk analysis which must clearly demonstrate that the issuance of covered bonds will not jeopardise:</w:t>
            </w:r>
            <w:r>
              <w:rPr>
                <w:rFonts w:ascii="Times New Roman" w:hAnsi="Times New Roman"/>
                <w:color w:val="000000"/>
                <w:sz w:val="20"/>
              </w:rPr>
              <w:br/>
              <w:t>(a) the long-term viability of the credit institution’s business;</w:t>
            </w:r>
            <w:r>
              <w:rPr>
                <w:rFonts w:ascii="Times New Roman" w:hAnsi="Times New Roman"/>
                <w:color w:val="000000"/>
                <w:sz w:val="20"/>
              </w:rPr>
              <w:br/>
              <w:t>(b) its capacity to comply with the regulatory requirements.</w:t>
            </w:r>
            <w:r>
              <w:rPr>
                <w:rFonts w:ascii="Times New Roman" w:hAnsi="Times New Roman"/>
                <w:color w:val="000000"/>
                <w:sz w:val="20"/>
              </w:rPr>
              <w:br/>
              <w:t>3. The application for approval of the programme under paragraph 1, point (b), of this Article shall include the following information concerning the administrative organisation and financial situation of the credit institution:</w:t>
            </w:r>
            <w:r>
              <w:rPr>
                <w:rFonts w:ascii="Times New Roman" w:hAnsi="Times New Roman"/>
                <w:color w:val="000000"/>
                <w:sz w:val="20"/>
              </w:rPr>
              <w:br/>
              <w:t>(a) a description of its financial situation demonstrating an adequate level of solvency that ensures compliance with its obligations towards creditors that are not covered bond investors;</w:t>
            </w:r>
            <w:r>
              <w:rPr>
                <w:rFonts w:ascii="Times New Roman" w:hAnsi="Times New Roman"/>
                <w:color w:val="000000"/>
                <w:sz w:val="20"/>
              </w:rPr>
              <w:br/>
              <w:t>(b) a description of its long-term business plans, focusing on liquidity and related risks, and the impact of the issuance of covered bonds on its long-term business plans;</w:t>
            </w:r>
            <w:r>
              <w:rPr>
                <w:rFonts w:ascii="Times New Roman" w:hAnsi="Times New Roman"/>
                <w:color w:val="000000"/>
                <w:sz w:val="20"/>
              </w:rPr>
              <w:br/>
              <w:t>(c) a description of its duties and responsibilities relating to the issuance of covered bonds, in particular as regards the segregation of cover assets;</w:t>
            </w:r>
            <w:r>
              <w:rPr>
                <w:rFonts w:ascii="Times New Roman" w:hAnsi="Times New Roman"/>
                <w:color w:val="000000"/>
                <w:sz w:val="20"/>
              </w:rPr>
              <w:br/>
              <w:t>(d) a description of the credit institution’s risk management in relation to covered bonds;</w:t>
            </w:r>
            <w:r>
              <w:rPr>
                <w:rFonts w:ascii="Times New Roman" w:hAnsi="Times New Roman"/>
                <w:color w:val="000000"/>
                <w:sz w:val="20"/>
              </w:rPr>
              <w:br/>
              <w:t>(e) a description of the internal audit procedures relating to the issuance of covered bonds, including their frequency and the applicable control procedures;</w:t>
            </w:r>
            <w:r>
              <w:rPr>
                <w:rFonts w:ascii="Times New Roman" w:hAnsi="Times New Roman"/>
                <w:color w:val="000000"/>
                <w:sz w:val="20"/>
              </w:rPr>
              <w:br/>
              <w:t>(f) a description of the procedures relating to the publication of information for covered bond investors;</w:t>
            </w:r>
            <w:r>
              <w:rPr>
                <w:rFonts w:ascii="Times New Roman" w:hAnsi="Times New Roman"/>
                <w:color w:val="000000"/>
                <w:sz w:val="20"/>
              </w:rPr>
              <w:br/>
              <w:t>(g) a description of the information technology systems used for maintaining the cover pool register;</w:t>
            </w:r>
            <w:r>
              <w:rPr>
                <w:rFonts w:ascii="Times New Roman" w:hAnsi="Times New Roman"/>
                <w:color w:val="000000"/>
                <w:sz w:val="20"/>
              </w:rPr>
              <w:br/>
              <w:t>(h) a description of the management/governing bodies and staff responsible for the covered bond programme who have appropriate qualifications and knowledge regarding the issuance of covered bonds and the administration of the covered bond programme.</w:t>
            </w:r>
            <w:r>
              <w:rPr>
                <w:rFonts w:ascii="Times New Roman" w:hAnsi="Times New Roman"/>
                <w:color w:val="000000"/>
                <w:sz w:val="20"/>
              </w:rPr>
              <w:br/>
              <w:t>4. The application under paragraph 1, point (b), of this Article shall also contain specific information on the covered bond programme and the programme of operations, including, inter alia:</w:t>
            </w:r>
            <w:r>
              <w:rPr>
                <w:rFonts w:ascii="Times New Roman" w:hAnsi="Times New Roman"/>
                <w:color w:val="000000"/>
                <w:sz w:val="20"/>
              </w:rPr>
              <w:br/>
              <w:t>(a) the targeted maximum aggregate nominal amount of covered bonds planned to be issued under the programme;</w:t>
            </w:r>
            <w:r>
              <w:rPr>
                <w:rFonts w:ascii="Times New Roman" w:hAnsi="Times New Roman"/>
                <w:color w:val="000000"/>
                <w:sz w:val="20"/>
              </w:rPr>
              <w:br/>
              <w:t>(b) the reason for issuing the covered bonds, including a qualitative and quantitative description of the planned use of the proceeds for the current and following financial year, as well as the estimated amount of the sale price of the covered bonds;</w:t>
            </w:r>
            <w:r>
              <w:rPr>
                <w:rFonts w:ascii="Times New Roman" w:hAnsi="Times New Roman"/>
                <w:color w:val="000000"/>
                <w:sz w:val="20"/>
              </w:rPr>
              <w:br/>
              <w:t>(c) evidence that the credit institution has adequate mechanisms for the separate registration and classification of documentation relating to claims forming part of the coverage and documentation relating to the issuance of covered bonds, separately from all other business processes of the credit institution;</w:t>
            </w:r>
            <w:r>
              <w:rPr>
                <w:rFonts w:ascii="Times New Roman" w:hAnsi="Times New Roman"/>
                <w:color w:val="000000"/>
                <w:sz w:val="20"/>
              </w:rPr>
              <w:br/>
              <w:t>(d) a description of the covered bond programme, including:</w:t>
            </w:r>
            <w:r>
              <w:rPr>
                <w:rFonts w:ascii="Times New Roman" w:hAnsi="Times New Roman"/>
                <w:color w:val="000000"/>
                <w:sz w:val="20"/>
              </w:rPr>
              <w:br/>
              <w:t>(i) operational procedures designed to ensure the proper functioning of the covered bond programme in the event of insolvency, compulsory liquidation or resolution of the credit institution;</w:t>
            </w:r>
            <w:r>
              <w:rPr>
                <w:rFonts w:ascii="Times New Roman" w:hAnsi="Times New Roman"/>
                <w:color w:val="000000"/>
                <w:sz w:val="20"/>
              </w:rPr>
              <w:br/>
              <w:t>(ii) evidence of adequate safeguards to ensure that debtors of loans included in the cover pool are treated equally with debtors of comparable loans not included in the cover pool;</w:t>
            </w:r>
            <w:r>
              <w:rPr>
                <w:rFonts w:ascii="Times New Roman" w:hAnsi="Times New Roman"/>
                <w:color w:val="000000"/>
                <w:sz w:val="20"/>
              </w:rPr>
              <w:br/>
              <w:t>(iii) the recording of all transactions relating to the covered bond programme and the establishment of appropriate documentation systems and processes;</w:t>
            </w:r>
            <w:r>
              <w:rPr>
                <w:rFonts w:ascii="Times New Roman" w:hAnsi="Times New Roman"/>
                <w:color w:val="000000"/>
                <w:sz w:val="20"/>
              </w:rPr>
              <w:br/>
              <w:t>(e) a description of the policies, processes and methodologies governing the approval, amendment, renewal and refinancing of loans included in the cover pool;</w:t>
            </w:r>
            <w:r>
              <w:rPr>
                <w:rFonts w:ascii="Times New Roman" w:hAnsi="Times New Roman"/>
                <w:color w:val="000000"/>
                <w:sz w:val="20"/>
              </w:rPr>
              <w:br/>
              <w:t>(f) details concerning the functioning, conduct and powers of the meeting/assembly of investors.</w:t>
            </w:r>
            <w:r>
              <w:rPr>
                <w:rFonts w:ascii="Times New Roman" w:hAnsi="Times New Roman"/>
                <w:color w:val="000000"/>
                <w:sz w:val="20"/>
              </w:rPr>
              <w:br/>
              <w:t>5. The application referred to in paragraph 1, point (b), of this Article shall be accompanied by:</w:t>
            </w:r>
            <w:r>
              <w:rPr>
                <w:rFonts w:ascii="Times New Roman" w:hAnsi="Times New Roman"/>
                <w:color w:val="000000"/>
                <w:sz w:val="20"/>
              </w:rPr>
              <w:br/>
              <w:t>(a) a detailed description of the assets constituting the cover pool and the arrangements for its ongoing monitoring;</w:t>
            </w:r>
            <w:r>
              <w:rPr>
                <w:rFonts w:ascii="Times New Roman" w:hAnsi="Times New Roman"/>
                <w:color w:val="000000"/>
                <w:sz w:val="20"/>
              </w:rPr>
              <w:br/>
              <w:t>(b) confirmation from the cover pool monitor that the assets comply with the legal requirements;</w:t>
            </w:r>
            <w:r>
              <w:rPr>
                <w:rFonts w:ascii="Times New Roman" w:hAnsi="Times New Roman"/>
                <w:color w:val="000000"/>
                <w:sz w:val="20"/>
              </w:rPr>
              <w:br/>
              <w:t>(c) a detailed plan for complying with the conditions for segregation of the cover assets and their protection from other creditors, and for the consequences of the opening of compulsory liquidation or resolution proceedings;</w:t>
            </w:r>
            <w:r>
              <w:rPr>
                <w:rFonts w:ascii="Times New Roman" w:hAnsi="Times New Roman"/>
                <w:color w:val="000000"/>
                <w:sz w:val="20"/>
              </w:rPr>
              <w:br/>
              <w:t>(d) the decision appointing the cover pool monitor and evidence that the monitor meets the legal requirements;</w:t>
            </w:r>
            <w:r>
              <w:rPr>
                <w:rFonts w:ascii="Times New Roman" w:hAnsi="Times New Roman"/>
                <w:color w:val="000000"/>
                <w:sz w:val="20"/>
              </w:rPr>
              <w:br/>
              <w:t>(e) other supporting evidence demonstrating the credit institution’s compliance with the legal requirements;</w:t>
            </w:r>
            <w:r>
              <w:rPr>
                <w:rFonts w:ascii="Times New Roman" w:hAnsi="Times New Roman"/>
                <w:color w:val="000000"/>
                <w:sz w:val="20"/>
              </w:rPr>
              <w:br/>
              <w:t>(f) proof of payment of the fee to the Authority in the amount determined by a regulation adopted by the Authority.</w:t>
            </w:r>
            <w:r>
              <w:rPr>
                <w:rFonts w:ascii="Times New Roman" w:hAnsi="Times New Roman"/>
                <w:color w:val="000000"/>
                <w:sz w:val="20"/>
              </w:rPr>
              <w:br/>
              <w:t>6. Following the initial issuance under the covered bond programme, the issuing credit institution may carry out a new issuance of covered bonds under that programme without applying for a new approval of the programme or, respectively, a preliminary opinion, provided that the issuance complies with the approval granted and with the provisions of this Law. Covered bonds issued in such an issuance shall rank pari passu with covered bonds previously issued under that programme as regards repayment from the cover pool.</w:t>
            </w:r>
            <w:r>
              <w:rPr>
                <w:rFonts w:ascii="Times New Roman" w:hAnsi="Times New Roman"/>
                <w:color w:val="000000"/>
                <w:sz w:val="20"/>
              </w:rPr>
              <w:br/>
              <w:t>7. The coverage requirements under Article 16 of this Law shall be met in respect of the liabilities arising from all covered bonds issued under the same programme. Where a new issuance would result in non-compliance with those requirements, the issuer shall not carry out the new issuance but shall apply for an additional approval or, respectively, a preliminary opinion, in accordance with Article 19(6) of this Law.</w:t>
            </w:r>
            <w:r>
              <w:rPr>
                <w:rFonts w:ascii="Times New Roman" w:hAnsi="Times New Roman"/>
                <w:color w:val="000000"/>
                <w:sz w:val="20"/>
              </w:rPr>
              <w:br/>
              <w:t>8. The Authority shall adopt detailed rules specifying the manner of submission, form and content of the application for approval of the covered bond programme, as well as the criteria applied by the Authority in examining and deciding on such applications.</w:t>
            </w:r>
          </w:p>
          <w:p w14:paraId="1F68A95C" w14:textId="3BE7A7BD"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Article 21</w:t>
            </w:r>
          </w:p>
          <w:p w14:paraId="08FE7DC5"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1. Covered bonds under this Law may be issued only by a credit institution having its registered office in the Republic of Albania and only after the Authority has approved the covered bond programme under which the covered bonds are issued.</w:t>
            </w:r>
            <w:r>
              <w:rPr>
                <w:rFonts w:ascii="Times New Roman" w:hAnsi="Times New Roman"/>
                <w:color w:val="000000"/>
                <w:sz w:val="20"/>
              </w:rPr>
              <w:br/>
              <w:t>2. The Authority shall approve the covered bond programme by decision, on the basis of: (a) the preliminary opinion of the Bank of Albania referred to in Article 19(6), and the application submitted under Article 20 of this Law;</w:t>
            </w:r>
            <w:r>
              <w:rPr>
                <w:rFonts w:ascii="Times New Roman" w:hAnsi="Times New Roman"/>
                <w:color w:val="000000"/>
                <w:sz w:val="20"/>
              </w:rPr>
              <w:br/>
              <w:t>(b) a finding that all conditions laid down in this Law, including those under Article 19 of this Law, have been met.</w:t>
            </w:r>
            <w:r>
              <w:rPr>
                <w:rFonts w:ascii="Times New Roman" w:hAnsi="Times New Roman"/>
                <w:color w:val="000000"/>
                <w:sz w:val="20"/>
              </w:rPr>
              <w:br/>
              <w:t>3. When examining a programme for approval, where the Authority identifies changes after receipt of the initial opinion from the Bank of Albania or considers that further clarification is necessary, it may request additional information from the Bank of Albania concerning the opinion issued within the meaning of Article 19(6) of this Law. The Bank of Albania shall respond within 15 days of receipt of the request.</w:t>
            </w:r>
            <w:r>
              <w:rPr>
                <w:rFonts w:ascii="Times New Roman" w:hAnsi="Times New Roman"/>
                <w:color w:val="000000"/>
                <w:sz w:val="20"/>
              </w:rPr>
              <w:br/>
              <w:t>4. The Bank of Albania shall issue the preliminary opinion under Article 20 of this Law within 60 days from the date of submission of the complete application for the preliminary opinion.</w:t>
            </w:r>
            <w:r>
              <w:rPr>
                <w:rFonts w:ascii="Times New Roman" w:hAnsi="Times New Roman"/>
                <w:color w:val="000000"/>
                <w:sz w:val="20"/>
              </w:rPr>
              <w:br/>
              <w:t>5. An issuer intending to amend the covered bond programme after receiving approval shall:</w:t>
            </w:r>
            <w:r>
              <w:rPr>
                <w:rFonts w:ascii="Times New Roman" w:hAnsi="Times New Roman"/>
                <w:color w:val="000000"/>
                <w:sz w:val="20"/>
              </w:rPr>
              <w:br/>
              <w:t>(a) notify the Bank of Albania and the Authority in advance of the planned amendments;</w:t>
            </w:r>
            <w:r>
              <w:rPr>
                <w:rFonts w:ascii="Times New Roman" w:hAnsi="Times New Roman"/>
                <w:color w:val="000000"/>
                <w:sz w:val="20"/>
              </w:rPr>
              <w:br/>
              <w:t>(b) apply for prior approval of any material amendment to the programme.</w:t>
            </w:r>
            <w:r>
              <w:rPr>
                <w:rFonts w:ascii="Times New Roman" w:hAnsi="Times New Roman"/>
                <w:color w:val="000000"/>
                <w:sz w:val="20"/>
              </w:rPr>
              <w:br/>
              <w:t>The procedure for approval of material amendments shall be subject to the same rules as the procedure for the initial approval of the covered bond programme.</w:t>
            </w:r>
            <w:r>
              <w:rPr>
                <w:rFonts w:ascii="Times New Roman" w:hAnsi="Times New Roman"/>
                <w:color w:val="000000"/>
                <w:sz w:val="20"/>
              </w:rPr>
              <w:br/>
              <w:t>6. The Authority shall adopt detailed rules specifying the criteria according to which an amendment is assessed as material.</w:t>
            </w:r>
            <w:r>
              <w:rPr>
                <w:rFonts w:ascii="Times New Roman" w:hAnsi="Times New Roman"/>
                <w:color w:val="000000"/>
                <w:sz w:val="20"/>
              </w:rPr>
              <w:br/>
              <w:t>7. The Bank of Albania shall adopt detailed rules specifying the criteria according to which it assesses whether an amendment to the programme of operations (business plan) is material.</w:t>
            </w:r>
            <w:r>
              <w:rPr>
                <w:rFonts w:ascii="Times New Roman" w:hAnsi="Times New Roman"/>
                <w:color w:val="000000"/>
                <w:sz w:val="20"/>
              </w:rPr>
              <w:br/>
            </w:r>
            <w:r>
              <w:rPr>
                <w:rFonts w:ascii="Times New Roman" w:hAnsi="Times New Roman"/>
                <w:color w:val="000000"/>
                <w:sz w:val="20"/>
              </w:rPr>
              <w:br/>
              <w:t>Article 22</w:t>
            </w:r>
          </w:p>
          <w:p w14:paraId="732A9898"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A credit institution may obtain approval of a covered bond programme and a preliminary opinion from the Bank of Albania only where the covered bond programme meets the following conditions:</w:t>
            </w:r>
            <w:r>
              <w:rPr>
                <w:rFonts w:ascii="Times New Roman" w:hAnsi="Times New Roman"/>
                <w:color w:val="000000"/>
                <w:sz w:val="20"/>
              </w:rPr>
              <w:br/>
              <w:t>(a) it has an adequate programme of operations setting out the issuance of covered bonds, including a risk analysis which clearly demonstrates that the issuance of covered bonds will not jeopardise the long-term viability of the credit institution’s business or its capacity to comply with regulatory requirements;</w:t>
            </w:r>
            <w:r>
              <w:rPr>
                <w:rFonts w:ascii="Times New Roman" w:hAnsi="Times New Roman"/>
                <w:color w:val="000000"/>
                <w:sz w:val="20"/>
              </w:rPr>
              <w:br/>
              <w:t>(b) it has adequate policies, processes and methodologies relating to the granting of loans, amendment of their terms, renewal and refinancing of loans included in the cover pool, which serve to protect investors;</w:t>
            </w:r>
            <w:r>
              <w:rPr>
                <w:rFonts w:ascii="Times New Roman" w:hAnsi="Times New Roman"/>
                <w:color w:val="000000"/>
                <w:sz w:val="20"/>
              </w:rPr>
              <w:br/>
              <w:t>(c) it has management structures and staff dedicated to the covered bond programme who have the necessary qualifications and knowledge regarding its issuance and administration;</w:t>
            </w:r>
            <w:r>
              <w:rPr>
                <w:rFonts w:ascii="Times New Roman" w:hAnsi="Times New Roman"/>
                <w:color w:val="000000"/>
                <w:sz w:val="20"/>
              </w:rPr>
              <w:br/>
              <w:t>(d) it is organised in such a manner as to ensure the proper administration of the cover pool and the operation of its monitoring mechanisms in accordance with the requirements of this Law, including maintenance of the cover pool register and the effective functioning of the cover pool monitor;</w:t>
            </w:r>
            <w:r>
              <w:rPr>
                <w:rFonts w:ascii="Times New Roman" w:hAnsi="Times New Roman"/>
                <w:color w:val="000000"/>
                <w:sz w:val="20"/>
              </w:rPr>
              <w:br/>
              <w:t>(e) the selected cover pool monitor meets the conditions laid down in this Law;</w:t>
            </w:r>
            <w:r>
              <w:rPr>
                <w:rFonts w:ascii="Times New Roman" w:hAnsi="Times New Roman"/>
                <w:color w:val="000000"/>
                <w:sz w:val="20"/>
              </w:rPr>
              <w:br/>
              <w:t>(f) it meets the requirements laid down in this Law concerning cover pool structures, including the match funding requirement, the composition of the cover pool and the requirements relating to coverage, its monitoring and the cover pool register, including confirmation by the cover pool monitor under Article 14 of this Law, as well as the conditions relating to the maturity of covered bonds.</w:t>
            </w:r>
            <w:r>
              <w:rPr>
                <w:rFonts w:ascii="Times New Roman" w:hAnsi="Times New Roman"/>
                <w:color w:val="000000"/>
                <w:sz w:val="20"/>
              </w:rPr>
              <w:br/>
            </w:r>
            <w:r>
              <w:rPr>
                <w:rFonts w:ascii="Times New Roman" w:hAnsi="Times New Roman"/>
                <w:color w:val="000000"/>
                <w:sz w:val="20"/>
              </w:rPr>
              <w:br/>
              <w:t>Article 23</w:t>
            </w:r>
          </w:p>
          <w:p w14:paraId="66EC86B8"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1. The Authority shall decide on approval of the covered bond programme no later than 60 days from the date of submission of a duly completed application containing the preliminary opinion of the Bank of Albania.</w:t>
            </w:r>
            <w:r>
              <w:rPr>
                <w:rFonts w:ascii="Times New Roman" w:hAnsi="Times New Roman"/>
                <w:color w:val="000000"/>
                <w:sz w:val="20"/>
              </w:rPr>
              <w:br/>
              <w:t>2. The Authority shall decide to reject an application for approval of the covered bond programme where:</w:t>
            </w:r>
            <w:r>
              <w:rPr>
                <w:rFonts w:ascii="Times New Roman" w:hAnsi="Times New Roman"/>
                <w:color w:val="000000"/>
                <w:sz w:val="20"/>
              </w:rPr>
              <w:br/>
              <w:t>(a) it finds that the credit institution or the covered bond programme does not meet the conditions laid down in Article 20 of this Law;</w:t>
            </w:r>
            <w:r>
              <w:rPr>
                <w:rFonts w:ascii="Times New Roman" w:hAnsi="Times New Roman"/>
                <w:color w:val="000000"/>
                <w:sz w:val="20"/>
              </w:rPr>
              <w:br/>
              <w:t>(b) the Bank of Albania has issued an adverse opinion pursuant to the assessment provided for in this Law;</w:t>
            </w:r>
            <w:r>
              <w:rPr>
                <w:rFonts w:ascii="Times New Roman" w:hAnsi="Times New Roman"/>
                <w:color w:val="000000"/>
                <w:sz w:val="20"/>
              </w:rPr>
              <w:br/>
              <w:t>(c) the preliminary opinion of the Bank of Albania under Article 19(6) and Article 20 of this Law indicates material and significant deficiencies in:</w:t>
            </w:r>
            <w:r>
              <w:rPr>
                <w:rFonts w:ascii="Times New Roman" w:hAnsi="Times New Roman"/>
                <w:color w:val="000000"/>
                <w:sz w:val="20"/>
              </w:rPr>
              <w:br/>
              <w:t>(i) the issuer’s policies, processes and methodologies relating to the granting of loans, amendment of their terms, extension of their repayment period and refinancing of loans included in the cover pool, or in their implementation by the issuer;</w:t>
            </w:r>
            <w:r>
              <w:rPr>
                <w:rFonts w:ascii="Times New Roman" w:hAnsi="Times New Roman"/>
                <w:color w:val="000000"/>
                <w:sz w:val="20"/>
              </w:rPr>
              <w:br/>
              <w:t>(ii) the issuer’s risk management system;</w:t>
            </w:r>
            <w:r>
              <w:rPr>
                <w:rFonts w:ascii="Times New Roman" w:hAnsi="Times New Roman"/>
                <w:color w:val="000000"/>
                <w:sz w:val="20"/>
              </w:rPr>
              <w:br/>
              <w:t>(iii) the issuer’s policies, processes and methodologies relating to the valuation of assets included in the cover pool, or in their implementation by the issuer;</w:t>
            </w:r>
            <w:r>
              <w:rPr>
                <w:rFonts w:ascii="Times New Roman" w:hAnsi="Times New Roman"/>
                <w:color w:val="000000"/>
                <w:sz w:val="20"/>
              </w:rPr>
              <w:br/>
              <w:t>(d) the Authority has reasonable doubts as to the objectivity and accuracy of the confirmation by the cover pool monitor referred to in Article 13(1) of this Law.</w:t>
            </w:r>
            <w:r>
              <w:rPr>
                <w:rFonts w:ascii="Times New Roman" w:hAnsi="Times New Roman"/>
                <w:color w:val="000000"/>
                <w:sz w:val="20"/>
              </w:rPr>
              <w:br/>
              <w:t>3. No administrative appeal may be lodged against the Authority’s decision on an application for approval of a covered bond programme. That decision may be appealed before the competent court.</w:t>
            </w:r>
            <w:r>
              <w:rPr>
                <w:rFonts w:ascii="Times New Roman" w:hAnsi="Times New Roman"/>
                <w:color w:val="000000"/>
                <w:sz w:val="20"/>
              </w:rPr>
              <w:br/>
            </w:r>
            <w:r>
              <w:rPr>
                <w:rFonts w:ascii="Times New Roman" w:hAnsi="Times New Roman"/>
                <w:color w:val="000000"/>
                <w:sz w:val="20"/>
              </w:rPr>
              <w:br/>
              <w:t>Article 24</w:t>
            </w:r>
          </w:p>
          <w:p w14:paraId="42A3F101"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1. The Authority may revoke approval of a covered bond programme where:</w:t>
            </w:r>
            <w:r>
              <w:rPr>
                <w:rFonts w:ascii="Times New Roman" w:hAnsi="Times New Roman"/>
                <w:color w:val="000000"/>
                <w:sz w:val="20"/>
              </w:rPr>
              <w:br/>
              <w:t>(a) the issuer submitted false or misleading information or documents when applying for approval;</w:t>
            </w:r>
            <w:r>
              <w:rPr>
                <w:rFonts w:ascii="Times New Roman" w:hAnsi="Times New Roman"/>
                <w:color w:val="000000"/>
                <w:sz w:val="20"/>
              </w:rPr>
              <w:br/>
              <w:t>(b) the issuer no longer meets the conditions for approval of the covered bond programme;</w:t>
            </w:r>
            <w:r>
              <w:rPr>
                <w:rFonts w:ascii="Times New Roman" w:hAnsi="Times New Roman"/>
                <w:color w:val="000000"/>
                <w:sz w:val="20"/>
              </w:rPr>
              <w:br/>
              <w:t>(c) the issuer has repeatedly or materially infringed the provisions of this Law or the implementing acts adopted pursuant to it;</w:t>
            </w:r>
            <w:r>
              <w:rPr>
                <w:rFonts w:ascii="Times New Roman" w:hAnsi="Times New Roman"/>
                <w:color w:val="000000"/>
                <w:sz w:val="20"/>
              </w:rPr>
              <w:br/>
              <w:t>(d) the issuer has, through its activities, obstructed the exercise of supervision by the Authority;</w:t>
            </w:r>
            <w:r>
              <w:rPr>
                <w:rFonts w:ascii="Times New Roman" w:hAnsi="Times New Roman"/>
                <w:color w:val="000000"/>
                <w:sz w:val="20"/>
              </w:rPr>
              <w:br/>
              <w:t>(e) the issuer is unable to comply with financial or other obligations relating to the covered bonds, or its activities materially prejudice the interests of investors or the orderly functioning of the market;</w:t>
            </w:r>
            <w:r>
              <w:rPr>
                <w:rFonts w:ascii="Times New Roman" w:hAnsi="Times New Roman"/>
                <w:color w:val="000000"/>
                <w:sz w:val="20"/>
              </w:rPr>
              <w:br/>
              <w:t>(f) the issuer has failed to comply, within the specified time limit or to the required extent, with an order or measure imposed by the Authority;</w:t>
            </w:r>
            <w:r>
              <w:rPr>
                <w:rFonts w:ascii="Times New Roman" w:hAnsi="Times New Roman"/>
                <w:color w:val="000000"/>
                <w:sz w:val="20"/>
              </w:rPr>
              <w:br/>
              <w:t>(g) the issuer has not carried out any new issuance of covered bonds within five years from the date of approval of the programme or from the full repayment of all covered bonds previously issued.</w:t>
            </w:r>
            <w:r>
              <w:rPr>
                <w:rFonts w:ascii="Times New Roman" w:hAnsi="Times New Roman"/>
                <w:color w:val="000000"/>
                <w:sz w:val="20"/>
              </w:rPr>
              <w:br/>
              <w:t>2. Revocation of approval of the programme shall not affect the rights and obligations arising from covered bonds issued before the date of revocation, but shall prohibit new issuances under the programme.</w:t>
            </w:r>
            <w:r>
              <w:rPr>
                <w:rFonts w:ascii="Times New Roman" w:hAnsi="Times New Roman"/>
                <w:color w:val="000000"/>
                <w:sz w:val="20"/>
              </w:rPr>
              <w:br/>
            </w:r>
            <w:r>
              <w:rPr>
                <w:rFonts w:ascii="Times New Roman" w:hAnsi="Times New Roman"/>
                <w:color w:val="000000"/>
                <w:sz w:val="20"/>
              </w:rPr>
              <w:br/>
              <w:t>Article 13</w:t>
            </w:r>
          </w:p>
          <w:p w14:paraId="5123FE96"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1. A credit institution issuing covered bonds shall appoint a cover pool monitor before submitting an application for permission for the covered bond programme.</w:t>
            </w:r>
            <w:r>
              <w:rPr>
                <w:rFonts w:ascii="Times New Roman" w:hAnsi="Times New Roman"/>
                <w:color w:val="000000"/>
                <w:sz w:val="20"/>
              </w:rPr>
              <w:br/>
              <w:t>The monitor shall confirm in writing that, at the time of the issue of the covered bonds, a sufficient cover pool exists and has been recorded in the cover pool register in accordance with this Law.</w:t>
            </w:r>
            <w:r>
              <w:rPr>
                <w:rFonts w:ascii="Times New Roman" w:hAnsi="Times New Roman"/>
                <w:color w:val="000000"/>
                <w:sz w:val="20"/>
              </w:rPr>
              <w:br/>
              <w:t>The written confirmation shall also include an assessment of whether the issuer and the cover pool comply with this Law, the regulations and the contractual terms and conditions of the covered bonds as regards:</w:t>
            </w:r>
            <w:r>
              <w:rPr>
                <w:rFonts w:ascii="Times New Roman" w:hAnsi="Times New Roman"/>
                <w:color w:val="000000"/>
                <w:sz w:val="20"/>
              </w:rPr>
              <w:br/>
              <w:t>(a) the eligibility of assets in the cover pool;</w:t>
            </w:r>
            <w:r>
              <w:rPr>
                <w:rFonts w:ascii="Times New Roman" w:hAnsi="Times New Roman"/>
                <w:color w:val="000000"/>
                <w:sz w:val="20"/>
              </w:rPr>
              <w:br/>
              <w:t>(b) compliance with the conditions for joint funding of the covered bond issue;</w:t>
            </w:r>
            <w:r>
              <w:rPr>
                <w:rFonts w:ascii="Times New Roman" w:hAnsi="Times New Roman"/>
                <w:color w:val="000000"/>
                <w:sz w:val="20"/>
              </w:rPr>
              <w:br/>
              <w:t>(c) the composition of the cover pool;</w:t>
            </w:r>
            <w:r>
              <w:rPr>
                <w:rFonts w:ascii="Times New Roman" w:hAnsi="Times New Roman"/>
                <w:color w:val="000000"/>
                <w:sz w:val="20"/>
              </w:rPr>
              <w:br/>
              <w:t>(d) derivative contracts in the cover pool;</w:t>
            </w:r>
            <w:r>
              <w:rPr>
                <w:rFonts w:ascii="Times New Roman" w:hAnsi="Times New Roman"/>
                <w:color w:val="000000"/>
                <w:sz w:val="20"/>
              </w:rPr>
              <w:br/>
              <w:t>(e) the segregation of cover assets and protection against other creditors;</w:t>
            </w:r>
            <w:r>
              <w:rPr>
                <w:rFonts w:ascii="Times New Roman" w:hAnsi="Times New Roman"/>
                <w:color w:val="000000"/>
                <w:sz w:val="20"/>
              </w:rPr>
              <w:br/>
              <w:t>(f) the cover pool register;</w:t>
            </w:r>
            <w:r>
              <w:rPr>
                <w:rFonts w:ascii="Times New Roman" w:hAnsi="Times New Roman"/>
                <w:color w:val="000000"/>
                <w:sz w:val="20"/>
              </w:rPr>
              <w:br/>
              <w:t>(g) coverage requirements, including the accuracy of the valuation of assets in the cover pool;</w:t>
            </w:r>
            <w:r>
              <w:rPr>
                <w:rFonts w:ascii="Times New Roman" w:hAnsi="Times New Roman"/>
                <w:color w:val="000000"/>
                <w:sz w:val="20"/>
              </w:rPr>
              <w:br/>
              <w:t>(h) requirements relating to the cover pool liquidity buffer;</w:t>
            </w:r>
            <w:r>
              <w:rPr>
                <w:rFonts w:ascii="Times New Roman" w:hAnsi="Times New Roman"/>
                <w:color w:val="000000"/>
                <w:sz w:val="20"/>
              </w:rPr>
              <w:br/>
              <w:t>(i) investor protection in relation to covered bonds with extendable maturity structures.</w:t>
            </w:r>
            <w:r>
              <w:rPr>
                <w:rFonts w:ascii="Times New Roman" w:hAnsi="Times New Roman"/>
                <w:color w:val="000000"/>
                <w:sz w:val="20"/>
              </w:rPr>
              <w:br/>
              <w:t>2. Credit institutions issuing covered bonds shall have internal rules and procedures governing the function of the cover pool monitor in accordance with this Law. Those rules and procedures shall include at least:</w:t>
            </w:r>
            <w:r>
              <w:rPr>
                <w:rFonts w:ascii="Times New Roman" w:hAnsi="Times New Roman"/>
                <w:color w:val="000000"/>
                <w:sz w:val="20"/>
              </w:rPr>
              <w:br/>
              <w:t>a) the appointment and dismissal of the cover pool monitor;</w:t>
            </w:r>
            <w:r>
              <w:rPr>
                <w:rFonts w:ascii="Times New Roman" w:hAnsi="Times New Roman"/>
                <w:color w:val="000000"/>
                <w:sz w:val="20"/>
              </w:rPr>
              <w:br/>
              <w:t>b) the monitor’s eligibility criteria and qualification requirements;</w:t>
            </w:r>
            <w:r>
              <w:rPr>
                <w:rFonts w:ascii="Times New Roman" w:hAnsi="Times New Roman"/>
                <w:color w:val="000000"/>
                <w:sz w:val="20"/>
              </w:rPr>
              <w:br/>
              <w:t>c) the role and duties of the monitor, including in the event of the insolvency or resolution of the issuing credit institution;</w:t>
            </w:r>
            <w:r>
              <w:rPr>
                <w:rFonts w:ascii="Times New Roman" w:hAnsi="Times New Roman"/>
                <w:color w:val="000000"/>
                <w:sz w:val="20"/>
              </w:rPr>
              <w:br/>
              <w:t>(d) the obligation to report to the Authority;</w:t>
            </w:r>
            <w:r>
              <w:rPr>
                <w:rFonts w:ascii="Times New Roman" w:hAnsi="Times New Roman"/>
                <w:color w:val="000000"/>
                <w:sz w:val="20"/>
              </w:rPr>
              <w:br/>
              <w:t>(e) the right of access to information necessary for the performance of the monitor’s duties.</w:t>
            </w:r>
            <w:r>
              <w:rPr>
                <w:rFonts w:ascii="Times New Roman" w:hAnsi="Times New Roman"/>
                <w:color w:val="000000"/>
                <w:sz w:val="20"/>
              </w:rPr>
              <w:br/>
              <w:t>3. The cover pool monitor shall be a person entered in the Register of Statutory Auditors in the Republic of Albania, independent from the credit institution issuing the covered bonds and from its auditor, and possessing appropriate professional experience in the financial sector, in particular in the audit of credit institutions, financial institutions, capital-market infrastructures, investment fund management companies, pension fund management companies or insurance undertakings.</w:t>
            </w:r>
            <w:r>
              <w:rPr>
                <w:rFonts w:ascii="Times New Roman" w:hAnsi="Times New Roman"/>
                <w:color w:val="000000"/>
                <w:sz w:val="20"/>
              </w:rPr>
              <w:br/>
              <w:t>4. The decision to appoint the cover pool monitor shall be taken by the supervisory board of the issuing credit institution with the prior approval of the internal audit structures. Before deciding on the appointment, the issuer shall assess whether the cover pool monitor meets the conditions laid down in this Law and shall submit that assessment to the Authority in accordance with Article 19 of this Law.</w:t>
            </w:r>
            <w:r>
              <w:rPr>
                <w:rFonts w:ascii="Times New Roman" w:hAnsi="Times New Roman"/>
                <w:color w:val="000000"/>
                <w:sz w:val="20"/>
              </w:rPr>
              <w:br/>
              <w:t>5. The issuing credit institution shall notify the Authority and the Bank of Albania of the appointment of the cover pool monitor and shall also submit its assessment of compliance with those conditions.</w:t>
            </w:r>
            <w:r>
              <w:rPr>
                <w:rFonts w:ascii="Times New Roman" w:hAnsi="Times New Roman"/>
                <w:color w:val="000000"/>
                <w:sz w:val="20"/>
              </w:rPr>
              <w:br/>
              <w:t>6. When granting permission for the covered bond programme in accordance with this Law, the Authority shall verify whether the appointed cover pool monitor meets the conditions laid down in this Article.</w:t>
            </w:r>
            <w:r>
              <w:rPr>
                <w:rFonts w:ascii="Times New Roman" w:hAnsi="Times New Roman"/>
                <w:color w:val="000000"/>
                <w:sz w:val="20"/>
              </w:rPr>
              <w:br/>
              <w:t>7. The cover pool monitor shall monitor on an ongoing basis whether the issuing credit institution and the cover pool comply with the requirements laid down in Articles 6 to 11, 14 and 16 to 18 of this Law, the regulations and the contractual terms and conditions of the covered bonds as regards:</w:t>
            </w:r>
            <w:r>
              <w:rPr>
                <w:rFonts w:ascii="Times New Roman" w:hAnsi="Times New Roman"/>
                <w:color w:val="000000"/>
                <w:sz w:val="20"/>
              </w:rPr>
              <w:br/>
              <w:t>(a) the eligibility of assets in the cover pool;</w:t>
            </w:r>
            <w:r>
              <w:rPr>
                <w:rFonts w:ascii="Times New Roman" w:hAnsi="Times New Roman"/>
                <w:color w:val="000000"/>
                <w:sz w:val="20"/>
              </w:rPr>
              <w:br/>
              <w:t>(b) compliance with the conditions for joint funding;</w:t>
            </w:r>
            <w:r>
              <w:rPr>
                <w:rFonts w:ascii="Times New Roman" w:hAnsi="Times New Roman"/>
                <w:color w:val="000000"/>
                <w:sz w:val="20"/>
              </w:rPr>
              <w:br/>
              <w:t>(c) the composition of the cover pool;</w:t>
            </w:r>
            <w:r>
              <w:rPr>
                <w:rFonts w:ascii="Times New Roman" w:hAnsi="Times New Roman"/>
                <w:color w:val="000000"/>
                <w:sz w:val="20"/>
              </w:rPr>
              <w:br/>
              <w:t>(d) derivative contracts in the cover pool;</w:t>
            </w:r>
            <w:r>
              <w:rPr>
                <w:rFonts w:ascii="Times New Roman" w:hAnsi="Times New Roman"/>
                <w:color w:val="000000"/>
                <w:sz w:val="20"/>
              </w:rPr>
              <w:br/>
              <w:t>(e) the segregation of cover assets and protection against third-party claims;</w:t>
            </w:r>
            <w:r>
              <w:rPr>
                <w:rFonts w:ascii="Times New Roman" w:hAnsi="Times New Roman"/>
                <w:color w:val="000000"/>
                <w:sz w:val="20"/>
              </w:rPr>
              <w:br/>
              <w:t>(f) the cover pool register;</w:t>
            </w:r>
            <w:r>
              <w:rPr>
                <w:rFonts w:ascii="Times New Roman" w:hAnsi="Times New Roman"/>
                <w:color w:val="000000"/>
                <w:sz w:val="20"/>
              </w:rPr>
              <w:br/>
              <w:t>(g) the relevance and accuracy of information for investors;</w:t>
            </w:r>
            <w:r>
              <w:rPr>
                <w:rFonts w:ascii="Times New Roman" w:hAnsi="Times New Roman"/>
                <w:color w:val="000000"/>
                <w:sz w:val="20"/>
              </w:rPr>
              <w:br/>
              <w:t>(h) coverage requirements;</w:t>
            </w:r>
            <w:r>
              <w:rPr>
                <w:rFonts w:ascii="Times New Roman" w:hAnsi="Times New Roman"/>
                <w:color w:val="000000"/>
                <w:sz w:val="20"/>
              </w:rPr>
              <w:br/>
              <w:t>(i) requirements relating to the liquidity buffer;</w:t>
            </w:r>
            <w:r>
              <w:rPr>
                <w:rFonts w:ascii="Times New Roman" w:hAnsi="Times New Roman"/>
                <w:color w:val="000000"/>
                <w:sz w:val="20"/>
              </w:rPr>
              <w:br/>
              <w:t>(j) investor protection, including in the case of covered bonds with extendable maturity structures;</w:t>
            </w:r>
            <w:r>
              <w:rPr>
                <w:rFonts w:ascii="Times New Roman" w:hAnsi="Times New Roman"/>
                <w:color w:val="000000"/>
                <w:sz w:val="20"/>
              </w:rPr>
              <w:br/>
              <w:t>(k) any other obligation laid down in this Law.</w:t>
            </w:r>
            <w:r>
              <w:rPr>
                <w:rFonts w:ascii="Times New Roman" w:hAnsi="Times New Roman"/>
                <w:color w:val="000000"/>
                <w:sz w:val="20"/>
              </w:rPr>
              <w:br/>
              <w:t>8. In performing the duties referred to in paragraph 7 of this Article, the cover pool monitor shall:</w:t>
            </w:r>
            <w:r>
              <w:rPr>
                <w:rFonts w:ascii="Times New Roman" w:hAnsi="Times New Roman"/>
                <w:color w:val="000000"/>
                <w:sz w:val="20"/>
              </w:rPr>
              <w:br/>
              <w:t>(a) verify the coverage and liquidity calculations;</w:t>
            </w:r>
            <w:r>
              <w:rPr>
                <w:rFonts w:ascii="Times New Roman" w:hAnsi="Times New Roman"/>
                <w:color w:val="000000"/>
                <w:sz w:val="20"/>
              </w:rPr>
              <w:br/>
              <w:t>(b) confirm the accuracy of the valuation of assets in the cover pool;</w:t>
            </w:r>
            <w:r>
              <w:rPr>
                <w:rFonts w:ascii="Times New Roman" w:hAnsi="Times New Roman"/>
                <w:color w:val="000000"/>
                <w:sz w:val="20"/>
              </w:rPr>
              <w:br/>
              <w:t>(c) carry out random audits of assets in the cover pool;</w:t>
            </w:r>
            <w:r>
              <w:rPr>
                <w:rFonts w:ascii="Times New Roman" w:hAnsi="Times New Roman"/>
                <w:color w:val="000000"/>
                <w:sz w:val="20"/>
              </w:rPr>
              <w:br/>
              <w:t>(d) monitor the cover pool register until the covered bonds have been repaid in full, in order to ensure that the issuer maintains the value of the cover pool in accordance with this Law, the regulations and the contractual terms and conditions;</w:t>
            </w:r>
            <w:r>
              <w:rPr>
                <w:rFonts w:ascii="Times New Roman" w:hAnsi="Times New Roman"/>
                <w:color w:val="000000"/>
                <w:sz w:val="20"/>
              </w:rPr>
              <w:br/>
              <w:t>(e) ensure the accuracy of the recording of assets in the cover pool register by verifying that assets proposed for entry meet the eligibility conditions laid down in this Law and the relevant regulations.</w:t>
            </w:r>
            <w:r>
              <w:rPr>
                <w:rFonts w:ascii="Times New Roman" w:hAnsi="Times New Roman"/>
                <w:color w:val="000000"/>
                <w:sz w:val="20"/>
              </w:rPr>
              <w:br/>
              <w:t>9. The issuing credit institution shall not dispose of assets included in the cover pool without the prior approval of the cover pool monitor.</w:t>
            </w:r>
            <w:r>
              <w:rPr>
                <w:rFonts w:ascii="Times New Roman" w:hAnsi="Times New Roman"/>
                <w:color w:val="000000"/>
                <w:sz w:val="20"/>
              </w:rPr>
              <w:br/>
              <w:t>The cover pool monitor shall approve any removal, substitution or addition of assets in the cover pool register only where, following the proposed changes, the cover pool continues to comply with this Law, the relevant regulations and the contractual terms and conditions of the covered bonds.</w:t>
            </w:r>
            <w:r>
              <w:rPr>
                <w:rFonts w:ascii="Times New Roman" w:hAnsi="Times New Roman"/>
                <w:color w:val="000000"/>
                <w:sz w:val="20"/>
              </w:rPr>
              <w:br/>
              <w:t>10. The issuing credit institution shall ensure that the cover pool monitor has access at all times to the cover pool register and immediate access to all documentation relating to the covered bonds or cover assets, including credit files, contracts, collateral documentation, asset valuations and any other similar documents relating to loans included in the cover pool.</w:t>
            </w:r>
            <w:r>
              <w:rPr>
                <w:rFonts w:ascii="Times New Roman" w:hAnsi="Times New Roman"/>
                <w:color w:val="000000"/>
                <w:sz w:val="20"/>
              </w:rPr>
              <w:br/>
              <w:t>The issuing credit institution shall make available to the cover pool monitor data on the potential costs of compulsory liquidation and any other information necessary for the performance of the monitor’s duties.</w:t>
            </w:r>
            <w:r>
              <w:rPr>
                <w:rFonts w:ascii="Times New Roman" w:hAnsi="Times New Roman"/>
                <w:color w:val="000000"/>
                <w:sz w:val="20"/>
              </w:rPr>
              <w:br/>
              <w:t>11. The Authority may allow the cover pool monitor not to be separate from the credit institution (“internal cover pool monitor”) where the following conditions are met:</w:t>
            </w:r>
            <w:r>
              <w:rPr>
                <w:rFonts w:ascii="Times New Roman" w:hAnsi="Times New Roman"/>
                <w:color w:val="000000"/>
                <w:sz w:val="20"/>
              </w:rPr>
              <w:br/>
              <w:t>(a) the cover pool monitor is independent from the credit decision process of the credit institution issuing the covered bonds;</w:t>
            </w:r>
            <w:r>
              <w:rPr>
                <w:rFonts w:ascii="Times New Roman" w:hAnsi="Times New Roman"/>
                <w:color w:val="000000"/>
                <w:sz w:val="20"/>
              </w:rPr>
              <w:br/>
              <w:t>(b) without prejudice to paragraph 2(a) of this Article, the credit institution issuing the covered bonds ensures that the cover pool monitor cannot be removed from that function without the prior approval of its management body;</w:t>
            </w:r>
            <w:r>
              <w:rPr>
                <w:rFonts w:ascii="Times New Roman" w:hAnsi="Times New Roman"/>
                <w:color w:val="000000"/>
                <w:sz w:val="20"/>
              </w:rPr>
              <w:br/>
              <w:t>(c) where necessary, the cover pool monitor has direct access to the management body in its supervisory function.</w:t>
            </w:r>
            <w:r>
              <w:rPr>
                <w:rFonts w:ascii="Times New Roman" w:hAnsi="Times New Roman"/>
                <w:color w:val="000000"/>
                <w:sz w:val="20"/>
              </w:rPr>
              <w:br/>
              <w:t>12. The cover pool monitor shall take into account the conclusions of the stress-test analysis referred to in Article 25(3) of this Law when assessing whether the issuer and the cover pool continue to comply with this Law, the regulations and the contractual terms and conditions of the covered bonds, and shall notify the Authority and the Bank of Albania thereof.</w:t>
            </w:r>
            <w:r>
              <w:rPr>
                <w:rFonts w:ascii="Times New Roman" w:hAnsi="Times New Roman"/>
                <w:color w:val="000000"/>
                <w:sz w:val="20"/>
              </w:rPr>
              <w:br/>
              <w:t>The issuing credit institution shall make available to the cover pool monitor data on the potential costs of compulsory liquidation which it is required to report to the European Systemic Risk Board, as well as any other information necessary for the performance of the monitor’s duties.</w:t>
            </w:r>
            <w:r>
              <w:rPr>
                <w:rFonts w:ascii="Times New Roman" w:hAnsi="Times New Roman"/>
                <w:color w:val="000000"/>
                <w:sz w:val="20"/>
              </w:rPr>
              <w:br/>
              <w:t>13. Every six months, the cover pool monitor shall submit to the Authority and the Bank of Albania a report confirming the compliance of the cover pool with the statutory and regulatory requirements. Where the register extract differs from the most recently submitted extract, it shall be attached to the report.</w:t>
            </w:r>
            <w:r>
              <w:rPr>
                <w:rFonts w:ascii="Times New Roman" w:hAnsi="Times New Roman"/>
                <w:color w:val="000000"/>
                <w:sz w:val="20"/>
              </w:rPr>
              <w:br/>
              <w:t>14. The cover pool monitor shall inform the Authority and the Bank of Albania of any material finding concerning the covered bond programme, including cases where assets have been removed from, substituted in or added to the cover pool.</w:t>
            </w:r>
            <w:r>
              <w:rPr>
                <w:rFonts w:ascii="Times New Roman" w:hAnsi="Times New Roman"/>
                <w:color w:val="000000"/>
                <w:sz w:val="20"/>
              </w:rPr>
              <w:br/>
              <w:t>15. The cover pool monitor shall respond to requests for information from the Bank of Albania or the Authority within the time limits specified by them.</w:t>
            </w:r>
            <w:r>
              <w:rPr>
                <w:rFonts w:ascii="Times New Roman" w:hAnsi="Times New Roman"/>
                <w:color w:val="000000"/>
                <w:sz w:val="20"/>
              </w:rPr>
              <w:br/>
              <w:t>16) The management body/supervisory board of the issuing credit institution may dismiss the cover pool monitor where:</w:t>
            </w:r>
            <w:r>
              <w:rPr>
                <w:rFonts w:ascii="Times New Roman" w:hAnsi="Times New Roman"/>
                <w:color w:val="000000"/>
                <w:sz w:val="20"/>
              </w:rPr>
              <w:br/>
              <w:t>(a) the monitor no longer meets the conditions laid down in this Article;</w:t>
            </w:r>
            <w:r>
              <w:rPr>
                <w:rFonts w:ascii="Times New Roman" w:hAnsi="Times New Roman"/>
                <w:color w:val="000000"/>
                <w:sz w:val="20"/>
              </w:rPr>
              <w:br/>
              <w:t>(b) the monitor fails to perform the duties laid down in this Law;</w:t>
            </w:r>
            <w:r>
              <w:rPr>
                <w:rFonts w:ascii="Times New Roman" w:hAnsi="Times New Roman"/>
                <w:color w:val="000000"/>
                <w:sz w:val="20"/>
              </w:rPr>
              <w:br/>
              <w:t>(c) dismissal is ordered by the Authority or the Bank of Albania;</w:t>
            </w:r>
            <w:r>
              <w:rPr>
                <w:rFonts w:ascii="Times New Roman" w:hAnsi="Times New Roman"/>
                <w:color w:val="000000"/>
                <w:sz w:val="20"/>
              </w:rPr>
              <w:br/>
              <w:t>(d) the monitor resigns, in which case the monitor shall remain in office until a new monitor is appointed.</w:t>
            </w:r>
            <w:r>
              <w:rPr>
                <w:rFonts w:ascii="Times New Roman" w:hAnsi="Times New Roman"/>
                <w:color w:val="000000"/>
                <w:sz w:val="20"/>
              </w:rPr>
              <w:br/>
              <w:t>17. The cover pool monitor shall be liable towards the issuer, investors and counterparties of derivative contracts only in cases of wilful misconduct or gross negligence.</w:t>
            </w:r>
            <w:r>
              <w:rPr>
                <w:rFonts w:ascii="Times New Roman" w:hAnsi="Times New Roman"/>
                <w:color w:val="000000"/>
                <w:sz w:val="20"/>
              </w:rPr>
              <w:br/>
              <w:t>18. The Authority shall notify the European Banking Authority (EBA) of the requirement to appoint a cover pool monitor pursuant to paragraph 1 of this Article.</w:t>
            </w:r>
            <w:r>
              <w:rPr>
                <w:rFonts w:ascii="Times New Roman" w:hAnsi="Times New Roman"/>
                <w:color w:val="000000"/>
                <w:sz w:val="20"/>
              </w:rPr>
              <w:br/>
              <w:t>19. The Authority shall adopt more detailed rules on the criteria and experience of the cover pool monitor referred to in paragraph 4 of this Article and shall determine the minimum content of the reports referred to in paragraphs 13 and 14 of this Article.</w:t>
            </w:r>
            <w:r>
              <w:rPr>
                <w:rFonts w:ascii="Times New Roman" w:hAnsi="Times New Roman"/>
                <w:color w:val="000000"/>
                <w:sz w:val="20"/>
              </w:rPr>
              <w:br/>
            </w:r>
            <w:r>
              <w:rPr>
                <w:rFonts w:ascii="Times New Roman" w:hAnsi="Times New Roman"/>
                <w:color w:val="000000"/>
                <w:sz w:val="20"/>
              </w:rPr>
              <w:br/>
              <w:t>Article 26</w:t>
            </w:r>
          </w:p>
          <w:p w14:paraId="51AFACA1" w14:textId="71F4A32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br/>
              <w:t>1. Approval of the covered bond programme under this Law shall be independent of, and shall not replace, the procedure for approval of the prospectus for the covered bonds.</w:t>
            </w:r>
            <w:r>
              <w:rPr>
                <w:rFonts w:ascii="Times New Roman" w:hAnsi="Times New Roman"/>
                <w:color w:val="000000"/>
                <w:sz w:val="20"/>
              </w:rPr>
              <w:br/>
              <w:t>2. Where a credit institution decides to carry out an issuance of covered bonds under an approved programme, it shall, before the issuance, draw up and publish a prospectus in accordance with the legislation in force governing financial instrument markets in the Republic of Albania and the implementing acts adopted pursuant thereto.</w:t>
            </w:r>
          </w:p>
        </w:tc>
        <w:tc>
          <w:tcPr>
            <w:tcW w:w="900" w:type="dxa"/>
          </w:tcPr>
          <w:p w14:paraId="5B7E799F" w14:textId="1FC4CEF3" w:rsidR="003E7E51" w:rsidRPr="00DF12A5" w:rsidRDefault="006356F0">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E0CC08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606432" w:rsidRPr="00DF12A5" w14:paraId="6702F3CE" w14:textId="77777777" w:rsidTr="00BB0DAB">
        <w:tc>
          <w:tcPr>
            <w:tcW w:w="800" w:type="dxa"/>
            <w:tcBorders>
              <w:left w:val="single" w:sz="12" w:space="0" w:color="auto"/>
            </w:tcBorders>
          </w:tcPr>
          <w:p w14:paraId="7470F429"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20, paragraph 1</w:t>
            </w:r>
          </w:p>
        </w:tc>
        <w:tc>
          <w:tcPr>
            <w:tcW w:w="5220" w:type="dxa"/>
            <w:tcBorders>
              <w:right w:val="single" w:sz="12" w:space="0" w:color="auto"/>
            </w:tcBorders>
          </w:tcPr>
          <w:p w14:paraId="2300B0BB"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Covered bond public supervision in the event of insolvency or resolution</w:t>
            </w:r>
            <w:r>
              <w:rPr>
                <w:rFonts w:ascii="Times New Roman" w:hAnsi="Times New Roman"/>
                <w:color w:val="000000"/>
                <w:sz w:val="20"/>
              </w:rPr>
              <w:br/>
              <w:t>The competent authorities designated pursuant to Article 18(2) shall cooperate with the resolution authority in the event of the resolution of a credit institution issuing covered bonds in order to ensure that the rights and interests of the covered bond investors are preserved, including at least by verifying the continuous and sound management of the covered bond programme during the period of the resolution process.</w:t>
            </w:r>
          </w:p>
        </w:tc>
        <w:tc>
          <w:tcPr>
            <w:tcW w:w="624" w:type="dxa"/>
            <w:tcBorders>
              <w:left w:val="single" w:sz="12" w:space="0" w:color="auto"/>
            </w:tcBorders>
          </w:tcPr>
          <w:p w14:paraId="6C88BD1D" w14:textId="2116518A" w:rsidR="00606432"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3E7EA1C"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t xml:space="preserve">Article 27, paragraph 1; </w:t>
            </w:r>
          </w:p>
          <w:p w14:paraId="63C1B184" w14:textId="77777777" w:rsidR="00307A73" w:rsidRDefault="00307A73">
            <w:pPr>
              <w:spacing w:after="0" w:line="240" w:lineRule="auto"/>
              <w:jc w:val="both"/>
              <w:rPr>
                <w:rFonts w:ascii="Times New Roman" w:hAnsi="Times New Roman"/>
                <w:color w:val="000000"/>
                <w:sz w:val="20"/>
              </w:rPr>
            </w:pPr>
          </w:p>
          <w:p w14:paraId="12838AA4" w14:textId="77777777" w:rsidR="00307A73" w:rsidRDefault="00307A73">
            <w:pPr>
              <w:spacing w:after="0" w:line="240" w:lineRule="auto"/>
              <w:jc w:val="both"/>
              <w:rPr>
                <w:rFonts w:ascii="Times New Roman" w:hAnsi="Times New Roman"/>
                <w:color w:val="000000"/>
                <w:sz w:val="20"/>
              </w:rPr>
            </w:pPr>
          </w:p>
          <w:p w14:paraId="64D5B8B1" w14:textId="77777777" w:rsidR="00307A73" w:rsidRDefault="00307A73">
            <w:pPr>
              <w:spacing w:after="0" w:line="240" w:lineRule="auto"/>
              <w:jc w:val="both"/>
              <w:rPr>
                <w:rFonts w:ascii="Times New Roman" w:hAnsi="Times New Roman"/>
                <w:color w:val="000000"/>
                <w:sz w:val="20"/>
              </w:rPr>
            </w:pPr>
          </w:p>
          <w:p w14:paraId="72790E35" w14:textId="77777777" w:rsidR="00307A73" w:rsidRDefault="00307A73">
            <w:pPr>
              <w:spacing w:after="0" w:line="240" w:lineRule="auto"/>
              <w:jc w:val="both"/>
              <w:rPr>
                <w:rFonts w:ascii="Times New Roman" w:hAnsi="Times New Roman"/>
                <w:color w:val="000000"/>
                <w:sz w:val="20"/>
              </w:rPr>
            </w:pPr>
          </w:p>
          <w:p w14:paraId="54CBF0CD" w14:textId="0069E6CF"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33, paragraph 1</w:t>
            </w:r>
          </w:p>
        </w:tc>
        <w:tc>
          <w:tcPr>
            <w:tcW w:w="5130" w:type="dxa"/>
          </w:tcPr>
          <w:p w14:paraId="381DCE96"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t>Article 27</w:t>
            </w:r>
          </w:p>
          <w:p w14:paraId="528F3F92" w14:textId="55F877EE"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br/>
              <w:t>1. In the event of resolution of a credit institution which has issued covered bonds, the Authority shall cooperate with the resolution authority in order to verify, inter alia, the continuous and sound administration of the covered bond programme during the resolution process.</w:t>
            </w:r>
            <w:r>
              <w:rPr>
                <w:rFonts w:ascii="Times New Roman" w:hAnsi="Times New Roman"/>
                <w:color w:val="000000"/>
                <w:sz w:val="20"/>
              </w:rPr>
              <w:br/>
            </w:r>
            <w:r>
              <w:rPr>
                <w:rFonts w:ascii="Times New Roman" w:hAnsi="Times New Roman"/>
                <w:color w:val="000000"/>
                <w:sz w:val="20"/>
              </w:rPr>
              <w:br/>
              <w:t>Article 33</w:t>
            </w:r>
          </w:p>
          <w:p w14:paraId="2EE1DEA3" w14:textId="6804A633"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br/>
              <w:t>1. The Authority shall cooperate with the Bank of Albania where early intervention or resolution measures are applied to the issuer, in order to ensure protection of the rights and interests of covered bond investors. Such cooperation shall include at least verifying that the covered bond programme continues to be administered soundly and properly throughout those procedures.</w:t>
            </w:r>
          </w:p>
        </w:tc>
        <w:tc>
          <w:tcPr>
            <w:tcW w:w="900" w:type="dxa"/>
          </w:tcPr>
          <w:p w14:paraId="2A26D7DA" w14:textId="4E590434" w:rsidR="003E7E51" w:rsidRPr="00DF12A5" w:rsidRDefault="006356F0">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F33885C" w14:textId="77777777" w:rsidR="003E7E51" w:rsidRPr="00DF12A5" w:rsidRDefault="003E7E51">
            <w:pPr>
              <w:spacing w:after="0" w:line="240" w:lineRule="auto"/>
              <w:jc w:val="both"/>
              <w:rPr>
                <w:rFonts w:ascii="Times New Roman" w:hAnsi="Times New Roman" w:cs="Times New Roman"/>
                <w:sz w:val="20"/>
                <w:szCs w:val="20"/>
                <w:lang w:val="sq-AL"/>
              </w:rPr>
            </w:pPr>
          </w:p>
        </w:tc>
      </w:tr>
      <w:tr w:rsidR="00606432" w:rsidRPr="00DF12A5" w14:paraId="4AB17B75" w14:textId="77777777" w:rsidTr="00BB0DAB">
        <w:tc>
          <w:tcPr>
            <w:tcW w:w="800" w:type="dxa"/>
            <w:tcBorders>
              <w:left w:val="single" w:sz="12" w:space="0" w:color="auto"/>
            </w:tcBorders>
          </w:tcPr>
          <w:p w14:paraId="7750237D"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20, paragraph 2</w:t>
            </w:r>
          </w:p>
        </w:tc>
        <w:tc>
          <w:tcPr>
            <w:tcW w:w="5220" w:type="dxa"/>
            <w:tcBorders>
              <w:right w:val="single" w:sz="12" w:space="0" w:color="auto"/>
            </w:tcBorders>
          </w:tcPr>
          <w:p w14:paraId="586E63B3"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may provide for the appointment of a special administrator to ensure that the rights and interests of the covered bond investors are preserved, including at least by verifying the continuous and sound management of the covered bond programme during the necessary period. Where Member States exercise that option, they may require their competent authorities designated pursuant to Article 18(2) to approve the appointment and dismissal of the special administrator. Member States that exercise that option shall at least require that those competent authorities be consulted regarding the appointment and dismissal of the special administrator.</w:t>
            </w:r>
          </w:p>
        </w:tc>
        <w:tc>
          <w:tcPr>
            <w:tcW w:w="624" w:type="dxa"/>
            <w:tcBorders>
              <w:left w:val="single" w:sz="12" w:space="0" w:color="auto"/>
            </w:tcBorders>
          </w:tcPr>
          <w:p w14:paraId="2A9122E7" w14:textId="1A277FA6" w:rsidR="00606432"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CF4C85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27, paragraphs 2-3; Articles 34-36</w:t>
            </w:r>
          </w:p>
        </w:tc>
        <w:tc>
          <w:tcPr>
            <w:tcW w:w="5130" w:type="dxa"/>
          </w:tcPr>
          <w:p w14:paraId="75B5A17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27</w:t>
            </w:r>
            <w:r>
              <w:rPr>
                <w:rFonts w:ascii="Times New Roman" w:hAnsi="Times New Roman"/>
                <w:color w:val="000000"/>
                <w:sz w:val="20"/>
              </w:rPr>
              <w:br/>
            </w:r>
            <w:r>
              <w:rPr>
                <w:rFonts w:ascii="Times New Roman" w:hAnsi="Times New Roman"/>
                <w:color w:val="000000"/>
                <w:sz w:val="20"/>
              </w:rPr>
              <w:br/>
              <w:t>2. In the event of insolvency or resolution of a credit institution which has issued covered bonds, a special administrator shall be appointed in order to ensure that the rights and interests of covered bond investors are protected, including at least by verifying the continuous and sound administration of the covered bond programme during the necessary period.</w:t>
            </w:r>
            <w:r>
              <w:rPr>
                <w:rFonts w:ascii="Times New Roman" w:hAnsi="Times New Roman"/>
                <w:color w:val="000000"/>
                <w:sz w:val="20"/>
              </w:rPr>
              <w:br/>
              <w:t>3. The special administrator shall be appointed by the representative of the bondholders. The approval of the Authority shall be required for the special administrator’s appointment and removal. The representative of the bondholders may also perform the function of special administrator. Where the representative of the bondholders does not perform that function, the Authority shall appoint a special administrator.</w:t>
            </w:r>
            <w:r>
              <w:rPr>
                <w:rFonts w:ascii="Times New Roman" w:hAnsi="Times New Roman"/>
                <w:color w:val="000000"/>
                <w:sz w:val="20"/>
              </w:rPr>
              <w:br/>
            </w:r>
            <w:r>
              <w:rPr>
                <w:rFonts w:ascii="Times New Roman" w:hAnsi="Times New Roman"/>
                <w:color w:val="000000"/>
                <w:sz w:val="20"/>
              </w:rPr>
              <w:br/>
              <w:t>Article 34</w:t>
            </w:r>
            <w:r>
              <w:rPr>
                <w:rFonts w:ascii="Times New Roman" w:hAnsi="Times New Roman"/>
                <w:color w:val="000000"/>
                <w:sz w:val="20"/>
              </w:rPr>
              <w:br/>
            </w:r>
            <w:r>
              <w:rPr>
                <w:rFonts w:ascii="Times New Roman" w:hAnsi="Times New Roman"/>
                <w:color w:val="000000"/>
                <w:sz w:val="20"/>
              </w:rPr>
              <w:br/>
              <w:t>1. This Chapter shall apply where compulsory liquidation proceedings have been opened against the issuing credit institution.</w:t>
            </w:r>
            <w:r>
              <w:rPr>
                <w:rFonts w:ascii="Times New Roman" w:hAnsi="Times New Roman"/>
                <w:color w:val="000000"/>
                <w:sz w:val="20"/>
              </w:rPr>
              <w:br/>
              <w:t>2. The Bank of Albania shall notify the Authority at least five working days before adopting a decision to submit an application proposing the opening of compulsory liquidation proceedings.</w:t>
            </w:r>
            <w:r>
              <w:rPr>
                <w:rFonts w:ascii="Times New Roman" w:hAnsi="Times New Roman"/>
                <w:color w:val="000000"/>
                <w:sz w:val="20"/>
              </w:rPr>
              <w:br/>
              <w:t>3. Within two working days of receiving the proposal to open compulsory liquidation proceedings, the Authority shall appoint one or more special administrators of the cover pool.</w:t>
            </w:r>
            <w:r>
              <w:rPr>
                <w:rFonts w:ascii="Times New Roman" w:hAnsi="Times New Roman"/>
                <w:color w:val="000000"/>
                <w:sz w:val="20"/>
              </w:rPr>
              <w:br/>
              <w:t>When appointing one or more special administrators, the Authority shall take into consideration the number of covered bond programmes of the issuer and the number of cover pools.</w:t>
            </w:r>
            <w:r>
              <w:rPr>
                <w:rFonts w:ascii="Times New Roman" w:hAnsi="Times New Roman"/>
                <w:color w:val="000000"/>
                <w:sz w:val="20"/>
              </w:rPr>
              <w:br/>
              <w:t>4. Upon appointment, the special administrator shall assume the duties and powers of the cover pool monitor. The cover pool monitor’s function shall terminate at that time.</w:t>
            </w:r>
            <w:r>
              <w:rPr>
                <w:rFonts w:ascii="Times New Roman" w:hAnsi="Times New Roman"/>
                <w:color w:val="000000"/>
                <w:sz w:val="20"/>
              </w:rPr>
              <w:br/>
              <w:t>A cover pool monitor whose function has terminated upon the appointment of the special administrator shall:</w:t>
            </w:r>
            <w:r>
              <w:rPr>
                <w:rFonts w:ascii="Times New Roman" w:hAnsi="Times New Roman"/>
                <w:color w:val="000000"/>
                <w:sz w:val="20"/>
              </w:rPr>
              <w:br/>
              <w:t>(a) continue to provide all information necessary for the administration of the cover pool;</w:t>
            </w:r>
            <w:r>
              <w:rPr>
                <w:rFonts w:ascii="Times New Roman" w:hAnsi="Times New Roman"/>
                <w:color w:val="000000"/>
                <w:sz w:val="20"/>
              </w:rPr>
              <w:br/>
              <w:t>(b) enable the special administrator to assume the administrator’s duties in accordance with this Law;</w:t>
            </w:r>
            <w:r>
              <w:rPr>
                <w:rFonts w:ascii="Times New Roman" w:hAnsi="Times New Roman"/>
                <w:color w:val="000000"/>
                <w:sz w:val="20"/>
              </w:rPr>
              <w:br/>
              <w:t>(c) calculate the percentage represented by the covered bond claim within the total claims in the ranking for payment to which that claim belongs;</w:t>
            </w:r>
            <w:r>
              <w:rPr>
                <w:rFonts w:ascii="Times New Roman" w:hAnsi="Times New Roman"/>
                <w:color w:val="000000"/>
                <w:sz w:val="20"/>
              </w:rPr>
              <w:br/>
              <w:t>(d) provide that figure to the liquidator and the special administrator.</w:t>
            </w:r>
            <w:r>
              <w:rPr>
                <w:rFonts w:ascii="Times New Roman" w:hAnsi="Times New Roman"/>
                <w:color w:val="000000"/>
                <w:sz w:val="20"/>
              </w:rPr>
              <w:br/>
              <w:t>5. The special administrator may be appointed from the list of specialised persons who meet the criteria under the legislation in force governing the compulsory liquidation of credit institutions, as well as from other persons who meet the conditions laid down in this Law and in the implementing acts adopted pursuant thereto.</w:t>
            </w:r>
            <w:r>
              <w:rPr>
                <w:rFonts w:ascii="Times New Roman" w:hAnsi="Times New Roman"/>
                <w:color w:val="000000"/>
                <w:sz w:val="20"/>
              </w:rPr>
              <w:br/>
              <w:t>A special administrator may also be appointed where necessary to ensure the continuous and sound administration of the covered bond programme, including in particular where:</w:t>
            </w:r>
            <w:r>
              <w:rPr>
                <w:rFonts w:ascii="Times New Roman" w:hAnsi="Times New Roman"/>
                <w:color w:val="000000"/>
                <w:sz w:val="20"/>
              </w:rPr>
              <w:br/>
              <w:t>(a) the issuer’s licence to conduct banking business has been withdrawn, or approval of the covered bond programme has been revoked or withdrawn, to the extent necessary to ensure investor protection and the continuous administration of the cover pool;</w:t>
            </w:r>
            <w:r>
              <w:rPr>
                <w:rFonts w:ascii="Times New Roman" w:hAnsi="Times New Roman"/>
                <w:color w:val="000000"/>
                <w:sz w:val="20"/>
              </w:rPr>
              <w:br/>
              <w:t>(b) resolution measures have been taken in respect of the issuer;</w:t>
            </w:r>
            <w:r>
              <w:rPr>
                <w:rFonts w:ascii="Times New Roman" w:hAnsi="Times New Roman"/>
                <w:color w:val="000000"/>
                <w:sz w:val="20"/>
              </w:rPr>
              <w:br/>
              <w:t>(c) a failure to meet payment obligations under the covered bonds has been established;</w:t>
            </w:r>
            <w:r>
              <w:rPr>
                <w:rFonts w:ascii="Times New Roman" w:hAnsi="Times New Roman"/>
                <w:color w:val="000000"/>
                <w:sz w:val="20"/>
              </w:rPr>
              <w:br/>
              <w:t>(d) circumstances exist indicating an impairment, or a risk of impairment, of the functioning of the covered bond programme.</w:t>
            </w:r>
            <w:r>
              <w:rPr>
                <w:rFonts w:ascii="Times New Roman" w:hAnsi="Times New Roman"/>
                <w:color w:val="000000"/>
                <w:sz w:val="20"/>
              </w:rPr>
              <w:br/>
              <w:t>One or more persons may act as special administrator; where more than one person is appointed, they shall exercise their powers jointly unless the appointment decision provides otherwise.</w:t>
            </w:r>
            <w:r>
              <w:rPr>
                <w:rFonts w:ascii="Times New Roman" w:hAnsi="Times New Roman"/>
                <w:color w:val="000000"/>
                <w:sz w:val="20"/>
              </w:rPr>
              <w:br/>
              <w:t>6. The decision opening compulsory liquidation proceedings against the issuer shall also include the decision appointing the special administrator and the administrator’s identification details.</w:t>
            </w:r>
            <w:r>
              <w:rPr>
                <w:rFonts w:ascii="Times New Roman" w:hAnsi="Times New Roman"/>
                <w:color w:val="000000"/>
                <w:sz w:val="20"/>
              </w:rPr>
              <w:br/>
              <w:t>The decision appointing the special administrator shall be filed with the National Business Centre for registration as ‘special administrator of the covered bond programme’, specifying the name of the relevant programme.</w:t>
            </w:r>
            <w:r>
              <w:rPr>
                <w:rFonts w:ascii="Times New Roman" w:hAnsi="Times New Roman"/>
                <w:color w:val="000000"/>
                <w:sz w:val="20"/>
              </w:rPr>
              <w:br/>
              <w:t>7. The special administrator and the issuer’s liquidator may not be the same person. The special administrator shall be independent of the issuer’s liquidator and:</w:t>
            </w:r>
            <w:r>
              <w:rPr>
                <w:rFonts w:ascii="Times New Roman" w:hAnsi="Times New Roman"/>
                <w:color w:val="000000"/>
                <w:sz w:val="20"/>
              </w:rPr>
              <w:br/>
              <w:t>(a) may not be a legal person employing the issuer’s liquidator;</w:t>
            </w:r>
            <w:r>
              <w:rPr>
                <w:rFonts w:ascii="Times New Roman" w:hAnsi="Times New Roman"/>
                <w:color w:val="000000"/>
                <w:sz w:val="20"/>
              </w:rPr>
              <w:br/>
              <w:t>(b) may not be a natural person employed by a legal person acting as the issuer’s liquidator.</w:t>
            </w:r>
            <w:r>
              <w:rPr>
                <w:rFonts w:ascii="Times New Roman" w:hAnsi="Times New Roman"/>
                <w:color w:val="000000"/>
                <w:sz w:val="20"/>
              </w:rPr>
              <w:br/>
              <w:t>8. After the opening of compulsory liquidation proceedings, the Authority may remove the special administrator and appoint a new special administrator where important grounds exist, including:</w:t>
            </w:r>
            <w:r>
              <w:rPr>
                <w:rFonts w:ascii="Times New Roman" w:hAnsi="Times New Roman"/>
                <w:color w:val="000000"/>
                <w:sz w:val="20"/>
              </w:rPr>
              <w:br/>
              <w:t>(a) breach of the special administrator’s duties and obligations under this Law;</w:t>
            </w:r>
            <w:r>
              <w:rPr>
                <w:rFonts w:ascii="Times New Roman" w:hAnsi="Times New Roman"/>
                <w:color w:val="000000"/>
                <w:sz w:val="20"/>
              </w:rPr>
              <w:br/>
              <w:t>(b) cessation of compliance with the conditions for appointment under this Law;</w:t>
            </w:r>
            <w:r>
              <w:rPr>
                <w:rFonts w:ascii="Times New Roman" w:hAnsi="Times New Roman"/>
                <w:color w:val="000000"/>
                <w:sz w:val="20"/>
              </w:rPr>
              <w:br/>
              <w:t>(c) prolonged inability to exercise the duties and powers;</w:t>
            </w:r>
            <w:r>
              <w:rPr>
                <w:rFonts w:ascii="Times New Roman" w:hAnsi="Times New Roman"/>
                <w:color w:val="000000"/>
                <w:sz w:val="20"/>
              </w:rPr>
              <w:br/>
              <w:t>(d) other important grounds laid down in this Law;</w:t>
            </w:r>
            <w:r>
              <w:rPr>
                <w:rFonts w:ascii="Times New Roman" w:hAnsi="Times New Roman"/>
                <w:color w:val="000000"/>
                <w:sz w:val="20"/>
              </w:rPr>
              <w:br/>
              <w:t>(e) prejudice to the interests of covered bond investors or other contractual counterparties as a result of the special administrator’s acts or omissions.</w:t>
            </w:r>
            <w:r>
              <w:rPr>
                <w:rFonts w:ascii="Times New Roman" w:hAnsi="Times New Roman"/>
                <w:color w:val="000000"/>
                <w:sz w:val="20"/>
              </w:rPr>
              <w:br/>
              <w:t>9. Removal of the special administrator and appointment of a new administrator may also be requested by the representative of the bondholders where the relevant grounds exist. The request shall be submitted to the Authority and shall constitute an important ground for removal; the Authority shall request the competent court to remove the administrator and appoint a new one.</w:t>
            </w:r>
            <w:r>
              <w:rPr>
                <w:rFonts w:ascii="Times New Roman" w:hAnsi="Times New Roman"/>
                <w:color w:val="000000"/>
                <w:sz w:val="20"/>
              </w:rPr>
              <w:br/>
              <w:t>10. Judicial proceedings relating to cover pool assets and covered bonds shall be stayed upon the opening of compulsory liquidation proceedings and shall continue in accordance with the law governing civil procedure when the special administrator assumes conduct of the proceedings or is called upon by the court to do so.</w:t>
            </w:r>
            <w:r>
              <w:rPr>
                <w:rFonts w:ascii="Times New Roman" w:hAnsi="Times New Roman"/>
                <w:color w:val="000000"/>
                <w:sz w:val="20"/>
              </w:rPr>
              <w:br/>
              <w:t>11. Paragraph 10 of this Article shall also apply to other proceedings in which the relevant provisions apply in the absence of specific provisions in this Law.</w:t>
            </w:r>
            <w:r>
              <w:rPr>
                <w:rFonts w:ascii="Times New Roman" w:hAnsi="Times New Roman"/>
                <w:color w:val="000000"/>
                <w:sz w:val="20"/>
              </w:rPr>
              <w:br/>
              <w:t>12. During the process of appointing the special administrator, the Authority shall consult the Bank of Albania. The appointment of the special administrator shall take effect immediately upon adoption of the relevant decision.</w:t>
            </w:r>
            <w:r>
              <w:rPr>
                <w:rFonts w:ascii="Times New Roman" w:hAnsi="Times New Roman"/>
                <w:color w:val="000000"/>
                <w:sz w:val="20"/>
              </w:rPr>
              <w:br/>
              <w:t>13. Following appointment of the special administrator, the Authority, in coordination with the Bank of Albania and in the context of compulsory liquidation proceedings, shall:</w:t>
            </w:r>
            <w:r>
              <w:rPr>
                <w:rFonts w:ascii="Times New Roman" w:hAnsi="Times New Roman"/>
                <w:color w:val="000000"/>
                <w:sz w:val="20"/>
              </w:rPr>
              <w:br/>
              <w:t>(a) ensure that the covered bonds and cover pool assets are placed under separate administration;</w:t>
            </w:r>
            <w:r>
              <w:rPr>
                <w:rFonts w:ascii="Times New Roman" w:hAnsi="Times New Roman"/>
                <w:color w:val="000000"/>
                <w:sz w:val="20"/>
              </w:rPr>
              <w:br/>
              <w:t>(b) ensure that those assets are segregated from the issuer’s other assets. In that case, continuity in the discharge of obligations towards investors shall be ensured.</w:t>
            </w:r>
            <w:r>
              <w:rPr>
                <w:rFonts w:ascii="Times New Roman" w:hAnsi="Times New Roman"/>
                <w:color w:val="000000"/>
                <w:sz w:val="20"/>
              </w:rPr>
              <w:br/>
            </w:r>
            <w:r>
              <w:rPr>
                <w:rFonts w:ascii="Times New Roman" w:hAnsi="Times New Roman"/>
                <w:color w:val="000000"/>
                <w:sz w:val="20"/>
              </w:rPr>
              <w:br/>
              <w:t>Article 35</w:t>
            </w:r>
            <w:r>
              <w:rPr>
                <w:rFonts w:ascii="Times New Roman" w:hAnsi="Times New Roman"/>
                <w:color w:val="000000"/>
                <w:sz w:val="20"/>
              </w:rPr>
              <w:br/>
            </w:r>
            <w:r>
              <w:rPr>
                <w:rFonts w:ascii="Times New Roman" w:hAnsi="Times New Roman"/>
                <w:color w:val="000000"/>
                <w:sz w:val="20"/>
              </w:rPr>
              <w:br/>
              <w:t>1. The special administrator shall protect the rights and interests of covered bond investors and shall have all rights, duties and powers previously held by the issuer’s management:</w:t>
            </w:r>
            <w:r>
              <w:rPr>
                <w:rFonts w:ascii="Times New Roman" w:hAnsi="Times New Roman"/>
                <w:color w:val="000000"/>
                <w:sz w:val="20"/>
              </w:rPr>
              <w:br/>
              <w:t>(a) in relation to the cover pool;</w:t>
            </w:r>
            <w:r>
              <w:rPr>
                <w:rFonts w:ascii="Times New Roman" w:hAnsi="Times New Roman"/>
                <w:color w:val="000000"/>
                <w:sz w:val="20"/>
              </w:rPr>
              <w:br/>
              <w:t>(b) in relation to the covered bonds.</w:t>
            </w:r>
            <w:r>
              <w:rPr>
                <w:rFonts w:ascii="Times New Roman" w:hAnsi="Times New Roman"/>
                <w:color w:val="000000"/>
                <w:sz w:val="20"/>
              </w:rPr>
              <w:br/>
              <w:t>The special administrator shall be authorised to extend the maturity of the covered bonds in accordance with the terms of the offer and this Law. The special administrator shall exercise the administrator’s powers independently and in the interests of covered bond investors.</w:t>
            </w:r>
            <w:r>
              <w:rPr>
                <w:rFonts w:ascii="Times New Roman" w:hAnsi="Times New Roman"/>
                <w:color w:val="000000"/>
                <w:sz w:val="20"/>
              </w:rPr>
              <w:br/>
              <w:t>2. The special administrator shall:</w:t>
            </w:r>
            <w:r>
              <w:rPr>
                <w:rFonts w:ascii="Times New Roman" w:hAnsi="Times New Roman"/>
                <w:color w:val="000000"/>
                <w:sz w:val="20"/>
              </w:rPr>
              <w:br/>
              <w:t>(a) collect claims due from the cover pool;</w:t>
            </w:r>
            <w:r>
              <w:rPr>
                <w:rFonts w:ascii="Times New Roman" w:hAnsi="Times New Roman"/>
                <w:color w:val="000000"/>
                <w:sz w:val="20"/>
              </w:rPr>
              <w:br/>
              <w:t>(b) pay claims due under the covered bonds in accordance with the terms of issuance;</w:t>
            </w:r>
            <w:r>
              <w:rPr>
                <w:rFonts w:ascii="Times New Roman" w:hAnsi="Times New Roman"/>
                <w:color w:val="000000"/>
                <w:sz w:val="20"/>
              </w:rPr>
              <w:br/>
              <w:t>(c) perform all legal acts necessary for collection;</w:t>
            </w:r>
            <w:r>
              <w:rPr>
                <w:rFonts w:ascii="Times New Roman" w:hAnsi="Times New Roman"/>
                <w:color w:val="000000"/>
                <w:sz w:val="20"/>
              </w:rPr>
              <w:br/>
              <w:t>(d) arrange for their sale or refinancing where this is in the interests of investors.</w:t>
            </w:r>
            <w:r>
              <w:rPr>
                <w:rFonts w:ascii="Times New Roman" w:hAnsi="Times New Roman"/>
                <w:color w:val="000000"/>
                <w:sz w:val="20"/>
              </w:rPr>
              <w:br/>
              <w:t>3. The special administrator shall ensure that all cover pool assets are segregated from the issuer’s other assets and, for that purpose, shall:</w:t>
            </w:r>
            <w:r>
              <w:rPr>
                <w:rFonts w:ascii="Times New Roman" w:hAnsi="Times New Roman"/>
                <w:color w:val="000000"/>
                <w:sz w:val="20"/>
              </w:rPr>
              <w:br/>
              <w:t>(a) be authorised to open separate accounts;</w:t>
            </w:r>
            <w:r>
              <w:rPr>
                <w:rFonts w:ascii="Times New Roman" w:hAnsi="Times New Roman"/>
                <w:color w:val="000000"/>
                <w:sz w:val="20"/>
              </w:rPr>
              <w:br/>
              <w:t>(b) take all legal steps necessary for full segregation from the liquidation estate.</w:t>
            </w:r>
            <w:r>
              <w:rPr>
                <w:rFonts w:ascii="Times New Roman" w:hAnsi="Times New Roman"/>
                <w:color w:val="000000"/>
                <w:sz w:val="20"/>
              </w:rPr>
              <w:br/>
              <w:t>The special administrator shall ensure the administration and preservation of cover pool assets so as to guarantee the discharge of obligations towards investors.</w:t>
            </w:r>
            <w:r>
              <w:rPr>
                <w:rFonts w:ascii="Times New Roman" w:hAnsi="Times New Roman"/>
                <w:color w:val="000000"/>
                <w:sz w:val="20"/>
              </w:rPr>
              <w:br/>
              <w:t>4. The special administrator shall represent the issuer in legal relations with third parties for the maintenance of the cover pool and in all proceedings for the protection of investors’ rights, including insolvency, civil and enforcement proceedings.</w:t>
            </w:r>
            <w:r>
              <w:rPr>
                <w:rFonts w:ascii="Times New Roman" w:hAnsi="Times New Roman"/>
                <w:color w:val="000000"/>
                <w:sz w:val="20"/>
              </w:rPr>
              <w:br/>
              <w:t>When acting in that capacity, the special administrator shall use the designation ‘covered bond programme’ and shall establish standing as ‘special administrator of the covered bond programme’. The administrator may engage legal representatives in the name of the issuer and for the account of investors. All rights and obligations arising from the administrator’s acts shall form part of the cover pool.</w:t>
            </w:r>
            <w:r>
              <w:rPr>
                <w:rFonts w:ascii="Times New Roman" w:hAnsi="Times New Roman"/>
                <w:color w:val="000000"/>
                <w:sz w:val="20"/>
              </w:rPr>
              <w:br/>
              <w:t>5. Where the proceeds from the cover pool are insufficient to repay claims in full on the maturity date, the special administrator shall pay them on a pro rata basis. The contractual terms shall govern the outstanding amount.</w:t>
            </w:r>
            <w:r>
              <w:rPr>
                <w:rFonts w:ascii="Times New Roman" w:hAnsi="Times New Roman"/>
                <w:color w:val="000000"/>
                <w:sz w:val="20"/>
              </w:rPr>
              <w:br/>
              <w:t>6. The special administrator and the Authority shall regularly exchange relevant information.</w:t>
            </w:r>
            <w:r>
              <w:rPr>
                <w:rFonts w:ascii="Times New Roman" w:hAnsi="Times New Roman"/>
                <w:color w:val="000000"/>
                <w:sz w:val="20"/>
              </w:rPr>
              <w:br/>
              <w:t>The special administrator shall also cooperate with the Bank of Albania and other relevant authorities for supervisory purposes and for the administration of the covered bond programme.</w:t>
            </w:r>
            <w:r>
              <w:rPr>
                <w:rFonts w:ascii="Times New Roman" w:hAnsi="Times New Roman"/>
                <w:color w:val="000000"/>
                <w:sz w:val="20"/>
              </w:rPr>
              <w:br/>
              <w:t>7. The special administrator may not interfere with the liquidation estate and may not request the inclusion of new assets from that estate in the cover pool.</w:t>
            </w:r>
            <w:r>
              <w:rPr>
                <w:rFonts w:ascii="Times New Roman" w:hAnsi="Times New Roman"/>
                <w:color w:val="000000"/>
                <w:sz w:val="20"/>
              </w:rPr>
              <w:br/>
              <w:t>8. During compulsory liquidation proceedings, the issuer’s liquidator:</w:t>
            </w:r>
            <w:r>
              <w:rPr>
                <w:rFonts w:ascii="Times New Roman" w:hAnsi="Times New Roman"/>
                <w:color w:val="000000"/>
                <w:sz w:val="20"/>
              </w:rPr>
              <w:br/>
              <w:t>(a) shall have no powers over the cover pool or the covered bonds;</w:t>
            </w:r>
            <w:r>
              <w:rPr>
                <w:rFonts w:ascii="Times New Roman" w:hAnsi="Times New Roman"/>
                <w:color w:val="000000"/>
                <w:sz w:val="20"/>
              </w:rPr>
              <w:br/>
              <w:t>(b) may not dispose of them.</w:t>
            </w:r>
            <w:r>
              <w:rPr>
                <w:rFonts w:ascii="Times New Roman" w:hAnsi="Times New Roman"/>
                <w:color w:val="000000"/>
                <w:sz w:val="20"/>
              </w:rPr>
              <w:br/>
              <w:t>The liquidator and the special administrator shall exchange the necessary information. The liquidator may examine the special administrator’s reports.</w:t>
            </w:r>
            <w:r>
              <w:rPr>
                <w:rFonts w:ascii="Times New Roman" w:hAnsi="Times New Roman"/>
                <w:color w:val="000000"/>
                <w:sz w:val="20"/>
              </w:rPr>
              <w:br/>
              <w:t>9. The special administrator’s costs shall be paid from the proceeds of the cover pool. The administrator may use the issuer’s resources where necessary.</w:t>
            </w:r>
            <w:r>
              <w:rPr>
                <w:rFonts w:ascii="Times New Roman" w:hAnsi="Times New Roman"/>
                <w:color w:val="000000"/>
                <w:sz w:val="20"/>
              </w:rPr>
              <w:br/>
              <w:t>Costs and liabilities relating to the administration of the covered bond programme shall be discharged as a matter of priority from the proceeds of the cover pool.</w:t>
            </w:r>
            <w:r>
              <w:rPr>
                <w:rFonts w:ascii="Times New Roman" w:hAnsi="Times New Roman"/>
                <w:color w:val="000000"/>
                <w:sz w:val="20"/>
              </w:rPr>
              <w:br/>
              <w:t>10. The provisions of the law governing insolvency shall apply mutatis mutandis to the remuneration and reimbursement of the special administrator’s expenses.</w:t>
            </w:r>
            <w:r>
              <w:rPr>
                <w:rFonts w:ascii="Times New Roman" w:hAnsi="Times New Roman"/>
                <w:color w:val="000000"/>
                <w:sz w:val="20"/>
              </w:rPr>
              <w:br/>
              <w:t>11. The Authority shall lay down by regulation detailed provisions on the rights and duties of the special administrator, including periodic reporting.</w:t>
            </w:r>
            <w:r>
              <w:rPr>
                <w:rFonts w:ascii="Times New Roman" w:hAnsi="Times New Roman"/>
                <w:color w:val="000000"/>
                <w:sz w:val="20"/>
              </w:rPr>
              <w:br/>
            </w:r>
            <w:r>
              <w:rPr>
                <w:rFonts w:ascii="Times New Roman" w:hAnsi="Times New Roman"/>
                <w:color w:val="000000"/>
                <w:sz w:val="20"/>
              </w:rPr>
              <w:br/>
              <w:t>Article 36</w:t>
            </w:r>
            <w:r>
              <w:rPr>
                <w:rFonts w:ascii="Times New Roman" w:hAnsi="Times New Roman"/>
                <w:color w:val="000000"/>
                <w:sz w:val="20"/>
              </w:rPr>
              <w:br/>
            </w:r>
            <w:r>
              <w:rPr>
                <w:rFonts w:ascii="Times New Roman" w:hAnsi="Times New Roman"/>
                <w:color w:val="000000"/>
                <w:sz w:val="20"/>
              </w:rPr>
              <w:br/>
              <w:t>1. The special administrator shall take all necessary steps to transfer the liabilities arising from the covered bonds and the cover pool to another credit institution having its registered office in the Republic of Albania, hereinafter referred to as the ‘acquirer’.</w:t>
            </w:r>
            <w:r>
              <w:rPr>
                <w:rFonts w:ascii="Times New Roman" w:hAnsi="Times New Roman"/>
                <w:color w:val="000000"/>
                <w:sz w:val="20"/>
              </w:rPr>
              <w:br/>
              <w:t>For that purpose, within 60 days of the opening of compulsory liquidation proceedings against the issuer, the special administrator shall create a restricted-access electronic database containing all information on the cover pool and covered bond liabilities, in order to enable potential acquirers to conduct a legal and economic assessment in accordance with the legislation on personal data protection.</w:t>
            </w:r>
            <w:r>
              <w:rPr>
                <w:rFonts w:ascii="Times New Roman" w:hAnsi="Times New Roman"/>
                <w:color w:val="000000"/>
                <w:sz w:val="20"/>
              </w:rPr>
              <w:br/>
              <w:t>2. The transfer shall be effected by means of a sale and purchase agreement between the issuer, represented by the special administrator, and the acquirer. The agreement shall contain:</w:t>
            </w:r>
            <w:r>
              <w:rPr>
                <w:rFonts w:ascii="Times New Roman" w:hAnsi="Times New Roman"/>
                <w:color w:val="000000"/>
                <w:sz w:val="20"/>
              </w:rPr>
              <w:br/>
              <w:t>(a) clear identification of the parties;</w:t>
            </w:r>
            <w:r>
              <w:rPr>
                <w:rFonts w:ascii="Times New Roman" w:hAnsi="Times New Roman"/>
                <w:color w:val="000000"/>
                <w:sz w:val="20"/>
              </w:rPr>
              <w:br/>
              <w:t>(b) a description of the cover pool and covered bonds;</w:t>
            </w:r>
            <w:r>
              <w:rPr>
                <w:rFonts w:ascii="Times New Roman" w:hAnsi="Times New Roman"/>
                <w:color w:val="000000"/>
                <w:sz w:val="20"/>
              </w:rPr>
              <w:br/>
              <w:t>(c) an express provision on the assumption of all liabilities by the acquirer;</w:t>
            </w:r>
            <w:r>
              <w:rPr>
                <w:rFonts w:ascii="Times New Roman" w:hAnsi="Times New Roman"/>
                <w:color w:val="000000"/>
                <w:sz w:val="20"/>
              </w:rPr>
              <w:br/>
              <w:t>(d) the sale price, which shall be paid into the issuer’s liquidation estate.</w:t>
            </w:r>
            <w:r>
              <w:rPr>
                <w:rFonts w:ascii="Times New Roman" w:hAnsi="Times New Roman"/>
                <w:color w:val="000000"/>
                <w:sz w:val="20"/>
              </w:rPr>
              <w:br/>
              <w:t>Liabilities under derivative contracts shall also be taken into account in determining the sale price and, where the value of the cover pool is equal to or lower than the total liabilities, the price may consist solely of the assumption of those liabilities.</w:t>
            </w:r>
            <w:r>
              <w:rPr>
                <w:rFonts w:ascii="Times New Roman" w:hAnsi="Times New Roman"/>
                <w:color w:val="000000"/>
                <w:sz w:val="20"/>
              </w:rPr>
              <w:br/>
              <w:t>3. The transfer agreement shall be notified to the Authority and the Bank of Albania and shall enter into force only after the Bank of Albania has given its prior consent and the Authority has subsequently given its consent. The prior consent of the Bank of Albania and the consent of the Authority shall be given without undue delay.</w:t>
            </w:r>
            <w:r>
              <w:rPr>
                <w:rFonts w:ascii="Times New Roman" w:hAnsi="Times New Roman"/>
                <w:color w:val="000000"/>
                <w:sz w:val="20"/>
              </w:rPr>
              <w:br/>
              <w:t>4. The provisions governing approval of a covered bond programme shall apply mutatis mutandis to approval of the agreement, without re-examining conditions that remain unchanged as a result of the transfer.</w:t>
            </w:r>
            <w:r>
              <w:rPr>
                <w:rFonts w:ascii="Times New Roman" w:hAnsi="Times New Roman"/>
                <w:color w:val="000000"/>
                <w:sz w:val="20"/>
              </w:rPr>
              <w:br/>
              <w:t>5. Following the transfer:</w:t>
            </w:r>
            <w:r>
              <w:rPr>
                <w:rFonts w:ascii="Times New Roman" w:hAnsi="Times New Roman"/>
                <w:color w:val="000000"/>
                <w:sz w:val="20"/>
              </w:rPr>
              <w:br/>
              <w:t>(a) investors and counterparties to derivative contracts shall have no claims against the issuer’s liquidation estate;</w:t>
            </w:r>
            <w:r>
              <w:rPr>
                <w:rFonts w:ascii="Times New Roman" w:hAnsi="Times New Roman"/>
                <w:color w:val="000000"/>
                <w:sz w:val="20"/>
              </w:rPr>
              <w:br/>
              <w:t>(b) any residual value from the cover pool shall pass to the acquirer.</w:t>
            </w:r>
            <w:r>
              <w:rPr>
                <w:rFonts w:ascii="Times New Roman" w:hAnsi="Times New Roman"/>
                <w:color w:val="000000"/>
                <w:sz w:val="20"/>
              </w:rPr>
              <w:br/>
              <w:t>6. The issuer shall remain liable to the acquirer for the existence of the claims at the time of transfer.</w:t>
            </w:r>
            <w:r>
              <w:rPr>
                <w:rFonts w:ascii="Times New Roman" w:hAnsi="Times New Roman"/>
                <w:color w:val="000000"/>
                <w:sz w:val="20"/>
              </w:rPr>
              <w:br/>
              <w:t>7. Upon the transfer:</w:t>
            </w:r>
            <w:r>
              <w:rPr>
                <w:rFonts w:ascii="Times New Roman" w:hAnsi="Times New Roman"/>
                <w:color w:val="000000"/>
                <w:sz w:val="20"/>
              </w:rPr>
              <w:br/>
              <w:t>(a) the acquirer shall assume all rights and obligations of the issuer towards investors and other contractual counterparties;</w:t>
            </w:r>
            <w:r>
              <w:rPr>
                <w:rFonts w:ascii="Times New Roman" w:hAnsi="Times New Roman"/>
                <w:color w:val="000000"/>
                <w:sz w:val="20"/>
              </w:rPr>
              <w:br/>
              <w:t>(b) the acquirer shall comply with the terms and conditions of the covered bonds.</w:t>
            </w:r>
            <w:r>
              <w:rPr>
                <w:rFonts w:ascii="Times New Roman" w:hAnsi="Times New Roman"/>
                <w:color w:val="000000"/>
                <w:sz w:val="20"/>
              </w:rPr>
              <w:br/>
              <w:t>8. Where the transfer is not completed within the procedural time limits laid down by the legislation in force, the special administrator shall, with the approval of the Authority and the prior consent of the Bank of Albania:</w:t>
            </w:r>
            <w:r>
              <w:rPr>
                <w:rFonts w:ascii="Times New Roman" w:hAnsi="Times New Roman"/>
                <w:color w:val="000000"/>
                <w:sz w:val="20"/>
              </w:rPr>
              <w:br/>
              <w:t>(a) organise the procedure for the transfer or sale of the cover pool;</w:t>
            </w:r>
            <w:r>
              <w:rPr>
                <w:rFonts w:ascii="Times New Roman" w:hAnsi="Times New Roman"/>
                <w:color w:val="000000"/>
                <w:sz w:val="20"/>
              </w:rPr>
              <w:br/>
              <w:t>(b) invite credit institutions in the Republic of Albania to express interest within 15 days.</w:t>
            </w:r>
            <w:r>
              <w:rPr>
                <w:rFonts w:ascii="Times New Roman" w:hAnsi="Times New Roman"/>
                <w:color w:val="000000"/>
                <w:sz w:val="20"/>
              </w:rPr>
              <w:br/>
              <w:t>9. Institutions expressing interest shall:</w:t>
            </w:r>
            <w:r>
              <w:rPr>
                <w:rFonts w:ascii="Times New Roman" w:hAnsi="Times New Roman"/>
                <w:color w:val="000000"/>
                <w:sz w:val="20"/>
              </w:rPr>
              <w:br/>
              <w:t>(a) be granted access to the relevant data;</w:t>
            </w:r>
            <w:r>
              <w:rPr>
                <w:rFonts w:ascii="Times New Roman" w:hAnsi="Times New Roman"/>
                <w:color w:val="000000"/>
                <w:sz w:val="20"/>
              </w:rPr>
              <w:br/>
              <w:t>(b) submit their offers within three months.</w:t>
            </w:r>
            <w:r>
              <w:rPr>
                <w:rFonts w:ascii="Times New Roman" w:hAnsi="Times New Roman"/>
                <w:color w:val="000000"/>
                <w:sz w:val="20"/>
              </w:rPr>
              <w:br/>
              <w:t>10. The court shall order conclusion of the agreement with the institution that submitted the highest offer. Where equal offers have been submitted, priority shall be given to the offer submitted first.</w:t>
            </w:r>
          </w:p>
        </w:tc>
        <w:tc>
          <w:tcPr>
            <w:tcW w:w="900" w:type="dxa"/>
          </w:tcPr>
          <w:p w14:paraId="53FF59F8" w14:textId="011DA92A" w:rsidR="003E7E51" w:rsidRPr="00DF12A5" w:rsidRDefault="006356F0">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62B6AEB" w14:textId="77777777" w:rsidR="003E7E51" w:rsidRPr="00DF12A5" w:rsidRDefault="003E7E51">
            <w:pPr>
              <w:spacing w:after="0" w:line="240" w:lineRule="auto"/>
              <w:jc w:val="both"/>
              <w:rPr>
                <w:rFonts w:ascii="Times New Roman" w:hAnsi="Times New Roman" w:cs="Times New Roman"/>
                <w:sz w:val="20"/>
                <w:szCs w:val="20"/>
                <w:lang w:val="sq-AL"/>
              </w:rPr>
            </w:pPr>
          </w:p>
        </w:tc>
      </w:tr>
      <w:tr w:rsidR="00606432" w:rsidRPr="00DF12A5" w14:paraId="617E6E7F" w14:textId="77777777" w:rsidTr="00BB0DAB">
        <w:tc>
          <w:tcPr>
            <w:tcW w:w="800" w:type="dxa"/>
            <w:tcBorders>
              <w:left w:val="single" w:sz="12" w:space="0" w:color="auto"/>
            </w:tcBorders>
          </w:tcPr>
          <w:p w14:paraId="15DA194A"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20, paragraph 3</w:t>
            </w:r>
          </w:p>
        </w:tc>
        <w:tc>
          <w:tcPr>
            <w:tcW w:w="5220" w:type="dxa"/>
            <w:tcBorders>
              <w:right w:val="single" w:sz="12" w:space="0" w:color="auto"/>
            </w:tcBorders>
          </w:tcPr>
          <w:p w14:paraId="6B08E0EE"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Member States provide for the appointment of a special administrator in accordance with paragraph 2, they shall adopt rules laying down the tasks and responsibilities of that special administrator at least in relation to:</w:t>
            </w:r>
            <w:r>
              <w:rPr>
                <w:rFonts w:ascii="Times New Roman" w:hAnsi="Times New Roman"/>
                <w:color w:val="000000"/>
                <w:sz w:val="20"/>
              </w:rPr>
              <w:br/>
              <w:t>(a) the discharge of the liabilities attached to the covered bonds;</w:t>
            </w:r>
            <w:r>
              <w:rPr>
                <w:rFonts w:ascii="Times New Roman" w:hAnsi="Times New Roman"/>
                <w:color w:val="000000"/>
                <w:sz w:val="20"/>
              </w:rPr>
              <w:br/>
              <w:t>(b) the management and realisation of cover assets, including their transfer together with covered bond liabilities to another credit institution issuing covered bonds;</w:t>
            </w:r>
            <w:r>
              <w:rPr>
                <w:rFonts w:ascii="Times New Roman" w:hAnsi="Times New Roman"/>
                <w:color w:val="000000"/>
                <w:sz w:val="20"/>
              </w:rPr>
              <w:br/>
              <w:t>(c) the legal transactions necessary for the proper administration of the cover pool, for the ongoing monitoring of the coverage of the liabilities attached to the covered bonds, for the initiation of proceedings in order to bring assets back into the cover pool and for the transferral of the remaining assets to the insolvency estate of the credit institution which issued the covered bonds after all covered bond liabilities have been discharged. For the purposes of point (c) of the first subparagraph, Member States may allow the special administrator to operate, in the case of the insolvency of the credit institution issuing the covered bonds, under the authorisation held by that credit institution, subject to the same operational requirements.</w:t>
            </w:r>
          </w:p>
        </w:tc>
        <w:tc>
          <w:tcPr>
            <w:tcW w:w="624" w:type="dxa"/>
            <w:tcBorders>
              <w:left w:val="single" w:sz="12" w:space="0" w:color="auto"/>
            </w:tcBorders>
          </w:tcPr>
          <w:p w14:paraId="18D21A6B" w14:textId="3AFD3543" w:rsidR="00606432"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C2FF7D3" w14:textId="77777777" w:rsidR="00307A73" w:rsidRDefault="00B82C36">
            <w:pPr>
              <w:spacing w:after="0" w:line="240" w:lineRule="auto"/>
              <w:jc w:val="both"/>
              <w:rPr>
                <w:rFonts w:ascii="Times New Roman" w:hAnsi="Times New Roman"/>
                <w:color w:val="000000"/>
                <w:sz w:val="20"/>
              </w:rPr>
            </w:pPr>
            <w:r>
              <w:rPr>
                <w:rFonts w:ascii="Times New Roman" w:hAnsi="Times New Roman"/>
                <w:color w:val="000000"/>
                <w:sz w:val="20"/>
              </w:rPr>
              <w:t xml:space="preserve">Article 27, paragraphs 4-5; </w:t>
            </w:r>
          </w:p>
          <w:p w14:paraId="752A18BA" w14:textId="77777777" w:rsidR="00307A73" w:rsidRDefault="00307A73">
            <w:pPr>
              <w:spacing w:after="0" w:line="240" w:lineRule="auto"/>
              <w:jc w:val="both"/>
              <w:rPr>
                <w:rFonts w:ascii="Times New Roman" w:hAnsi="Times New Roman"/>
                <w:color w:val="000000"/>
                <w:sz w:val="20"/>
              </w:rPr>
            </w:pPr>
          </w:p>
          <w:p w14:paraId="4F4C32D8" w14:textId="41D7216D"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Articles 35-36</w:t>
            </w:r>
          </w:p>
        </w:tc>
        <w:tc>
          <w:tcPr>
            <w:tcW w:w="5130" w:type="dxa"/>
          </w:tcPr>
          <w:p w14:paraId="3947563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27</w:t>
            </w:r>
            <w:r>
              <w:rPr>
                <w:rFonts w:ascii="Times New Roman" w:hAnsi="Times New Roman"/>
                <w:color w:val="000000"/>
                <w:sz w:val="20"/>
              </w:rPr>
              <w:br/>
            </w:r>
            <w:r>
              <w:rPr>
                <w:rFonts w:ascii="Times New Roman" w:hAnsi="Times New Roman"/>
                <w:color w:val="000000"/>
                <w:sz w:val="20"/>
              </w:rPr>
              <w:br/>
              <w:t>4. The duties and responsibilities of the special administrator shall include at least:</w:t>
            </w:r>
            <w:r>
              <w:rPr>
                <w:rFonts w:ascii="Times New Roman" w:hAnsi="Times New Roman"/>
                <w:color w:val="000000"/>
                <w:sz w:val="20"/>
              </w:rPr>
              <w:br/>
              <w:t>(a) discharging the obligations arising from the covered bonds;</w:t>
            </w:r>
            <w:r>
              <w:rPr>
                <w:rFonts w:ascii="Times New Roman" w:hAnsi="Times New Roman"/>
                <w:color w:val="000000"/>
                <w:sz w:val="20"/>
              </w:rPr>
              <w:br/>
              <w:t>(b) administering and realising the cover assets, including their transfer, together with the covered bond liabilities, to another credit institution issuing covered bonds;</w:t>
            </w:r>
            <w:r>
              <w:rPr>
                <w:rFonts w:ascii="Times New Roman" w:hAnsi="Times New Roman"/>
                <w:color w:val="000000"/>
                <w:sz w:val="20"/>
              </w:rPr>
              <w:br/>
              <w:t>(c) ensuring that amounts obtained from the collection of claims included in the statutory lien and from the liquidation of other assets included therein are used to repay the bonds and other claims secured by that lien, in accordance with the terms of the covered bond programme;</w:t>
            </w:r>
            <w:r>
              <w:rPr>
                <w:rFonts w:ascii="Times New Roman" w:hAnsi="Times New Roman"/>
                <w:color w:val="000000"/>
                <w:sz w:val="20"/>
              </w:rPr>
              <w:br/>
              <w:t>(d) performing the legal acts necessary for the proper administration of the cover pool, for the ongoing monitoring of coverage of covered bond liabilities, for taking action to restore assets to the cover pool and for transferring residual assets to the insolvency estate of the credit institution which issued the covered bonds after all liabilities attached to them have been discharged.</w:t>
            </w:r>
            <w:r>
              <w:rPr>
                <w:rFonts w:ascii="Times New Roman" w:hAnsi="Times New Roman"/>
                <w:color w:val="000000"/>
                <w:sz w:val="20"/>
              </w:rPr>
              <w:br/>
              <w:t>5. The special administrator shall have the qualifications, abilities and knowledge necessary to perform the administrator’s duties.</w:t>
            </w:r>
            <w:r>
              <w:rPr>
                <w:rFonts w:ascii="Times New Roman" w:hAnsi="Times New Roman"/>
                <w:color w:val="000000"/>
                <w:sz w:val="20"/>
              </w:rPr>
              <w:br/>
            </w:r>
            <w:r>
              <w:rPr>
                <w:rFonts w:ascii="Times New Roman" w:hAnsi="Times New Roman"/>
                <w:color w:val="000000"/>
                <w:sz w:val="20"/>
              </w:rPr>
              <w:br/>
              <w:t>Article 35</w:t>
            </w:r>
            <w:r>
              <w:rPr>
                <w:rFonts w:ascii="Times New Roman" w:hAnsi="Times New Roman"/>
                <w:color w:val="000000"/>
                <w:sz w:val="20"/>
              </w:rPr>
              <w:br/>
            </w:r>
            <w:r>
              <w:rPr>
                <w:rFonts w:ascii="Times New Roman" w:hAnsi="Times New Roman"/>
                <w:color w:val="000000"/>
                <w:sz w:val="20"/>
              </w:rPr>
              <w:br/>
              <w:t>1. The special administrator shall protect the rights and interests of covered bond investors and shall have all rights, duties and powers previously held by the issuer’s management:</w:t>
            </w:r>
            <w:r>
              <w:rPr>
                <w:rFonts w:ascii="Times New Roman" w:hAnsi="Times New Roman"/>
                <w:color w:val="000000"/>
                <w:sz w:val="20"/>
              </w:rPr>
              <w:br/>
              <w:t>(a) in relation to the cover pool;</w:t>
            </w:r>
            <w:r>
              <w:rPr>
                <w:rFonts w:ascii="Times New Roman" w:hAnsi="Times New Roman"/>
                <w:color w:val="000000"/>
                <w:sz w:val="20"/>
              </w:rPr>
              <w:br/>
              <w:t>(b) in relation to the covered bonds.</w:t>
            </w:r>
            <w:r>
              <w:rPr>
                <w:rFonts w:ascii="Times New Roman" w:hAnsi="Times New Roman"/>
                <w:color w:val="000000"/>
                <w:sz w:val="20"/>
              </w:rPr>
              <w:br/>
              <w:t>The special administrator shall be authorised to extend the maturity of the covered bonds in accordance with the terms of the offer and this Law. The special administrator shall exercise the administrator’s powers independently and in the interests of covered bond investors.</w:t>
            </w:r>
            <w:r>
              <w:rPr>
                <w:rFonts w:ascii="Times New Roman" w:hAnsi="Times New Roman"/>
                <w:color w:val="000000"/>
                <w:sz w:val="20"/>
              </w:rPr>
              <w:br/>
              <w:t>2. The special administrator shall:</w:t>
            </w:r>
            <w:r>
              <w:rPr>
                <w:rFonts w:ascii="Times New Roman" w:hAnsi="Times New Roman"/>
                <w:color w:val="000000"/>
                <w:sz w:val="20"/>
              </w:rPr>
              <w:br/>
              <w:t>(a) collect claims due from the cover pool;</w:t>
            </w:r>
            <w:r>
              <w:rPr>
                <w:rFonts w:ascii="Times New Roman" w:hAnsi="Times New Roman"/>
                <w:color w:val="000000"/>
                <w:sz w:val="20"/>
              </w:rPr>
              <w:br/>
              <w:t>(b) pay claims due under the covered bonds in accordance with the terms of issuance;</w:t>
            </w:r>
            <w:r>
              <w:rPr>
                <w:rFonts w:ascii="Times New Roman" w:hAnsi="Times New Roman"/>
                <w:color w:val="000000"/>
                <w:sz w:val="20"/>
              </w:rPr>
              <w:br/>
              <w:t>(c) perform all legal acts necessary for collection;</w:t>
            </w:r>
            <w:r>
              <w:rPr>
                <w:rFonts w:ascii="Times New Roman" w:hAnsi="Times New Roman"/>
                <w:color w:val="000000"/>
                <w:sz w:val="20"/>
              </w:rPr>
              <w:br/>
              <w:t>(d) arrange for their sale or refinancing where this is in the interests of investors.</w:t>
            </w:r>
            <w:r>
              <w:rPr>
                <w:rFonts w:ascii="Times New Roman" w:hAnsi="Times New Roman"/>
                <w:color w:val="000000"/>
                <w:sz w:val="20"/>
              </w:rPr>
              <w:br/>
              <w:t>3. The special administrator shall ensure that all cover pool assets are segregated from the issuer’s other assets and, for that purpose, shall:</w:t>
            </w:r>
            <w:r>
              <w:rPr>
                <w:rFonts w:ascii="Times New Roman" w:hAnsi="Times New Roman"/>
                <w:color w:val="000000"/>
                <w:sz w:val="20"/>
              </w:rPr>
              <w:br/>
              <w:t>(a) be authorised to open separate accounts;</w:t>
            </w:r>
            <w:r>
              <w:rPr>
                <w:rFonts w:ascii="Times New Roman" w:hAnsi="Times New Roman"/>
                <w:color w:val="000000"/>
                <w:sz w:val="20"/>
              </w:rPr>
              <w:br/>
              <w:t>(b) take all legal steps necessary for full segregation from the liquidation estate.</w:t>
            </w:r>
            <w:r>
              <w:rPr>
                <w:rFonts w:ascii="Times New Roman" w:hAnsi="Times New Roman"/>
                <w:color w:val="000000"/>
                <w:sz w:val="20"/>
              </w:rPr>
              <w:br/>
              <w:t>The special administrator shall ensure the administration and preservation of cover pool assets so as to guarantee the discharge of obligations towards investors.</w:t>
            </w:r>
            <w:r>
              <w:rPr>
                <w:rFonts w:ascii="Times New Roman" w:hAnsi="Times New Roman"/>
                <w:color w:val="000000"/>
                <w:sz w:val="20"/>
              </w:rPr>
              <w:br/>
              <w:t>4. The special administrator shall represent the issuer in legal relations with third parties for the maintenance of the cover pool and in all proceedings for the protection of investors’ rights, including insolvency, civil and enforcement proceedings.</w:t>
            </w:r>
            <w:r>
              <w:rPr>
                <w:rFonts w:ascii="Times New Roman" w:hAnsi="Times New Roman"/>
                <w:color w:val="000000"/>
                <w:sz w:val="20"/>
              </w:rPr>
              <w:br/>
              <w:t>When acting in that capacity, the special administrator shall use the designation ‘covered bond programme’ and shall establish standing as ‘special administrator of the covered bond programme’. The administrator may engage legal representatives in the name of the issuer and for the account of investors. All rights and obligations arising from the administrator’s acts shall form part of the cover pool.</w:t>
            </w:r>
            <w:r>
              <w:rPr>
                <w:rFonts w:ascii="Times New Roman" w:hAnsi="Times New Roman"/>
                <w:color w:val="000000"/>
                <w:sz w:val="20"/>
              </w:rPr>
              <w:br/>
              <w:t>5. Where the proceeds from the cover pool are insufficient to repay claims in full on the maturity date, the special administrator shall pay them on a pro rata basis. The contractual terms shall govern the outstanding amount.</w:t>
            </w:r>
            <w:r>
              <w:rPr>
                <w:rFonts w:ascii="Times New Roman" w:hAnsi="Times New Roman"/>
                <w:color w:val="000000"/>
                <w:sz w:val="20"/>
              </w:rPr>
              <w:br/>
              <w:t>6. The special administrator and the Authority shall regularly exchange relevant information.</w:t>
            </w:r>
            <w:r>
              <w:rPr>
                <w:rFonts w:ascii="Times New Roman" w:hAnsi="Times New Roman"/>
                <w:color w:val="000000"/>
                <w:sz w:val="20"/>
              </w:rPr>
              <w:br/>
              <w:t>The special administrator shall also cooperate with the Bank of Albania and other relevant authorities for supervisory purposes and for the administration of the covered bond programme.</w:t>
            </w:r>
            <w:r>
              <w:rPr>
                <w:rFonts w:ascii="Times New Roman" w:hAnsi="Times New Roman"/>
                <w:color w:val="000000"/>
                <w:sz w:val="20"/>
              </w:rPr>
              <w:br/>
              <w:t>7. The special administrator may not interfere with the liquidation estate and may not request the inclusion of new assets from that estate in the cover pool.</w:t>
            </w:r>
            <w:r>
              <w:rPr>
                <w:rFonts w:ascii="Times New Roman" w:hAnsi="Times New Roman"/>
                <w:color w:val="000000"/>
                <w:sz w:val="20"/>
              </w:rPr>
              <w:br/>
              <w:t>8. During compulsory liquidation proceedings, the issuer’s liquidator:</w:t>
            </w:r>
            <w:r>
              <w:rPr>
                <w:rFonts w:ascii="Times New Roman" w:hAnsi="Times New Roman"/>
                <w:color w:val="000000"/>
                <w:sz w:val="20"/>
              </w:rPr>
              <w:br/>
              <w:t>(a) shall have no powers over the cover pool or the covered bonds;</w:t>
            </w:r>
            <w:r>
              <w:rPr>
                <w:rFonts w:ascii="Times New Roman" w:hAnsi="Times New Roman"/>
                <w:color w:val="000000"/>
                <w:sz w:val="20"/>
              </w:rPr>
              <w:br/>
              <w:t>(b) may not dispose of them.</w:t>
            </w:r>
            <w:r>
              <w:rPr>
                <w:rFonts w:ascii="Times New Roman" w:hAnsi="Times New Roman"/>
                <w:color w:val="000000"/>
                <w:sz w:val="20"/>
              </w:rPr>
              <w:br/>
              <w:t>The liquidator and the special administrator shall exchange the necessary information. The liquidator may examine the special administrator’s reports.</w:t>
            </w:r>
            <w:r>
              <w:rPr>
                <w:rFonts w:ascii="Times New Roman" w:hAnsi="Times New Roman"/>
                <w:color w:val="000000"/>
                <w:sz w:val="20"/>
              </w:rPr>
              <w:br/>
              <w:t>9. The special administrator’s costs shall be paid from the proceeds of the cover pool. The administrator may use the issuer’s resources where necessary.</w:t>
            </w:r>
            <w:r>
              <w:rPr>
                <w:rFonts w:ascii="Times New Roman" w:hAnsi="Times New Roman"/>
                <w:color w:val="000000"/>
                <w:sz w:val="20"/>
              </w:rPr>
              <w:br/>
              <w:t>Costs and liabilities relating to the administration of the covered bond programme shall be discharged as a matter of priority from the proceeds of the cover pool.</w:t>
            </w:r>
            <w:r>
              <w:rPr>
                <w:rFonts w:ascii="Times New Roman" w:hAnsi="Times New Roman"/>
                <w:color w:val="000000"/>
                <w:sz w:val="20"/>
              </w:rPr>
              <w:br/>
              <w:t>10. The provisions of the law governing insolvency shall apply mutatis mutandis to the remuneration and reimbursement of the special administrator’s expenses.</w:t>
            </w:r>
            <w:r>
              <w:rPr>
                <w:rFonts w:ascii="Times New Roman" w:hAnsi="Times New Roman"/>
                <w:color w:val="000000"/>
                <w:sz w:val="20"/>
              </w:rPr>
              <w:br/>
              <w:t>11. The Authority shall lay down by regulation detailed provisions on the rights and duties of the special administrator, including periodic reporting.</w:t>
            </w:r>
            <w:r>
              <w:rPr>
                <w:rFonts w:ascii="Times New Roman" w:hAnsi="Times New Roman"/>
                <w:color w:val="000000"/>
                <w:sz w:val="20"/>
              </w:rPr>
              <w:br/>
            </w:r>
            <w:r>
              <w:rPr>
                <w:rFonts w:ascii="Times New Roman" w:hAnsi="Times New Roman"/>
                <w:color w:val="000000"/>
                <w:sz w:val="20"/>
              </w:rPr>
              <w:br/>
              <w:t>Article 36</w:t>
            </w:r>
            <w:r>
              <w:rPr>
                <w:rFonts w:ascii="Times New Roman" w:hAnsi="Times New Roman"/>
                <w:color w:val="000000"/>
                <w:sz w:val="20"/>
              </w:rPr>
              <w:br/>
            </w:r>
            <w:r>
              <w:rPr>
                <w:rFonts w:ascii="Times New Roman" w:hAnsi="Times New Roman"/>
                <w:color w:val="000000"/>
                <w:sz w:val="20"/>
              </w:rPr>
              <w:br/>
              <w:t>1. The special administrator shall take all necessary steps to transfer the liabilities arising from the covered bonds and the cover pool to another credit institution having its registered office in the Republic of Albania, hereinafter referred to as the ‘acquirer’.</w:t>
            </w:r>
            <w:r>
              <w:rPr>
                <w:rFonts w:ascii="Times New Roman" w:hAnsi="Times New Roman"/>
                <w:color w:val="000000"/>
                <w:sz w:val="20"/>
              </w:rPr>
              <w:br/>
              <w:t>For that purpose, within 60 days of the opening of compulsory liquidation proceedings against the issuer, the special administrator shall create a restricted-access electronic database containing all information on the cover pool and covered bond liabilities, in order to enable potential acquirers to conduct a legal and economic assessment in accordance with the legislation on personal data protection.</w:t>
            </w:r>
            <w:r>
              <w:rPr>
                <w:rFonts w:ascii="Times New Roman" w:hAnsi="Times New Roman"/>
                <w:color w:val="000000"/>
                <w:sz w:val="20"/>
              </w:rPr>
              <w:br/>
              <w:t>2. The transfer shall be effected by means of a sale and purchase agreement between the issuer, represented by the special administrator, and the acquirer. The agreement shall contain:</w:t>
            </w:r>
            <w:r>
              <w:rPr>
                <w:rFonts w:ascii="Times New Roman" w:hAnsi="Times New Roman"/>
                <w:color w:val="000000"/>
                <w:sz w:val="20"/>
              </w:rPr>
              <w:br/>
              <w:t>(a) clear identification of the parties;</w:t>
            </w:r>
            <w:r>
              <w:rPr>
                <w:rFonts w:ascii="Times New Roman" w:hAnsi="Times New Roman"/>
                <w:color w:val="000000"/>
                <w:sz w:val="20"/>
              </w:rPr>
              <w:br/>
              <w:t>(b) a description of the cover pool and covered bonds;</w:t>
            </w:r>
            <w:r>
              <w:rPr>
                <w:rFonts w:ascii="Times New Roman" w:hAnsi="Times New Roman"/>
                <w:color w:val="000000"/>
                <w:sz w:val="20"/>
              </w:rPr>
              <w:br/>
              <w:t>(c) an express provision on the assumption of all liabilities by the acquirer;</w:t>
            </w:r>
            <w:r>
              <w:rPr>
                <w:rFonts w:ascii="Times New Roman" w:hAnsi="Times New Roman"/>
                <w:color w:val="000000"/>
                <w:sz w:val="20"/>
              </w:rPr>
              <w:br/>
              <w:t>(d) the sale price, which shall be paid into the issuer’s liquidation estate.</w:t>
            </w:r>
            <w:r>
              <w:rPr>
                <w:rFonts w:ascii="Times New Roman" w:hAnsi="Times New Roman"/>
                <w:color w:val="000000"/>
                <w:sz w:val="20"/>
              </w:rPr>
              <w:br/>
              <w:t>Liabilities under derivative contracts shall also be taken into account in determining the sale price and, where the value of the cover pool is equal to or lower than the total liabilities, the price may consist solely of the assumption of those liabilities.</w:t>
            </w:r>
            <w:r>
              <w:rPr>
                <w:rFonts w:ascii="Times New Roman" w:hAnsi="Times New Roman"/>
                <w:color w:val="000000"/>
                <w:sz w:val="20"/>
              </w:rPr>
              <w:br/>
              <w:t>3. The transfer agreement shall be notified to the Authority and the Bank of Albania and shall enter into force only after the Bank of Albania has given its prior consent and the Authority has subsequently given its consent. The prior consent of the Bank of Albania and the consent of the Authority shall be given without undue delay.</w:t>
            </w:r>
            <w:r>
              <w:rPr>
                <w:rFonts w:ascii="Times New Roman" w:hAnsi="Times New Roman"/>
                <w:color w:val="000000"/>
                <w:sz w:val="20"/>
              </w:rPr>
              <w:br/>
              <w:t>4. The provisions governing approval of a covered bond programme shall apply mutatis mutandis to approval of the agreement, without re-examining conditions that remain unchanged as a result of the transfer.</w:t>
            </w:r>
            <w:r>
              <w:rPr>
                <w:rFonts w:ascii="Times New Roman" w:hAnsi="Times New Roman"/>
                <w:color w:val="000000"/>
                <w:sz w:val="20"/>
              </w:rPr>
              <w:br/>
              <w:t>5. Following the transfer:</w:t>
            </w:r>
            <w:r>
              <w:rPr>
                <w:rFonts w:ascii="Times New Roman" w:hAnsi="Times New Roman"/>
                <w:color w:val="000000"/>
                <w:sz w:val="20"/>
              </w:rPr>
              <w:br/>
              <w:t>(a) investors and counterparties to derivative contracts shall have no claims against the issuer’s liquidation estate;</w:t>
            </w:r>
            <w:r>
              <w:rPr>
                <w:rFonts w:ascii="Times New Roman" w:hAnsi="Times New Roman"/>
                <w:color w:val="000000"/>
                <w:sz w:val="20"/>
              </w:rPr>
              <w:br/>
              <w:t>(b) any residual value from the cover pool shall pass to the acquirer.</w:t>
            </w:r>
            <w:r>
              <w:rPr>
                <w:rFonts w:ascii="Times New Roman" w:hAnsi="Times New Roman"/>
                <w:color w:val="000000"/>
                <w:sz w:val="20"/>
              </w:rPr>
              <w:br/>
              <w:t>6. The issuer shall remain liable to the acquirer for the existence of the claims at the time of transfer.</w:t>
            </w:r>
            <w:r>
              <w:rPr>
                <w:rFonts w:ascii="Times New Roman" w:hAnsi="Times New Roman"/>
                <w:color w:val="000000"/>
                <w:sz w:val="20"/>
              </w:rPr>
              <w:br/>
              <w:t>7. Upon the transfer:</w:t>
            </w:r>
            <w:r>
              <w:rPr>
                <w:rFonts w:ascii="Times New Roman" w:hAnsi="Times New Roman"/>
                <w:color w:val="000000"/>
                <w:sz w:val="20"/>
              </w:rPr>
              <w:br/>
              <w:t>(a) the acquirer shall assume all rights and obligations of the issuer towards investors and other contractual counterparties;</w:t>
            </w:r>
            <w:r>
              <w:rPr>
                <w:rFonts w:ascii="Times New Roman" w:hAnsi="Times New Roman"/>
                <w:color w:val="000000"/>
                <w:sz w:val="20"/>
              </w:rPr>
              <w:br/>
              <w:t>(b) the acquirer shall comply with the terms and conditions of the covered bonds.</w:t>
            </w:r>
            <w:r>
              <w:rPr>
                <w:rFonts w:ascii="Times New Roman" w:hAnsi="Times New Roman"/>
                <w:color w:val="000000"/>
                <w:sz w:val="20"/>
              </w:rPr>
              <w:br/>
              <w:t>8. Where the transfer is not completed within the procedural time limits laid down by the legislation in force, the special administrator shall, with the approval of the Authority and the prior consent of the Bank of Albania:</w:t>
            </w:r>
            <w:r>
              <w:rPr>
                <w:rFonts w:ascii="Times New Roman" w:hAnsi="Times New Roman"/>
                <w:color w:val="000000"/>
                <w:sz w:val="20"/>
              </w:rPr>
              <w:br/>
              <w:t>(a) organise the procedure for the transfer or sale of the cover pool;</w:t>
            </w:r>
            <w:r>
              <w:rPr>
                <w:rFonts w:ascii="Times New Roman" w:hAnsi="Times New Roman"/>
                <w:color w:val="000000"/>
                <w:sz w:val="20"/>
              </w:rPr>
              <w:br/>
              <w:t>(b) invite credit institutions in the Republic of Albania to express interest within 15 days.</w:t>
            </w:r>
            <w:r>
              <w:rPr>
                <w:rFonts w:ascii="Times New Roman" w:hAnsi="Times New Roman"/>
                <w:color w:val="000000"/>
                <w:sz w:val="20"/>
              </w:rPr>
              <w:br/>
              <w:t>9. Institutions expressing interest shall:</w:t>
            </w:r>
            <w:r>
              <w:rPr>
                <w:rFonts w:ascii="Times New Roman" w:hAnsi="Times New Roman"/>
                <w:color w:val="000000"/>
                <w:sz w:val="20"/>
              </w:rPr>
              <w:br/>
              <w:t>(a) be granted access to the relevant data;</w:t>
            </w:r>
            <w:r>
              <w:rPr>
                <w:rFonts w:ascii="Times New Roman" w:hAnsi="Times New Roman"/>
                <w:color w:val="000000"/>
                <w:sz w:val="20"/>
              </w:rPr>
              <w:br/>
              <w:t>(b) submit their offers within three months.</w:t>
            </w:r>
            <w:r>
              <w:rPr>
                <w:rFonts w:ascii="Times New Roman" w:hAnsi="Times New Roman"/>
                <w:color w:val="000000"/>
                <w:sz w:val="20"/>
              </w:rPr>
              <w:br/>
              <w:t>10. The court shall order conclusion of the agreement with the institution that submitted the highest offer. Where equal offers have been submitted, priority shall be given to the offer submitted first.</w:t>
            </w:r>
          </w:p>
        </w:tc>
        <w:tc>
          <w:tcPr>
            <w:tcW w:w="900" w:type="dxa"/>
          </w:tcPr>
          <w:p w14:paraId="00C47732" w14:textId="242667A5" w:rsidR="003E7E51" w:rsidRPr="00DF12A5" w:rsidRDefault="006356F0">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C1D7782" w14:textId="77777777" w:rsidR="003E7E51" w:rsidRPr="00DF12A5" w:rsidRDefault="003E7E51">
            <w:pPr>
              <w:spacing w:after="0" w:line="240" w:lineRule="auto"/>
              <w:jc w:val="both"/>
              <w:rPr>
                <w:rFonts w:ascii="Times New Roman" w:hAnsi="Times New Roman" w:cs="Times New Roman"/>
                <w:sz w:val="20"/>
                <w:szCs w:val="20"/>
                <w:lang w:val="sq-AL"/>
              </w:rPr>
            </w:pPr>
          </w:p>
        </w:tc>
      </w:tr>
      <w:tr w:rsidR="00606432" w:rsidRPr="00DF12A5" w14:paraId="4D555DE4" w14:textId="77777777" w:rsidTr="00BB0DAB">
        <w:tc>
          <w:tcPr>
            <w:tcW w:w="800" w:type="dxa"/>
            <w:tcBorders>
              <w:left w:val="single" w:sz="12" w:space="0" w:color="auto"/>
            </w:tcBorders>
          </w:tcPr>
          <w:p w14:paraId="4A61F349"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20, paragraph 4</w:t>
            </w:r>
          </w:p>
        </w:tc>
        <w:tc>
          <w:tcPr>
            <w:tcW w:w="5220" w:type="dxa"/>
            <w:tcBorders>
              <w:right w:val="single" w:sz="12" w:space="0" w:color="auto"/>
            </w:tcBorders>
          </w:tcPr>
          <w:p w14:paraId="2ABF2451"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the coordination and exchange of information for the purposes of the insolvency or resolution process among the competent authorities designated pursuant to Article 18(2), the special administrator, where such an administrator has been appointed, and, in case of resolution, the resolution authority.</w:t>
            </w:r>
          </w:p>
        </w:tc>
        <w:tc>
          <w:tcPr>
            <w:tcW w:w="624" w:type="dxa"/>
            <w:tcBorders>
              <w:left w:val="single" w:sz="12" w:space="0" w:color="auto"/>
            </w:tcBorders>
          </w:tcPr>
          <w:p w14:paraId="01E10761" w14:textId="68A77CAA" w:rsidR="00606432"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0E4C07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27, paragraph 6; Articles 30 and 33</w:t>
            </w:r>
          </w:p>
        </w:tc>
        <w:tc>
          <w:tcPr>
            <w:tcW w:w="5130" w:type="dxa"/>
          </w:tcPr>
          <w:p w14:paraId="52B7B5B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27</w:t>
            </w:r>
            <w:r>
              <w:rPr>
                <w:rFonts w:ascii="Times New Roman" w:hAnsi="Times New Roman"/>
                <w:color w:val="000000"/>
                <w:sz w:val="20"/>
              </w:rPr>
              <w:br/>
            </w:r>
            <w:r>
              <w:rPr>
                <w:rFonts w:ascii="Times New Roman" w:hAnsi="Times New Roman"/>
                <w:color w:val="000000"/>
                <w:sz w:val="20"/>
              </w:rPr>
              <w:br/>
              <w:t>6. For the purposes of the insolvency or resolution process of the credit institution, information may be exchanged among the Authority, the special administrator and, in the event of resolution, the resolution authority.</w:t>
            </w:r>
            <w:r>
              <w:rPr>
                <w:rFonts w:ascii="Times New Roman" w:hAnsi="Times New Roman"/>
                <w:color w:val="000000"/>
                <w:sz w:val="20"/>
              </w:rPr>
              <w:br/>
            </w:r>
            <w:r>
              <w:rPr>
                <w:rFonts w:ascii="Times New Roman" w:hAnsi="Times New Roman"/>
                <w:color w:val="000000"/>
                <w:sz w:val="20"/>
              </w:rPr>
              <w:br/>
              <w:t>Article 30</w:t>
            </w:r>
            <w:r>
              <w:rPr>
                <w:rFonts w:ascii="Times New Roman" w:hAnsi="Times New Roman"/>
                <w:color w:val="000000"/>
                <w:sz w:val="20"/>
              </w:rPr>
              <w:br/>
            </w:r>
            <w:r>
              <w:rPr>
                <w:rFonts w:ascii="Times New Roman" w:hAnsi="Times New Roman"/>
                <w:color w:val="000000"/>
                <w:sz w:val="20"/>
              </w:rPr>
              <w:br/>
              <w:t>1. The Bank of Albania, as the supervisory authority for credit institutions and, where applicable, as the resolution authority, and the Authority shall cooperate closely and exchange all information necessary for the exercise of their supervisory duties in accordance with and for the implementation of this Law, including in the event of resolution of a credit institution issuing covered bonds.</w:t>
            </w:r>
            <w:r>
              <w:rPr>
                <w:rFonts w:ascii="Times New Roman" w:hAnsi="Times New Roman"/>
                <w:color w:val="000000"/>
                <w:sz w:val="20"/>
              </w:rPr>
              <w:br/>
              <w:t>2. The Bank of Albania and the Authority shall also cooperate with the competent authorities of Member States designated for the regulation and supervision of the issuance of covered bonds and for their public supervision, in accordance with their legislation in force transposing European Union legislation on covered bonds.</w:t>
            </w:r>
            <w:r>
              <w:rPr>
                <w:rFonts w:ascii="Times New Roman" w:hAnsi="Times New Roman"/>
                <w:color w:val="000000"/>
                <w:sz w:val="20"/>
              </w:rPr>
              <w:br/>
              <w:t>3. For the purposes of paragraphs 1 and 2 of this Article, cooperation shall include:</w:t>
            </w:r>
            <w:r>
              <w:rPr>
                <w:rFonts w:ascii="Times New Roman" w:hAnsi="Times New Roman"/>
                <w:color w:val="000000"/>
                <w:sz w:val="20"/>
              </w:rPr>
              <w:br/>
              <w:t>(a) the provision of all relevant information at the request of the Authority, the Bank of Albania or another competent authority referred to in paragraph 2 of this Article;</w:t>
            </w:r>
            <w:r>
              <w:rPr>
                <w:rFonts w:ascii="Times New Roman" w:hAnsi="Times New Roman"/>
                <w:color w:val="000000"/>
                <w:sz w:val="20"/>
              </w:rPr>
              <w:br/>
              <w:t>(b) the provision, on their own initiative, of any essential information to other competent authorities of Member States designated as responsible for the regulation of the issuance and supervision of covered bonds under the relevant legislation in force.</w:t>
            </w:r>
            <w:r>
              <w:rPr>
                <w:rFonts w:ascii="Times New Roman" w:hAnsi="Times New Roman"/>
                <w:color w:val="000000"/>
                <w:sz w:val="20"/>
              </w:rPr>
              <w:br/>
              <w:t>4. For the purposes of implementing this Law, the Bank of Albania and the Authority shall cooperate with the European Banking Authority (EBA) and, where relevant, with the European Securities and Markets Authority (ESMA).</w:t>
            </w:r>
            <w:r>
              <w:rPr>
                <w:rFonts w:ascii="Times New Roman" w:hAnsi="Times New Roman"/>
                <w:color w:val="000000"/>
                <w:sz w:val="20"/>
              </w:rPr>
              <w:br/>
              <w:t>5. For the purposes of this Article, information shall be considered essential where it could materially influence the assessment of the issuance of covered bonds, including an issuance in another Member State.</w:t>
            </w:r>
            <w:r>
              <w:rPr>
                <w:rFonts w:ascii="Times New Roman" w:hAnsi="Times New Roman"/>
                <w:color w:val="000000"/>
                <w:sz w:val="20"/>
              </w:rPr>
              <w:br/>
            </w:r>
            <w:r>
              <w:rPr>
                <w:rFonts w:ascii="Times New Roman" w:hAnsi="Times New Roman"/>
                <w:color w:val="000000"/>
                <w:sz w:val="20"/>
              </w:rPr>
              <w:br/>
              <w:t>Article 33</w:t>
            </w:r>
            <w:r>
              <w:rPr>
                <w:rFonts w:ascii="Times New Roman" w:hAnsi="Times New Roman"/>
                <w:color w:val="000000"/>
                <w:sz w:val="20"/>
              </w:rPr>
              <w:br/>
            </w:r>
            <w:r>
              <w:rPr>
                <w:rFonts w:ascii="Times New Roman" w:hAnsi="Times New Roman"/>
                <w:color w:val="000000"/>
                <w:sz w:val="20"/>
              </w:rPr>
              <w:br/>
              <w:t>1. The Authority shall cooperate with the Bank of Albania where early intervention or resolution measures are applied to the issuer, in order to ensure protection of the rights and interests of covered bond investors. Such cooperation shall include at least verifying that the covered bond programme continues to be administered soundly and properly throughout those procedures.</w:t>
            </w:r>
            <w:r>
              <w:rPr>
                <w:rFonts w:ascii="Times New Roman" w:hAnsi="Times New Roman"/>
                <w:color w:val="000000"/>
                <w:sz w:val="20"/>
              </w:rPr>
              <w:br/>
              <w:t>2. The Authority shall cooperate with the Bank of Albania and, where applicable, with the Albanian Deposit Insurance Agency and the special administrator, for the exchange of information and coordination of action in the context of early intervention, resolution or compulsory liquidation proceedings, in order to ensure protection of the rights and interests of covered bond investors.</w:t>
            </w:r>
            <w:r>
              <w:rPr>
                <w:rFonts w:ascii="Times New Roman" w:hAnsi="Times New Roman"/>
                <w:color w:val="000000"/>
                <w:sz w:val="20"/>
              </w:rPr>
              <w:br/>
              <w:t>3. In the event of compulsory liquidation of the issuer, the Authority shall cooperate with the Albanian Deposit Insurance Agency and the special administrator, which shall exchange the necessary information with each other in order to ensure, inter alia, verification of the continuous and proper administration of the covered bond programme throughout the liquidation proceedings.</w:t>
            </w:r>
            <w:r>
              <w:rPr>
                <w:rFonts w:ascii="Times New Roman" w:hAnsi="Times New Roman"/>
                <w:color w:val="000000"/>
                <w:sz w:val="20"/>
              </w:rPr>
              <w:br/>
              <w:t>4. Bodies performing functions in the context of early intervention, resolution or compulsory liquidation under the legislation in force governing credit institutions shall exercise their powers in such a manner as not to prejudice the exercise of rights arising from covered bonds, including rights over the cover pool, to which investors are entitled under this Law.</w:t>
            </w:r>
            <w:r>
              <w:rPr>
                <w:rFonts w:ascii="Times New Roman" w:hAnsi="Times New Roman"/>
                <w:color w:val="000000"/>
                <w:sz w:val="20"/>
              </w:rPr>
              <w:br/>
              <w:t>5. This Article shall be without prejudice to, and shall not restrict, the powers of the Authority under this Law.</w:t>
            </w:r>
          </w:p>
        </w:tc>
        <w:tc>
          <w:tcPr>
            <w:tcW w:w="900" w:type="dxa"/>
          </w:tcPr>
          <w:p w14:paraId="6CC26E2A" w14:textId="7EDE5D35" w:rsidR="003E7E51" w:rsidRPr="00DF12A5" w:rsidRDefault="006356F0">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A092ECD" w14:textId="77777777" w:rsidR="003E7E51" w:rsidRPr="00DF12A5" w:rsidRDefault="003E7E51">
            <w:pPr>
              <w:spacing w:after="0" w:line="240" w:lineRule="auto"/>
              <w:jc w:val="both"/>
              <w:rPr>
                <w:rFonts w:ascii="Times New Roman" w:hAnsi="Times New Roman" w:cs="Times New Roman"/>
                <w:sz w:val="20"/>
                <w:szCs w:val="20"/>
                <w:lang w:val="sq-AL"/>
              </w:rPr>
            </w:pPr>
          </w:p>
        </w:tc>
      </w:tr>
      <w:tr w:rsidR="00606432" w:rsidRPr="00DF12A5" w14:paraId="2AC51275" w14:textId="77777777" w:rsidTr="00BB0DAB">
        <w:tc>
          <w:tcPr>
            <w:tcW w:w="800" w:type="dxa"/>
            <w:tcBorders>
              <w:left w:val="single" w:sz="12" w:space="0" w:color="auto"/>
            </w:tcBorders>
          </w:tcPr>
          <w:p w14:paraId="5EFFD190"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21, paragraph 1</w:t>
            </w:r>
          </w:p>
        </w:tc>
        <w:tc>
          <w:tcPr>
            <w:tcW w:w="5220" w:type="dxa"/>
            <w:tcBorders>
              <w:right w:val="single" w:sz="12" w:space="0" w:color="auto"/>
            </w:tcBorders>
          </w:tcPr>
          <w:p w14:paraId="7766C972" w14:textId="77777777" w:rsidR="00606432" w:rsidRPr="00DF12A5" w:rsidRDefault="00606432" w:rsidP="00606432">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Reporting to the competent authorities</w:t>
            </w:r>
            <w:r>
              <w:rPr>
                <w:rFonts w:ascii="Times New Roman" w:hAnsi="Times New Roman"/>
                <w:color w:val="000000"/>
                <w:sz w:val="20"/>
              </w:rPr>
              <w:br/>
              <w:t>Member States shall ensure investor protection by requiring credit institutions issuing covered bonds to report the information set out in paragraph 2 on covered bond programmes to the competent authorities designated pursuant to Article 18(2). That reporting shall be carried out on a regular basis as well as at the request of those competent authorities. Member States shall lay down rules on the frequency of that regular reporting.</w:t>
            </w:r>
          </w:p>
        </w:tc>
        <w:tc>
          <w:tcPr>
            <w:tcW w:w="624" w:type="dxa"/>
            <w:tcBorders>
              <w:left w:val="single" w:sz="12" w:space="0" w:color="auto"/>
            </w:tcBorders>
          </w:tcPr>
          <w:p w14:paraId="3D4B227C" w14:textId="68C902C2" w:rsidR="00606432"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676C37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28, paragraph 1</w:t>
            </w:r>
          </w:p>
        </w:tc>
        <w:tc>
          <w:tcPr>
            <w:tcW w:w="5130" w:type="dxa"/>
          </w:tcPr>
          <w:p w14:paraId="1536877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Credit institutions issuing covered bonds shall submit to the Authority, on a regular basis every six months or whenever requested, reports on covered bond programmes containing the information set out in paragraph 2 of this Article.</w:t>
            </w:r>
          </w:p>
        </w:tc>
        <w:tc>
          <w:tcPr>
            <w:tcW w:w="900" w:type="dxa"/>
          </w:tcPr>
          <w:p w14:paraId="67F715F9" w14:textId="60121BC8" w:rsidR="003E7E51" w:rsidRPr="00DF12A5" w:rsidRDefault="006356F0">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D12F17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42FA1" w:rsidRPr="00DF12A5" w14:paraId="37B2989F" w14:textId="77777777" w:rsidTr="00BB0DAB">
        <w:tc>
          <w:tcPr>
            <w:tcW w:w="800" w:type="dxa"/>
            <w:tcBorders>
              <w:left w:val="single" w:sz="12" w:space="0" w:color="auto"/>
            </w:tcBorders>
          </w:tcPr>
          <w:p w14:paraId="6561D1E4" w14:textId="77777777" w:rsidR="00442FA1" w:rsidRPr="00DF12A5" w:rsidRDefault="00442FA1" w:rsidP="00442FA1">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21, paragraph 2</w:t>
            </w:r>
          </w:p>
        </w:tc>
        <w:tc>
          <w:tcPr>
            <w:tcW w:w="5220" w:type="dxa"/>
            <w:tcBorders>
              <w:right w:val="single" w:sz="12" w:space="0" w:color="auto"/>
            </w:tcBorders>
          </w:tcPr>
          <w:p w14:paraId="74BE0B4A" w14:textId="77777777" w:rsidR="00442FA1" w:rsidRPr="00DF12A5" w:rsidRDefault="00442FA1" w:rsidP="00442FA1">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reporting obligations to be laid down pursuant to paragraph 1 shall require that the information to be provided includes information on at least the following:</w:t>
            </w:r>
            <w:r>
              <w:rPr>
                <w:rFonts w:ascii="Times New Roman" w:hAnsi="Times New Roman"/>
                <w:color w:val="000000"/>
                <w:sz w:val="20"/>
              </w:rPr>
              <w:br/>
              <w:t>(a) the eligibility of assets and cover pool requirements in accordance with Articles 6 to 11;</w:t>
            </w:r>
            <w:r>
              <w:rPr>
                <w:rFonts w:ascii="Times New Roman" w:hAnsi="Times New Roman"/>
                <w:color w:val="000000"/>
                <w:sz w:val="20"/>
              </w:rPr>
              <w:br/>
              <w:t>(b) the segregation of cover assets in accordance with Article 12;</w:t>
            </w:r>
            <w:r>
              <w:rPr>
                <w:rFonts w:ascii="Times New Roman" w:hAnsi="Times New Roman"/>
                <w:color w:val="000000"/>
                <w:sz w:val="20"/>
              </w:rPr>
              <w:br/>
              <w:t>(c) where applicable, the functioning of the cover pool monitor in accordance with Article 13;</w:t>
            </w:r>
            <w:r>
              <w:rPr>
                <w:rFonts w:ascii="Times New Roman" w:hAnsi="Times New Roman"/>
                <w:color w:val="000000"/>
                <w:sz w:val="20"/>
              </w:rPr>
              <w:br/>
              <w:t>(d) the coverage requirements in accordance with Article 15;</w:t>
            </w:r>
            <w:r>
              <w:rPr>
                <w:rFonts w:ascii="Times New Roman" w:hAnsi="Times New Roman"/>
                <w:color w:val="000000"/>
                <w:sz w:val="20"/>
              </w:rPr>
              <w:br/>
              <w:t>(e) the cover pool liquidity buffer in accordance with Article 16;</w:t>
            </w:r>
            <w:r>
              <w:rPr>
                <w:rFonts w:ascii="Times New Roman" w:hAnsi="Times New Roman"/>
                <w:color w:val="000000"/>
                <w:sz w:val="20"/>
              </w:rPr>
              <w:br/>
              <w:t>(f) where applicable, the conditions for extendable maturity structures in accordance with Article 17.</w:t>
            </w:r>
          </w:p>
        </w:tc>
        <w:tc>
          <w:tcPr>
            <w:tcW w:w="624" w:type="dxa"/>
            <w:tcBorders>
              <w:left w:val="single" w:sz="12" w:space="0" w:color="auto"/>
            </w:tcBorders>
          </w:tcPr>
          <w:p w14:paraId="0A89C923" w14:textId="5443E64C" w:rsidR="00442FA1"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2F607D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28, paragraph 2</w:t>
            </w:r>
          </w:p>
        </w:tc>
        <w:tc>
          <w:tcPr>
            <w:tcW w:w="5130" w:type="dxa"/>
          </w:tcPr>
          <w:p w14:paraId="139707C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reports submitted to the Authority shall include at least information on the following:</w:t>
            </w:r>
            <w:r>
              <w:rPr>
                <w:rFonts w:ascii="Times New Roman" w:hAnsi="Times New Roman"/>
                <w:color w:val="000000"/>
                <w:sz w:val="20"/>
              </w:rPr>
              <w:br/>
              <w:t>(a) asset eligibility and cover pool requirements in accordance with Articles 7 to 12;</w:t>
            </w:r>
            <w:r>
              <w:rPr>
                <w:rFonts w:ascii="Times New Roman" w:hAnsi="Times New Roman"/>
                <w:color w:val="000000"/>
                <w:sz w:val="20"/>
              </w:rPr>
              <w:br/>
              <w:t>(b) segregation of cover assets in accordance with Article 11;</w:t>
            </w:r>
            <w:r>
              <w:rPr>
                <w:rFonts w:ascii="Times New Roman" w:hAnsi="Times New Roman"/>
                <w:color w:val="000000"/>
                <w:sz w:val="20"/>
              </w:rPr>
              <w:br/>
              <w:t>(c) the functioning of the cover pool monitor in accordance with Article 13;</w:t>
            </w:r>
            <w:r>
              <w:rPr>
                <w:rFonts w:ascii="Times New Roman" w:hAnsi="Times New Roman"/>
                <w:color w:val="000000"/>
                <w:sz w:val="20"/>
              </w:rPr>
              <w:br/>
              <w:t>(d) the coverage requirements in accordance with Article 16;</w:t>
            </w:r>
            <w:r>
              <w:rPr>
                <w:rFonts w:ascii="Times New Roman" w:hAnsi="Times New Roman"/>
                <w:color w:val="000000"/>
                <w:sz w:val="20"/>
              </w:rPr>
              <w:br/>
              <w:t>(e) the cover pool liquidity buffer in accordance with Article 17;</w:t>
            </w:r>
            <w:r>
              <w:rPr>
                <w:rFonts w:ascii="Times New Roman" w:hAnsi="Times New Roman"/>
                <w:color w:val="000000"/>
                <w:sz w:val="20"/>
              </w:rPr>
              <w:br/>
              <w:t>(f) the conditions for extendable maturity structures in accordance with Article 18.</w:t>
            </w:r>
          </w:p>
        </w:tc>
        <w:tc>
          <w:tcPr>
            <w:tcW w:w="900" w:type="dxa"/>
          </w:tcPr>
          <w:p w14:paraId="2411A313" w14:textId="7245735B" w:rsidR="003E7E51" w:rsidRPr="00DF12A5" w:rsidRDefault="006356F0">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3A9E492"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684A29A5" w14:textId="77777777" w:rsidTr="00BB0DAB">
        <w:tc>
          <w:tcPr>
            <w:tcW w:w="800" w:type="dxa"/>
            <w:tcBorders>
              <w:left w:val="single" w:sz="12" w:space="0" w:color="auto"/>
            </w:tcBorders>
          </w:tcPr>
          <w:p w14:paraId="5995CE99"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21, paragraph 3</w:t>
            </w:r>
          </w:p>
        </w:tc>
        <w:tc>
          <w:tcPr>
            <w:tcW w:w="5220" w:type="dxa"/>
            <w:tcBorders>
              <w:right w:val="single" w:sz="12" w:space="0" w:color="auto"/>
            </w:tcBorders>
          </w:tcPr>
          <w:p w14:paraId="63239E52"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provide for rules on the information to be provided under paragraph 2 by the credit institutions issuing covered bonds to the competent authorities designated pursuant to Article 18(2) in the event of the insolvency or resolution of a credit institution issuing covered bonds.</w:t>
            </w:r>
          </w:p>
        </w:tc>
        <w:tc>
          <w:tcPr>
            <w:tcW w:w="624" w:type="dxa"/>
            <w:tcBorders>
              <w:left w:val="single" w:sz="12" w:space="0" w:color="auto"/>
            </w:tcBorders>
          </w:tcPr>
          <w:p w14:paraId="687D885A" w14:textId="6961C21D" w:rsidR="00787224" w:rsidRPr="00DF12A5" w:rsidRDefault="006356F0"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2E4D95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28, paragraphs 3-5</w:t>
            </w:r>
          </w:p>
        </w:tc>
        <w:tc>
          <w:tcPr>
            <w:tcW w:w="5130" w:type="dxa"/>
          </w:tcPr>
          <w:p w14:paraId="1073712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The Authority may lay down more detailed rules concerning any additional information to be submitted by credit institutions issuing covered bonds.</w:t>
            </w:r>
            <w:r>
              <w:rPr>
                <w:rFonts w:ascii="Times New Roman" w:hAnsi="Times New Roman"/>
                <w:color w:val="000000"/>
                <w:sz w:val="20"/>
              </w:rPr>
              <w:br/>
              <w:t>4. In the event of insolvency or resolution, the issuing credit institution shall submit to the Authority any information relating to the protection of covered bond investors and the exercise of their rights. The Authority shall lay down rules concerning the information to be submitted pursuant to paragraph 2 of this Article in the event of insolvency or resolution of a credit institution issuing covered bonds. The issuer shall not be deemed to infringe any obligation relating to bank secrecy, trade secrets, personal data protection or any other obligation to preserve the confidentiality of data, whether arising by law, contract or any other legal basis, where the information relates to the cover pool and is disclosed to the Authority, to persons designated by it, and to:</w:t>
            </w:r>
            <w:r>
              <w:rPr>
                <w:rFonts w:ascii="Times New Roman" w:hAnsi="Times New Roman"/>
                <w:color w:val="000000"/>
                <w:sz w:val="20"/>
              </w:rPr>
              <w:br/>
              <w:t>(a) a credit institution in the context of a procedure in which another credit institution is considering the acquisition of the cover pool in accordance with this Law, including that institution’s independent advisers;</w:t>
            </w:r>
            <w:r>
              <w:rPr>
                <w:rFonts w:ascii="Times New Roman" w:hAnsi="Times New Roman"/>
                <w:color w:val="000000"/>
                <w:sz w:val="20"/>
              </w:rPr>
              <w:br/>
              <w:t>(b) the cover pool monitor and the special administrator;</w:t>
            </w:r>
            <w:r>
              <w:rPr>
                <w:rFonts w:ascii="Times New Roman" w:hAnsi="Times New Roman"/>
                <w:color w:val="000000"/>
                <w:sz w:val="20"/>
              </w:rPr>
              <w:br/>
              <w:t>(c) auditors and authorised asset valuers.</w:t>
            </w:r>
            <w:r>
              <w:rPr>
                <w:rFonts w:ascii="Times New Roman" w:hAnsi="Times New Roman"/>
                <w:color w:val="000000"/>
                <w:sz w:val="20"/>
              </w:rPr>
              <w:br/>
              <w:t>5. Persons who, pursuant to paragraph 4 of this Article, become aware of information constituting bank secrecy or a trade secret, and persons who become aware of debtors’ personal data, shall treat such information as confidential in accordance with the rules applicable to bank secrecy or trade secrets and with the legislation on personal data protection.</w:t>
            </w:r>
          </w:p>
        </w:tc>
        <w:tc>
          <w:tcPr>
            <w:tcW w:w="900" w:type="dxa"/>
          </w:tcPr>
          <w:p w14:paraId="37C8604C" w14:textId="2EC5F5AD" w:rsidR="003E7E51" w:rsidRPr="00DF12A5" w:rsidRDefault="00094DF3">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D2324D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4BD9E177" w14:textId="77777777" w:rsidTr="00BB0DAB">
        <w:tc>
          <w:tcPr>
            <w:tcW w:w="800" w:type="dxa"/>
            <w:tcBorders>
              <w:left w:val="single" w:sz="12" w:space="0" w:color="auto"/>
            </w:tcBorders>
          </w:tcPr>
          <w:p w14:paraId="002C8659"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22, paragraph 1</w:t>
            </w:r>
          </w:p>
        </w:tc>
        <w:tc>
          <w:tcPr>
            <w:tcW w:w="5220" w:type="dxa"/>
            <w:tcBorders>
              <w:right w:val="single" w:sz="12" w:space="0" w:color="auto"/>
            </w:tcBorders>
          </w:tcPr>
          <w:p w14:paraId="4AEBE81E"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Powers of competent authorities for the purposes of covered bond public supervision</w:t>
            </w:r>
            <w:r>
              <w:rPr>
                <w:rFonts w:ascii="Times New Roman" w:hAnsi="Times New Roman"/>
                <w:color w:val="000000"/>
                <w:sz w:val="20"/>
              </w:rPr>
              <w:br/>
              <w:t>Member States shall ensure investor protection by giving competent authorities designated pursuant to Article 18(2) all supervisory, investigatory and sanctioning powers that are necessary to perform the task of covered bond public supervision.</w:t>
            </w:r>
          </w:p>
        </w:tc>
        <w:tc>
          <w:tcPr>
            <w:tcW w:w="624" w:type="dxa"/>
            <w:tcBorders>
              <w:left w:val="single" w:sz="12" w:space="0" w:color="auto"/>
            </w:tcBorders>
          </w:tcPr>
          <w:p w14:paraId="57349A98" w14:textId="56251C55" w:rsidR="00787224" w:rsidRPr="00DF12A5" w:rsidRDefault="00094DF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81B8EF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29, paragraph 1</w:t>
            </w:r>
          </w:p>
        </w:tc>
        <w:tc>
          <w:tcPr>
            <w:tcW w:w="5130" w:type="dxa"/>
          </w:tcPr>
          <w:p w14:paraId="74475F3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In order to ensure investor protection, the Authority, as the competent authority responsible for covered bond public supervision, shall exercise all supervisory, investigatory and sanctioning powers necessary to perform its duties under this Law.</w:t>
            </w:r>
          </w:p>
        </w:tc>
        <w:tc>
          <w:tcPr>
            <w:tcW w:w="900" w:type="dxa"/>
          </w:tcPr>
          <w:p w14:paraId="711D56A9" w14:textId="2F7ADC81" w:rsidR="003E7E51" w:rsidRPr="00DF12A5" w:rsidRDefault="00094DF3">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D9297E5"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3F7ECC7A" w14:textId="77777777" w:rsidTr="00BB0DAB">
        <w:tc>
          <w:tcPr>
            <w:tcW w:w="800" w:type="dxa"/>
            <w:tcBorders>
              <w:left w:val="single" w:sz="12" w:space="0" w:color="auto"/>
            </w:tcBorders>
          </w:tcPr>
          <w:p w14:paraId="00AB71B1"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22, paragraph 2</w:t>
            </w:r>
          </w:p>
        </w:tc>
        <w:tc>
          <w:tcPr>
            <w:tcW w:w="5220" w:type="dxa"/>
            <w:tcBorders>
              <w:right w:val="single" w:sz="12" w:space="0" w:color="auto"/>
            </w:tcBorders>
          </w:tcPr>
          <w:p w14:paraId="4C355683"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powers referred to in paragraph 1 shall include at least the following:</w:t>
            </w:r>
            <w:r>
              <w:rPr>
                <w:rFonts w:ascii="Times New Roman" w:hAnsi="Times New Roman"/>
                <w:color w:val="000000"/>
                <w:sz w:val="20"/>
              </w:rPr>
              <w:br/>
              <w:t>(a) the power to grant or refuse permission pursuant to Article 19;</w:t>
            </w:r>
            <w:r>
              <w:rPr>
                <w:rFonts w:ascii="Times New Roman" w:hAnsi="Times New Roman"/>
                <w:color w:val="000000"/>
                <w:sz w:val="20"/>
              </w:rPr>
              <w:br/>
              <w:t>(b) the power to regularly review the covered bond programme in order to assess compliance with the provisions of national law transposing this Directive;</w:t>
            </w:r>
            <w:r>
              <w:rPr>
                <w:rFonts w:ascii="Times New Roman" w:hAnsi="Times New Roman"/>
                <w:color w:val="000000"/>
                <w:sz w:val="20"/>
              </w:rPr>
              <w:br/>
              <w:t>(c) the power to carry out on-site and off-site inspections;</w:t>
            </w:r>
            <w:r>
              <w:rPr>
                <w:rFonts w:ascii="Times New Roman" w:hAnsi="Times New Roman"/>
                <w:color w:val="000000"/>
                <w:sz w:val="20"/>
              </w:rPr>
              <w:br/>
              <w:t>(d) the power to impose administrative penalties and other administrative measures in accordance with the provisions of national law transposing Article 23;</w:t>
            </w:r>
            <w:r>
              <w:rPr>
                <w:rFonts w:ascii="Times New Roman" w:hAnsi="Times New Roman"/>
                <w:color w:val="000000"/>
                <w:sz w:val="20"/>
              </w:rPr>
              <w:br/>
              <w:t>(e) the power to adopt and implement supervisory guidelines relating to the issue of covered bonds.</w:t>
            </w:r>
          </w:p>
        </w:tc>
        <w:tc>
          <w:tcPr>
            <w:tcW w:w="624" w:type="dxa"/>
            <w:tcBorders>
              <w:left w:val="single" w:sz="12" w:space="0" w:color="auto"/>
            </w:tcBorders>
          </w:tcPr>
          <w:p w14:paraId="2D11F993" w14:textId="570490F6" w:rsidR="00787224" w:rsidRPr="00DF12A5" w:rsidRDefault="00094DF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5A03B4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29, paragraphs 2-4; Articles 24 and 41</w:t>
            </w:r>
          </w:p>
        </w:tc>
        <w:tc>
          <w:tcPr>
            <w:tcW w:w="5130" w:type="dxa"/>
          </w:tcPr>
          <w:p w14:paraId="0F0E88C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29</w:t>
            </w:r>
            <w:r>
              <w:rPr>
                <w:rFonts w:ascii="Times New Roman" w:hAnsi="Times New Roman"/>
                <w:color w:val="000000"/>
                <w:sz w:val="20"/>
              </w:rPr>
              <w:br/>
            </w:r>
            <w:r>
              <w:rPr>
                <w:rFonts w:ascii="Times New Roman" w:hAnsi="Times New Roman"/>
                <w:color w:val="000000"/>
                <w:sz w:val="20"/>
              </w:rPr>
              <w:br/>
              <w:t>2. The powers referred to in paragraph 1 of this Article shall include at least:</w:t>
            </w:r>
            <w:r>
              <w:rPr>
                <w:rFonts w:ascii="Times New Roman" w:hAnsi="Times New Roman"/>
                <w:color w:val="000000"/>
                <w:sz w:val="20"/>
              </w:rPr>
              <w:br/>
              <w:t>(a) the right to approve or refuse approval of a covered bond programme in accordance with this Law;</w:t>
            </w:r>
            <w:r>
              <w:rPr>
                <w:rFonts w:ascii="Times New Roman" w:hAnsi="Times New Roman"/>
                <w:color w:val="000000"/>
                <w:sz w:val="20"/>
              </w:rPr>
              <w:br/>
              <w:t>(b) the right to review the covered bond programme periodically in order to assess its compliance with this Law and the implementing acts adopted pursuant thereto;</w:t>
            </w:r>
            <w:r>
              <w:rPr>
                <w:rFonts w:ascii="Times New Roman" w:hAnsi="Times New Roman"/>
                <w:color w:val="000000"/>
                <w:sz w:val="20"/>
              </w:rPr>
              <w:br/>
              <w:t>(c) the right to carry out on-site and off-site supervision;</w:t>
            </w:r>
            <w:r>
              <w:rPr>
                <w:rFonts w:ascii="Times New Roman" w:hAnsi="Times New Roman"/>
                <w:color w:val="000000"/>
                <w:sz w:val="20"/>
              </w:rPr>
              <w:br/>
              <w:t>(d) the right to adopt supervisory measures and impose administrative sanctions in accordance with this Law and the relevant legislation in force;</w:t>
            </w:r>
            <w:r>
              <w:rPr>
                <w:rFonts w:ascii="Times New Roman" w:hAnsi="Times New Roman"/>
                <w:color w:val="000000"/>
                <w:sz w:val="20"/>
              </w:rPr>
              <w:br/>
              <w:t>(e) the right to adopt and implement supervisory guidelines relating to the issuance of covered bonds.</w:t>
            </w:r>
            <w:r>
              <w:rPr>
                <w:rFonts w:ascii="Times New Roman" w:hAnsi="Times New Roman"/>
                <w:color w:val="000000"/>
                <w:sz w:val="20"/>
              </w:rPr>
              <w:br/>
              <w:t>3. In exercising its powers, the Authority shall cooperate with the Bank of Albania, which, in accordance with the legislation on credit institutions, shall:</w:t>
            </w:r>
            <w:r>
              <w:rPr>
                <w:rFonts w:ascii="Times New Roman" w:hAnsi="Times New Roman"/>
                <w:color w:val="000000"/>
                <w:sz w:val="20"/>
              </w:rPr>
              <w:br/>
              <w:t>(a) carry out checks and assessments of the issuer’s financial situation, risk management and compliance with regulatory requirements;</w:t>
            </w:r>
            <w:r>
              <w:rPr>
                <w:rFonts w:ascii="Times New Roman" w:hAnsi="Times New Roman"/>
                <w:color w:val="000000"/>
                <w:sz w:val="20"/>
              </w:rPr>
              <w:br/>
              <w:t>(b) make available to the Authority the information and data in its possession in the exercise of its supervisory powers;</w:t>
            </w:r>
            <w:r>
              <w:rPr>
                <w:rFonts w:ascii="Times New Roman" w:hAnsi="Times New Roman"/>
                <w:color w:val="000000"/>
                <w:sz w:val="20"/>
              </w:rPr>
              <w:br/>
              <w:t>(c) immediately notify the Authority of any circumstance that may affect the compliance of the issuer or the covered bond programme with this Law.</w:t>
            </w:r>
            <w:r>
              <w:rPr>
                <w:rFonts w:ascii="Times New Roman" w:hAnsi="Times New Roman"/>
                <w:color w:val="000000"/>
                <w:sz w:val="20"/>
              </w:rPr>
              <w:br/>
              <w:t>4. The Authority shall supervise the issuer, the cover pool monitor and the special administrator in order to verify that their activities comply with this Law and the implementing acts adopted pursuant thereto. In exercising that power, the Authority shall act in accordance with the legislation governing the capital market and the supervisory procedures in force, and in coordination with the Bank of Albania, without prejudice to the latter’s powers under the legislation governing the supervision of credit institutions.</w:t>
            </w:r>
            <w:r>
              <w:rPr>
                <w:rFonts w:ascii="Times New Roman" w:hAnsi="Times New Roman"/>
                <w:color w:val="000000"/>
                <w:sz w:val="20"/>
              </w:rPr>
              <w:br/>
            </w:r>
            <w:r>
              <w:rPr>
                <w:rFonts w:ascii="Times New Roman" w:hAnsi="Times New Roman"/>
                <w:color w:val="000000"/>
                <w:sz w:val="20"/>
              </w:rPr>
              <w:br/>
              <w:t>Article 24</w:t>
            </w:r>
            <w:r>
              <w:rPr>
                <w:rFonts w:ascii="Times New Roman" w:hAnsi="Times New Roman"/>
                <w:color w:val="000000"/>
                <w:sz w:val="20"/>
              </w:rPr>
              <w:br/>
            </w:r>
            <w:r>
              <w:rPr>
                <w:rFonts w:ascii="Times New Roman" w:hAnsi="Times New Roman"/>
                <w:color w:val="000000"/>
                <w:sz w:val="20"/>
              </w:rPr>
              <w:br/>
              <w:t>1. The Authority may revoke approval of a covered bond programme where:</w:t>
            </w:r>
            <w:r>
              <w:rPr>
                <w:rFonts w:ascii="Times New Roman" w:hAnsi="Times New Roman"/>
                <w:color w:val="000000"/>
                <w:sz w:val="20"/>
              </w:rPr>
              <w:br/>
              <w:t>(a) the issuer submitted false or misleading information or documents when applying for approval;</w:t>
            </w:r>
            <w:r>
              <w:rPr>
                <w:rFonts w:ascii="Times New Roman" w:hAnsi="Times New Roman"/>
                <w:color w:val="000000"/>
                <w:sz w:val="20"/>
              </w:rPr>
              <w:br/>
              <w:t>(b) the issuer no longer meets the conditions for approval of the covered bond programme;</w:t>
            </w:r>
            <w:r>
              <w:rPr>
                <w:rFonts w:ascii="Times New Roman" w:hAnsi="Times New Roman"/>
                <w:color w:val="000000"/>
                <w:sz w:val="20"/>
              </w:rPr>
              <w:br/>
              <w:t>(c) the issuer has repeatedly or materially infringed the provisions of this Law or the implementing acts adopted pursuant to it;</w:t>
            </w:r>
            <w:r>
              <w:rPr>
                <w:rFonts w:ascii="Times New Roman" w:hAnsi="Times New Roman"/>
                <w:color w:val="000000"/>
                <w:sz w:val="20"/>
              </w:rPr>
              <w:br/>
              <w:t>(d) the issuer has, through its activities, obstructed the exercise of supervision by the Authority;</w:t>
            </w:r>
            <w:r>
              <w:rPr>
                <w:rFonts w:ascii="Times New Roman" w:hAnsi="Times New Roman"/>
                <w:color w:val="000000"/>
                <w:sz w:val="20"/>
              </w:rPr>
              <w:br/>
              <w:t>(e) the issuer is unable to comply with financial or other obligations relating to the covered bonds, or its activities materially prejudice the interests of investors or the orderly functioning of the market;</w:t>
            </w:r>
            <w:r>
              <w:rPr>
                <w:rFonts w:ascii="Times New Roman" w:hAnsi="Times New Roman"/>
                <w:color w:val="000000"/>
                <w:sz w:val="20"/>
              </w:rPr>
              <w:br/>
              <w:t>(f) the issuer has failed to comply, within the specified time limit or to the required extent, with an order or measure imposed by the Authority;</w:t>
            </w:r>
            <w:r>
              <w:rPr>
                <w:rFonts w:ascii="Times New Roman" w:hAnsi="Times New Roman"/>
                <w:color w:val="000000"/>
                <w:sz w:val="20"/>
              </w:rPr>
              <w:br/>
              <w:t>(g) the issuer has not carried out any new issuance of covered bonds within five years from the date of approval of the programme or from the full repayment of all covered bonds previously issued.</w:t>
            </w:r>
            <w:r>
              <w:rPr>
                <w:rFonts w:ascii="Times New Roman" w:hAnsi="Times New Roman"/>
                <w:color w:val="000000"/>
                <w:sz w:val="20"/>
              </w:rPr>
              <w:br/>
              <w:t>2. Revocation of approval of the programme shall not affect the rights and obligations arising from covered bonds issued before the date of revocation, but shall prohibit new issuances under the programme.</w:t>
            </w:r>
            <w:r>
              <w:rPr>
                <w:rFonts w:ascii="Times New Roman" w:hAnsi="Times New Roman"/>
                <w:color w:val="000000"/>
                <w:sz w:val="20"/>
              </w:rPr>
              <w:br/>
            </w:r>
            <w:r>
              <w:rPr>
                <w:rFonts w:ascii="Times New Roman" w:hAnsi="Times New Roman"/>
                <w:color w:val="000000"/>
                <w:sz w:val="20"/>
              </w:rPr>
              <w:br/>
              <w:t>Article 41</w:t>
            </w:r>
            <w:r>
              <w:rPr>
                <w:rFonts w:ascii="Times New Roman" w:hAnsi="Times New Roman"/>
                <w:color w:val="000000"/>
                <w:sz w:val="20"/>
              </w:rPr>
              <w:br/>
            </w:r>
            <w:r>
              <w:rPr>
                <w:rFonts w:ascii="Times New Roman" w:hAnsi="Times New Roman"/>
                <w:color w:val="000000"/>
                <w:sz w:val="20"/>
              </w:rPr>
              <w:br/>
              <w:t>1. Without prejudice to the supervisory powers of the Bank of Albania and the Financial Supervisory Authority under the legislation in force, the Authority shall adopt supervisory measures and impose sanctions, separately or cumulatively, on the issuing credit institution, members of its management body or any other responsible person, where the credit institution:</w:t>
            </w:r>
            <w:r>
              <w:rPr>
                <w:rFonts w:ascii="Times New Roman" w:hAnsi="Times New Roman"/>
                <w:color w:val="000000"/>
                <w:sz w:val="20"/>
              </w:rPr>
              <w:br/>
              <w:t>(a) has obtained approval for a covered bond programme by means of false statements or other irregular means;</w:t>
            </w:r>
            <w:r>
              <w:rPr>
                <w:rFonts w:ascii="Times New Roman" w:hAnsi="Times New Roman"/>
                <w:color w:val="000000"/>
                <w:sz w:val="20"/>
              </w:rPr>
              <w:br/>
              <w:t>(b) no longer meets the conditions under which approval for a covered bond programme was granted;</w:t>
            </w:r>
            <w:r>
              <w:rPr>
                <w:rFonts w:ascii="Times New Roman" w:hAnsi="Times New Roman"/>
                <w:color w:val="000000"/>
                <w:sz w:val="20"/>
              </w:rPr>
              <w:br/>
              <w:t>(c) issues covered bonds without obtaining approval under Article 21 of this Law;</w:t>
            </w:r>
            <w:r>
              <w:rPr>
                <w:rFonts w:ascii="Times New Roman" w:hAnsi="Times New Roman"/>
                <w:color w:val="000000"/>
                <w:sz w:val="20"/>
              </w:rPr>
              <w:br/>
              <w:t>(d) fails to comply with the requirements for eligible assets laid down in Article 6 of this Law;</w:t>
            </w:r>
            <w:r>
              <w:rPr>
                <w:rFonts w:ascii="Times New Roman" w:hAnsi="Times New Roman"/>
                <w:color w:val="000000"/>
                <w:sz w:val="20"/>
              </w:rPr>
              <w:br/>
              <w:t>(e) issues covered bonds that are not covered in accordance with Article 7 of this Law;</w:t>
            </w:r>
            <w:r>
              <w:rPr>
                <w:rFonts w:ascii="Times New Roman" w:hAnsi="Times New Roman"/>
                <w:color w:val="000000"/>
                <w:sz w:val="20"/>
              </w:rPr>
              <w:br/>
              <w:t>(f) includes covered bonds in an intragroup pooled covered bond structure contrary to the requirements of Article 7 of this Law;</w:t>
            </w:r>
            <w:r>
              <w:rPr>
                <w:rFonts w:ascii="Times New Roman" w:hAnsi="Times New Roman"/>
                <w:color w:val="000000"/>
                <w:sz w:val="20"/>
              </w:rPr>
              <w:br/>
              <w:t>(g) fails to comply with the conditions for joint funding laid down in Article 8 of this Law;</w:t>
            </w:r>
            <w:r>
              <w:rPr>
                <w:rFonts w:ascii="Times New Roman" w:hAnsi="Times New Roman"/>
                <w:color w:val="000000"/>
                <w:sz w:val="20"/>
              </w:rPr>
              <w:br/>
              <w:t>(h) fails to comply with the requirements concerning the composition of the cover pool laid down in Article 9 of this Law;</w:t>
            </w:r>
            <w:r>
              <w:rPr>
                <w:rFonts w:ascii="Times New Roman" w:hAnsi="Times New Roman"/>
                <w:color w:val="000000"/>
                <w:sz w:val="20"/>
              </w:rPr>
              <w:br/>
              <w:t>(i) fails to comply with the requirements concerning derivative contracts in the cover pool laid down in Article 10 of this Law;</w:t>
            </w:r>
            <w:r>
              <w:rPr>
                <w:rFonts w:ascii="Times New Roman" w:hAnsi="Times New Roman"/>
                <w:color w:val="000000"/>
                <w:sz w:val="20"/>
              </w:rPr>
              <w:br/>
              <w:t>(j) fails to comply with the requirements concerning segregation of cover assets in accordance with Article 11 of this Law;</w:t>
            </w:r>
            <w:r>
              <w:rPr>
                <w:rFonts w:ascii="Times New Roman" w:hAnsi="Times New Roman"/>
                <w:color w:val="000000"/>
                <w:sz w:val="20"/>
              </w:rPr>
              <w:br/>
              <w:t>(k) fails to report information or provides incomplete or inaccurate information to investors in breach of Article 14 of this Law;</w:t>
            </w:r>
            <w:r>
              <w:rPr>
                <w:rFonts w:ascii="Times New Roman" w:hAnsi="Times New Roman"/>
                <w:color w:val="000000"/>
                <w:sz w:val="20"/>
              </w:rPr>
              <w:br/>
              <w:t>(l) repeatedly or persistently fails to maintain the cover pool liquidity buffer in breach of Article 17 of this Law;</w:t>
            </w:r>
            <w:r>
              <w:rPr>
                <w:rFonts w:ascii="Times New Roman" w:hAnsi="Times New Roman"/>
                <w:color w:val="000000"/>
                <w:sz w:val="20"/>
              </w:rPr>
              <w:br/>
              <w:t>(m) where it issues covered bonds with extendable maturity structures, fails to comply with the relevant requirements laid down in Article 18 of this Law;</w:t>
            </w:r>
            <w:r>
              <w:rPr>
                <w:rFonts w:ascii="Times New Roman" w:hAnsi="Times New Roman"/>
                <w:color w:val="000000"/>
                <w:sz w:val="20"/>
              </w:rPr>
              <w:br/>
              <w:t>(n) fails to report information or provides incomplete or inaccurate information concerning its obligations in breach of Article 28 of this Law;</w:t>
            </w:r>
            <w:r>
              <w:rPr>
                <w:rFonts w:ascii="Times New Roman" w:hAnsi="Times New Roman"/>
                <w:color w:val="000000"/>
                <w:sz w:val="20"/>
              </w:rPr>
              <w:br/>
              <w:t>(o) fails to comply with other obligations arising from this Law or from the implementing acts adopted pursuant thereto.</w:t>
            </w:r>
            <w:r>
              <w:rPr>
                <w:rFonts w:ascii="Times New Roman" w:hAnsi="Times New Roman"/>
                <w:color w:val="000000"/>
                <w:sz w:val="20"/>
              </w:rPr>
              <w:br/>
              <w:t>2. The supervisory measures provided for in this Article shall be effective, proportionate and dissuasive.</w:t>
            </w:r>
            <w:r>
              <w:rPr>
                <w:rFonts w:ascii="Times New Roman" w:hAnsi="Times New Roman"/>
                <w:color w:val="000000"/>
                <w:sz w:val="20"/>
              </w:rPr>
              <w:br/>
              <w:t>3. In respect of all circumstances referred to in paragraph 1 of this Article, the Authority may adopt one or more of the following supervisory measures:</w:t>
            </w:r>
            <w:r>
              <w:rPr>
                <w:rFonts w:ascii="Times New Roman" w:hAnsi="Times New Roman"/>
                <w:color w:val="000000"/>
                <w:sz w:val="20"/>
              </w:rPr>
              <w:br/>
              <w:t>(a) revoke approval of the covered bond programme in accordance with Article 24 of this Law;</w:t>
            </w:r>
            <w:r>
              <w:rPr>
                <w:rFonts w:ascii="Times New Roman" w:hAnsi="Times New Roman"/>
                <w:color w:val="000000"/>
                <w:sz w:val="20"/>
              </w:rPr>
              <w:br/>
              <w:t>(b) publish a statement identifying the natural or legal person and the nature of the infringement;</w:t>
            </w:r>
            <w:r>
              <w:rPr>
                <w:rFonts w:ascii="Times New Roman" w:hAnsi="Times New Roman"/>
                <w:color w:val="000000"/>
                <w:sz w:val="20"/>
              </w:rPr>
              <w:br/>
              <w:t>(c) order the natural or legal person to cease the conduct and to desist from a repetition of that conduct;</w:t>
            </w:r>
            <w:r>
              <w:rPr>
                <w:rFonts w:ascii="Times New Roman" w:hAnsi="Times New Roman"/>
                <w:color w:val="000000"/>
                <w:sz w:val="20"/>
              </w:rPr>
              <w:br/>
              <w:t>(d) issue an order requiring the infringement to be remedied or deficiencies to be addressed within a specified period;</w:t>
            </w:r>
            <w:r>
              <w:rPr>
                <w:rFonts w:ascii="Times New Roman" w:hAnsi="Times New Roman"/>
                <w:color w:val="000000"/>
                <w:sz w:val="20"/>
              </w:rPr>
              <w:br/>
              <w:t>(e) temporarily suspend members of the management body from performing management functions until the infringements are remedied;</w:t>
            </w:r>
            <w:r>
              <w:rPr>
                <w:rFonts w:ascii="Times New Roman" w:hAnsi="Times New Roman"/>
                <w:color w:val="000000"/>
                <w:sz w:val="20"/>
              </w:rPr>
              <w:br/>
              <w:t>(f) temporarily prohibit issuances under the covered bond programme.</w:t>
            </w:r>
          </w:p>
        </w:tc>
        <w:tc>
          <w:tcPr>
            <w:tcW w:w="900" w:type="dxa"/>
          </w:tcPr>
          <w:p w14:paraId="3BA120EA" w14:textId="0060F4D7" w:rsidR="003E7E51" w:rsidRPr="00DF12A5" w:rsidRDefault="00094DF3">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F7891D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5CD9C3B2" w14:textId="77777777" w:rsidTr="00BB0DAB">
        <w:tc>
          <w:tcPr>
            <w:tcW w:w="800" w:type="dxa"/>
            <w:tcBorders>
              <w:left w:val="single" w:sz="12" w:space="0" w:color="auto"/>
            </w:tcBorders>
          </w:tcPr>
          <w:p w14:paraId="7E773E15"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23, paragraph 1</w:t>
            </w:r>
          </w:p>
        </w:tc>
        <w:tc>
          <w:tcPr>
            <w:tcW w:w="5220" w:type="dxa"/>
            <w:tcBorders>
              <w:right w:val="single" w:sz="12" w:space="0" w:color="auto"/>
            </w:tcBorders>
          </w:tcPr>
          <w:p w14:paraId="69A9363F"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Administrative penalties and other administrative measures</w:t>
            </w:r>
            <w:r>
              <w:rPr>
                <w:rFonts w:ascii="Times New Roman" w:hAnsi="Times New Roman"/>
                <w:color w:val="000000"/>
                <w:sz w:val="20"/>
              </w:rPr>
              <w:br/>
              <w:t>Without prejudice to the right of Member States to provide for criminal penalties, Member States shall lay down rules establishing appropriate administrative penalties and other administrative measures that apply at least in the following situations:</w:t>
            </w:r>
            <w:r>
              <w:rPr>
                <w:rFonts w:ascii="Times New Roman" w:hAnsi="Times New Roman"/>
                <w:color w:val="000000"/>
                <w:sz w:val="20"/>
              </w:rPr>
              <w:br/>
              <w:t>(a) a credit institution has acquired a permission for a covered bond programme by means of false statements or other irregular means;</w:t>
            </w:r>
            <w:r>
              <w:rPr>
                <w:rFonts w:ascii="Times New Roman" w:hAnsi="Times New Roman"/>
                <w:color w:val="000000"/>
                <w:sz w:val="20"/>
              </w:rPr>
              <w:br/>
              <w:t>(b) a credit institution no longer fulfils the conditions under which permission for a covered bond programme was given;</w:t>
            </w:r>
            <w:r>
              <w:rPr>
                <w:rFonts w:ascii="Times New Roman" w:hAnsi="Times New Roman"/>
                <w:color w:val="000000"/>
                <w:sz w:val="20"/>
              </w:rPr>
              <w:br/>
              <w:t>(c) a credit institution issues covered bonds without obtaining the permission in accordance with the provisions of national law transposing Article 19;</w:t>
            </w:r>
            <w:r>
              <w:rPr>
                <w:rFonts w:ascii="Times New Roman" w:hAnsi="Times New Roman"/>
                <w:color w:val="000000"/>
                <w:sz w:val="20"/>
              </w:rPr>
              <w:br/>
              <w:t>(d) a credit institution issuing covered bonds fails to meet the requirements set out in the provisions of national law transposing Article 4;</w:t>
            </w:r>
            <w:r>
              <w:rPr>
                <w:rFonts w:ascii="Times New Roman" w:hAnsi="Times New Roman"/>
                <w:color w:val="000000"/>
                <w:sz w:val="20"/>
              </w:rPr>
              <w:br/>
              <w:t>(e) a credit institution issues covered bonds that do not comply with the requirements set out in the provisions of national law transposing Article 5;</w:t>
            </w:r>
            <w:r>
              <w:rPr>
                <w:rFonts w:ascii="Times New Roman" w:hAnsi="Times New Roman"/>
                <w:color w:val="000000"/>
                <w:sz w:val="20"/>
              </w:rPr>
              <w:br/>
              <w:t>(f) a credit institution issues covered bonds that are not collateralised in accordance with the provisions of national law transposing Article 6;</w:t>
            </w:r>
            <w:r>
              <w:rPr>
                <w:rFonts w:ascii="Times New Roman" w:hAnsi="Times New Roman"/>
                <w:color w:val="000000"/>
                <w:sz w:val="20"/>
              </w:rPr>
              <w:br/>
              <w:t>(g) a credit institution issues covered bonds that are collateralised by assets located outside the Union in breach of the requirements laid down in the provisions of national law transposing Article 7;</w:t>
            </w:r>
            <w:r>
              <w:rPr>
                <w:rFonts w:ascii="Times New Roman" w:hAnsi="Times New Roman"/>
                <w:color w:val="000000"/>
                <w:sz w:val="20"/>
              </w:rPr>
              <w:br/>
              <w:t>(h) a credit institution collateralises covered bonds in an intragroup pooled covered bond structure in breach of the requirements laid down in the provisions of national law transposing Article 8;</w:t>
            </w:r>
            <w:r>
              <w:rPr>
                <w:rFonts w:ascii="Times New Roman" w:hAnsi="Times New Roman"/>
                <w:color w:val="000000"/>
                <w:sz w:val="20"/>
              </w:rPr>
              <w:br/>
              <w:t>(i) a credit institution issuing covered bonds fails to fulfil the conditions for joint funding laid down in the provisions of national law transposing Article 9;</w:t>
            </w:r>
            <w:r>
              <w:rPr>
                <w:rFonts w:ascii="Times New Roman" w:hAnsi="Times New Roman"/>
                <w:color w:val="000000"/>
                <w:sz w:val="20"/>
              </w:rPr>
              <w:br/>
              <w:t>(j) a credit institution issuing covered bonds fails to meet the requirements of composition of the cover pool laid down in the provisions of national law transposing Article 10;</w:t>
            </w:r>
            <w:r>
              <w:rPr>
                <w:rFonts w:ascii="Times New Roman" w:hAnsi="Times New Roman"/>
                <w:color w:val="000000"/>
                <w:sz w:val="20"/>
              </w:rPr>
              <w:br/>
              <w:t>(k) a credit institution issuing covered bonds fails to meet the requirements regarding derivative contracts in the cover pool laid down in the provisions of national law transposing Article 11;</w:t>
            </w:r>
            <w:r>
              <w:rPr>
                <w:rFonts w:ascii="Times New Roman" w:hAnsi="Times New Roman"/>
                <w:color w:val="000000"/>
                <w:sz w:val="20"/>
              </w:rPr>
              <w:br/>
              <w:t>(l) a credit institution issuing covered bonds fails to comply with the requirements of the segregation of cover assets in accordance with the provisions of national law transposing Article 12;</w:t>
            </w:r>
            <w:r>
              <w:rPr>
                <w:rFonts w:ascii="Times New Roman" w:hAnsi="Times New Roman"/>
                <w:color w:val="000000"/>
                <w:sz w:val="20"/>
              </w:rPr>
              <w:br/>
              <w:t>(m) a credit institution issuing covered bonds fails to report information or provides incomplete or inaccurate information in breach of the provisions of national law transposing Article 14;</w:t>
            </w:r>
            <w:r>
              <w:rPr>
                <w:rFonts w:ascii="Times New Roman" w:hAnsi="Times New Roman"/>
                <w:color w:val="000000"/>
                <w:sz w:val="20"/>
              </w:rPr>
              <w:br/>
              <w:t>(n) a credit institution issuing covered bonds repeatedly or persistently fails to maintain a cover pool liquidity buffer in breach of the provisions of national law transposing Article 16;</w:t>
            </w:r>
            <w:r>
              <w:rPr>
                <w:rFonts w:ascii="Times New Roman" w:hAnsi="Times New Roman"/>
                <w:color w:val="000000"/>
                <w:sz w:val="20"/>
              </w:rPr>
              <w:br/>
              <w:t>(o) a credit institution that issues covered bonds with extendable maturity structures fails to fulfil the conditions for extendable maturity structures laid down in the provisions of national law transposing Article 17;</w:t>
            </w:r>
            <w:r>
              <w:rPr>
                <w:rFonts w:ascii="Times New Roman" w:hAnsi="Times New Roman"/>
                <w:color w:val="000000"/>
                <w:sz w:val="20"/>
              </w:rPr>
              <w:br/>
              <w:t>(p) a credit institution issuing covered bonds fails to report information or provides incomplete or inaccurate information on its obligations in breach of the provisions of national law transposing Article 21(2). Member States may decide not to provide for administrative penalties or other administrative measures for breaches which are subject to criminal penalties under their national law. In such cases, Member States shall communicate the relevant criminal law provisions to the Commission.</w:t>
            </w:r>
          </w:p>
        </w:tc>
        <w:tc>
          <w:tcPr>
            <w:tcW w:w="624" w:type="dxa"/>
            <w:tcBorders>
              <w:left w:val="single" w:sz="12" w:space="0" w:color="auto"/>
            </w:tcBorders>
          </w:tcPr>
          <w:p w14:paraId="0F452365" w14:textId="1C9DC7F1" w:rsidR="00787224" w:rsidRPr="00DF12A5" w:rsidRDefault="00094DF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A6B90F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41, paragraph 1</w:t>
            </w:r>
          </w:p>
        </w:tc>
        <w:tc>
          <w:tcPr>
            <w:tcW w:w="5130" w:type="dxa"/>
          </w:tcPr>
          <w:p w14:paraId="3BA615B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Without prejudice to the supervisory powers of the Bank of Albania and the Financial Supervisory Authority under the legislation in force, the Authority shall adopt supervisory measures and impose sanctions, separately or cumulatively, on the issuing credit institution, members of its management body or any other responsible person, where the credit institution:</w:t>
            </w:r>
            <w:r>
              <w:rPr>
                <w:rFonts w:ascii="Times New Roman" w:hAnsi="Times New Roman"/>
                <w:color w:val="000000"/>
                <w:sz w:val="20"/>
              </w:rPr>
              <w:br/>
              <w:t>(a) has obtained approval for a covered bond programme by means of false statements or other irregular means;</w:t>
            </w:r>
            <w:r>
              <w:rPr>
                <w:rFonts w:ascii="Times New Roman" w:hAnsi="Times New Roman"/>
                <w:color w:val="000000"/>
                <w:sz w:val="20"/>
              </w:rPr>
              <w:br/>
              <w:t>(b) no longer meets the conditions under which approval for a covered bond programme was granted;</w:t>
            </w:r>
            <w:r>
              <w:rPr>
                <w:rFonts w:ascii="Times New Roman" w:hAnsi="Times New Roman"/>
                <w:color w:val="000000"/>
                <w:sz w:val="20"/>
              </w:rPr>
              <w:br/>
              <w:t>(c) issues covered bonds without obtaining approval under Article 21 of this Law;</w:t>
            </w:r>
            <w:r>
              <w:rPr>
                <w:rFonts w:ascii="Times New Roman" w:hAnsi="Times New Roman"/>
                <w:color w:val="000000"/>
                <w:sz w:val="20"/>
              </w:rPr>
              <w:br/>
              <w:t>(d) fails to comply with the requirements for eligible assets laid down in Article 6 of this Law;</w:t>
            </w:r>
            <w:r>
              <w:rPr>
                <w:rFonts w:ascii="Times New Roman" w:hAnsi="Times New Roman"/>
                <w:color w:val="000000"/>
                <w:sz w:val="20"/>
              </w:rPr>
              <w:br/>
              <w:t>(e) issues covered bonds that are not covered in accordance with Article 7 of this Law;</w:t>
            </w:r>
            <w:r>
              <w:rPr>
                <w:rFonts w:ascii="Times New Roman" w:hAnsi="Times New Roman"/>
                <w:color w:val="000000"/>
                <w:sz w:val="20"/>
              </w:rPr>
              <w:br/>
              <w:t>(f) includes covered bonds in an intragroup pooled covered bond structure contrary to the requirements of Article 7 of this Law;</w:t>
            </w:r>
            <w:r>
              <w:rPr>
                <w:rFonts w:ascii="Times New Roman" w:hAnsi="Times New Roman"/>
                <w:color w:val="000000"/>
                <w:sz w:val="20"/>
              </w:rPr>
              <w:br/>
              <w:t>(g) fails to comply with the conditions for joint funding laid down in Article 8 of this Law;</w:t>
            </w:r>
            <w:r>
              <w:rPr>
                <w:rFonts w:ascii="Times New Roman" w:hAnsi="Times New Roman"/>
                <w:color w:val="000000"/>
                <w:sz w:val="20"/>
              </w:rPr>
              <w:br/>
              <w:t>(h) fails to comply with the requirements concerning the composition of the cover pool laid down in Article 9 of this Law;</w:t>
            </w:r>
            <w:r>
              <w:rPr>
                <w:rFonts w:ascii="Times New Roman" w:hAnsi="Times New Roman"/>
                <w:color w:val="000000"/>
                <w:sz w:val="20"/>
              </w:rPr>
              <w:br/>
              <w:t>(i) fails to comply with the requirements concerning derivative contracts in the cover pool laid down in Article 10 of this Law;</w:t>
            </w:r>
            <w:r>
              <w:rPr>
                <w:rFonts w:ascii="Times New Roman" w:hAnsi="Times New Roman"/>
                <w:color w:val="000000"/>
                <w:sz w:val="20"/>
              </w:rPr>
              <w:br/>
              <w:t>(j) fails to comply with the requirements concerning segregation of cover assets in accordance with Article 11 of this Law;</w:t>
            </w:r>
            <w:r>
              <w:rPr>
                <w:rFonts w:ascii="Times New Roman" w:hAnsi="Times New Roman"/>
                <w:color w:val="000000"/>
                <w:sz w:val="20"/>
              </w:rPr>
              <w:br/>
              <w:t>(k) fails to report information or provides incomplete or inaccurate information to investors in breach of Article 14 of this Law;</w:t>
            </w:r>
            <w:r>
              <w:rPr>
                <w:rFonts w:ascii="Times New Roman" w:hAnsi="Times New Roman"/>
                <w:color w:val="000000"/>
                <w:sz w:val="20"/>
              </w:rPr>
              <w:br/>
              <w:t>(l) repeatedly or persistently fails to maintain the cover pool liquidity buffer in breach of Article 17 of this Law;</w:t>
            </w:r>
            <w:r>
              <w:rPr>
                <w:rFonts w:ascii="Times New Roman" w:hAnsi="Times New Roman"/>
                <w:color w:val="000000"/>
                <w:sz w:val="20"/>
              </w:rPr>
              <w:br/>
              <w:t>(m) where it issues covered bonds with extendable maturity structures, fails to comply with the relevant requirements laid down in Article 18 of this Law;</w:t>
            </w:r>
            <w:r>
              <w:rPr>
                <w:rFonts w:ascii="Times New Roman" w:hAnsi="Times New Roman"/>
                <w:color w:val="000000"/>
                <w:sz w:val="20"/>
              </w:rPr>
              <w:br/>
              <w:t>(n) fails to report information or provides incomplete or inaccurate information concerning its obligations in breach of Article 28 of this Law;</w:t>
            </w:r>
            <w:r>
              <w:rPr>
                <w:rFonts w:ascii="Times New Roman" w:hAnsi="Times New Roman"/>
                <w:color w:val="000000"/>
                <w:sz w:val="20"/>
              </w:rPr>
              <w:br/>
              <w:t>(o) fails to comply with other obligations arising from this Law or from the implementing acts adopted pursuant thereto.</w:t>
            </w:r>
          </w:p>
        </w:tc>
        <w:tc>
          <w:tcPr>
            <w:tcW w:w="900" w:type="dxa"/>
          </w:tcPr>
          <w:p w14:paraId="6D9B3B0F" w14:textId="1DB53012" w:rsidR="003E7E51" w:rsidRPr="00DF12A5" w:rsidRDefault="000C1A64">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7358FC7" w14:textId="1FAF7ACB"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77F4BAEC" w14:textId="77777777" w:rsidTr="00BB0DAB">
        <w:tc>
          <w:tcPr>
            <w:tcW w:w="800" w:type="dxa"/>
            <w:tcBorders>
              <w:left w:val="single" w:sz="12" w:space="0" w:color="auto"/>
            </w:tcBorders>
          </w:tcPr>
          <w:p w14:paraId="29356DFD"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23, paragraph 2</w:t>
            </w:r>
          </w:p>
        </w:tc>
        <w:tc>
          <w:tcPr>
            <w:tcW w:w="5220" w:type="dxa"/>
            <w:tcBorders>
              <w:right w:val="single" w:sz="12" w:space="0" w:color="auto"/>
            </w:tcBorders>
          </w:tcPr>
          <w:p w14:paraId="3E703925"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penalties and measures referred to in paragraph 1 shall be effective, proportionate and dissuasive and shall include at least the following:</w:t>
            </w:r>
            <w:r>
              <w:rPr>
                <w:rFonts w:ascii="Times New Roman" w:hAnsi="Times New Roman"/>
                <w:color w:val="000000"/>
                <w:sz w:val="20"/>
              </w:rPr>
              <w:br/>
              <w:t>(a) a withdrawal of permission for a covered bond programme;</w:t>
            </w:r>
            <w:r>
              <w:rPr>
                <w:rFonts w:ascii="Times New Roman" w:hAnsi="Times New Roman"/>
                <w:color w:val="000000"/>
                <w:sz w:val="20"/>
              </w:rPr>
              <w:br/>
              <w:t>(b) a public statement which indicates the identity of the natural or legal person and the nature of the breach in accordance with Article 24;</w:t>
            </w:r>
            <w:r>
              <w:rPr>
                <w:rFonts w:ascii="Times New Roman" w:hAnsi="Times New Roman"/>
                <w:color w:val="000000"/>
                <w:sz w:val="20"/>
              </w:rPr>
              <w:br/>
              <w:t>(c) an order requiring the natural or legal person to cease the conduct and to desist from a repetition of that conduct;</w:t>
            </w:r>
            <w:r>
              <w:rPr>
                <w:rFonts w:ascii="Times New Roman" w:hAnsi="Times New Roman"/>
                <w:color w:val="000000"/>
                <w:sz w:val="20"/>
              </w:rPr>
              <w:br/>
              <w:t>(d) administrative pecuniary penalties.</w:t>
            </w:r>
          </w:p>
        </w:tc>
        <w:tc>
          <w:tcPr>
            <w:tcW w:w="624" w:type="dxa"/>
            <w:tcBorders>
              <w:left w:val="single" w:sz="12" w:space="0" w:color="auto"/>
            </w:tcBorders>
          </w:tcPr>
          <w:p w14:paraId="7783DBE2" w14:textId="00DAC532" w:rsidR="00787224" w:rsidRPr="00DF12A5" w:rsidRDefault="006D0FCE"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8975E1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41, paragraphs 2-3; Article 42</w:t>
            </w:r>
          </w:p>
        </w:tc>
        <w:tc>
          <w:tcPr>
            <w:tcW w:w="5130" w:type="dxa"/>
          </w:tcPr>
          <w:p w14:paraId="0201AC5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41</w:t>
            </w:r>
            <w:r>
              <w:rPr>
                <w:rFonts w:ascii="Times New Roman" w:hAnsi="Times New Roman"/>
                <w:color w:val="000000"/>
                <w:sz w:val="20"/>
              </w:rPr>
              <w:br/>
            </w:r>
            <w:r>
              <w:rPr>
                <w:rFonts w:ascii="Times New Roman" w:hAnsi="Times New Roman"/>
                <w:color w:val="000000"/>
                <w:sz w:val="20"/>
              </w:rPr>
              <w:br/>
              <w:t>2. The supervisory measures provided for in this Article shall be effective, proportionate and dissuasive.</w:t>
            </w:r>
            <w:r>
              <w:rPr>
                <w:rFonts w:ascii="Times New Roman" w:hAnsi="Times New Roman"/>
                <w:color w:val="000000"/>
                <w:sz w:val="20"/>
              </w:rPr>
              <w:br/>
              <w:t>3. In respect of all circumstances referred to in paragraph 1 of this Article, the Authority may adopt one or more of the following supervisory measures:</w:t>
            </w:r>
            <w:r>
              <w:rPr>
                <w:rFonts w:ascii="Times New Roman" w:hAnsi="Times New Roman"/>
                <w:color w:val="000000"/>
                <w:sz w:val="20"/>
              </w:rPr>
              <w:br/>
              <w:t>(a) revoke approval of the covered bond programme in accordance with Article 24 of this Law;</w:t>
            </w:r>
            <w:r>
              <w:rPr>
                <w:rFonts w:ascii="Times New Roman" w:hAnsi="Times New Roman"/>
                <w:color w:val="000000"/>
                <w:sz w:val="20"/>
              </w:rPr>
              <w:br/>
              <w:t>(b) publish a statement identifying the natural or legal person and the nature of the infringement;</w:t>
            </w:r>
            <w:r>
              <w:rPr>
                <w:rFonts w:ascii="Times New Roman" w:hAnsi="Times New Roman"/>
                <w:color w:val="000000"/>
                <w:sz w:val="20"/>
              </w:rPr>
              <w:br/>
              <w:t>(c) order the natural or legal person to cease the conduct and to desist from a repetition of that conduct;</w:t>
            </w:r>
            <w:r>
              <w:rPr>
                <w:rFonts w:ascii="Times New Roman" w:hAnsi="Times New Roman"/>
                <w:color w:val="000000"/>
                <w:sz w:val="20"/>
              </w:rPr>
              <w:br/>
              <w:t>(d) issue an order requiring the infringement to be remedied or deficiencies to be addressed within a specified period;</w:t>
            </w:r>
            <w:r>
              <w:rPr>
                <w:rFonts w:ascii="Times New Roman" w:hAnsi="Times New Roman"/>
                <w:color w:val="000000"/>
                <w:sz w:val="20"/>
              </w:rPr>
              <w:br/>
              <w:t>(e) temporarily suspend members of the management body from performing management functions until the infringements are remedied;</w:t>
            </w:r>
            <w:r>
              <w:rPr>
                <w:rFonts w:ascii="Times New Roman" w:hAnsi="Times New Roman"/>
                <w:color w:val="000000"/>
                <w:sz w:val="20"/>
              </w:rPr>
              <w:br/>
              <w:t>(f) temporarily prohibit issuances under the covered bond programme.</w:t>
            </w:r>
            <w:r>
              <w:rPr>
                <w:rFonts w:ascii="Times New Roman" w:hAnsi="Times New Roman"/>
                <w:color w:val="000000"/>
                <w:sz w:val="20"/>
              </w:rPr>
              <w:br/>
            </w:r>
            <w:r>
              <w:rPr>
                <w:rFonts w:ascii="Times New Roman" w:hAnsi="Times New Roman"/>
                <w:color w:val="000000"/>
                <w:sz w:val="20"/>
              </w:rPr>
              <w:br/>
              <w:t>Article 42</w:t>
            </w:r>
            <w:r>
              <w:rPr>
                <w:rFonts w:ascii="Times New Roman" w:hAnsi="Times New Roman"/>
                <w:color w:val="000000"/>
                <w:sz w:val="20"/>
              </w:rPr>
              <w:br/>
            </w:r>
            <w:r>
              <w:rPr>
                <w:rFonts w:ascii="Times New Roman" w:hAnsi="Times New Roman"/>
                <w:color w:val="000000"/>
                <w:sz w:val="20"/>
              </w:rPr>
              <w:br/>
              <w:t>In the cases and circumstances referred to in Article 41(1) of this Law, and without precluding the application of the supervisory measures provided for in Article 41(3) of this Law, the Authority may impose the following administrative pecuniary sanctions:</w:t>
            </w:r>
            <w:r>
              <w:rPr>
                <w:rFonts w:ascii="Times New Roman" w:hAnsi="Times New Roman"/>
                <w:color w:val="000000"/>
                <w:sz w:val="20"/>
              </w:rPr>
              <w:br/>
              <w:t>(a) in respect of natural persons, a fine of up to ALL 500,000;</w:t>
            </w:r>
            <w:r>
              <w:rPr>
                <w:rFonts w:ascii="Times New Roman" w:hAnsi="Times New Roman"/>
                <w:color w:val="000000"/>
                <w:sz w:val="20"/>
              </w:rPr>
              <w:br/>
              <w:t>(b) in respect of legal persons, a fine of up to ALL 5,000,000 or up to 10% of total annual net turnover according to the most recent financial statements approved by the management body. Where the legal person is a parent undertaking or a subsidiary of a parent undertaking which prepares consolidated financial statements in accordance with the legislation in force governing accounting and financial statements, total annual net turnover shall be taken from the most recent consolidated financial statements approved by the management body of the parent undertaking;</w:t>
            </w:r>
            <w:r>
              <w:rPr>
                <w:rFonts w:ascii="Times New Roman" w:hAnsi="Times New Roman"/>
                <w:color w:val="000000"/>
                <w:sz w:val="20"/>
              </w:rPr>
              <w:br/>
              <w:t>(c) a fine of up to twice the amount of the benefit derived from the infringement, where that benefit can be determined, even if it exceeds the maximum amounts laid down in points (a) and (b) of this paragraph.</w:t>
            </w:r>
          </w:p>
        </w:tc>
        <w:tc>
          <w:tcPr>
            <w:tcW w:w="900" w:type="dxa"/>
          </w:tcPr>
          <w:p w14:paraId="153D557B" w14:textId="4CAC19C9"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D051B49" w14:textId="1B195DB4"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7F2019F5" w14:textId="77777777" w:rsidTr="00BB0DAB">
        <w:tc>
          <w:tcPr>
            <w:tcW w:w="800" w:type="dxa"/>
            <w:tcBorders>
              <w:left w:val="single" w:sz="12" w:space="0" w:color="auto"/>
            </w:tcBorders>
          </w:tcPr>
          <w:p w14:paraId="02B3F63C"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23, paragraph 3</w:t>
            </w:r>
          </w:p>
        </w:tc>
        <w:tc>
          <w:tcPr>
            <w:tcW w:w="5220" w:type="dxa"/>
            <w:tcBorders>
              <w:right w:val="single" w:sz="12" w:space="0" w:color="auto"/>
            </w:tcBorders>
          </w:tcPr>
          <w:p w14:paraId="4CFA1112"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also ensure that the penalties and measures referred to in paragraph 1 are effectively implemented.</w:t>
            </w:r>
          </w:p>
        </w:tc>
        <w:tc>
          <w:tcPr>
            <w:tcW w:w="624" w:type="dxa"/>
            <w:tcBorders>
              <w:left w:val="single" w:sz="12" w:space="0" w:color="auto"/>
            </w:tcBorders>
          </w:tcPr>
          <w:p w14:paraId="306DBF00" w14:textId="0758AC00" w:rsidR="0078722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D453D3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41, paragraph 2; Article 43</w:t>
            </w:r>
          </w:p>
        </w:tc>
        <w:tc>
          <w:tcPr>
            <w:tcW w:w="5130" w:type="dxa"/>
          </w:tcPr>
          <w:p w14:paraId="644A352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41</w:t>
            </w:r>
            <w:r>
              <w:rPr>
                <w:rFonts w:ascii="Times New Roman" w:hAnsi="Times New Roman"/>
                <w:color w:val="000000"/>
                <w:sz w:val="20"/>
              </w:rPr>
              <w:br/>
            </w:r>
            <w:r>
              <w:rPr>
                <w:rFonts w:ascii="Times New Roman" w:hAnsi="Times New Roman"/>
                <w:color w:val="000000"/>
                <w:sz w:val="20"/>
              </w:rPr>
              <w:br/>
              <w:t>2. The supervisory measures provided for in this Article shall be effective, proportionate and dissuasive.</w:t>
            </w:r>
            <w:r>
              <w:rPr>
                <w:rFonts w:ascii="Times New Roman" w:hAnsi="Times New Roman"/>
                <w:color w:val="000000"/>
                <w:sz w:val="20"/>
              </w:rPr>
              <w:br/>
            </w:r>
            <w:r>
              <w:rPr>
                <w:rFonts w:ascii="Times New Roman" w:hAnsi="Times New Roman"/>
                <w:color w:val="000000"/>
                <w:sz w:val="20"/>
              </w:rPr>
              <w:br/>
              <w:t>Article 43</w:t>
            </w:r>
            <w:r>
              <w:rPr>
                <w:rFonts w:ascii="Times New Roman" w:hAnsi="Times New Roman"/>
                <w:color w:val="000000"/>
                <w:sz w:val="20"/>
              </w:rPr>
              <w:br/>
            </w:r>
            <w:r>
              <w:rPr>
                <w:rFonts w:ascii="Times New Roman" w:hAnsi="Times New Roman"/>
                <w:color w:val="000000"/>
                <w:sz w:val="20"/>
              </w:rPr>
              <w:br/>
              <w:t>1. In determining the type and level of the supervisory measure or administrative sanction, the Authority shall take into account, where appropriate:</w:t>
            </w:r>
            <w:r>
              <w:rPr>
                <w:rFonts w:ascii="Times New Roman" w:hAnsi="Times New Roman"/>
                <w:color w:val="000000"/>
                <w:sz w:val="20"/>
              </w:rPr>
              <w:br/>
              <w:t>(a) the gravity and duration of the infringement;</w:t>
            </w:r>
            <w:r>
              <w:rPr>
                <w:rFonts w:ascii="Times New Roman" w:hAnsi="Times New Roman"/>
                <w:color w:val="000000"/>
                <w:sz w:val="20"/>
              </w:rPr>
              <w:br/>
              <w:t>(b) the degree of responsibility of the natural or legal person responsible;</w:t>
            </w:r>
            <w:r>
              <w:rPr>
                <w:rFonts w:ascii="Times New Roman" w:hAnsi="Times New Roman"/>
                <w:color w:val="000000"/>
                <w:sz w:val="20"/>
              </w:rPr>
              <w:br/>
              <w:t>(c) the financial strength of the person responsible, including the total turnover of the legal person or the annual income of the natural person;</w:t>
            </w:r>
            <w:r>
              <w:rPr>
                <w:rFonts w:ascii="Times New Roman" w:hAnsi="Times New Roman"/>
                <w:color w:val="000000"/>
                <w:sz w:val="20"/>
              </w:rPr>
              <w:br/>
              <w:t>(d) the profits gained or losses avoided as a result of the infringement, insofar as they can be determined;</w:t>
            </w:r>
            <w:r>
              <w:rPr>
                <w:rFonts w:ascii="Times New Roman" w:hAnsi="Times New Roman"/>
                <w:color w:val="000000"/>
                <w:sz w:val="20"/>
              </w:rPr>
              <w:br/>
              <w:t>(e) the losses caused to third parties by the infringement, insofar as they can be determined;</w:t>
            </w:r>
            <w:r>
              <w:rPr>
                <w:rFonts w:ascii="Times New Roman" w:hAnsi="Times New Roman"/>
                <w:color w:val="000000"/>
                <w:sz w:val="20"/>
              </w:rPr>
              <w:br/>
              <w:t>(f) the level of cooperation with the Authority and the Bank of Albania;</w:t>
            </w:r>
            <w:r>
              <w:rPr>
                <w:rFonts w:ascii="Times New Roman" w:hAnsi="Times New Roman"/>
                <w:color w:val="000000"/>
                <w:sz w:val="20"/>
              </w:rPr>
              <w:br/>
              <w:t>(g) any previous infringements;</w:t>
            </w:r>
            <w:r>
              <w:rPr>
                <w:rFonts w:ascii="Times New Roman" w:hAnsi="Times New Roman"/>
                <w:color w:val="000000"/>
                <w:sz w:val="20"/>
              </w:rPr>
              <w:br/>
              <w:t>(h) any potential systemic consequences of the infringement.</w:t>
            </w:r>
            <w:r>
              <w:rPr>
                <w:rFonts w:ascii="Times New Roman" w:hAnsi="Times New Roman"/>
                <w:color w:val="000000"/>
                <w:sz w:val="20"/>
              </w:rPr>
              <w:br/>
              <w:t>2. Before adopting a supervisory measure or imposing an administrative pecuniary sanction, the Authority shall give the natural person concerned, or the management body or representative of the legal person concerned, an opportunity to be heard.</w:t>
            </w:r>
            <w:r>
              <w:rPr>
                <w:rFonts w:ascii="Times New Roman" w:hAnsi="Times New Roman"/>
                <w:color w:val="000000"/>
                <w:sz w:val="20"/>
              </w:rPr>
              <w:br/>
              <w:t>3. By way of derogation from paragraph 2 of this Article, supervisory measures or sanctions may be adopted without first granting the right to be heard where the measure is urgent and necessary to prevent substantial losses to third parties or substantial damage to the financial system. In such cases, the person concerned shall be given an opportunity to be heard immediately after the measure is adopted and the Authority shall review the measure where appropriate.</w:t>
            </w:r>
            <w:r>
              <w:rPr>
                <w:rFonts w:ascii="Times New Roman" w:hAnsi="Times New Roman"/>
                <w:color w:val="000000"/>
                <w:sz w:val="20"/>
              </w:rPr>
              <w:br/>
              <w:t>4. Decisions of the Authority adopting supervisory measures or imposing administrative pecuniary sanctions shall state the reasons on which they are based and shall be subject to judicial appeal in accordance with the legislation in force.</w:t>
            </w:r>
          </w:p>
        </w:tc>
        <w:tc>
          <w:tcPr>
            <w:tcW w:w="900" w:type="dxa"/>
          </w:tcPr>
          <w:p w14:paraId="0DE51E37" w14:textId="5F5C7ED6"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9C4D4AF"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4EBE36F0" w14:textId="77777777" w:rsidTr="00BB0DAB">
        <w:tc>
          <w:tcPr>
            <w:tcW w:w="800" w:type="dxa"/>
            <w:tcBorders>
              <w:left w:val="single" w:sz="12" w:space="0" w:color="auto"/>
            </w:tcBorders>
          </w:tcPr>
          <w:p w14:paraId="0D90CAC9"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23, paragraph 4</w:t>
            </w:r>
          </w:p>
        </w:tc>
        <w:tc>
          <w:tcPr>
            <w:tcW w:w="5220" w:type="dxa"/>
            <w:tcBorders>
              <w:right w:val="single" w:sz="12" w:space="0" w:color="auto"/>
            </w:tcBorders>
          </w:tcPr>
          <w:p w14:paraId="06C04163"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when determining the type of administrative penalties or other administrative measures and the amount of administrative pecuniary penalties, the competent authorities designated pursuant to Article 18(2) take into account all the following circumstances, where relevant:</w:t>
            </w:r>
            <w:r>
              <w:rPr>
                <w:rFonts w:ascii="Times New Roman" w:hAnsi="Times New Roman"/>
                <w:color w:val="000000"/>
                <w:sz w:val="20"/>
              </w:rPr>
              <w:br/>
              <w:t>(a) the gravity and the duration of the breach;</w:t>
            </w:r>
            <w:r>
              <w:rPr>
                <w:rFonts w:ascii="Times New Roman" w:hAnsi="Times New Roman"/>
                <w:color w:val="000000"/>
                <w:sz w:val="20"/>
              </w:rPr>
              <w:br/>
              <w:t>(b) the degree of responsibility of the natural or legal person responsible for the breach;</w:t>
            </w:r>
            <w:r>
              <w:rPr>
                <w:rFonts w:ascii="Times New Roman" w:hAnsi="Times New Roman"/>
                <w:color w:val="000000"/>
                <w:sz w:val="20"/>
              </w:rPr>
              <w:br/>
              <w:t>(c) the financial strength of the natural or legal person responsible for the breach, including by reference to the total turnover of the legal person or the annual income of the natural person;</w:t>
            </w:r>
            <w:r>
              <w:rPr>
                <w:rFonts w:ascii="Times New Roman" w:hAnsi="Times New Roman"/>
                <w:color w:val="000000"/>
                <w:sz w:val="20"/>
              </w:rPr>
              <w:br/>
              <w:t>(d) the importance of profits gained or losses avoided because of the breach by the natural or legal person responsible for the breach, insofar as those profits or losses can be determined;</w:t>
            </w:r>
            <w:r>
              <w:rPr>
                <w:rFonts w:ascii="Times New Roman" w:hAnsi="Times New Roman"/>
                <w:color w:val="000000"/>
                <w:sz w:val="20"/>
              </w:rPr>
              <w:br/>
              <w:t>(e) the losses caused to third parties by the breach, insofar as those losses can be determined;</w:t>
            </w:r>
            <w:r>
              <w:rPr>
                <w:rFonts w:ascii="Times New Roman" w:hAnsi="Times New Roman"/>
                <w:color w:val="000000"/>
                <w:sz w:val="20"/>
              </w:rPr>
              <w:br/>
              <w:t>(f) the level of cooperation by the natural or legal person responsible for the breach with the competent authorities designated pursuant to Article 18(2);</w:t>
            </w:r>
            <w:r>
              <w:rPr>
                <w:rFonts w:ascii="Times New Roman" w:hAnsi="Times New Roman"/>
                <w:color w:val="000000"/>
                <w:sz w:val="20"/>
              </w:rPr>
              <w:br/>
              <w:t>(g) any previous breaches by the natural or legal person responsible for the breach;</w:t>
            </w:r>
            <w:r>
              <w:rPr>
                <w:rFonts w:ascii="Times New Roman" w:hAnsi="Times New Roman"/>
                <w:color w:val="000000"/>
                <w:sz w:val="20"/>
              </w:rPr>
              <w:br/>
              <w:t>(h) any actual or potential systemic consequences of the breach.</w:t>
            </w:r>
          </w:p>
        </w:tc>
        <w:tc>
          <w:tcPr>
            <w:tcW w:w="624" w:type="dxa"/>
            <w:tcBorders>
              <w:left w:val="single" w:sz="12" w:space="0" w:color="auto"/>
            </w:tcBorders>
          </w:tcPr>
          <w:p w14:paraId="1885C076" w14:textId="2EDC0E87" w:rsidR="0078722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E352CF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43, paragraph 1</w:t>
            </w:r>
          </w:p>
        </w:tc>
        <w:tc>
          <w:tcPr>
            <w:tcW w:w="5130" w:type="dxa"/>
          </w:tcPr>
          <w:p w14:paraId="390B894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In determining the type and level of the supervisory measure or administrative sanction, the Authority shall take into account, where appropriate:</w:t>
            </w:r>
            <w:r>
              <w:rPr>
                <w:rFonts w:ascii="Times New Roman" w:hAnsi="Times New Roman"/>
                <w:color w:val="000000"/>
                <w:sz w:val="20"/>
              </w:rPr>
              <w:br/>
              <w:t>(a) the gravity and duration of the infringement;</w:t>
            </w:r>
            <w:r>
              <w:rPr>
                <w:rFonts w:ascii="Times New Roman" w:hAnsi="Times New Roman"/>
                <w:color w:val="000000"/>
                <w:sz w:val="20"/>
              </w:rPr>
              <w:br/>
              <w:t>(b) the degree of responsibility of the natural or legal person responsible;</w:t>
            </w:r>
            <w:r>
              <w:rPr>
                <w:rFonts w:ascii="Times New Roman" w:hAnsi="Times New Roman"/>
                <w:color w:val="000000"/>
                <w:sz w:val="20"/>
              </w:rPr>
              <w:br/>
              <w:t>(c) the financial strength of the person responsible, including the total turnover of the legal person or the annual income of the natural person;</w:t>
            </w:r>
            <w:r>
              <w:rPr>
                <w:rFonts w:ascii="Times New Roman" w:hAnsi="Times New Roman"/>
                <w:color w:val="000000"/>
                <w:sz w:val="20"/>
              </w:rPr>
              <w:br/>
              <w:t>(d) the profits gained or losses avoided as a result of the infringement, insofar as they can be determined;</w:t>
            </w:r>
            <w:r>
              <w:rPr>
                <w:rFonts w:ascii="Times New Roman" w:hAnsi="Times New Roman"/>
                <w:color w:val="000000"/>
                <w:sz w:val="20"/>
              </w:rPr>
              <w:br/>
              <w:t>(e) the losses caused to third parties by the infringement, insofar as they can be determined;</w:t>
            </w:r>
            <w:r>
              <w:rPr>
                <w:rFonts w:ascii="Times New Roman" w:hAnsi="Times New Roman"/>
                <w:color w:val="000000"/>
                <w:sz w:val="20"/>
              </w:rPr>
              <w:br/>
              <w:t>(f) the level of cooperation with the Authority and the Bank of Albania;</w:t>
            </w:r>
            <w:r>
              <w:rPr>
                <w:rFonts w:ascii="Times New Roman" w:hAnsi="Times New Roman"/>
                <w:color w:val="000000"/>
                <w:sz w:val="20"/>
              </w:rPr>
              <w:br/>
              <w:t>(g) any previous infringements;</w:t>
            </w:r>
            <w:r>
              <w:rPr>
                <w:rFonts w:ascii="Times New Roman" w:hAnsi="Times New Roman"/>
                <w:color w:val="000000"/>
                <w:sz w:val="20"/>
              </w:rPr>
              <w:br/>
              <w:t>(h) any potential systemic consequences of the infringement.</w:t>
            </w:r>
          </w:p>
        </w:tc>
        <w:tc>
          <w:tcPr>
            <w:tcW w:w="900" w:type="dxa"/>
          </w:tcPr>
          <w:p w14:paraId="0A9E3872" w14:textId="12FD09A1"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2E8241C"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46C4C95F" w14:textId="77777777" w:rsidTr="00BB0DAB">
        <w:tc>
          <w:tcPr>
            <w:tcW w:w="800" w:type="dxa"/>
            <w:tcBorders>
              <w:left w:val="single" w:sz="12" w:space="0" w:color="auto"/>
            </w:tcBorders>
          </w:tcPr>
          <w:p w14:paraId="724E7D43"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23, paragraph 5</w:t>
            </w:r>
          </w:p>
        </w:tc>
        <w:tc>
          <w:tcPr>
            <w:tcW w:w="5220" w:type="dxa"/>
            <w:tcBorders>
              <w:right w:val="single" w:sz="12" w:space="0" w:color="auto"/>
            </w:tcBorders>
          </w:tcPr>
          <w:p w14:paraId="482858A5"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the provisions referred to in paragraph 1 apply to legal persons, Member States shall also ensure that the competent authorities designated pursuant to Article 18(2) apply the administrative penalties and other administrative measures set out in paragraph 2 of this Article to members of the management body and to other individuals who under national law are responsible for the breach.</w:t>
            </w:r>
          </w:p>
        </w:tc>
        <w:tc>
          <w:tcPr>
            <w:tcW w:w="624" w:type="dxa"/>
            <w:tcBorders>
              <w:left w:val="single" w:sz="12" w:space="0" w:color="auto"/>
            </w:tcBorders>
          </w:tcPr>
          <w:p w14:paraId="4EDD7B98" w14:textId="74933F73" w:rsidR="0078722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1DB654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41, paragraph 1</w:t>
            </w:r>
          </w:p>
        </w:tc>
        <w:tc>
          <w:tcPr>
            <w:tcW w:w="5130" w:type="dxa"/>
          </w:tcPr>
          <w:p w14:paraId="78C89C8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Without prejudice to the supervisory powers of the Bank of Albania and the Financial Supervisory Authority under the legislation in force, the Authority shall adopt supervisory measures and impose sanctions, separately or cumulatively, on the issuing credit institution, members of its management body or any other responsible person, where the credit institution:</w:t>
            </w:r>
            <w:r>
              <w:rPr>
                <w:rFonts w:ascii="Times New Roman" w:hAnsi="Times New Roman"/>
                <w:color w:val="000000"/>
                <w:sz w:val="20"/>
              </w:rPr>
              <w:br/>
              <w:t>(a) has obtained approval for a covered bond programme by means of false statements or other irregular means;</w:t>
            </w:r>
            <w:r>
              <w:rPr>
                <w:rFonts w:ascii="Times New Roman" w:hAnsi="Times New Roman"/>
                <w:color w:val="000000"/>
                <w:sz w:val="20"/>
              </w:rPr>
              <w:br/>
              <w:t>(b) no longer meets the conditions under which approval for a covered bond programme was granted;</w:t>
            </w:r>
            <w:r>
              <w:rPr>
                <w:rFonts w:ascii="Times New Roman" w:hAnsi="Times New Roman"/>
                <w:color w:val="000000"/>
                <w:sz w:val="20"/>
              </w:rPr>
              <w:br/>
              <w:t>(c) issues covered bonds without obtaining approval under Article 21 of this Law;</w:t>
            </w:r>
            <w:r>
              <w:rPr>
                <w:rFonts w:ascii="Times New Roman" w:hAnsi="Times New Roman"/>
                <w:color w:val="000000"/>
                <w:sz w:val="20"/>
              </w:rPr>
              <w:br/>
              <w:t>(d) fails to comply with the requirements for eligible assets laid down in Article 6 of this Law;</w:t>
            </w:r>
            <w:r>
              <w:rPr>
                <w:rFonts w:ascii="Times New Roman" w:hAnsi="Times New Roman"/>
                <w:color w:val="000000"/>
                <w:sz w:val="20"/>
              </w:rPr>
              <w:br/>
              <w:t>(e) issues covered bonds that are not covered in accordance with Article 7 of this Law;</w:t>
            </w:r>
            <w:r>
              <w:rPr>
                <w:rFonts w:ascii="Times New Roman" w:hAnsi="Times New Roman"/>
                <w:color w:val="000000"/>
                <w:sz w:val="20"/>
              </w:rPr>
              <w:br/>
              <w:t>(f) includes covered bonds in an intragroup pooled covered bond structure contrary to the requirements of Article 7 of this Law;</w:t>
            </w:r>
            <w:r>
              <w:rPr>
                <w:rFonts w:ascii="Times New Roman" w:hAnsi="Times New Roman"/>
                <w:color w:val="000000"/>
                <w:sz w:val="20"/>
              </w:rPr>
              <w:br/>
              <w:t>(g) fails to comply with the conditions for joint funding laid down in Article 8 of this Law;</w:t>
            </w:r>
            <w:r>
              <w:rPr>
                <w:rFonts w:ascii="Times New Roman" w:hAnsi="Times New Roman"/>
                <w:color w:val="000000"/>
                <w:sz w:val="20"/>
              </w:rPr>
              <w:br/>
              <w:t>(h) fails to comply with the requirements concerning the composition of the cover pool laid down in Article 9 of this Law;</w:t>
            </w:r>
            <w:r>
              <w:rPr>
                <w:rFonts w:ascii="Times New Roman" w:hAnsi="Times New Roman"/>
                <w:color w:val="000000"/>
                <w:sz w:val="20"/>
              </w:rPr>
              <w:br/>
              <w:t>(i) fails to comply with the requirements concerning derivative contracts in the cover pool laid down in Article 10 of this Law;</w:t>
            </w:r>
            <w:r>
              <w:rPr>
                <w:rFonts w:ascii="Times New Roman" w:hAnsi="Times New Roman"/>
                <w:color w:val="000000"/>
                <w:sz w:val="20"/>
              </w:rPr>
              <w:br/>
              <w:t>(j) fails to comply with the requirements concerning segregation of cover assets in accordance with Article 11 of this Law;</w:t>
            </w:r>
            <w:r>
              <w:rPr>
                <w:rFonts w:ascii="Times New Roman" w:hAnsi="Times New Roman"/>
                <w:color w:val="000000"/>
                <w:sz w:val="20"/>
              </w:rPr>
              <w:br/>
              <w:t>(k) fails to report information or provides incomplete or inaccurate information to investors in breach of Article 14 of this Law;</w:t>
            </w:r>
            <w:r>
              <w:rPr>
                <w:rFonts w:ascii="Times New Roman" w:hAnsi="Times New Roman"/>
                <w:color w:val="000000"/>
                <w:sz w:val="20"/>
              </w:rPr>
              <w:br/>
              <w:t>(l) repeatedly or persistently fails to maintain the cover pool liquidity buffer in breach of Article 17 of this Law;</w:t>
            </w:r>
            <w:r>
              <w:rPr>
                <w:rFonts w:ascii="Times New Roman" w:hAnsi="Times New Roman"/>
                <w:color w:val="000000"/>
                <w:sz w:val="20"/>
              </w:rPr>
              <w:br/>
              <w:t>(m) where it issues covered bonds with extendable maturity structures, fails to comply with the relevant requirements laid down in Article 18 of this Law;</w:t>
            </w:r>
            <w:r>
              <w:rPr>
                <w:rFonts w:ascii="Times New Roman" w:hAnsi="Times New Roman"/>
                <w:color w:val="000000"/>
                <w:sz w:val="20"/>
              </w:rPr>
              <w:br/>
              <w:t>(n) fails to report information or provides incomplete or inaccurate information concerning its obligations in breach of Article 28 of this Law;</w:t>
            </w:r>
            <w:r>
              <w:rPr>
                <w:rFonts w:ascii="Times New Roman" w:hAnsi="Times New Roman"/>
                <w:color w:val="000000"/>
                <w:sz w:val="20"/>
              </w:rPr>
              <w:br/>
              <w:t>(o) fails to comply with other obligations arising from this Law or from the implementing acts adopted pursuant thereto.</w:t>
            </w:r>
          </w:p>
        </w:tc>
        <w:tc>
          <w:tcPr>
            <w:tcW w:w="900" w:type="dxa"/>
          </w:tcPr>
          <w:p w14:paraId="43298AB5" w14:textId="2EEA221F"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BBB2D47" w14:textId="77777777" w:rsidR="003E7E51" w:rsidRPr="00DF12A5" w:rsidRDefault="003E7E51">
            <w:pPr>
              <w:spacing w:after="0" w:line="240" w:lineRule="auto"/>
              <w:jc w:val="both"/>
              <w:rPr>
                <w:rFonts w:ascii="Times New Roman" w:hAnsi="Times New Roman" w:cs="Times New Roman"/>
                <w:sz w:val="20"/>
                <w:szCs w:val="20"/>
                <w:lang w:val="sq-AL"/>
              </w:rPr>
            </w:pPr>
          </w:p>
        </w:tc>
      </w:tr>
      <w:tr w:rsidR="00787224" w:rsidRPr="00DF12A5" w14:paraId="69058E17" w14:textId="77777777" w:rsidTr="00BB0DAB">
        <w:tc>
          <w:tcPr>
            <w:tcW w:w="800" w:type="dxa"/>
            <w:tcBorders>
              <w:left w:val="single" w:sz="12" w:space="0" w:color="auto"/>
            </w:tcBorders>
          </w:tcPr>
          <w:p w14:paraId="066E0D6B"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23, paragraph 6</w:t>
            </w:r>
          </w:p>
        </w:tc>
        <w:tc>
          <w:tcPr>
            <w:tcW w:w="5220" w:type="dxa"/>
            <w:tcBorders>
              <w:right w:val="single" w:sz="12" w:space="0" w:color="auto"/>
            </w:tcBorders>
          </w:tcPr>
          <w:p w14:paraId="4705756C" w14:textId="77777777" w:rsidR="00787224" w:rsidRPr="00DF12A5" w:rsidRDefault="00787224" w:rsidP="0078722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before taking any decision imposing administrative penalties or other administrative measures as set out in paragraph 2, the competent authorities designated pursuant to Article 18(2) give the natural or legal person concerned the opportunity to be heard. Exceptions to the right to be heard may apply for the adoption of those other administrative measures where urgent action is necessary to prevent significant losses to third parties or significant damage to the financial system. In such cases, the person concerned shall be given the opportunity to be heard as soon as possible after the adoption of the administrative measure and, where necessary, that measure shall be revised.</w:t>
            </w:r>
          </w:p>
        </w:tc>
        <w:tc>
          <w:tcPr>
            <w:tcW w:w="624" w:type="dxa"/>
            <w:tcBorders>
              <w:left w:val="single" w:sz="12" w:space="0" w:color="auto"/>
            </w:tcBorders>
          </w:tcPr>
          <w:p w14:paraId="377688E0" w14:textId="32D1172F" w:rsidR="0078722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96DCEA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43, paragraphs 2-3</w:t>
            </w:r>
          </w:p>
        </w:tc>
        <w:tc>
          <w:tcPr>
            <w:tcW w:w="5130" w:type="dxa"/>
          </w:tcPr>
          <w:p w14:paraId="649D5E8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Before adopting a supervisory measure or imposing an administrative pecuniary sanction, the Authority shall give the natural person concerned, or the management body or representative of the legal person concerned, an opportunity to be heard.</w:t>
            </w:r>
            <w:r>
              <w:rPr>
                <w:rFonts w:ascii="Times New Roman" w:hAnsi="Times New Roman"/>
                <w:color w:val="000000"/>
                <w:sz w:val="20"/>
              </w:rPr>
              <w:br/>
              <w:t>3. By way of derogation from paragraph 2 of this Article, supervisory measures or sanctions may be adopted without first granting the right to be heard where the measure is urgent and necessary to prevent substantial losses to third parties or substantial damage to the financial system. In such cases, the person concerned shall be given an opportunity to be heard immediately after the measure is adopted and the Authority shall review the measure where appropriate.</w:t>
            </w:r>
          </w:p>
        </w:tc>
        <w:tc>
          <w:tcPr>
            <w:tcW w:w="900" w:type="dxa"/>
          </w:tcPr>
          <w:p w14:paraId="0440C2BB" w14:textId="4E90B1E9"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37B374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35B54FAB" w14:textId="77777777" w:rsidTr="00BB0DAB">
        <w:tc>
          <w:tcPr>
            <w:tcW w:w="800" w:type="dxa"/>
            <w:tcBorders>
              <w:left w:val="single" w:sz="12" w:space="0" w:color="auto"/>
            </w:tcBorders>
          </w:tcPr>
          <w:p w14:paraId="1528F1A2"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23, paragraph 7</w:t>
            </w:r>
          </w:p>
        </w:tc>
        <w:tc>
          <w:tcPr>
            <w:tcW w:w="5220" w:type="dxa"/>
            <w:tcBorders>
              <w:right w:val="single" w:sz="12" w:space="0" w:color="auto"/>
            </w:tcBorders>
          </w:tcPr>
          <w:p w14:paraId="5ECA8F31"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any decision imposing administrative penalties or other administrative measures as set out in paragraph 2 is properly reasoned and is subject to a right of appeal.</w:t>
            </w:r>
          </w:p>
        </w:tc>
        <w:tc>
          <w:tcPr>
            <w:tcW w:w="624" w:type="dxa"/>
            <w:tcBorders>
              <w:left w:val="single" w:sz="12" w:space="0" w:color="auto"/>
            </w:tcBorders>
          </w:tcPr>
          <w:p w14:paraId="1BE4459C" w14:textId="1E82EA8B"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F4F405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43, paragraph 4</w:t>
            </w:r>
          </w:p>
        </w:tc>
        <w:tc>
          <w:tcPr>
            <w:tcW w:w="5130" w:type="dxa"/>
          </w:tcPr>
          <w:p w14:paraId="3E64658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Decisions of the Authority adopting supervisory measures or imposing administrative pecuniary sanctions shall state the reasons on which they are based and shall be subject to judicial appeal in accordance with the legislation in force.</w:t>
            </w:r>
          </w:p>
        </w:tc>
        <w:tc>
          <w:tcPr>
            <w:tcW w:w="900" w:type="dxa"/>
          </w:tcPr>
          <w:p w14:paraId="2C97EC06" w14:textId="23DBB146"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B465EF2"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10F80086" w14:textId="77777777" w:rsidTr="00BB0DAB">
        <w:tc>
          <w:tcPr>
            <w:tcW w:w="800" w:type="dxa"/>
            <w:tcBorders>
              <w:left w:val="single" w:sz="12" w:space="0" w:color="auto"/>
            </w:tcBorders>
          </w:tcPr>
          <w:p w14:paraId="07BE203A"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1</w:t>
            </w:r>
          </w:p>
        </w:tc>
        <w:tc>
          <w:tcPr>
            <w:tcW w:w="5220" w:type="dxa"/>
            <w:tcBorders>
              <w:right w:val="single" w:sz="12" w:space="0" w:color="auto"/>
            </w:tcBorders>
          </w:tcPr>
          <w:p w14:paraId="701F269B"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Publication of administrative penalties and other administrative measures</w:t>
            </w:r>
            <w:r>
              <w:rPr>
                <w:rFonts w:ascii="Times New Roman" w:hAnsi="Times New Roman"/>
                <w:color w:val="000000"/>
                <w:sz w:val="20"/>
              </w:rPr>
              <w:br/>
              <w:t>Member States shall ensure that the provisions of national law transposing this Directive include rules requiring that administrative penalties and other administrative measures be published without undue delay on the official websites of the competent authorities designated pursuant to Article 18(2). The same obligations apply where a Member State decides to provide for criminal penalties pursuant to the second subparagraph of Article 23(1).</w:t>
            </w:r>
          </w:p>
        </w:tc>
        <w:tc>
          <w:tcPr>
            <w:tcW w:w="624" w:type="dxa"/>
            <w:tcBorders>
              <w:left w:val="single" w:sz="12" w:space="0" w:color="auto"/>
            </w:tcBorders>
          </w:tcPr>
          <w:p w14:paraId="761909EE" w14:textId="67424F57"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99EF8F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1</w:t>
            </w:r>
          </w:p>
        </w:tc>
        <w:tc>
          <w:tcPr>
            <w:tcW w:w="5130" w:type="dxa"/>
          </w:tcPr>
          <w:p w14:paraId="22C18E7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Supervisory measures and sanctions shall be published without delay on the Authority’s official website.</w:t>
            </w:r>
          </w:p>
        </w:tc>
        <w:tc>
          <w:tcPr>
            <w:tcW w:w="900" w:type="dxa"/>
          </w:tcPr>
          <w:p w14:paraId="768365A9" w14:textId="4896ABAA"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9DFFCF5"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2857D8B1" w14:textId="77777777" w:rsidTr="00BB0DAB">
        <w:tc>
          <w:tcPr>
            <w:tcW w:w="800" w:type="dxa"/>
            <w:tcBorders>
              <w:left w:val="single" w:sz="12" w:space="0" w:color="auto"/>
            </w:tcBorders>
          </w:tcPr>
          <w:p w14:paraId="1538CD07"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2</w:t>
            </w:r>
          </w:p>
        </w:tc>
        <w:tc>
          <w:tcPr>
            <w:tcW w:w="5220" w:type="dxa"/>
            <w:tcBorders>
              <w:right w:val="single" w:sz="12" w:space="0" w:color="auto"/>
            </w:tcBorders>
          </w:tcPr>
          <w:p w14:paraId="3F1E4FCC"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rules adopted pursuant to paragraph 1 shall require at a minimum the publication of any decision which cannot or can no longer be appealed, and which is imposed for breach of the provisions of national law transposing this Directive.</w:t>
            </w:r>
          </w:p>
        </w:tc>
        <w:tc>
          <w:tcPr>
            <w:tcW w:w="624" w:type="dxa"/>
            <w:tcBorders>
              <w:left w:val="single" w:sz="12" w:space="0" w:color="auto"/>
            </w:tcBorders>
          </w:tcPr>
          <w:p w14:paraId="08E81F2D" w14:textId="5A235B62"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C00C19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2</w:t>
            </w:r>
          </w:p>
        </w:tc>
        <w:tc>
          <w:tcPr>
            <w:tcW w:w="5130" w:type="dxa"/>
          </w:tcPr>
          <w:p w14:paraId="540E7E5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Publication under paragraph 1 of this Article shall include at least the sanction or supervisory measure. Where a decision adopting a supervisory measure has been appealed before the competent court, the fact that an appeal has been lodged shall be published together with the supervisory measure.</w:t>
            </w:r>
          </w:p>
        </w:tc>
        <w:tc>
          <w:tcPr>
            <w:tcW w:w="900" w:type="dxa"/>
          </w:tcPr>
          <w:p w14:paraId="4B119EF4" w14:textId="50742C91"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E0BDE3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4291ABCF" w14:textId="77777777" w:rsidTr="00BB0DAB">
        <w:tc>
          <w:tcPr>
            <w:tcW w:w="800" w:type="dxa"/>
            <w:tcBorders>
              <w:left w:val="single" w:sz="12" w:space="0" w:color="auto"/>
            </w:tcBorders>
          </w:tcPr>
          <w:p w14:paraId="4D20BE84"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3</w:t>
            </w:r>
          </w:p>
        </w:tc>
        <w:tc>
          <w:tcPr>
            <w:tcW w:w="5220" w:type="dxa"/>
            <w:tcBorders>
              <w:right w:val="single" w:sz="12" w:space="0" w:color="auto"/>
            </w:tcBorders>
          </w:tcPr>
          <w:p w14:paraId="7C399AFA"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such a publication includes information on the type and nature of the breach and the identity of the natural or legal person on whom the penalty or measure is imposed. Subject to paragraph 4, Member States shall further ensure that such information is published without undue delay after the addressee has been informed of that penalty or measure as well as of the publication of the decision imposing that penalty or measure on the official websites of the competent authorities designated pursuant to Article 18(2).</w:t>
            </w:r>
          </w:p>
        </w:tc>
        <w:tc>
          <w:tcPr>
            <w:tcW w:w="624" w:type="dxa"/>
            <w:tcBorders>
              <w:left w:val="single" w:sz="12" w:space="0" w:color="auto"/>
            </w:tcBorders>
          </w:tcPr>
          <w:p w14:paraId="48FB5E88" w14:textId="075A4EA4"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E666F0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3</w:t>
            </w:r>
          </w:p>
        </w:tc>
        <w:tc>
          <w:tcPr>
            <w:tcW w:w="5130" w:type="dxa"/>
          </w:tcPr>
          <w:p w14:paraId="6ABE67C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Publication shall include information on the type and nature of the infringement and the identity of the natural or legal person on whom the supervisory measure or sanction was imposed.</w:t>
            </w:r>
            <w:r>
              <w:rPr>
                <w:rFonts w:ascii="Times New Roman" w:hAnsi="Times New Roman"/>
                <w:color w:val="000000"/>
                <w:sz w:val="20"/>
              </w:rPr>
              <w:br/>
              <w:t>In accordance with paragraph 4 of this Article, that information shall be published without delay after the person on whom the sanction or supervisory measure was imposed has been informed thereof and of the publication of the relevant decision on the Authority’s official website.</w:t>
            </w:r>
          </w:p>
        </w:tc>
        <w:tc>
          <w:tcPr>
            <w:tcW w:w="900" w:type="dxa"/>
          </w:tcPr>
          <w:p w14:paraId="259F865F" w14:textId="247E49CD"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3F2BEE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3EFE02D7" w14:textId="77777777" w:rsidTr="00BB0DAB">
        <w:tc>
          <w:tcPr>
            <w:tcW w:w="800" w:type="dxa"/>
            <w:tcBorders>
              <w:left w:val="single" w:sz="12" w:space="0" w:color="auto"/>
            </w:tcBorders>
          </w:tcPr>
          <w:p w14:paraId="6978F798"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4</w:t>
            </w:r>
          </w:p>
        </w:tc>
        <w:tc>
          <w:tcPr>
            <w:tcW w:w="5220" w:type="dxa"/>
            <w:tcBorders>
              <w:right w:val="single" w:sz="12" w:space="0" w:color="auto"/>
            </w:tcBorders>
          </w:tcPr>
          <w:p w14:paraId="60BF626D"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Member States permit publication of a decision imposing penalties or other measures against which an appeal is pending, the competent authorities designated pursuant to Article 18(2) shall, without undue delay, also publish on their official websites information on the status of the appeal and the outcome thereof.</w:t>
            </w:r>
          </w:p>
        </w:tc>
        <w:tc>
          <w:tcPr>
            <w:tcW w:w="624" w:type="dxa"/>
            <w:tcBorders>
              <w:left w:val="single" w:sz="12" w:space="0" w:color="auto"/>
            </w:tcBorders>
          </w:tcPr>
          <w:p w14:paraId="292FD221" w14:textId="245CF08B"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A9D105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4</w:t>
            </w:r>
          </w:p>
        </w:tc>
        <w:tc>
          <w:tcPr>
            <w:tcW w:w="5130" w:type="dxa"/>
          </w:tcPr>
          <w:p w14:paraId="6689612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Where a decision imposing sanctions or supervisory measures has been appealed, the Authority shall also publish without delay on its official website information on the status and outcome of the appeal.</w:t>
            </w:r>
          </w:p>
        </w:tc>
        <w:tc>
          <w:tcPr>
            <w:tcW w:w="900" w:type="dxa"/>
          </w:tcPr>
          <w:p w14:paraId="3F60024F" w14:textId="2C308A82"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14569F0"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76F2687C" w14:textId="77777777" w:rsidTr="00BB0DAB">
        <w:tc>
          <w:tcPr>
            <w:tcW w:w="800" w:type="dxa"/>
            <w:tcBorders>
              <w:left w:val="single" w:sz="12" w:space="0" w:color="auto"/>
            </w:tcBorders>
          </w:tcPr>
          <w:p w14:paraId="31BFC61A"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5</w:t>
            </w:r>
          </w:p>
        </w:tc>
        <w:tc>
          <w:tcPr>
            <w:tcW w:w="5220" w:type="dxa"/>
            <w:tcBorders>
              <w:right w:val="single" w:sz="12" w:space="0" w:color="auto"/>
            </w:tcBorders>
          </w:tcPr>
          <w:p w14:paraId="251F9EAD"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the competent authorities designated pursuant to Article 18(2) publish the decision imposing penalties or measures on an anonymous basis and in accordance with national law, in any of the following circumstances:</w:t>
            </w:r>
            <w:r>
              <w:rPr>
                <w:rFonts w:ascii="Times New Roman" w:hAnsi="Times New Roman"/>
                <w:color w:val="000000"/>
                <w:sz w:val="20"/>
              </w:rPr>
              <w:br/>
              <w:t>(a) where the penalty or measure is imposed on a natural person and the publication of personal data is found to be disproportionate;</w:t>
            </w:r>
            <w:r>
              <w:rPr>
                <w:rFonts w:ascii="Times New Roman" w:hAnsi="Times New Roman"/>
                <w:color w:val="000000"/>
                <w:sz w:val="20"/>
              </w:rPr>
              <w:br/>
              <w:t>(b) where publication would jeopardise the stability of financial markets or an ongoing criminal investigation;</w:t>
            </w:r>
            <w:r>
              <w:rPr>
                <w:rFonts w:ascii="Times New Roman" w:hAnsi="Times New Roman"/>
                <w:color w:val="000000"/>
                <w:sz w:val="20"/>
              </w:rPr>
              <w:br/>
              <w:t>(c) where publication would cause, insofar as it can be determined, disproportionate damage to the credit institutions or the natural persons involved.</w:t>
            </w:r>
          </w:p>
        </w:tc>
        <w:tc>
          <w:tcPr>
            <w:tcW w:w="624" w:type="dxa"/>
            <w:tcBorders>
              <w:left w:val="single" w:sz="12" w:space="0" w:color="auto"/>
            </w:tcBorders>
          </w:tcPr>
          <w:p w14:paraId="47051957" w14:textId="5CCCD51E"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9AA06D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5</w:t>
            </w:r>
          </w:p>
        </w:tc>
        <w:tc>
          <w:tcPr>
            <w:tcW w:w="5130" w:type="dxa"/>
          </w:tcPr>
          <w:p w14:paraId="7AD4E64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The Authority shall publish a decision imposing sanctions or supervisory measures on an anonymous basis in any of the following circumstances:</w:t>
            </w:r>
            <w:r>
              <w:rPr>
                <w:rFonts w:ascii="Times New Roman" w:hAnsi="Times New Roman"/>
                <w:color w:val="000000"/>
                <w:sz w:val="20"/>
              </w:rPr>
              <w:br/>
              <w:t>(a) where the sanction or supervisory measure is imposed on a natural person and publication of personal data is considered disproportionate;</w:t>
            </w:r>
            <w:r>
              <w:rPr>
                <w:rFonts w:ascii="Times New Roman" w:hAnsi="Times New Roman"/>
                <w:color w:val="000000"/>
                <w:sz w:val="20"/>
              </w:rPr>
              <w:br/>
              <w:t>(b) where publication would jeopardise the stability of financial markets or an ongoing criminal investigation;</w:t>
            </w:r>
            <w:r>
              <w:rPr>
                <w:rFonts w:ascii="Times New Roman" w:hAnsi="Times New Roman"/>
                <w:color w:val="000000"/>
                <w:sz w:val="20"/>
              </w:rPr>
              <w:br/>
              <w:t>(c) where publication would cause, insofar as this can be determined, disproportionate damage to the credit institutions or natural persons involved.</w:t>
            </w:r>
          </w:p>
        </w:tc>
        <w:tc>
          <w:tcPr>
            <w:tcW w:w="900" w:type="dxa"/>
          </w:tcPr>
          <w:p w14:paraId="54923363" w14:textId="064C65CF"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7CA4CD6"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0940FB31" w14:textId="77777777" w:rsidTr="00BB0DAB">
        <w:tc>
          <w:tcPr>
            <w:tcW w:w="800" w:type="dxa"/>
            <w:tcBorders>
              <w:left w:val="single" w:sz="12" w:space="0" w:color="auto"/>
            </w:tcBorders>
          </w:tcPr>
          <w:p w14:paraId="4C9F4678"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6</w:t>
            </w:r>
          </w:p>
        </w:tc>
        <w:tc>
          <w:tcPr>
            <w:tcW w:w="5220" w:type="dxa"/>
            <w:tcBorders>
              <w:right w:val="single" w:sz="12" w:space="0" w:color="auto"/>
            </w:tcBorders>
          </w:tcPr>
          <w:p w14:paraId="155F5951"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a Member State publishes a decision imposing a penalty or measure on an anonymous basis, it may allow for the publication of the relevant data to be postponed.</w:t>
            </w:r>
          </w:p>
        </w:tc>
        <w:tc>
          <w:tcPr>
            <w:tcW w:w="624" w:type="dxa"/>
            <w:tcBorders>
              <w:left w:val="single" w:sz="12" w:space="0" w:color="auto"/>
            </w:tcBorders>
          </w:tcPr>
          <w:p w14:paraId="05F2253D" w14:textId="673E05B7"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58B3A1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6</w:t>
            </w:r>
          </w:p>
        </w:tc>
        <w:tc>
          <w:tcPr>
            <w:tcW w:w="5130" w:type="dxa"/>
          </w:tcPr>
          <w:p w14:paraId="3940BFF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6. Where a decision imposing a sanction or supervisory measure is published on an anonymous basis, the Authority may permit the publication of the relevant data to be deferred.</w:t>
            </w:r>
          </w:p>
        </w:tc>
        <w:tc>
          <w:tcPr>
            <w:tcW w:w="900" w:type="dxa"/>
          </w:tcPr>
          <w:p w14:paraId="0411AD12" w14:textId="0A951307"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5293773" w14:textId="77777777" w:rsidR="003E7E51" w:rsidRPr="00DF12A5" w:rsidRDefault="003E7E51">
            <w:pPr>
              <w:spacing w:after="0" w:line="240" w:lineRule="auto"/>
              <w:jc w:val="both"/>
              <w:rPr>
                <w:rFonts w:ascii="Times New Roman" w:hAnsi="Times New Roman" w:cs="Times New Roman"/>
                <w:sz w:val="20"/>
                <w:szCs w:val="20"/>
                <w:lang w:val="sq-AL"/>
              </w:rPr>
            </w:pPr>
          </w:p>
        </w:tc>
      </w:tr>
      <w:tr w:rsidR="004C1834" w:rsidRPr="00DF12A5" w14:paraId="64627C59" w14:textId="77777777" w:rsidTr="00BB0DAB">
        <w:tc>
          <w:tcPr>
            <w:tcW w:w="800" w:type="dxa"/>
            <w:tcBorders>
              <w:left w:val="single" w:sz="12" w:space="0" w:color="auto"/>
            </w:tcBorders>
          </w:tcPr>
          <w:p w14:paraId="1CF1340F"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7</w:t>
            </w:r>
          </w:p>
        </w:tc>
        <w:tc>
          <w:tcPr>
            <w:tcW w:w="5220" w:type="dxa"/>
            <w:tcBorders>
              <w:right w:val="single" w:sz="12" w:space="0" w:color="auto"/>
            </w:tcBorders>
          </w:tcPr>
          <w:p w14:paraId="6C66F232" w14:textId="77777777" w:rsidR="004C1834" w:rsidRPr="00DF12A5" w:rsidRDefault="004C1834" w:rsidP="004C1834">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any final court ruling that annuls a decision imposing a penalty or measure is also published.</w:t>
            </w:r>
          </w:p>
        </w:tc>
        <w:tc>
          <w:tcPr>
            <w:tcW w:w="624" w:type="dxa"/>
            <w:tcBorders>
              <w:left w:val="single" w:sz="12" w:space="0" w:color="auto"/>
            </w:tcBorders>
          </w:tcPr>
          <w:p w14:paraId="446664B2" w14:textId="41FDD9C0" w:rsidR="004C1834" w:rsidRPr="00DF12A5" w:rsidRDefault="0008293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731D64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7</w:t>
            </w:r>
          </w:p>
        </w:tc>
        <w:tc>
          <w:tcPr>
            <w:tcW w:w="5130" w:type="dxa"/>
          </w:tcPr>
          <w:p w14:paraId="3DF75FC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7. The Authority shall also publish any final court decision annulling a decision adopting a supervisory measure or imposing a sanction.</w:t>
            </w:r>
          </w:p>
        </w:tc>
        <w:tc>
          <w:tcPr>
            <w:tcW w:w="900" w:type="dxa"/>
          </w:tcPr>
          <w:p w14:paraId="56222F48" w14:textId="44559993" w:rsidR="003E7E51" w:rsidRPr="00DF12A5" w:rsidRDefault="0008293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787CBCC3" w14:textId="77777777" w:rsidR="003E7E51" w:rsidRPr="00DF12A5" w:rsidRDefault="003E7E51">
            <w:pPr>
              <w:spacing w:after="0" w:line="240" w:lineRule="auto"/>
              <w:jc w:val="both"/>
              <w:rPr>
                <w:rFonts w:ascii="Times New Roman" w:hAnsi="Times New Roman" w:cs="Times New Roman"/>
                <w:sz w:val="20"/>
                <w:szCs w:val="20"/>
                <w:lang w:val="sq-AL"/>
              </w:rPr>
            </w:pPr>
          </w:p>
        </w:tc>
      </w:tr>
      <w:tr w:rsidR="00DD223C" w:rsidRPr="00DF12A5" w14:paraId="070C44CC" w14:textId="77777777" w:rsidTr="00BB0DAB">
        <w:tc>
          <w:tcPr>
            <w:tcW w:w="800" w:type="dxa"/>
            <w:tcBorders>
              <w:left w:val="single" w:sz="12" w:space="0" w:color="auto"/>
            </w:tcBorders>
          </w:tcPr>
          <w:p w14:paraId="314957BF"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8</w:t>
            </w:r>
          </w:p>
        </w:tc>
        <w:tc>
          <w:tcPr>
            <w:tcW w:w="5220" w:type="dxa"/>
            <w:tcBorders>
              <w:right w:val="single" w:sz="12" w:space="0" w:color="auto"/>
            </w:tcBorders>
          </w:tcPr>
          <w:p w14:paraId="65B80610"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any publication referred to in paragraphs 2 to 6 remains on the official websites of the competent authorities designated pursuant to Article 18(2) for at least five years from the date of publication. Personal data contained in the publication shall only be retained on the official website for the period which is necessary and in accordance with the applicable personal data protection rules. Such a retention period shall be determined taking into account the limitation periods provided for in the legislation of the Member States concerned but shall in no case be longer than ten years.</w:t>
            </w:r>
          </w:p>
        </w:tc>
        <w:tc>
          <w:tcPr>
            <w:tcW w:w="624" w:type="dxa"/>
            <w:tcBorders>
              <w:left w:val="single" w:sz="12" w:space="0" w:color="auto"/>
            </w:tcBorders>
          </w:tcPr>
          <w:p w14:paraId="5FCD7F2F" w14:textId="34551E30" w:rsidR="00DD223C" w:rsidRPr="00DF12A5" w:rsidRDefault="00742264"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995131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8</w:t>
            </w:r>
          </w:p>
        </w:tc>
        <w:tc>
          <w:tcPr>
            <w:tcW w:w="5130" w:type="dxa"/>
          </w:tcPr>
          <w:p w14:paraId="1709BA6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8. Publications referred to in paragraphs 2 to 6 of this Article shall remain on the Authority’s official website for at least five years from the date of publication. Personal data included in the publication shall remain on the official website only for the period necessary in accordance with the legislation on personal data protection, but in no case for longer than ten years.</w:t>
            </w:r>
          </w:p>
        </w:tc>
        <w:tc>
          <w:tcPr>
            <w:tcW w:w="900" w:type="dxa"/>
          </w:tcPr>
          <w:p w14:paraId="6B41274F" w14:textId="77777777" w:rsidR="003E7E51" w:rsidRPr="00742264" w:rsidRDefault="00B82C36">
            <w:pPr>
              <w:spacing w:after="0" w:line="240" w:lineRule="auto"/>
              <w:jc w:val="center"/>
              <w:rPr>
                <w:rFonts w:ascii="Times New Roman" w:hAnsi="Times New Roman" w:cs="Times New Roman"/>
                <w:sz w:val="20"/>
                <w:szCs w:val="20"/>
                <w:highlight w:val="yellow"/>
                <w:lang w:val="sq-AL"/>
              </w:rPr>
            </w:pPr>
            <w:r>
              <w:rPr>
                <w:rFonts w:ascii="Times New Roman" w:hAnsi="Times New Roman"/>
                <w:color w:val="000000"/>
                <w:sz w:val="20"/>
              </w:rPr>
              <w:t>F</w:t>
            </w:r>
          </w:p>
        </w:tc>
        <w:tc>
          <w:tcPr>
            <w:tcW w:w="1710" w:type="dxa"/>
            <w:tcBorders>
              <w:right w:val="single" w:sz="12" w:space="0" w:color="auto"/>
            </w:tcBorders>
          </w:tcPr>
          <w:p w14:paraId="3D8DE162" w14:textId="77777777" w:rsidR="003E7E51" w:rsidRPr="00742264" w:rsidRDefault="003E7E51">
            <w:pPr>
              <w:spacing w:after="0" w:line="240" w:lineRule="auto"/>
              <w:jc w:val="both"/>
              <w:rPr>
                <w:rFonts w:ascii="Times New Roman" w:hAnsi="Times New Roman" w:cs="Times New Roman"/>
                <w:sz w:val="20"/>
                <w:szCs w:val="20"/>
                <w:highlight w:val="yellow"/>
                <w:lang w:val="sq-AL"/>
              </w:rPr>
            </w:pPr>
          </w:p>
        </w:tc>
      </w:tr>
      <w:tr w:rsidR="00DD223C" w:rsidRPr="00DF12A5" w14:paraId="14E5ECD9" w14:textId="77777777" w:rsidTr="00BB0DAB">
        <w:tc>
          <w:tcPr>
            <w:tcW w:w="800" w:type="dxa"/>
            <w:tcBorders>
              <w:left w:val="single" w:sz="12" w:space="0" w:color="auto"/>
            </w:tcBorders>
          </w:tcPr>
          <w:p w14:paraId="7CB7F190"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9</w:t>
            </w:r>
          </w:p>
        </w:tc>
        <w:tc>
          <w:tcPr>
            <w:tcW w:w="5220" w:type="dxa"/>
            <w:tcBorders>
              <w:right w:val="single" w:sz="12" w:space="0" w:color="auto"/>
            </w:tcBorders>
          </w:tcPr>
          <w:p w14:paraId="37BB2F01"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competent authorities designated pursuant to Article 18(2) shall inform EBA of any administrative penalties and other administrative measures imposed, including, where relevant, any appeal in relation thereto and the outcome thereof. Member States shall ensure that those competent authorities receive information and details of the final judgement in relation to any criminal penalty imposed, which those competent authorities shall also submit to EBA.</w:t>
            </w:r>
          </w:p>
        </w:tc>
        <w:tc>
          <w:tcPr>
            <w:tcW w:w="624" w:type="dxa"/>
            <w:tcBorders>
              <w:left w:val="single" w:sz="12" w:space="0" w:color="auto"/>
            </w:tcBorders>
          </w:tcPr>
          <w:p w14:paraId="2306FF6C" w14:textId="42591E3B" w:rsidR="00DD223C" w:rsidRPr="00DF12A5" w:rsidRDefault="00742264"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E81A5B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44, paragraph 9</w:t>
            </w:r>
          </w:p>
        </w:tc>
        <w:tc>
          <w:tcPr>
            <w:tcW w:w="5130" w:type="dxa"/>
          </w:tcPr>
          <w:p w14:paraId="2EBED19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9. Without prejudice to the relevant provisions of the legislation in force, the Authority shall inform the European Banking Authority (EBA) of all sanctions and supervisory measures imposed, including, where applicable, any appeal lodged and its outcome. The Authority shall obtain information and data concerning final decisions imposing criminal penalties and shall submit that information to the European Banking Authority (EBA).</w:t>
            </w:r>
          </w:p>
        </w:tc>
        <w:tc>
          <w:tcPr>
            <w:tcW w:w="900" w:type="dxa"/>
          </w:tcPr>
          <w:p w14:paraId="697A8615" w14:textId="77777777" w:rsidR="003E7E51" w:rsidRPr="00742264" w:rsidRDefault="00B82C36">
            <w:pPr>
              <w:spacing w:after="0" w:line="240" w:lineRule="auto"/>
              <w:jc w:val="center"/>
              <w:rPr>
                <w:rFonts w:ascii="Times New Roman" w:hAnsi="Times New Roman" w:cs="Times New Roman"/>
                <w:sz w:val="20"/>
                <w:szCs w:val="20"/>
                <w:highlight w:val="yellow"/>
                <w:lang w:val="sq-AL"/>
              </w:rPr>
            </w:pPr>
            <w:r>
              <w:rPr>
                <w:rFonts w:ascii="Times New Roman" w:hAnsi="Times New Roman"/>
                <w:color w:val="000000"/>
                <w:sz w:val="20"/>
              </w:rPr>
              <w:t>F</w:t>
            </w:r>
          </w:p>
        </w:tc>
        <w:tc>
          <w:tcPr>
            <w:tcW w:w="1710" w:type="dxa"/>
            <w:tcBorders>
              <w:right w:val="single" w:sz="12" w:space="0" w:color="auto"/>
            </w:tcBorders>
          </w:tcPr>
          <w:p w14:paraId="1C76CEBD" w14:textId="77777777" w:rsidR="003E7E51" w:rsidRPr="00742264" w:rsidRDefault="003E7E51">
            <w:pPr>
              <w:spacing w:after="0" w:line="240" w:lineRule="auto"/>
              <w:jc w:val="both"/>
              <w:rPr>
                <w:rFonts w:ascii="Times New Roman" w:hAnsi="Times New Roman" w:cs="Times New Roman"/>
                <w:sz w:val="20"/>
                <w:szCs w:val="20"/>
                <w:highlight w:val="yellow"/>
                <w:lang w:val="sq-AL"/>
              </w:rPr>
            </w:pPr>
          </w:p>
        </w:tc>
      </w:tr>
      <w:tr w:rsidR="00DD223C" w:rsidRPr="00DF12A5" w14:paraId="090FC2B9" w14:textId="77777777" w:rsidTr="00BB0DAB">
        <w:tc>
          <w:tcPr>
            <w:tcW w:w="800" w:type="dxa"/>
            <w:tcBorders>
              <w:left w:val="single" w:sz="12" w:space="0" w:color="auto"/>
            </w:tcBorders>
          </w:tcPr>
          <w:p w14:paraId="53BBFF8C"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24, paragraph 10</w:t>
            </w:r>
          </w:p>
        </w:tc>
        <w:tc>
          <w:tcPr>
            <w:tcW w:w="5220" w:type="dxa"/>
            <w:tcBorders>
              <w:right w:val="single" w:sz="12" w:space="0" w:color="auto"/>
            </w:tcBorders>
          </w:tcPr>
          <w:p w14:paraId="6E4778F8"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EBA shall maintain a central database of administrative penalties and other administrative measures communicated to them. That database shall be accessible only to the competent authorities designated pursuant to Article 18(2) and shall be updated on the basis of the information provided by those competent authorities in accordance with paragraph 9 of this Article.</w:t>
            </w:r>
          </w:p>
        </w:tc>
        <w:tc>
          <w:tcPr>
            <w:tcW w:w="624" w:type="dxa"/>
            <w:tcBorders>
              <w:left w:val="single" w:sz="12" w:space="0" w:color="auto"/>
            </w:tcBorders>
          </w:tcPr>
          <w:p w14:paraId="46F8BD80" w14:textId="77777777" w:rsidR="00DD223C" w:rsidRPr="00DF12A5" w:rsidRDefault="00DD223C" w:rsidP="00BB0DAB">
            <w:pPr>
              <w:spacing w:after="0" w:line="240" w:lineRule="auto"/>
              <w:jc w:val="center"/>
              <w:rPr>
                <w:rFonts w:ascii="Times New Roman" w:hAnsi="Times New Roman" w:cs="Times New Roman"/>
                <w:sz w:val="20"/>
                <w:szCs w:val="20"/>
                <w:lang w:val="sq-AL"/>
              </w:rPr>
            </w:pPr>
          </w:p>
        </w:tc>
        <w:tc>
          <w:tcPr>
            <w:tcW w:w="906" w:type="dxa"/>
          </w:tcPr>
          <w:p w14:paraId="4F8AB7A2" w14:textId="6FE9A43C" w:rsidR="003E7E51" w:rsidRPr="00DF12A5" w:rsidRDefault="003E7E51">
            <w:pPr>
              <w:spacing w:after="0" w:line="240" w:lineRule="auto"/>
              <w:jc w:val="both"/>
              <w:rPr>
                <w:rFonts w:ascii="Times New Roman" w:hAnsi="Times New Roman" w:cs="Times New Roman"/>
                <w:sz w:val="20"/>
                <w:szCs w:val="20"/>
                <w:lang w:val="sq-AL"/>
              </w:rPr>
            </w:pPr>
          </w:p>
        </w:tc>
        <w:tc>
          <w:tcPr>
            <w:tcW w:w="5130" w:type="dxa"/>
          </w:tcPr>
          <w:p w14:paraId="17B39D6B" w14:textId="6CA5F2DF" w:rsidR="003E7E51" w:rsidRPr="00DF12A5" w:rsidRDefault="009E7EC7">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N/A</w:t>
            </w:r>
          </w:p>
        </w:tc>
        <w:tc>
          <w:tcPr>
            <w:tcW w:w="900" w:type="dxa"/>
          </w:tcPr>
          <w:p w14:paraId="60AAC3FF" w14:textId="3563482D" w:rsidR="003E7E51" w:rsidRPr="00DF12A5" w:rsidRDefault="003E7E51">
            <w:pPr>
              <w:spacing w:after="0" w:line="240" w:lineRule="auto"/>
              <w:jc w:val="center"/>
              <w:rPr>
                <w:rFonts w:ascii="Times New Roman" w:hAnsi="Times New Roman" w:cs="Times New Roman"/>
                <w:sz w:val="20"/>
                <w:szCs w:val="20"/>
                <w:lang w:val="sq-AL"/>
              </w:rPr>
            </w:pPr>
          </w:p>
        </w:tc>
        <w:tc>
          <w:tcPr>
            <w:tcW w:w="1710" w:type="dxa"/>
            <w:tcBorders>
              <w:right w:val="single" w:sz="12" w:space="0" w:color="auto"/>
            </w:tcBorders>
          </w:tcPr>
          <w:p w14:paraId="122DFB56"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Institutional obligation of EBA.</w:t>
            </w:r>
          </w:p>
        </w:tc>
      </w:tr>
      <w:tr w:rsidR="00DD223C" w:rsidRPr="00DF12A5" w14:paraId="1EC72C81" w14:textId="77777777" w:rsidTr="00BB0DAB">
        <w:trPr>
          <w:trHeight w:val="2798"/>
        </w:trPr>
        <w:tc>
          <w:tcPr>
            <w:tcW w:w="800" w:type="dxa"/>
            <w:tcBorders>
              <w:left w:val="single" w:sz="12" w:space="0" w:color="auto"/>
            </w:tcBorders>
          </w:tcPr>
          <w:p w14:paraId="3CADFAB0"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25, paragraph 1</w:t>
            </w:r>
          </w:p>
        </w:tc>
        <w:tc>
          <w:tcPr>
            <w:tcW w:w="5220" w:type="dxa"/>
            <w:tcBorders>
              <w:right w:val="single" w:sz="12" w:space="0" w:color="auto"/>
            </w:tcBorders>
          </w:tcPr>
          <w:p w14:paraId="68AF5015"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Cooperation obligations</w:t>
            </w:r>
            <w:r>
              <w:rPr>
                <w:rFonts w:ascii="Times New Roman" w:hAnsi="Times New Roman"/>
                <w:color w:val="000000"/>
                <w:sz w:val="20"/>
              </w:rPr>
              <w:br/>
              <w:t>Member States shall ensure that the competent authorities designated pursuant to Article 18(2) cooperate closely with the competent authorities performing the general supervision of credit institutions in accordance with relevant Union law applicable to those institutions and with the resolution authority in the event of the resolution of a credit institution issuing covered bonds.</w:t>
            </w:r>
          </w:p>
        </w:tc>
        <w:tc>
          <w:tcPr>
            <w:tcW w:w="624" w:type="dxa"/>
            <w:tcBorders>
              <w:left w:val="single" w:sz="12" w:space="0" w:color="auto"/>
            </w:tcBorders>
          </w:tcPr>
          <w:p w14:paraId="28A01B29" w14:textId="7C6DC448" w:rsidR="00DD223C"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13EAC1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30, paragraph 1</w:t>
            </w:r>
          </w:p>
        </w:tc>
        <w:tc>
          <w:tcPr>
            <w:tcW w:w="5130" w:type="dxa"/>
          </w:tcPr>
          <w:p w14:paraId="7C5CD108"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Bank of Albania, as the supervisory authority for credit institutions and, where applicable, as the resolution authority, and the Authority shall cooperate closely and exchange all information necessary for the exercise of their supervisory duties in accordance with and for the implementation of this Law, including in the event of resolution of a credit institution issuing covered bonds.</w:t>
            </w:r>
          </w:p>
        </w:tc>
        <w:tc>
          <w:tcPr>
            <w:tcW w:w="900" w:type="dxa"/>
          </w:tcPr>
          <w:p w14:paraId="0FCC2894" w14:textId="70679AB8"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63D753B" w14:textId="77777777" w:rsidR="003E7E51" w:rsidRPr="00DF12A5" w:rsidRDefault="003E7E51">
            <w:pPr>
              <w:spacing w:after="0" w:line="240" w:lineRule="auto"/>
              <w:jc w:val="both"/>
              <w:rPr>
                <w:rFonts w:ascii="Times New Roman" w:hAnsi="Times New Roman" w:cs="Times New Roman"/>
                <w:sz w:val="20"/>
                <w:szCs w:val="20"/>
                <w:lang w:val="sq-AL"/>
              </w:rPr>
            </w:pPr>
          </w:p>
        </w:tc>
      </w:tr>
      <w:tr w:rsidR="00DD223C" w:rsidRPr="00DF12A5" w14:paraId="7A0A3F99" w14:textId="77777777" w:rsidTr="00BB0DAB">
        <w:tc>
          <w:tcPr>
            <w:tcW w:w="800" w:type="dxa"/>
            <w:tcBorders>
              <w:left w:val="single" w:sz="12" w:space="0" w:color="auto"/>
            </w:tcBorders>
          </w:tcPr>
          <w:p w14:paraId="5A03230F"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25, paragraph 2</w:t>
            </w:r>
          </w:p>
        </w:tc>
        <w:tc>
          <w:tcPr>
            <w:tcW w:w="5220" w:type="dxa"/>
            <w:tcBorders>
              <w:right w:val="single" w:sz="12" w:space="0" w:color="auto"/>
            </w:tcBorders>
          </w:tcPr>
          <w:p w14:paraId="4564DA41"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further ensure that the competent authorities designated pursuant to Article 18(2) cooperate closely with each other. That cooperation shall include providing one another with any information which is relevant for the exercise of the other authorities’ supervisory tasks under the provisions of national law transposing this Directive.</w:t>
            </w:r>
          </w:p>
        </w:tc>
        <w:tc>
          <w:tcPr>
            <w:tcW w:w="624" w:type="dxa"/>
            <w:tcBorders>
              <w:left w:val="single" w:sz="12" w:space="0" w:color="auto"/>
            </w:tcBorders>
          </w:tcPr>
          <w:p w14:paraId="638DBC6F" w14:textId="5D12A043" w:rsidR="00DD223C"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p w14:paraId="4F82C803" w14:textId="77777777" w:rsidR="00DD223C" w:rsidRPr="00DF12A5" w:rsidRDefault="00DD223C" w:rsidP="00BB0DAB">
            <w:pPr>
              <w:spacing w:after="0" w:line="240" w:lineRule="auto"/>
              <w:jc w:val="center"/>
              <w:rPr>
                <w:rFonts w:ascii="Times New Roman" w:hAnsi="Times New Roman" w:cs="Times New Roman"/>
                <w:sz w:val="20"/>
                <w:szCs w:val="20"/>
                <w:lang w:val="sq-AL"/>
              </w:rPr>
            </w:pPr>
          </w:p>
          <w:p w14:paraId="67400530" w14:textId="77777777" w:rsidR="00DD223C" w:rsidRPr="00DF12A5" w:rsidRDefault="00DD223C" w:rsidP="00BB0DAB">
            <w:pPr>
              <w:spacing w:after="0" w:line="240" w:lineRule="auto"/>
              <w:jc w:val="center"/>
              <w:rPr>
                <w:rFonts w:ascii="Times New Roman" w:hAnsi="Times New Roman" w:cs="Times New Roman"/>
                <w:sz w:val="20"/>
                <w:szCs w:val="20"/>
                <w:lang w:val="sq-AL"/>
              </w:rPr>
            </w:pPr>
          </w:p>
          <w:p w14:paraId="1E13E412" w14:textId="77777777" w:rsidR="00DD223C" w:rsidRPr="00DF12A5" w:rsidRDefault="00DD223C" w:rsidP="00BB0DAB">
            <w:pPr>
              <w:spacing w:after="0" w:line="240" w:lineRule="auto"/>
              <w:jc w:val="center"/>
              <w:rPr>
                <w:rFonts w:ascii="Times New Roman" w:hAnsi="Times New Roman" w:cs="Times New Roman"/>
                <w:sz w:val="20"/>
                <w:szCs w:val="20"/>
                <w:lang w:val="sq-AL"/>
              </w:rPr>
            </w:pPr>
          </w:p>
          <w:p w14:paraId="7C215403" w14:textId="77777777" w:rsidR="00DD223C" w:rsidRPr="00DF12A5" w:rsidRDefault="00DD223C" w:rsidP="00BB0DAB">
            <w:pPr>
              <w:spacing w:after="0" w:line="240" w:lineRule="auto"/>
              <w:jc w:val="center"/>
              <w:rPr>
                <w:rFonts w:ascii="Times New Roman" w:hAnsi="Times New Roman" w:cs="Times New Roman"/>
                <w:sz w:val="20"/>
                <w:szCs w:val="20"/>
                <w:lang w:val="sq-AL"/>
              </w:rPr>
            </w:pPr>
          </w:p>
          <w:p w14:paraId="25A0F040" w14:textId="77777777" w:rsidR="00DD223C" w:rsidRPr="00DF12A5" w:rsidRDefault="00DD223C" w:rsidP="00BB0DAB">
            <w:pPr>
              <w:spacing w:after="0" w:line="240" w:lineRule="auto"/>
              <w:jc w:val="center"/>
              <w:rPr>
                <w:rFonts w:ascii="Times New Roman" w:hAnsi="Times New Roman" w:cs="Times New Roman"/>
                <w:sz w:val="20"/>
                <w:szCs w:val="20"/>
                <w:lang w:val="sq-AL"/>
              </w:rPr>
            </w:pPr>
          </w:p>
        </w:tc>
        <w:tc>
          <w:tcPr>
            <w:tcW w:w="906" w:type="dxa"/>
          </w:tcPr>
          <w:p w14:paraId="2A2D962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30, paragraph 2</w:t>
            </w:r>
          </w:p>
        </w:tc>
        <w:tc>
          <w:tcPr>
            <w:tcW w:w="5130" w:type="dxa"/>
          </w:tcPr>
          <w:p w14:paraId="31E613E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Bank of Albania and the Authority shall also cooperate with the competent authorities of Member States designated for the regulation and supervision of the issuance of covered bonds and for their public supervision, in accordance with their legislation in force transposing European Union legislation on covered bonds.</w:t>
            </w:r>
          </w:p>
        </w:tc>
        <w:tc>
          <w:tcPr>
            <w:tcW w:w="900" w:type="dxa"/>
          </w:tcPr>
          <w:p w14:paraId="62969EE5" w14:textId="4A2265C5"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475A9B72" w14:textId="77777777" w:rsidR="003E7E51" w:rsidRPr="00DF12A5" w:rsidRDefault="003E7E51">
            <w:pPr>
              <w:spacing w:after="0" w:line="240" w:lineRule="auto"/>
              <w:jc w:val="both"/>
              <w:rPr>
                <w:rFonts w:ascii="Times New Roman" w:hAnsi="Times New Roman" w:cs="Times New Roman"/>
                <w:sz w:val="20"/>
                <w:szCs w:val="20"/>
                <w:lang w:val="sq-AL"/>
              </w:rPr>
            </w:pPr>
          </w:p>
        </w:tc>
      </w:tr>
      <w:tr w:rsidR="00DD223C" w:rsidRPr="00DF12A5" w14:paraId="1E327588" w14:textId="77777777" w:rsidTr="00BB0DAB">
        <w:tc>
          <w:tcPr>
            <w:tcW w:w="800" w:type="dxa"/>
            <w:tcBorders>
              <w:left w:val="single" w:sz="12" w:space="0" w:color="auto"/>
            </w:tcBorders>
          </w:tcPr>
          <w:p w14:paraId="7636D2F4"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25, paragraph 3</w:t>
            </w:r>
          </w:p>
        </w:tc>
        <w:tc>
          <w:tcPr>
            <w:tcW w:w="5220" w:type="dxa"/>
            <w:tcBorders>
              <w:right w:val="single" w:sz="12" w:space="0" w:color="auto"/>
            </w:tcBorders>
          </w:tcPr>
          <w:p w14:paraId="3047DCF1"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the second sentence of paragraph 2 of this Article, Member States shall ensure that the competent authorities designated pursuant to Article 18(2) communicate:</w:t>
            </w:r>
            <w:r>
              <w:rPr>
                <w:rFonts w:ascii="Times New Roman" w:hAnsi="Times New Roman"/>
                <w:color w:val="000000"/>
                <w:sz w:val="20"/>
              </w:rPr>
              <w:br/>
              <w:t>(a) all relevant information at the request of another competent authority designated pursuant to Article 18(2); and</w:t>
            </w:r>
            <w:r>
              <w:rPr>
                <w:rFonts w:ascii="Times New Roman" w:hAnsi="Times New Roman"/>
                <w:color w:val="000000"/>
                <w:sz w:val="20"/>
              </w:rPr>
              <w:br/>
              <w:t>(b) on their own initiative, any essential information to other competent authorities designated pursuant to Article 18(2) in other Member States.</w:t>
            </w:r>
          </w:p>
        </w:tc>
        <w:tc>
          <w:tcPr>
            <w:tcW w:w="624" w:type="dxa"/>
            <w:tcBorders>
              <w:left w:val="single" w:sz="12" w:space="0" w:color="auto"/>
            </w:tcBorders>
          </w:tcPr>
          <w:p w14:paraId="35347163" w14:textId="005D54C2" w:rsidR="00DD223C"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7EEBF9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30, paragraph 3</w:t>
            </w:r>
          </w:p>
        </w:tc>
        <w:tc>
          <w:tcPr>
            <w:tcW w:w="5130" w:type="dxa"/>
          </w:tcPr>
          <w:p w14:paraId="5D3857B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For the purposes of paragraphs 1 and 2 of this Article, cooperation shall include:</w:t>
            </w:r>
            <w:r>
              <w:rPr>
                <w:rFonts w:ascii="Times New Roman" w:hAnsi="Times New Roman"/>
                <w:color w:val="000000"/>
                <w:sz w:val="20"/>
              </w:rPr>
              <w:br/>
              <w:t>(a) the provision of all relevant information at the request of the Authority, the Bank of Albania or another competent authority referred to in paragraph 2 of this Article;</w:t>
            </w:r>
            <w:r>
              <w:rPr>
                <w:rFonts w:ascii="Times New Roman" w:hAnsi="Times New Roman"/>
                <w:color w:val="000000"/>
                <w:sz w:val="20"/>
              </w:rPr>
              <w:br/>
              <w:t>(b) the provision, on their own initiative, of any essential information to other competent authorities of Member States designated as responsible for the regulation of the issuance and supervision of covered bonds under the relevant legislation in force.</w:t>
            </w:r>
          </w:p>
        </w:tc>
        <w:tc>
          <w:tcPr>
            <w:tcW w:w="900" w:type="dxa"/>
          </w:tcPr>
          <w:p w14:paraId="558A2E92" w14:textId="087C8C1A"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3129732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DD223C" w:rsidRPr="00DF12A5" w14:paraId="198D17CF" w14:textId="77777777" w:rsidTr="00BB0DAB">
        <w:tc>
          <w:tcPr>
            <w:tcW w:w="800" w:type="dxa"/>
            <w:tcBorders>
              <w:left w:val="single" w:sz="12" w:space="0" w:color="auto"/>
            </w:tcBorders>
          </w:tcPr>
          <w:p w14:paraId="10D3B342"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25, paragraph 4</w:t>
            </w:r>
          </w:p>
        </w:tc>
        <w:tc>
          <w:tcPr>
            <w:tcW w:w="5220" w:type="dxa"/>
            <w:tcBorders>
              <w:right w:val="single" w:sz="12" w:space="0" w:color="auto"/>
            </w:tcBorders>
          </w:tcPr>
          <w:p w14:paraId="24909E14"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also ensure that the competent authorities designated pursuant to Article 18(2) cooperate with EBA or, where relevant, with the European Supervisory Authority (European Securities and Markets Authority), established by Regulation (EU) No 1095/2010 of the European Parliament and of the Council, for the purposes of this Directive.</w:t>
            </w:r>
          </w:p>
        </w:tc>
        <w:tc>
          <w:tcPr>
            <w:tcW w:w="624" w:type="dxa"/>
            <w:tcBorders>
              <w:left w:val="single" w:sz="12" w:space="0" w:color="auto"/>
            </w:tcBorders>
          </w:tcPr>
          <w:p w14:paraId="5B0D3A75" w14:textId="50A98ACD" w:rsidR="00DD223C"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588888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30, paragraph 4</w:t>
            </w:r>
          </w:p>
        </w:tc>
        <w:tc>
          <w:tcPr>
            <w:tcW w:w="5130" w:type="dxa"/>
          </w:tcPr>
          <w:p w14:paraId="01E962D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For the purposes of implementing this Law, the Bank of Albania and the Authority shall cooperate with the European Banking Authority (EBA) and, where relevant, with the European Securities and Markets Authority (ESMA).</w:t>
            </w:r>
          </w:p>
        </w:tc>
        <w:tc>
          <w:tcPr>
            <w:tcW w:w="900" w:type="dxa"/>
          </w:tcPr>
          <w:p w14:paraId="7182228E" w14:textId="68A0A6D6"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87487D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DD223C" w:rsidRPr="00DF12A5" w14:paraId="34A47BC0" w14:textId="77777777" w:rsidTr="00BB0DAB">
        <w:tc>
          <w:tcPr>
            <w:tcW w:w="800" w:type="dxa"/>
            <w:tcBorders>
              <w:left w:val="single" w:sz="12" w:space="0" w:color="auto"/>
            </w:tcBorders>
          </w:tcPr>
          <w:p w14:paraId="54D7109A"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25, paragraph 5</w:t>
            </w:r>
          </w:p>
        </w:tc>
        <w:tc>
          <w:tcPr>
            <w:tcW w:w="5220" w:type="dxa"/>
            <w:tcBorders>
              <w:right w:val="single" w:sz="12" w:space="0" w:color="auto"/>
            </w:tcBorders>
          </w:tcPr>
          <w:p w14:paraId="59A4CAD2" w14:textId="77777777" w:rsidR="00DD223C" w:rsidRPr="00DF12A5" w:rsidRDefault="00DD223C" w:rsidP="00DD223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this Article, information shall be regarded as essential if it could materially influence the assessment of the issue of covered bonds in another Member State.</w:t>
            </w:r>
          </w:p>
        </w:tc>
        <w:tc>
          <w:tcPr>
            <w:tcW w:w="624" w:type="dxa"/>
            <w:tcBorders>
              <w:left w:val="single" w:sz="12" w:space="0" w:color="auto"/>
            </w:tcBorders>
          </w:tcPr>
          <w:p w14:paraId="2205C331" w14:textId="24DF19F6" w:rsidR="00DD223C"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21DEDA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30, paragraph 5</w:t>
            </w:r>
          </w:p>
        </w:tc>
        <w:tc>
          <w:tcPr>
            <w:tcW w:w="5130" w:type="dxa"/>
          </w:tcPr>
          <w:p w14:paraId="61337BC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5. For the purposes of this Article, information shall be considered essential where it could materially influence the assessment of the issuance of covered bonds, including an issuance in another Member State.</w:t>
            </w:r>
          </w:p>
        </w:tc>
        <w:tc>
          <w:tcPr>
            <w:tcW w:w="900" w:type="dxa"/>
          </w:tcPr>
          <w:p w14:paraId="0F218101" w14:textId="2878B245"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35EBDCF"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56CA8" w:rsidRPr="00DF12A5" w14:paraId="593AB322" w14:textId="77777777" w:rsidTr="00BB0DAB">
        <w:tc>
          <w:tcPr>
            <w:tcW w:w="800" w:type="dxa"/>
            <w:tcBorders>
              <w:left w:val="single" w:sz="12" w:space="0" w:color="auto"/>
            </w:tcBorders>
          </w:tcPr>
          <w:p w14:paraId="252C4E84"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 paragraph 1</w:t>
            </w:r>
          </w:p>
        </w:tc>
        <w:tc>
          <w:tcPr>
            <w:tcW w:w="5220" w:type="dxa"/>
            <w:tcBorders>
              <w:right w:val="single" w:sz="12" w:space="0" w:color="auto"/>
            </w:tcBorders>
          </w:tcPr>
          <w:p w14:paraId="6306528A"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Disclosure requirements</w:t>
            </w:r>
            <w:r>
              <w:rPr>
                <w:rFonts w:ascii="Times New Roman" w:hAnsi="Times New Roman"/>
                <w:color w:val="000000"/>
                <w:sz w:val="20"/>
              </w:rPr>
              <w:br/>
              <w:t>Member States shall ensure that the following information is published by the competent authorities designated pursuant to Article 18(2) on their official websites:</w:t>
            </w:r>
            <w:r>
              <w:rPr>
                <w:rFonts w:ascii="Times New Roman" w:hAnsi="Times New Roman"/>
                <w:color w:val="000000"/>
                <w:sz w:val="20"/>
              </w:rPr>
              <w:br/>
              <w:t>(a) the texts of their national laws, regulations, administrative rules and general guidance adopted in relation to the issue of covered bonds;</w:t>
            </w:r>
            <w:r>
              <w:rPr>
                <w:rFonts w:ascii="Times New Roman" w:hAnsi="Times New Roman"/>
                <w:color w:val="000000"/>
                <w:sz w:val="20"/>
              </w:rPr>
              <w:br/>
              <w:t>(b) the list of credit institutions permitted to issue covered bonds;</w:t>
            </w:r>
            <w:r>
              <w:rPr>
                <w:rFonts w:ascii="Times New Roman" w:hAnsi="Times New Roman"/>
                <w:color w:val="000000"/>
                <w:sz w:val="20"/>
              </w:rPr>
              <w:br/>
              <w:t>(c) the list of covered bonds that are entitled to use the label ‘European Covered Bond’ and the list of covered bonds that are entitled to use the label ‘European Covered Bond (Premium)’.</w:t>
            </w:r>
          </w:p>
        </w:tc>
        <w:tc>
          <w:tcPr>
            <w:tcW w:w="624" w:type="dxa"/>
            <w:tcBorders>
              <w:left w:val="single" w:sz="12" w:space="0" w:color="auto"/>
            </w:tcBorders>
          </w:tcPr>
          <w:p w14:paraId="7A5FA4D5" w14:textId="7D395B79" w:rsidR="00956CA8"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2438BDF"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 1</w:t>
            </w:r>
          </w:p>
        </w:tc>
        <w:tc>
          <w:tcPr>
            <w:tcW w:w="5130" w:type="dxa"/>
          </w:tcPr>
          <w:p w14:paraId="3459B3A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The Bank of Albania and the Authority shall publish on their official websites at least the following information:</w:t>
            </w:r>
            <w:r>
              <w:rPr>
                <w:rFonts w:ascii="Times New Roman" w:hAnsi="Times New Roman"/>
                <w:color w:val="000000"/>
                <w:sz w:val="20"/>
              </w:rPr>
              <w:br/>
              <w:t>(a) the laws, implementing acts, regulations and general guidance adopted in relation to the issuance of covered bonds;</w:t>
            </w:r>
            <w:r>
              <w:rPr>
                <w:rFonts w:ascii="Times New Roman" w:hAnsi="Times New Roman"/>
                <w:color w:val="000000"/>
                <w:sz w:val="20"/>
              </w:rPr>
              <w:br/>
              <w:t>(b) the list of credit institutions authorised to issue covered bonds;</w:t>
            </w:r>
            <w:r>
              <w:rPr>
                <w:rFonts w:ascii="Times New Roman" w:hAnsi="Times New Roman"/>
                <w:color w:val="000000"/>
                <w:sz w:val="20"/>
              </w:rPr>
              <w:br/>
              <w:t>(c) the list of covered bonds entitled to use the label ‘European Covered Bond’ and the list of covered bonds entitled to use the label ‘European Covered Bond (Premium)’.</w:t>
            </w:r>
          </w:p>
        </w:tc>
        <w:tc>
          <w:tcPr>
            <w:tcW w:w="900" w:type="dxa"/>
          </w:tcPr>
          <w:p w14:paraId="704E6FCD" w14:textId="22E80C2E"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C23ECA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56CA8" w:rsidRPr="00DF12A5" w14:paraId="64BDF920" w14:textId="77777777" w:rsidTr="00BB0DAB">
        <w:tc>
          <w:tcPr>
            <w:tcW w:w="800" w:type="dxa"/>
            <w:tcBorders>
              <w:left w:val="single" w:sz="12" w:space="0" w:color="auto"/>
            </w:tcBorders>
          </w:tcPr>
          <w:p w14:paraId="3BF711D8"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 paragraph 2</w:t>
            </w:r>
          </w:p>
        </w:tc>
        <w:tc>
          <w:tcPr>
            <w:tcW w:w="5220" w:type="dxa"/>
            <w:tcBorders>
              <w:right w:val="single" w:sz="12" w:space="0" w:color="auto"/>
            </w:tcBorders>
          </w:tcPr>
          <w:p w14:paraId="107453ED"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information published in accordance with paragraph 1 shall be sufficient to enable a meaningful comparison of the approaches adopted by the different Member States’ competent authorities designated pursuant to Article 18(2). That information shall be updated to take account of any changes.</w:t>
            </w:r>
          </w:p>
        </w:tc>
        <w:tc>
          <w:tcPr>
            <w:tcW w:w="624" w:type="dxa"/>
            <w:tcBorders>
              <w:left w:val="single" w:sz="12" w:space="0" w:color="auto"/>
            </w:tcBorders>
          </w:tcPr>
          <w:p w14:paraId="59C47760" w14:textId="31DFBA05" w:rsidR="00956CA8"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124744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 2</w:t>
            </w:r>
          </w:p>
        </w:tc>
        <w:tc>
          <w:tcPr>
            <w:tcW w:w="5130" w:type="dxa"/>
          </w:tcPr>
          <w:p w14:paraId="4E8D3F1A"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information published pursuant to paragraph 1 of this Article shall be sufficient to allow a meaningful comparison of the approaches adopted by the competent authorities of Member States designated for the regulation of the issuance and supervision of covered bonds.</w:t>
            </w:r>
          </w:p>
        </w:tc>
        <w:tc>
          <w:tcPr>
            <w:tcW w:w="900" w:type="dxa"/>
          </w:tcPr>
          <w:p w14:paraId="1BBA9F97" w14:textId="0EC1DDF7"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18920D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56CA8" w:rsidRPr="00DF12A5" w14:paraId="6B5D816D" w14:textId="77777777" w:rsidTr="00BB0DAB">
        <w:tc>
          <w:tcPr>
            <w:tcW w:w="800" w:type="dxa"/>
            <w:tcBorders>
              <w:left w:val="single" w:sz="12" w:space="0" w:color="auto"/>
            </w:tcBorders>
          </w:tcPr>
          <w:p w14:paraId="670B27B9"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 paragraph 3</w:t>
            </w:r>
          </w:p>
        </w:tc>
        <w:tc>
          <w:tcPr>
            <w:tcW w:w="5220" w:type="dxa"/>
            <w:tcBorders>
              <w:right w:val="single" w:sz="12" w:space="0" w:color="auto"/>
            </w:tcBorders>
          </w:tcPr>
          <w:p w14:paraId="31FFE203"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The competent authorities designated pursuant to Article 18(2) shall notify EBA on an annual basis of the list of credit institutions referred to in point (b) of paragraph 1 and the lists of covered bonds referred to in point (c) of paragraph 1.</w:t>
            </w:r>
          </w:p>
        </w:tc>
        <w:tc>
          <w:tcPr>
            <w:tcW w:w="624" w:type="dxa"/>
            <w:tcBorders>
              <w:left w:val="single" w:sz="12" w:space="0" w:color="auto"/>
            </w:tcBorders>
          </w:tcPr>
          <w:p w14:paraId="408E65F5" w14:textId="4FB6DC1E" w:rsidR="00956CA8"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1EA2BD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paragraphs 3-4</w:t>
            </w:r>
          </w:p>
        </w:tc>
        <w:tc>
          <w:tcPr>
            <w:tcW w:w="5130" w:type="dxa"/>
          </w:tcPr>
          <w:p w14:paraId="7F9FB32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The Bank of Albania and the Authority shall update the information published pursuant to this Article without delay to reflect any changes.</w:t>
            </w:r>
            <w:r>
              <w:rPr>
                <w:rFonts w:ascii="Times New Roman" w:hAnsi="Times New Roman"/>
                <w:color w:val="000000"/>
                <w:sz w:val="20"/>
              </w:rPr>
              <w:br/>
              <w:t>4. The Authority shall annually notify the European Banking Authority (EBA) of the list of credit institutions referred to in paragraph 1, point (b), of this Article and of the lists of covered bonds referred to in paragraph 1, point (c), of this Article.</w:t>
            </w:r>
          </w:p>
        </w:tc>
        <w:tc>
          <w:tcPr>
            <w:tcW w:w="900" w:type="dxa"/>
          </w:tcPr>
          <w:p w14:paraId="2CA91B9D" w14:textId="3CE12B37"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E952947" w14:textId="77777777" w:rsidR="003E7E51" w:rsidRPr="00DF12A5" w:rsidRDefault="003E7E51">
            <w:pPr>
              <w:spacing w:after="0" w:line="240" w:lineRule="auto"/>
              <w:jc w:val="both"/>
              <w:rPr>
                <w:rFonts w:ascii="Times New Roman" w:hAnsi="Times New Roman" w:cs="Times New Roman"/>
                <w:sz w:val="20"/>
                <w:szCs w:val="20"/>
                <w:lang w:val="sq-AL"/>
              </w:rPr>
            </w:pPr>
          </w:p>
        </w:tc>
      </w:tr>
      <w:tr w:rsidR="00956CA8" w:rsidRPr="00DF12A5" w14:paraId="78BA47AC" w14:textId="77777777" w:rsidTr="00BB0DAB">
        <w:tc>
          <w:tcPr>
            <w:tcW w:w="800" w:type="dxa"/>
            <w:tcBorders>
              <w:left w:val="single" w:sz="12" w:space="0" w:color="auto"/>
            </w:tcBorders>
          </w:tcPr>
          <w:p w14:paraId="7D3B1D84"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26a, paragraph 1</w:t>
            </w:r>
          </w:p>
        </w:tc>
        <w:tc>
          <w:tcPr>
            <w:tcW w:w="5220" w:type="dxa"/>
            <w:tcBorders>
              <w:right w:val="single" w:sz="12" w:space="0" w:color="auto"/>
            </w:tcBorders>
          </w:tcPr>
          <w:p w14:paraId="6FA92FD3" w14:textId="77777777" w:rsidR="00956CA8" w:rsidRPr="00DF12A5" w:rsidRDefault="00956CA8" w:rsidP="00956CA8">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Accessibility of information on the European single access point</w:t>
            </w:r>
            <w:r>
              <w:rPr>
                <w:rFonts w:ascii="Times New Roman" w:hAnsi="Times New Roman"/>
                <w:color w:val="000000"/>
                <w:sz w:val="20"/>
              </w:rPr>
              <w:br/>
              <w:t>From 10 January 2030, Member States shall ensure that, when making public any information referred to in Article 14 of this Directive, credit institutions permitted to issue covered bonds submit that information at the same time to the relevant collection body referred to in paragraph 3 of this Article for the purpose of making it accessible on European single access point (ESAP) established pursuant to Regulation (EU) 2023/2859 of the European Parliament and of the Council. Member States shall ensure that the information complies with the following requirements:</w:t>
            </w:r>
            <w:r>
              <w:rPr>
                <w:rFonts w:ascii="Times New Roman" w:hAnsi="Times New Roman"/>
                <w:color w:val="000000"/>
                <w:sz w:val="20"/>
              </w:rPr>
              <w:br/>
              <w:t>(a) be submitted in a data extractable format as defined in Article 2, point (3), of Regulation (EU) 2023/2859 or, where required by Union law, in a machine-readable format, as defined in Article 2, point (4), of that Regulation;</w:t>
            </w:r>
            <w:r>
              <w:rPr>
                <w:rFonts w:ascii="Times New Roman" w:hAnsi="Times New Roman"/>
                <w:color w:val="000000"/>
                <w:sz w:val="20"/>
              </w:rPr>
              <w:br/>
              <w:t>(b) be accompanied by the following metadata:</w:t>
            </w:r>
            <w:r>
              <w:rPr>
                <w:rFonts w:ascii="Times New Roman" w:hAnsi="Times New Roman"/>
                <w:color w:val="000000"/>
                <w:sz w:val="20"/>
              </w:rPr>
              <w:br/>
              <w:t>(i) all the names of the credit institution permitted to issue covered bonds to which the information relates;</w:t>
            </w:r>
            <w:r>
              <w:rPr>
                <w:rFonts w:ascii="Times New Roman" w:hAnsi="Times New Roman"/>
                <w:color w:val="000000"/>
                <w:sz w:val="20"/>
              </w:rPr>
              <w:br/>
              <w:t>(ii) the legal entity identifier of the credit institution permitted to issue covered bonds, as specified pursuant to Article 7(4), point (b), of Regulation (EU) 2023/2859;</w:t>
            </w:r>
            <w:r>
              <w:rPr>
                <w:rFonts w:ascii="Times New Roman" w:hAnsi="Times New Roman"/>
                <w:color w:val="000000"/>
                <w:sz w:val="20"/>
              </w:rPr>
              <w:br/>
              <w:t>(iii) the size of the credit institution permitted to issue covered bonds by category, as specified pursuant to Article 7(4), point (d), of that Regulation;</w:t>
            </w:r>
            <w:r>
              <w:rPr>
                <w:rFonts w:ascii="Times New Roman" w:hAnsi="Times New Roman"/>
                <w:color w:val="000000"/>
                <w:sz w:val="20"/>
              </w:rPr>
              <w:br/>
              <w:t>(iv) the type of information, as classified pursuant to Article 7(4), point (c), of that Regulation;</w:t>
            </w:r>
            <w:r>
              <w:rPr>
                <w:rFonts w:ascii="Times New Roman" w:hAnsi="Times New Roman"/>
                <w:color w:val="000000"/>
                <w:sz w:val="20"/>
              </w:rPr>
              <w:br/>
              <w:t>(v) an indication of whether the information contains personal data.</w:t>
            </w:r>
          </w:p>
        </w:tc>
        <w:tc>
          <w:tcPr>
            <w:tcW w:w="624" w:type="dxa"/>
            <w:tcBorders>
              <w:left w:val="single" w:sz="12" w:space="0" w:color="auto"/>
            </w:tcBorders>
          </w:tcPr>
          <w:p w14:paraId="26929AF2" w14:textId="3870A420" w:rsidR="00956CA8" w:rsidRPr="00DF12A5" w:rsidRDefault="009E7EC7"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14F078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paragraphs 1-2</w:t>
            </w:r>
          </w:p>
        </w:tc>
        <w:tc>
          <w:tcPr>
            <w:tcW w:w="5130" w:type="dxa"/>
          </w:tcPr>
          <w:p w14:paraId="2FDFFF03"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1. When publishing the information referred to in Article 14 of this Law, credit institutions authorised to issue covered bonds shall simultaneously submit that information to the Authority for the purpose of making it accessible on the European Single Access Point (ESAP) established pursuant to Regulation (EU) 2023/2859.</w:t>
            </w:r>
            <w:r>
              <w:rPr>
                <w:rFonts w:ascii="Times New Roman" w:hAnsi="Times New Roman"/>
                <w:color w:val="000000"/>
                <w:sz w:val="20"/>
              </w:rPr>
              <w:br/>
              <w:t>2. The information referred to in paragraph 1 of this Article shall:</w:t>
            </w:r>
            <w:r>
              <w:rPr>
                <w:rFonts w:ascii="Times New Roman" w:hAnsi="Times New Roman"/>
                <w:color w:val="000000"/>
                <w:sz w:val="20"/>
              </w:rPr>
              <w:br/>
              <w:t>(a) be submitted in a data-extractable format as defined in point (3) of Article 2 of Regulation (EU) 2023/2859 or, where required by Union law, in a machine-readable format as defined in point (4) of Article 2 of that Regulation;</w:t>
            </w:r>
            <w:r>
              <w:rPr>
                <w:rFonts w:ascii="Times New Roman" w:hAnsi="Times New Roman"/>
                <w:color w:val="000000"/>
                <w:sz w:val="20"/>
              </w:rPr>
              <w:br/>
              <w:t>(b) be accompanied by the following metadata:</w:t>
            </w:r>
            <w:r>
              <w:rPr>
                <w:rFonts w:ascii="Times New Roman" w:hAnsi="Times New Roman"/>
                <w:color w:val="000000"/>
                <w:sz w:val="20"/>
              </w:rPr>
              <w:br/>
              <w:t>(i) the name of the credit institution authorised to issue covered bonds to which the information relates;</w:t>
            </w:r>
            <w:r>
              <w:rPr>
                <w:rFonts w:ascii="Times New Roman" w:hAnsi="Times New Roman"/>
                <w:color w:val="000000"/>
                <w:sz w:val="20"/>
              </w:rPr>
              <w:br/>
              <w:t>(ii) the legal entity identifier (LEI) of the credit institution, in accordance with Article 7(4), point (b), of Regulation (EU) 2023/2859;</w:t>
            </w:r>
            <w:r>
              <w:rPr>
                <w:rFonts w:ascii="Times New Roman" w:hAnsi="Times New Roman"/>
                <w:color w:val="000000"/>
                <w:sz w:val="20"/>
              </w:rPr>
              <w:br/>
              <w:t>(iii) the size of the credit institution authorised to issue covered bonds, by relevant category, in accordance with Article 7(4), point (d), of that Regulation;</w:t>
            </w:r>
            <w:r>
              <w:rPr>
                <w:rFonts w:ascii="Times New Roman" w:hAnsi="Times New Roman"/>
                <w:color w:val="000000"/>
                <w:sz w:val="20"/>
              </w:rPr>
              <w:br/>
              <w:t>(iv) the type of information, as classified pursuant to Article 7(4), point (c), of that Regulation;</w:t>
            </w:r>
            <w:r>
              <w:rPr>
                <w:rFonts w:ascii="Times New Roman" w:hAnsi="Times New Roman"/>
                <w:color w:val="000000"/>
                <w:sz w:val="20"/>
              </w:rPr>
              <w:br/>
              <w:t>(v) an indication of whether the information contains personal data.</w:t>
            </w:r>
          </w:p>
        </w:tc>
        <w:tc>
          <w:tcPr>
            <w:tcW w:w="900" w:type="dxa"/>
          </w:tcPr>
          <w:p w14:paraId="3F46E870" w14:textId="64DDB826" w:rsidR="003E7E51" w:rsidRPr="00DF12A5" w:rsidRDefault="009E7EC7">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E4FDC1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1E7953" w:rsidRPr="00DF12A5" w14:paraId="62400716" w14:textId="77777777" w:rsidTr="00BB0DAB">
        <w:tc>
          <w:tcPr>
            <w:tcW w:w="800" w:type="dxa"/>
            <w:tcBorders>
              <w:left w:val="single" w:sz="12" w:space="0" w:color="auto"/>
            </w:tcBorders>
          </w:tcPr>
          <w:p w14:paraId="1D5C86F9" w14:textId="77777777" w:rsidR="001E7953" w:rsidRPr="00DF12A5" w:rsidRDefault="001E7953" w:rsidP="001E795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26a, paragraph 2</w:t>
            </w:r>
          </w:p>
        </w:tc>
        <w:tc>
          <w:tcPr>
            <w:tcW w:w="5220" w:type="dxa"/>
            <w:tcBorders>
              <w:right w:val="single" w:sz="12" w:space="0" w:color="auto"/>
            </w:tcBorders>
          </w:tcPr>
          <w:p w14:paraId="01B2D11B" w14:textId="77777777" w:rsidR="001E7953" w:rsidRPr="00DF12A5" w:rsidRDefault="001E7953" w:rsidP="001E795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purposes of paragraph 1, point (b)(ii), Member States shall ensure that credit institutions permitted to issue covered bonds obtain a legal entity identifier.</w:t>
            </w:r>
          </w:p>
        </w:tc>
        <w:tc>
          <w:tcPr>
            <w:tcW w:w="624" w:type="dxa"/>
            <w:tcBorders>
              <w:left w:val="single" w:sz="12" w:space="0" w:color="auto"/>
            </w:tcBorders>
          </w:tcPr>
          <w:p w14:paraId="440CB9B2" w14:textId="21B773C9" w:rsidR="001E7953" w:rsidRPr="00DF12A5" w:rsidRDefault="00C439E1"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73CC70C"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3</w:t>
            </w:r>
          </w:p>
        </w:tc>
        <w:tc>
          <w:tcPr>
            <w:tcW w:w="5130" w:type="dxa"/>
          </w:tcPr>
          <w:p w14:paraId="31ACD8A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For the purposes of paragraph 2(b)(ii) of this Article, credit institutions authorised to issue covered bonds shall obtain a legal entity identifier (LEI).</w:t>
            </w:r>
          </w:p>
        </w:tc>
        <w:tc>
          <w:tcPr>
            <w:tcW w:w="900" w:type="dxa"/>
          </w:tcPr>
          <w:p w14:paraId="4EFF2D9E" w14:textId="102870FE" w:rsidR="003E7E51" w:rsidRPr="00DF12A5" w:rsidRDefault="00C439E1">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2E85E8C8" w14:textId="77777777" w:rsidR="003E7E51" w:rsidRPr="00DF12A5" w:rsidRDefault="003E7E51">
            <w:pPr>
              <w:spacing w:after="0" w:line="240" w:lineRule="auto"/>
              <w:jc w:val="both"/>
              <w:rPr>
                <w:rFonts w:ascii="Times New Roman" w:hAnsi="Times New Roman" w:cs="Times New Roman"/>
                <w:sz w:val="20"/>
                <w:szCs w:val="20"/>
                <w:lang w:val="sq-AL"/>
              </w:rPr>
            </w:pPr>
          </w:p>
        </w:tc>
      </w:tr>
      <w:tr w:rsidR="001E7953" w:rsidRPr="00DF12A5" w14:paraId="4681F007" w14:textId="77777777" w:rsidTr="00BB0DAB">
        <w:tc>
          <w:tcPr>
            <w:tcW w:w="800" w:type="dxa"/>
            <w:tcBorders>
              <w:left w:val="single" w:sz="12" w:space="0" w:color="auto"/>
            </w:tcBorders>
          </w:tcPr>
          <w:p w14:paraId="4D5CCD4E" w14:textId="77777777" w:rsidR="001E7953" w:rsidRPr="00DF12A5" w:rsidRDefault="001E7953" w:rsidP="001E795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26a, paragraph 3</w:t>
            </w:r>
          </w:p>
        </w:tc>
        <w:tc>
          <w:tcPr>
            <w:tcW w:w="5220" w:type="dxa"/>
            <w:tcBorders>
              <w:right w:val="single" w:sz="12" w:space="0" w:color="auto"/>
            </w:tcBorders>
          </w:tcPr>
          <w:p w14:paraId="7C3CFBE7" w14:textId="77777777" w:rsidR="001E7953" w:rsidRPr="00DF12A5" w:rsidRDefault="001E7953" w:rsidP="001E795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By 9 January 2030, for the purpose of making the information referred to in paragraph 1 of this Article accessible on ESAP, Member States shall designate at least one collection body as defined in Article 2, point (2), of Regulation (EU) 2023/2859 and notify ESMA thereof.</w:t>
            </w:r>
            <w:r>
              <w:rPr>
                <w:rFonts w:ascii="Times New Roman" w:hAnsi="Times New Roman"/>
                <w:color w:val="000000"/>
                <w:sz w:val="20"/>
              </w:rPr>
              <w:br/>
              <w:t>(1) Regulation (EU) 2023/2859 of the European Parliament and of the Council of 13 December 2023 establishing a European single access point providing centralised access to publicly available information of relevance to financial services, capital markets and sustainability (OL L, 2023/2859, 20.12.2023, ELI: http://data.europa.eu/eli/reg/2023/2859/oj).</w:t>
            </w:r>
          </w:p>
        </w:tc>
        <w:tc>
          <w:tcPr>
            <w:tcW w:w="624" w:type="dxa"/>
            <w:tcBorders>
              <w:left w:val="single" w:sz="12" w:space="0" w:color="auto"/>
            </w:tcBorders>
          </w:tcPr>
          <w:p w14:paraId="4A98D390" w14:textId="79F6DAE8" w:rsidR="001E7953" w:rsidRPr="00DF12A5" w:rsidRDefault="00C439E1"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3F924E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paragraphs 4-5</w:t>
            </w:r>
          </w:p>
        </w:tc>
        <w:tc>
          <w:tcPr>
            <w:tcW w:w="5130" w:type="dxa"/>
          </w:tcPr>
          <w:p w14:paraId="6808EFA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4. The Authority shall be the collection body responsible for collecting the information and making it accessible on ESAP.</w:t>
            </w:r>
            <w:r>
              <w:rPr>
                <w:rFonts w:ascii="Times New Roman" w:hAnsi="Times New Roman"/>
                <w:color w:val="000000"/>
                <w:sz w:val="20"/>
              </w:rPr>
              <w:br/>
              <w:t>5. The Authority shall notify the European Securities and Markets Authority (ESMA) of its designation as a collection body in accordance with this Article.</w:t>
            </w:r>
          </w:p>
        </w:tc>
        <w:tc>
          <w:tcPr>
            <w:tcW w:w="900" w:type="dxa"/>
          </w:tcPr>
          <w:p w14:paraId="39DFD089" w14:textId="3BD8D369" w:rsidR="003E7E51" w:rsidRPr="00DF12A5" w:rsidRDefault="00C439E1">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A4FE7F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1E7953" w:rsidRPr="00DF12A5" w14:paraId="44E2C1E8" w14:textId="77777777" w:rsidTr="00BB0DAB">
        <w:tc>
          <w:tcPr>
            <w:tcW w:w="800" w:type="dxa"/>
            <w:tcBorders>
              <w:left w:val="single" w:sz="12" w:space="0" w:color="auto"/>
            </w:tcBorders>
          </w:tcPr>
          <w:p w14:paraId="01E21077" w14:textId="77777777" w:rsidR="001E7953" w:rsidRPr="00DF12A5" w:rsidRDefault="001E7953" w:rsidP="001E795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26a, paragraph 4</w:t>
            </w:r>
          </w:p>
        </w:tc>
        <w:tc>
          <w:tcPr>
            <w:tcW w:w="5220" w:type="dxa"/>
            <w:tcBorders>
              <w:right w:val="single" w:sz="12" w:space="0" w:color="auto"/>
            </w:tcBorders>
          </w:tcPr>
          <w:p w14:paraId="589E697D" w14:textId="77777777" w:rsidR="001E7953" w:rsidRPr="00DF12A5" w:rsidRDefault="001E7953" w:rsidP="001E795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From 10 January 2030, Member States shall ensure that the information referred to in Article 24 and Article 26(1), points (b) and (c), of this Directive is made accessible on ESAP. For that purpose, the collection body as defined in Article 2, point (2), of Regulation (EU) 2023/2859 shall be the competent authority. Member States shall ensure that the information complies with the following requirements:</w:t>
            </w:r>
            <w:r>
              <w:rPr>
                <w:rFonts w:ascii="Times New Roman" w:hAnsi="Times New Roman"/>
                <w:color w:val="000000"/>
                <w:sz w:val="20"/>
              </w:rPr>
              <w:br/>
              <w:t>(a) be submitted in a data extractable format as defined in Article 2, point (3), of Regulation (EU) 2023/2859;</w:t>
            </w:r>
            <w:r>
              <w:rPr>
                <w:rFonts w:ascii="Times New Roman" w:hAnsi="Times New Roman"/>
                <w:color w:val="000000"/>
                <w:sz w:val="20"/>
              </w:rPr>
              <w:br/>
              <w:t>(b) be accompanied by the following metadata:</w:t>
            </w:r>
            <w:r>
              <w:rPr>
                <w:rFonts w:ascii="Times New Roman" w:hAnsi="Times New Roman"/>
                <w:color w:val="000000"/>
                <w:sz w:val="20"/>
              </w:rPr>
              <w:br/>
              <w:t>(i) all the names of the credit institution permitted to issue covered bonds to which the information relates;</w:t>
            </w:r>
            <w:r>
              <w:rPr>
                <w:rFonts w:ascii="Times New Roman" w:hAnsi="Times New Roman"/>
                <w:color w:val="000000"/>
                <w:sz w:val="20"/>
              </w:rPr>
              <w:br/>
              <w:t>(ii) where available, the legal entity identifier of the credit institution permitted to issue covered bonds, as specified pursuant to Article 7(4), point (b), of Regulation (EU) 2023/2859;</w:t>
            </w:r>
            <w:r>
              <w:rPr>
                <w:rFonts w:ascii="Times New Roman" w:hAnsi="Times New Roman"/>
                <w:color w:val="000000"/>
                <w:sz w:val="20"/>
              </w:rPr>
              <w:br/>
              <w:t>(iii) the type of information, as classified pursuant to Article 7(4), point (c), of that Regulation;</w:t>
            </w:r>
            <w:r>
              <w:rPr>
                <w:rFonts w:ascii="Times New Roman" w:hAnsi="Times New Roman"/>
                <w:color w:val="000000"/>
                <w:sz w:val="20"/>
              </w:rPr>
              <w:br/>
              <w:t>(iv) an indication of whether the information contains personal data.</w:t>
            </w:r>
          </w:p>
        </w:tc>
        <w:tc>
          <w:tcPr>
            <w:tcW w:w="624" w:type="dxa"/>
            <w:tcBorders>
              <w:left w:val="single" w:sz="12" w:space="0" w:color="auto"/>
            </w:tcBorders>
          </w:tcPr>
          <w:p w14:paraId="7191C876" w14:textId="3563A07A" w:rsidR="001E7953" w:rsidRPr="00DF12A5" w:rsidRDefault="00C439E1"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00C446D0"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6</w:t>
            </w:r>
          </w:p>
        </w:tc>
        <w:tc>
          <w:tcPr>
            <w:tcW w:w="5130" w:type="dxa"/>
          </w:tcPr>
          <w:p w14:paraId="04DD5B6E"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6. Information relating to the supervision and authorisation of credit institutions to issue covered bonds, as well as the information referred to in Article 44 and Article 31(1)(b) and (c) of this Law, shall be made accessible on ESAP in accordance with the format and metadata requirements laid down in this Article.</w:t>
            </w:r>
          </w:p>
        </w:tc>
        <w:tc>
          <w:tcPr>
            <w:tcW w:w="900" w:type="dxa"/>
          </w:tcPr>
          <w:p w14:paraId="3B09317A" w14:textId="3E1A5A82" w:rsidR="003E7E51" w:rsidRPr="00DF12A5" w:rsidRDefault="00C439E1">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ABBE23A" w14:textId="1C922CE9" w:rsidR="003E7E51" w:rsidRPr="00DF12A5" w:rsidRDefault="003E7E51">
            <w:pPr>
              <w:spacing w:after="0" w:line="240" w:lineRule="auto"/>
              <w:jc w:val="both"/>
              <w:rPr>
                <w:rFonts w:ascii="Times New Roman" w:hAnsi="Times New Roman" w:cs="Times New Roman"/>
                <w:sz w:val="20"/>
                <w:szCs w:val="20"/>
                <w:lang w:val="sq-AL"/>
              </w:rPr>
            </w:pPr>
          </w:p>
        </w:tc>
      </w:tr>
      <w:tr w:rsidR="0081618C" w:rsidRPr="00DF12A5" w14:paraId="74F384F1" w14:textId="77777777" w:rsidTr="00BB0DAB">
        <w:tc>
          <w:tcPr>
            <w:tcW w:w="800" w:type="dxa"/>
            <w:tcBorders>
              <w:left w:val="single" w:sz="12" w:space="0" w:color="auto"/>
            </w:tcBorders>
          </w:tcPr>
          <w:p w14:paraId="4A35BE44"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26a, paragraph 5</w:t>
            </w:r>
          </w:p>
        </w:tc>
        <w:tc>
          <w:tcPr>
            <w:tcW w:w="5220" w:type="dxa"/>
            <w:tcBorders>
              <w:right w:val="single" w:sz="12" w:space="0" w:color="auto"/>
            </w:tcBorders>
          </w:tcPr>
          <w:p w14:paraId="0AD12081"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For the purpose of ensuring the efficient collection and management of information submitted in accordance with paragraph 1, EBA shall develop draft implementing technical standards to specify the following:</w:t>
            </w:r>
            <w:r>
              <w:rPr>
                <w:rFonts w:ascii="Times New Roman" w:hAnsi="Times New Roman"/>
                <w:color w:val="000000"/>
                <w:sz w:val="20"/>
              </w:rPr>
              <w:br/>
              <w:t>(a) any other metadata to accompany the information;</w:t>
            </w:r>
            <w:r>
              <w:rPr>
                <w:rFonts w:ascii="Times New Roman" w:hAnsi="Times New Roman"/>
                <w:color w:val="000000"/>
                <w:sz w:val="20"/>
              </w:rPr>
              <w:br/>
              <w:t>(b) the structuring of data in the information;</w:t>
            </w:r>
            <w:r>
              <w:rPr>
                <w:rFonts w:ascii="Times New Roman" w:hAnsi="Times New Roman"/>
                <w:color w:val="000000"/>
                <w:sz w:val="20"/>
              </w:rPr>
              <w:br/>
              <w:t>(c) for which information a machine-readable format is required and, in such cases, which machine-readable format is to be used. For the purposes of point (c), EBA shall assess the advantages and disadvantages of different machine-readable formats and conduct appropriate field tests. EBA shall submit those draft implementing technical standards to the Commission. Power is conferred on the Commission to adopt the implementing technical standards referred to in the first subparagraph of this paragraph in accordance with Article 15 of Regulation (EU) No 1093/2010.</w:t>
            </w:r>
          </w:p>
        </w:tc>
        <w:tc>
          <w:tcPr>
            <w:tcW w:w="624" w:type="dxa"/>
            <w:tcBorders>
              <w:left w:val="single" w:sz="12" w:space="0" w:color="auto"/>
            </w:tcBorders>
          </w:tcPr>
          <w:p w14:paraId="4A6FE09C" w14:textId="292CE258" w:rsidR="0081618C" w:rsidRPr="00DF12A5" w:rsidRDefault="00C439E1"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1089EA2"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7, points (a)-(c)</w:t>
            </w:r>
          </w:p>
        </w:tc>
        <w:tc>
          <w:tcPr>
            <w:tcW w:w="5130" w:type="dxa"/>
          </w:tcPr>
          <w:p w14:paraId="02BA7E27"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 the additional metadata to accompany the information;</w:t>
            </w:r>
            <w:r>
              <w:rPr>
                <w:rFonts w:ascii="Times New Roman" w:hAnsi="Times New Roman"/>
                <w:color w:val="000000"/>
                <w:sz w:val="20"/>
              </w:rPr>
              <w:br/>
              <w:t>(b) the structuring of data in the information;</w:t>
            </w:r>
            <w:r>
              <w:rPr>
                <w:rFonts w:ascii="Times New Roman" w:hAnsi="Times New Roman"/>
                <w:color w:val="000000"/>
                <w:sz w:val="20"/>
              </w:rPr>
              <w:br/>
              <w:t>(c) the information for which a machine-readable format is required and the machine-readable format to be used; and</w:t>
            </w:r>
          </w:p>
        </w:tc>
        <w:tc>
          <w:tcPr>
            <w:tcW w:w="900" w:type="dxa"/>
          </w:tcPr>
          <w:p w14:paraId="478654B7" w14:textId="64CC9C5B" w:rsidR="003E7E51" w:rsidRPr="00DF12A5" w:rsidRDefault="00C439E1">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076CD35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1618C" w:rsidRPr="00DF12A5" w14:paraId="1DD33BB3" w14:textId="77777777" w:rsidTr="00BB0DAB">
        <w:tc>
          <w:tcPr>
            <w:tcW w:w="800" w:type="dxa"/>
            <w:tcBorders>
              <w:left w:val="single" w:sz="12" w:space="0" w:color="auto"/>
            </w:tcBorders>
          </w:tcPr>
          <w:p w14:paraId="3D400C6F"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26a, paragraph 6</w:t>
            </w:r>
          </w:p>
        </w:tc>
        <w:tc>
          <w:tcPr>
            <w:tcW w:w="5220" w:type="dxa"/>
            <w:tcBorders>
              <w:right w:val="single" w:sz="12" w:space="0" w:color="auto"/>
            </w:tcBorders>
          </w:tcPr>
          <w:p w14:paraId="5D29D3F7"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Where necessary, EBA shall adopt guidelines to ensure that the metadata submitted in accordance with paragraph 5, first subparagraph, point (a), are correct.</w:t>
            </w:r>
          </w:p>
        </w:tc>
        <w:tc>
          <w:tcPr>
            <w:tcW w:w="624" w:type="dxa"/>
            <w:tcBorders>
              <w:left w:val="single" w:sz="12" w:space="0" w:color="auto"/>
            </w:tcBorders>
          </w:tcPr>
          <w:p w14:paraId="28B59C2C" w14:textId="0E0F9A5F" w:rsidR="0081618C" w:rsidRPr="00DF12A5" w:rsidRDefault="00C439E1"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A351DF9"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15, paragraph 7, point (d)</w:t>
            </w:r>
          </w:p>
        </w:tc>
        <w:tc>
          <w:tcPr>
            <w:tcW w:w="5130" w:type="dxa"/>
          </w:tcPr>
          <w:p w14:paraId="42CBB911"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(d) ensuring that the metadata submitted pursuant to this Article are correct and complete.</w:t>
            </w:r>
          </w:p>
        </w:tc>
        <w:tc>
          <w:tcPr>
            <w:tcW w:w="900" w:type="dxa"/>
          </w:tcPr>
          <w:p w14:paraId="1C879253" w14:textId="673C8608" w:rsidR="003E7E51" w:rsidRPr="00DF12A5" w:rsidRDefault="00C439E1">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18054921"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1618C" w:rsidRPr="00DF12A5" w14:paraId="08E84580" w14:textId="77777777" w:rsidTr="00BB0DAB">
        <w:tc>
          <w:tcPr>
            <w:tcW w:w="800" w:type="dxa"/>
            <w:tcBorders>
              <w:left w:val="single" w:sz="12" w:space="0" w:color="auto"/>
            </w:tcBorders>
          </w:tcPr>
          <w:p w14:paraId="4BA60B28"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27, paragraph 1</w:t>
            </w:r>
          </w:p>
        </w:tc>
        <w:tc>
          <w:tcPr>
            <w:tcW w:w="5220" w:type="dxa"/>
            <w:tcBorders>
              <w:right w:val="single" w:sz="12" w:space="0" w:color="auto"/>
            </w:tcBorders>
          </w:tcPr>
          <w:p w14:paraId="6F1F168F"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Labelling</w:t>
            </w:r>
            <w:r>
              <w:rPr>
                <w:rFonts w:ascii="Times New Roman" w:hAnsi="Times New Roman"/>
                <w:color w:val="000000"/>
                <w:sz w:val="20"/>
              </w:rPr>
              <w:br/>
              <w:t>Member States shall ensure that the label ‘European Covered Bond’ and its official translation in all official languages of the Union is used only for covered bonds which meet the requirements laid down in the provisions of national law transposing this Directive.</w:t>
            </w:r>
          </w:p>
        </w:tc>
        <w:tc>
          <w:tcPr>
            <w:tcW w:w="624" w:type="dxa"/>
            <w:tcBorders>
              <w:left w:val="single" w:sz="12" w:space="0" w:color="auto"/>
            </w:tcBorders>
          </w:tcPr>
          <w:p w14:paraId="16B159B9" w14:textId="42331AE0" w:rsidR="0081618C" w:rsidRPr="00DF12A5" w:rsidRDefault="00C439E1"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CCBC5B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45, paragraph 2</w:t>
            </w:r>
          </w:p>
        </w:tc>
        <w:tc>
          <w:tcPr>
            <w:tcW w:w="5130" w:type="dxa"/>
          </w:tcPr>
          <w:p w14:paraId="206D6144"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2. The label ‘European Covered Bond’ and its official translation in all official languages of the European Union shall be used only for covered bonds that meet the requirements laid down in this Law.</w:t>
            </w:r>
          </w:p>
        </w:tc>
        <w:tc>
          <w:tcPr>
            <w:tcW w:w="900" w:type="dxa"/>
          </w:tcPr>
          <w:p w14:paraId="1F392860" w14:textId="764299E3" w:rsidR="003E7E51" w:rsidRPr="00DF12A5" w:rsidRDefault="00C439E1">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6ECEA6F7" w14:textId="77777777" w:rsidR="003E7E51" w:rsidRPr="00DF12A5" w:rsidRDefault="003E7E51">
            <w:pPr>
              <w:spacing w:after="0" w:line="240" w:lineRule="auto"/>
              <w:jc w:val="both"/>
              <w:rPr>
                <w:rFonts w:ascii="Times New Roman" w:hAnsi="Times New Roman" w:cs="Times New Roman"/>
                <w:sz w:val="20"/>
                <w:szCs w:val="20"/>
                <w:lang w:val="sq-AL"/>
              </w:rPr>
            </w:pPr>
          </w:p>
        </w:tc>
      </w:tr>
      <w:tr w:rsidR="0081618C" w:rsidRPr="00DF12A5" w14:paraId="79319E37" w14:textId="77777777" w:rsidTr="00BB0DAB">
        <w:tc>
          <w:tcPr>
            <w:tcW w:w="800" w:type="dxa"/>
            <w:tcBorders>
              <w:left w:val="single" w:sz="12" w:space="0" w:color="auto"/>
            </w:tcBorders>
          </w:tcPr>
          <w:p w14:paraId="51BEE50A"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27, paragraph 2</w:t>
            </w:r>
          </w:p>
        </w:tc>
        <w:tc>
          <w:tcPr>
            <w:tcW w:w="5220" w:type="dxa"/>
            <w:tcBorders>
              <w:right w:val="single" w:sz="12" w:space="0" w:color="auto"/>
            </w:tcBorders>
          </w:tcPr>
          <w:p w14:paraId="23658A8D" w14:textId="77777777" w:rsidR="0081618C" w:rsidRPr="00DF12A5" w:rsidRDefault="0081618C" w:rsidP="0081618C">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ensure that the label ‘European Covered Bond (Premium)’ and its official translation in all official languages of the Union is used only for covered bonds which meet the requirements laid down in the provisions of national law transposing this Directive and which meet the requirements of Article 129 of Regulation (EU) No 575/2013, as amended by Regulation (EU) 2019/2160 of the European Parliament and of the Council.</w:t>
            </w:r>
          </w:p>
        </w:tc>
        <w:tc>
          <w:tcPr>
            <w:tcW w:w="624" w:type="dxa"/>
            <w:tcBorders>
              <w:left w:val="single" w:sz="12" w:space="0" w:color="auto"/>
            </w:tcBorders>
          </w:tcPr>
          <w:p w14:paraId="0980F581" w14:textId="7DABD3D7" w:rsidR="0081618C" w:rsidRPr="00DF12A5" w:rsidRDefault="00C439E1"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35704C5"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45, paragraph 3</w:t>
            </w:r>
          </w:p>
        </w:tc>
        <w:tc>
          <w:tcPr>
            <w:tcW w:w="5130" w:type="dxa"/>
          </w:tcPr>
          <w:p w14:paraId="2C5EC82B" w14:textId="77777777" w:rsidR="003E7E51" w:rsidRPr="00DF12A5" w:rsidRDefault="00B82C36">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3. The label ‘European Covered Bond (Premium)’ and its official translation in all official languages of the European Union shall be used only for covered bonds that:</w:t>
            </w:r>
            <w:r>
              <w:rPr>
                <w:rFonts w:ascii="Times New Roman" w:hAnsi="Times New Roman"/>
                <w:color w:val="000000"/>
                <w:sz w:val="20"/>
              </w:rPr>
              <w:br/>
              <w:t>a) meet the requirements laid down in this Law; and</w:t>
            </w:r>
            <w:r>
              <w:rPr>
                <w:rFonts w:ascii="Times New Roman" w:hAnsi="Times New Roman"/>
                <w:color w:val="000000"/>
                <w:sz w:val="20"/>
              </w:rPr>
              <w:br/>
              <w:t>b) meet the requirements of Article 129 of Regulation (EU) No 575/2013, as amended by Regulation (EU) 2019/2160.</w:t>
            </w:r>
          </w:p>
        </w:tc>
        <w:tc>
          <w:tcPr>
            <w:tcW w:w="900" w:type="dxa"/>
          </w:tcPr>
          <w:p w14:paraId="4B31E1DA" w14:textId="23B3D4F7" w:rsidR="003E7E51" w:rsidRPr="00DF12A5" w:rsidRDefault="00C439E1">
            <w:pPr>
              <w:spacing w:after="0" w:line="240" w:lineRule="auto"/>
              <w:jc w:val="center"/>
              <w:rPr>
                <w:rFonts w:ascii="Times New Roman" w:hAnsi="Times New Roman" w:cs="Times New Roman"/>
                <w:sz w:val="20"/>
                <w:szCs w:val="20"/>
                <w:lang w:val="sq-AL"/>
              </w:rPr>
            </w:pPr>
            <w:r>
              <w:rPr>
                <w:rFonts w:ascii="Times New Roman" w:hAnsi="Times New Roman"/>
                <w:color w:val="000000"/>
                <w:sz w:val="20"/>
              </w:rPr>
              <w:t>F</w:t>
            </w:r>
          </w:p>
        </w:tc>
        <w:tc>
          <w:tcPr>
            <w:tcW w:w="1710" w:type="dxa"/>
            <w:tcBorders>
              <w:right w:val="single" w:sz="12" w:space="0" w:color="auto"/>
            </w:tcBorders>
          </w:tcPr>
          <w:p w14:paraId="53B245EE" w14:textId="77777777" w:rsidR="003E7E51" w:rsidRPr="00DF12A5" w:rsidRDefault="003E7E51">
            <w:pPr>
              <w:spacing w:after="0" w:line="240" w:lineRule="auto"/>
              <w:jc w:val="both"/>
              <w:rPr>
                <w:rFonts w:ascii="Times New Roman" w:hAnsi="Times New Roman" w:cs="Times New Roman"/>
                <w:sz w:val="20"/>
                <w:szCs w:val="20"/>
                <w:lang w:val="sq-AL"/>
              </w:rPr>
            </w:pPr>
          </w:p>
        </w:tc>
      </w:tr>
      <w:tr w:rsidR="00307A73" w:rsidRPr="00DF12A5" w14:paraId="771C17A8" w14:textId="77777777" w:rsidTr="00BB0DAB">
        <w:tc>
          <w:tcPr>
            <w:tcW w:w="800" w:type="dxa"/>
            <w:tcBorders>
              <w:left w:val="single" w:sz="12" w:space="0" w:color="auto"/>
            </w:tcBorders>
          </w:tcPr>
          <w:p w14:paraId="7F8F8D40"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28</w:t>
            </w:r>
          </w:p>
        </w:tc>
        <w:tc>
          <w:tcPr>
            <w:tcW w:w="5220" w:type="dxa"/>
            <w:tcBorders>
              <w:right w:val="single" w:sz="12" w:space="0" w:color="auto"/>
            </w:tcBorders>
          </w:tcPr>
          <w:p w14:paraId="412AD865" w14:textId="77777777" w:rsidR="00307A73" w:rsidRPr="00DF12A5" w:rsidRDefault="00307A73" w:rsidP="00307A73">
            <w:pPr>
              <w:pStyle w:val="Heading3"/>
              <w:spacing w:before="0" w:after="0" w:line="240" w:lineRule="auto"/>
              <w:jc w:val="both"/>
              <w:rPr>
                <w:rFonts w:ascii="Times New Roman" w:eastAsiaTheme="minorEastAsia" w:hAnsi="Times New Roman" w:cs="Times New Roman"/>
                <w:color w:val="auto"/>
                <w:sz w:val="20"/>
                <w:szCs w:val="20"/>
                <w:lang w:val="sq-AL"/>
              </w:rPr>
            </w:pPr>
            <w:r>
              <w:rPr>
                <w:rFonts w:ascii="Times New Roman" w:hAnsi="Times New Roman"/>
                <w:color w:val="000000"/>
                <w:sz w:val="20"/>
              </w:rPr>
              <w:t>Amendment to Directive 2009/65/EC</w:t>
            </w:r>
            <w:r>
              <w:rPr>
                <w:rFonts w:ascii="Times New Roman" w:hAnsi="Times New Roman"/>
                <w:color w:val="000000"/>
                <w:sz w:val="20"/>
              </w:rPr>
              <w:br/>
              <w:t>Article 52(4) of Directive 2009/65/EC is amended as follows:</w:t>
            </w:r>
            <w:r>
              <w:rPr>
                <w:rFonts w:ascii="Times New Roman" w:hAnsi="Times New Roman"/>
                <w:color w:val="000000"/>
                <w:sz w:val="20"/>
              </w:rPr>
              <w:br/>
              <w:t>(1) the first subparagraph is replaced by the following: ‘4. Member States may raise the 5 % limit laid down in the first subparagraph of paragraph 1 to a maximum of 25 % where bonds were issued before 8 July 2022 and met the requirements set out in this paragraph as applicable on the date of their issue, or where bonds fall under the definition of covered bonds in point (1) of Article 3 of Directive (EU) 2019/2162 of the European Parliament and of the Council (*).</w:t>
            </w:r>
            <w:r>
              <w:rPr>
                <w:rFonts w:ascii="Times New Roman" w:hAnsi="Times New Roman"/>
                <w:color w:val="000000"/>
                <w:sz w:val="20"/>
              </w:rPr>
              <w:br/>
              <w:t>___________</w:t>
            </w:r>
            <w:r>
              <w:rPr>
                <w:rFonts w:ascii="Times New Roman" w:hAnsi="Times New Roman"/>
                <w:color w:val="000000"/>
                <w:sz w:val="20"/>
              </w:rPr>
              <w:br/>
              <w:t>(*) Directive (EU) 2019/2162 of the European Parliament and of the Council of 27 November 2019 on the issue of covered bonds and covered bond public supervision and amending Directives 2009/65/EC and 2014/59/EU (OJ L 328, 18.12.2019, p. 29).’;</w:t>
            </w:r>
            <w:r>
              <w:rPr>
                <w:rFonts w:ascii="Times New Roman" w:hAnsi="Times New Roman"/>
                <w:color w:val="000000"/>
                <w:sz w:val="20"/>
              </w:rPr>
              <w:br/>
              <w:t>(2) the third subparagraph is deleted.</w:t>
            </w:r>
          </w:p>
        </w:tc>
        <w:tc>
          <w:tcPr>
            <w:tcW w:w="624" w:type="dxa"/>
            <w:tcBorders>
              <w:left w:val="single" w:sz="12" w:space="0" w:color="auto"/>
            </w:tcBorders>
          </w:tcPr>
          <w:p w14:paraId="4DA176ED" w14:textId="202BC401"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65C4CCC" w14:textId="4A0B1721"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5DFAFAC2" w14:textId="123E7021"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0072DDB7" w14:textId="006051F2"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767F3225"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44C22F7F" w14:textId="77777777" w:rsidTr="00BB0DAB">
        <w:tc>
          <w:tcPr>
            <w:tcW w:w="800" w:type="dxa"/>
            <w:tcBorders>
              <w:left w:val="single" w:sz="12" w:space="0" w:color="auto"/>
            </w:tcBorders>
          </w:tcPr>
          <w:p w14:paraId="0BC48B9C"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29</w:t>
            </w:r>
          </w:p>
        </w:tc>
        <w:tc>
          <w:tcPr>
            <w:tcW w:w="5220" w:type="dxa"/>
            <w:tcBorders>
              <w:right w:val="single" w:sz="12" w:space="0" w:color="auto"/>
            </w:tcBorders>
          </w:tcPr>
          <w:p w14:paraId="0E2C91A7"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Amendment to Directive 2014/59/EU</w:t>
            </w:r>
            <w:r>
              <w:rPr>
                <w:rFonts w:ascii="Times New Roman" w:hAnsi="Times New Roman"/>
                <w:color w:val="000000"/>
                <w:sz w:val="20"/>
              </w:rPr>
              <w:br/>
              <w:t>In Article 2(1) of Directive 2014/59/EU, point 96 is replaced by the following: ‘(96) “covered bond” means a covered bond as defined in point (1) of Article 3 of Directive (EU) 2019/2162 of the European Parliament and of the Council (*) or, with regard to an instrument that was issued before 8 July 2022, a bond as referred to in Article 52(4) of Directive 2009/65/EC of the European Parliament and of the Council (**), as applicable on the date of its issue;</w:t>
            </w:r>
            <w:r>
              <w:rPr>
                <w:rFonts w:ascii="Times New Roman" w:hAnsi="Times New Roman"/>
                <w:color w:val="000000"/>
                <w:sz w:val="20"/>
              </w:rPr>
              <w:br/>
              <w:t>___________</w:t>
            </w:r>
            <w:r>
              <w:rPr>
                <w:rFonts w:ascii="Times New Roman" w:hAnsi="Times New Roman"/>
                <w:color w:val="000000"/>
                <w:sz w:val="20"/>
              </w:rPr>
              <w:br/>
              <w:t>(*) Directive (EU) 2019/2162 of the European Parliament and of the Council of 27 November 2019 on the issue of covered bonds and covered bond public supervision and amending Directives 2009/65/EC and 2014/59/EU (OJ L 328, 18.12.2019, p. 29).</w:t>
            </w:r>
            <w:r>
              <w:rPr>
                <w:rFonts w:ascii="Times New Roman" w:hAnsi="Times New Roman"/>
                <w:color w:val="000000"/>
                <w:sz w:val="20"/>
              </w:rPr>
              <w:br/>
              <w:t>(**) Directive 2009/65/EC of the European Parliament and of the Council of 13 July 2009 on the coordination of laws, regulations and administrative provisions relating to undertakings for collective investment in transferable securities (UCITS) (OJ L 302, 17.11.2009, p. 32).’.</w:t>
            </w:r>
          </w:p>
        </w:tc>
        <w:tc>
          <w:tcPr>
            <w:tcW w:w="624" w:type="dxa"/>
            <w:tcBorders>
              <w:left w:val="single" w:sz="12" w:space="0" w:color="auto"/>
            </w:tcBorders>
          </w:tcPr>
          <w:p w14:paraId="62DB43DE" w14:textId="0A346DFC"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10C77710" w14:textId="186C1173"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4F2F6B5E" w14:textId="0E5CF6B5"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6936C4B8" w14:textId="1F712954"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1FA8546E"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6A575A38" w14:textId="77777777" w:rsidTr="00BB0DAB">
        <w:tc>
          <w:tcPr>
            <w:tcW w:w="800" w:type="dxa"/>
            <w:tcBorders>
              <w:left w:val="single" w:sz="12" w:space="0" w:color="auto"/>
            </w:tcBorders>
          </w:tcPr>
          <w:p w14:paraId="68A502C3"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30, paragraph 1</w:t>
            </w:r>
          </w:p>
        </w:tc>
        <w:tc>
          <w:tcPr>
            <w:tcW w:w="5220" w:type="dxa"/>
            <w:tcBorders>
              <w:right w:val="single" w:sz="12" w:space="0" w:color="auto"/>
            </w:tcBorders>
          </w:tcPr>
          <w:p w14:paraId="3357930C"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Transitional measures</w:t>
            </w:r>
            <w:r>
              <w:rPr>
                <w:rFonts w:ascii="Times New Roman" w:hAnsi="Times New Roman"/>
                <w:color w:val="000000"/>
                <w:sz w:val="20"/>
              </w:rPr>
              <w:br/>
              <w:t>Member States shall ensure that covered bonds issued before 8 July 2022 that comply with the requirements laid down in Article 52(4) of Directive 2009/65/EC, as applicable on the date of their issue, are not subject to the requirements set out in Articles 5 to 12 and Articles 15, 16, 17 and 19 of this Directive, but may continue to be referred to as covered bonds in accordance with this Directive until their maturity. Member States shall ensure that the competent authorities designated pursuant to Article 18(2) of this Directive monitor the compliance of covered bonds issued before 8 July 2022 with the requirements laid down in Article 52(4) of Directive 2009/65/EC, as applicable on the date of their issue, as well as with the requirements of this Directive, insofar as they are applicable in accordance with the first subparagraph of this paragraph.</w:t>
            </w:r>
          </w:p>
        </w:tc>
        <w:tc>
          <w:tcPr>
            <w:tcW w:w="624" w:type="dxa"/>
            <w:tcBorders>
              <w:left w:val="single" w:sz="12" w:space="0" w:color="auto"/>
            </w:tcBorders>
          </w:tcPr>
          <w:p w14:paraId="3D6BB0B2" w14:textId="139C06C0"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67666F3C" w14:textId="63BBBF5A"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5FC63114" w14:textId="4977DC35"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5155B5C4" w14:textId="1647B107"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3FBCB908"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3BB89AD8" w14:textId="77777777" w:rsidTr="00BB0DAB">
        <w:trPr>
          <w:trHeight w:val="1610"/>
        </w:trPr>
        <w:tc>
          <w:tcPr>
            <w:tcW w:w="800" w:type="dxa"/>
            <w:tcBorders>
              <w:left w:val="single" w:sz="12" w:space="0" w:color="auto"/>
            </w:tcBorders>
          </w:tcPr>
          <w:p w14:paraId="342D0C82"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30, paragraph 2</w:t>
            </w:r>
          </w:p>
        </w:tc>
        <w:tc>
          <w:tcPr>
            <w:tcW w:w="5220" w:type="dxa"/>
            <w:tcBorders>
              <w:right w:val="single" w:sz="12" w:space="0" w:color="auto"/>
            </w:tcBorders>
          </w:tcPr>
          <w:p w14:paraId="3F459BDC"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may apply paragraph 1 to tap issues of covered bonds for which the opening of the ISIN is before 8 July 2022 for up to 24 months after that date, provided that those issues comply with all the following requirements:</w:t>
            </w:r>
            <w:r>
              <w:rPr>
                <w:rFonts w:ascii="Times New Roman" w:hAnsi="Times New Roman"/>
                <w:color w:val="000000"/>
                <w:sz w:val="20"/>
              </w:rPr>
              <w:br/>
              <w:t>(a) the maturity date of the covered bond is before 8 July 2027;</w:t>
            </w:r>
            <w:r>
              <w:rPr>
                <w:rFonts w:ascii="Times New Roman" w:hAnsi="Times New Roman"/>
                <w:color w:val="000000"/>
                <w:sz w:val="20"/>
              </w:rPr>
              <w:br/>
              <w:t>(b) the total issue size of tap issues made after 8 July 2022 does not exceed twice the total issue size of the covered bonds outstanding on that date;</w:t>
            </w:r>
            <w:r>
              <w:rPr>
                <w:rFonts w:ascii="Times New Roman" w:hAnsi="Times New Roman"/>
                <w:color w:val="000000"/>
                <w:sz w:val="20"/>
              </w:rPr>
              <w:br/>
              <w:t>(c) the total issue size of the covered bond at maturity does not exceed EUR 6 000 000 000 or the equivalent amount in domestic currency;</w:t>
            </w:r>
            <w:r>
              <w:rPr>
                <w:rFonts w:ascii="Times New Roman" w:hAnsi="Times New Roman"/>
                <w:color w:val="000000"/>
                <w:sz w:val="20"/>
              </w:rPr>
              <w:br/>
              <w:t>(d) the collateral assets are located in the Member State that applies paragraph 1 to tap issues of covered bonds.</w:t>
            </w:r>
          </w:p>
        </w:tc>
        <w:tc>
          <w:tcPr>
            <w:tcW w:w="624" w:type="dxa"/>
            <w:tcBorders>
              <w:left w:val="single" w:sz="12" w:space="0" w:color="auto"/>
            </w:tcBorders>
          </w:tcPr>
          <w:p w14:paraId="1CF84964" w14:textId="575F0FDD"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C243EC4" w14:textId="74F08592"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1588E34F" w14:textId="41A74C7A"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3F851C26" w14:textId="4A2DCAAC"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1DA15FE7"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024E8768" w14:textId="77777777" w:rsidTr="00BB0DAB">
        <w:tc>
          <w:tcPr>
            <w:tcW w:w="800" w:type="dxa"/>
            <w:tcBorders>
              <w:left w:val="single" w:sz="12" w:space="0" w:color="auto"/>
            </w:tcBorders>
          </w:tcPr>
          <w:p w14:paraId="3419328D"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 1</w:t>
            </w:r>
          </w:p>
        </w:tc>
        <w:tc>
          <w:tcPr>
            <w:tcW w:w="5220" w:type="dxa"/>
            <w:tcBorders>
              <w:right w:val="single" w:sz="12" w:space="0" w:color="auto"/>
            </w:tcBorders>
          </w:tcPr>
          <w:p w14:paraId="500597E0"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Reviews and reports</w:t>
            </w:r>
            <w:r>
              <w:rPr>
                <w:rFonts w:ascii="Times New Roman" w:hAnsi="Times New Roman"/>
                <w:color w:val="000000"/>
                <w:sz w:val="20"/>
              </w:rPr>
              <w:br/>
              <w:t>By 8 July 2024, the Commission shall, in close cooperation with EBA, submit a report to the European Parliament and to the Council, together with a legislative proposal, if appropriate, on whether and, if so, how an equivalence regime could be introduced for third-country credit institutions issuing covered bonds and for investors in those covered bonds, taking into consideration international developments in the area of covered bonds, in particular the development of legislative frameworks in third countries.</w:t>
            </w:r>
          </w:p>
        </w:tc>
        <w:tc>
          <w:tcPr>
            <w:tcW w:w="624" w:type="dxa"/>
            <w:tcBorders>
              <w:left w:val="single" w:sz="12" w:space="0" w:color="auto"/>
            </w:tcBorders>
          </w:tcPr>
          <w:p w14:paraId="01A03D74" w14:textId="7B894449"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B622CC8" w14:textId="5C0D8E64"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005CE3DB" w14:textId="543A1394"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069DF67E" w14:textId="530E08AE"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37B5F21B"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763870D9" w14:textId="77777777" w:rsidTr="00BB0DAB">
        <w:tc>
          <w:tcPr>
            <w:tcW w:w="800" w:type="dxa"/>
            <w:tcBorders>
              <w:left w:val="single" w:sz="12" w:space="0" w:color="auto"/>
            </w:tcBorders>
          </w:tcPr>
          <w:p w14:paraId="19AD5E00"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 2</w:t>
            </w:r>
          </w:p>
        </w:tc>
        <w:tc>
          <w:tcPr>
            <w:tcW w:w="5220" w:type="dxa"/>
            <w:tcBorders>
              <w:right w:val="single" w:sz="12" w:space="0" w:color="auto"/>
            </w:tcBorders>
          </w:tcPr>
          <w:p w14:paraId="2AFBE8D7"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By 8 July 2025, the Commission shall, in close cooperation with EBA, submit a report to the European Parliament and to the Council on the implementation of this Directive with regard to the level of investor protection and on the developments regarding the issue of covered bonds in the Union. The report shall include any recommendations for further action. The report shall include information on:</w:t>
            </w:r>
            <w:r>
              <w:rPr>
                <w:rFonts w:ascii="Times New Roman" w:hAnsi="Times New Roman"/>
                <w:color w:val="000000"/>
                <w:sz w:val="20"/>
              </w:rPr>
              <w:br/>
              <w:t>(a) developments regarding the number of permissions to issue covered bonds;</w:t>
            </w:r>
            <w:r>
              <w:rPr>
                <w:rFonts w:ascii="Times New Roman" w:hAnsi="Times New Roman"/>
                <w:color w:val="000000"/>
                <w:sz w:val="20"/>
              </w:rPr>
              <w:br/>
              <w:t>(b) developments regarding the number of covered bonds issued in compliance with the provisions of national law transposing this Directive and with Article 129 of Regulation (EU) No 575/2013;</w:t>
            </w:r>
            <w:r>
              <w:rPr>
                <w:rFonts w:ascii="Times New Roman" w:hAnsi="Times New Roman"/>
                <w:color w:val="000000"/>
                <w:sz w:val="20"/>
              </w:rPr>
              <w:br/>
              <w:t>(c) developments regarding the assets collateralising the issue of covered bonds;</w:t>
            </w:r>
            <w:r>
              <w:rPr>
                <w:rFonts w:ascii="Times New Roman" w:hAnsi="Times New Roman"/>
                <w:color w:val="000000"/>
                <w:sz w:val="20"/>
              </w:rPr>
              <w:br/>
              <w:t>(d) developments regarding the level of overcollateralisation;</w:t>
            </w:r>
            <w:r>
              <w:rPr>
                <w:rFonts w:ascii="Times New Roman" w:hAnsi="Times New Roman"/>
                <w:color w:val="000000"/>
                <w:sz w:val="20"/>
              </w:rPr>
              <w:br/>
              <w:t>(e) cross-border investments in covered bonds, including inward investment from and outward investment to third countries;</w:t>
            </w:r>
            <w:r>
              <w:rPr>
                <w:rFonts w:ascii="Times New Roman" w:hAnsi="Times New Roman"/>
                <w:color w:val="000000"/>
                <w:sz w:val="20"/>
              </w:rPr>
              <w:br/>
              <w:t>(f) developments regarding the issue of covered bonds with extendable maturity structures;</w:t>
            </w:r>
            <w:r>
              <w:rPr>
                <w:rFonts w:ascii="Times New Roman" w:hAnsi="Times New Roman"/>
                <w:color w:val="000000"/>
                <w:sz w:val="20"/>
              </w:rPr>
              <w:br/>
              <w:t>(g) developments regarding the risks and benefits of the use of exposures as referred to in Article 129(1) of Regulation (EU) No 575/2013;</w:t>
            </w:r>
            <w:r>
              <w:rPr>
                <w:rFonts w:ascii="Times New Roman" w:hAnsi="Times New Roman"/>
                <w:color w:val="000000"/>
                <w:sz w:val="20"/>
              </w:rPr>
              <w:br/>
              <w:t>(h) the functioning of covered bond markets.</w:t>
            </w:r>
          </w:p>
        </w:tc>
        <w:tc>
          <w:tcPr>
            <w:tcW w:w="624" w:type="dxa"/>
            <w:tcBorders>
              <w:left w:val="single" w:sz="12" w:space="0" w:color="auto"/>
            </w:tcBorders>
          </w:tcPr>
          <w:p w14:paraId="406046A4" w14:textId="5C6FD4F9"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882C816" w14:textId="494A4586"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5C42CAE8" w14:textId="35393CA7"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096F1B19" w14:textId="6FD8A1F1"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1745F9FA"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3C4B31AB" w14:textId="77777777" w:rsidTr="00BB0DAB">
        <w:tc>
          <w:tcPr>
            <w:tcW w:w="800" w:type="dxa"/>
            <w:tcBorders>
              <w:left w:val="single" w:sz="12" w:space="0" w:color="auto"/>
            </w:tcBorders>
          </w:tcPr>
          <w:p w14:paraId="6E4E3D33"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 3</w:t>
            </w:r>
          </w:p>
        </w:tc>
        <w:tc>
          <w:tcPr>
            <w:tcW w:w="5220" w:type="dxa"/>
            <w:tcBorders>
              <w:right w:val="single" w:sz="12" w:space="0" w:color="auto"/>
            </w:tcBorders>
          </w:tcPr>
          <w:p w14:paraId="4A8EBDD8"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By 8 July 2024, Member States shall transmit information on the issues listed in paragraph 2 to the Commission.</w:t>
            </w:r>
          </w:p>
        </w:tc>
        <w:tc>
          <w:tcPr>
            <w:tcW w:w="624" w:type="dxa"/>
            <w:tcBorders>
              <w:left w:val="single" w:sz="12" w:space="0" w:color="auto"/>
            </w:tcBorders>
          </w:tcPr>
          <w:p w14:paraId="6115EC19" w14:textId="1D67830A"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210F52C0" w14:textId="271AD2F4"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63E65728" w14:textId="7C6CB7F4"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16AA7758" w14:textId="71DA0612"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4D44167E" w14:textId="77777777" w:rsidR="00307A73" w:rsidRPr="00C439E1"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695FA104" w14:textId="77777777" w:rsidTr="00BB0DAB">
        <w:tc>
          <w:tcPr>
            <w:tcW w:w="800" w:type="dxa"/>
            <w:tcBorders>
              <w:left w:val="single" w:sz="12" w:space="0" w:color="auto"/>
            </w:tcBorders>
          </w:tcPr>
          <w:p w14:paraId="2BBD4F34"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 4</w:t>
            </w:r>
          </w:p>
        </w:tc>
        <w:tc>
          <w:tcPr>
            <w:tcW w:w="5220" w:type="dxa"/>
            <w:tcBorders>
              <w:right w:val="single" w:sz="12" w:space="0" w:color="auto"/>
            </w:tcBorders>
          </w:tcPr>
          <w:p w14:paraId="18944ED1"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By 8 July 2024, after commissioning and receiving a study assessing the risks and benefits arising from covered bonds with extendable maturity structures and after consulting EBA, the Commission shall adopt a report and shall submit that study and that report to the European Parliament and to the Council, together with a legislative proposal, if appropriate.</w:t>
            </w:r>
          </w:p>
        </w:tc>
        <w:tc>
          <w:tcPr>
            <w:tcW w:w="624" w:type="dxa"/>
            <w:tcBorders>
              <w:left w:val="single" w:sz="12" w:space="0" w:color="auto"/>
            </w:tcBorders>
          </w:tcPr>
          <w:p w14:paraId="0CA06200" w14:textId="5427D93F"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7FDC44B5" w14:textId="17C637B5"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4044C220" w14:textId="6B9A24EC"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28D80E88" w14:textId="13876B1F"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4FF5840A" w14:textId="77777777" w:rsidR="00307A73" w:rsidRPr="00C439E1"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677C7420" w14:textId="77777777" w:rsidTr="00BB0DAB">
        <w:tc>
          <w:tcPr>
            <w:tcW w:w="800" w:type="dxa"/>
            <w:tcBorders>
              <w:left w:val="single" w:sz="12" w:space="0" w:color="auto"/>
            </w:tcBorders>
          </w:tcPr>
          <w:p w14:paraId="14B1031A"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31, paragraph 5</w:t>
            </w:r>
          </w:p>
        </w:tc>
        <w:tc>
          <w:tcPr>
            <w:tcW w:w="5220" w:type="dxa"/>
            <w:tcBorders>
              <w:right w:val="single" w:sz="12" w:space="0" w:color="auto"/>
            </w:tcBorders>
          </w:tcPr>
          <w:p w14:paraId="65D0BE75"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By 8 July 2024, the Commission shall adopt a report on the possibility of introducing a dual-recourse instrument named European Secured Notes. The Commission shall submit that report to the European Parliament and to the Council, together with a legislative proposal, if appropriate.</w:t>
            </w:r>
          </w:p>
        </w:tc>
        <w:tc>
          <w:tcPr>
            <w:tcW w:w="624" w:type="dxa"/>
            <w:tcBorders>
              <w:left w:val="single" w:sz="12" w:space="0" w:color="auto"/>
            </w:tcBorders>
          </w:tcPr>
          <w:p w14:paraId="14276952" w14:textId="4D2541A1"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470027F6" w14:textId="29538E43"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6C09D28B" w14:textId="6B93550E"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4FDF17F4" w14:textId="0E32E7B6"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34364377" w14:textId="77777777" w:rsidR="00307A73" w:rsidRPr="00C439E1"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593FC015" w14:textId="77777777" w:rsidTr="00BB0DAB">
        <w:tc>
          <w:tcPr>
            <w:tcW w:w="800" w:type="dxa"/>
            <w:tcBorders>
              <w:left w:val="single" w:sz="12" w:space="0" w:color="auto"/>
            </w:tcBorders>
          </w:tcPr>
          <w:p w14:paraId="2C7FE4BD"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32, paragraph 1</w:t>
            </w:r>
          </w:p>
        </w:tc>
        <w:tc>
          <w:tcPr>
            <w:tcW w:w="5220" w:type="dxa"/>
            <w:tcBorders>
              <w:right w:val="single" w:sz="12" w:space="0" w:color="auto"/>
            </w:tcBorders>
          </w:tcPr>
          <w:p w14:paraId="0CCE2683"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Transposition</w:t>
            </w:r>
            <w:r>
              <w:rPr>
                <w:rFonts w:ascii="Times New Roman" w:hAnsi="Times New Roman"/>
                <w:color w:val="000000"/>
                <w:sz w:val="20"/>
              </w:rPr>
              <w:br/>
              <w:t>Member States shall adopt and publish, by 8 July 2021, the laws, regulations and administrative provisions necessary to comply with this Directive. They shall immediately inform the Commission thereof. They shall apply those measures at the latest from 8 July 2022. When Member States adopt those measures, they shall contain a reference to this Directive or shall be accompanied by such a reference on the occasion of their official publication. The methods of making such reference shall be laid down by the Member States.</w:t>
            </w:r>
          </w:p>
        </w:tc>
        <w:tc>
          <w:tcPr>
            <w:tcW w:w="624" w:type="dxa"/>
            <w:tcBorders>
              <w:left w:val="single" w:sz="12" w:space="0" w:color="auto"/>
            </w:tcBorders>
          </w:tcPr>
          <w:p w14:paraId="7EE5FE1D" w14:textId="51EFDAB4"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58529D16" w14:textId="79A5FDF5"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74614D40" w14:textId="306217E1"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53DD7E8B" w14:textId="3E3AEA08"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517836D1" w14:textId="77777777" w:rsidR="00307A73" w:rsidRPr="00C439E1"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572F0165" w14:textId="77777777" w:rsidTr="00BB0DAB">
        <w:tc>
          <w:tcPr>
            <w:tcW w:w="800" w:type="dxa"/>
            <w:tcBorders>
              <w:left w:val="single" w:sz="12" w:space="0" w:color="auto"/>
            </w:tcBorders>
          </w:tcPr>
          <w:p w14:paraId="7DB8CD8D"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32, paragraph 2</w:t>
            </w:r>
          </w:p>
        </w:tc>
        <w:tc>
          <w:tcPr>
            <w:tcW w:w="5220" w:type="dxa"/>
            <w:tcBorders>
              <w:right w:val="single" w:sz="12" w:space="0" w:color="auto"/>
            </w:tcBorders>
          </w:tcPr>
          <w:p w14:paraId="35B297F4"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Member States shall communicate to the Commission the text of the main measures of national law which they adopt in the field covered by this Directive.</w:t>
            </w:r>
          </w:p>
        </w:tc>
        <w:tc>
          <w:tcPr>
            <w:tcW w:w="624" w:type="dxa"/>
            <w:tcBorders>
              <w:left w:val="single" w:sz="12" w:space="0" w:color="auto"/>
            </w:tcBorders>
          </w:tcPr>
          <w:p w14:paraId="7C575ECD" w14:textId="7530FFD5"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EDCE4D2" w14:textId="73D380CB"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3B4319FE" w14:textId="7EC544EC"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1848E69D" w14:textId="70F210F6"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2122D75F" w14:textId="77777777" w:rsidR="00307A73" w:rsidRPr="00C439E1"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2E2A6ACC" w14:textId="77777777" w:rsidTr="00BB0DAB">
        <w:tc>
          <w:tcPr>
            <w:tcW w:w="800" w:type="dxa"/>
            <w:tcBorders>
              <w:left w:val="single" w:sz="12" w:space="0" w:color="auto"/>
            </w:tcBorders>
          </w:tcPr>
          <w:p w14:paraId="41556CDD"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33</w:t>
            </w:r>
          </w:p>
        </w:tc>
        <w:tc>
          <w:tcPr>
            <w:tcW w:w="5220" w:type="dxa"/>
            <w:tcBorders>
              <w:right w:val="single" w:sz="12" w:space="0" w:color="auto"/>
            </w:tcBorders>
          </w:tcPr>
          <w:p w14:paraId="053E26B7"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Entry into force</w:t>
            </w:r>
            <w:r>
              <w:rPr>
                <w:rFonts w:ascii="Times New Roman" w:hAnsi="Times New Roman"/>
                <w:color w:val="000000"/>
                <w:sz w:val="20"/>
              </w:rPr>
              <w:br/>
              <w:t>This Directive shall enter into force on the twentieth day following that of its publication in the Official Journal of the European Union.</w:t>
            </w:r>
          </w:p>
        </w:tc>
        <w:tc>
          <w:tcPr>
            <w:tcW w:w="624" w:type="dxa"/>
            <w:tcBorders>
              <w:left w:val="single" w:sz="12" w:space="0" w:color="auto"/>
            </w:tcBorders>
          </w:tcPr>
          <w:p w14:paraId="48CB0F92" w14:textId="118197B2"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1212BEE" w14:textId="33A5318D"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609F25C5" w14:textId="0FE09E23"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5478EE60" w14:textId="371F695A"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right w:val="single" w:sz="12" w:space="0" w:color="auto"/>
            </w:tcBorders>
          </w:tcPr>
          <w:p w14:paraId="788F10E1"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r w:rsidR="00307A73" w:rsidRPr="00DF12A5" w14:paraId="188610A9" w14:textId="77777777" w:rsidTr="00BB0DAB">
        <w:tc>
          <w:tcPr>
            <w:tcW w:w="800" w:type="dxa"/>
            <w:tcBorders>
              <w:left w:val="single" w:sz="12" w:space="0" w:color="auto"/>
              <w:bottom w:val="single" w:sz="12" w:space="0" w:color="auto"/>
            </w:tcBorders>
          </w:tcPr>
          <w:p w14:paraId="2C4FDEBD"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Article 34</w:t>
            </w:r>
          </w:p>
        </w:tc>
        <w:tc>
          <w:tcPr>
            <w:tcW w:w="5220" w:type="dxa"/>
            <w:tcBorders>
              <w:bottom w:val="single" w:sz="12" w:space="0" w:color="auto"/>
              <w:right w:val="single" w:sz="12" w:space="0" w:color="auto"/>
            </w:tcBorders>
          </w:tcPr>
          <w:p w14:paraId="0F20CF35" w14:textId="77777777" w:rsidR="00307A73" w:rsidRPr="00DF12A5" w:rsidRDefault="00307A73" w:rsidP="00307A73">
            <w:pPr>
              <w:spacing w:after="0" w:line="240" w:lineRule="auto"/>
              <w:jc w:val="both"/>
              <w:rPr>
                <w:rFonts w:ascii="Times New Roman" w:hAnsi="Times New Roman" w:cs="Times New Roman"/>
                <w:sz w:val="20"/>
                <w:szCs w:val="20"/>
                <w:lang w:val="sq-AL"/>
              </w:rPr>
            </w:pPr>
            <w:r>
              <w:rPr>
                <w:rFonts w:ascii="Times New Roman" w:hAnsi="Times New Roman"/>
                <w:color w:val="000000"/>
                <w:sz w:val="20"/>
              </w:rPr>
              <w:t>Addressees</w:t>
            </w:r>
            <w:r>
              <w:rPr>
                <w:rFonts w:ascii="Times New Roman" w:hAnsi="Times New Roman"/>
                <w:color w:val="000000"/>
                <w:sz w:val="20"/>
              </w:rPr>
              <w:br/>
              <w:t>This Directive is addressed to the Member States.</w:t>
            </w:r>
          </w:p>
        </w:tc>
        <w:tc>
          <w:tcPr>
            <w:tcW w:w="624" w:type="dxa"/>
            <w:tcBorders>
              <w:left w:val="single" w:sz="12" w:space="0" w:color="auto"/>
            </w:tcBorders>
          </w:tcPr>
          <w:p w14:paraId="0B682030" w14:textId="4B1963DB" w:rsidR="00307A73" w:rsidRPr="00DF12A5" w:rsidRDefault="00307A73" w:rsidP="00BB0DAB">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0.1</w:t>
            </w:r>
          </w:p>
        </w:tc>
        <w:tc>
          <w:tcPr>
            <w:tcW w:w="906" w:type="dxa"/>
          </w:tcPr>
          <w:p w14:paraId="34A78F41" w14:textId="2818B14F"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5130" w:type="dxa"/>
          </w:tcPr>
          <w:p w14:paraId="1B2F84D6" w14:textId="61E7AD33" w:rsidR="00307A73" w:rsidRPr="00DF12A5" w:rsidRDefault="00307A73" w:rsidP="00307A73">
            <w:pPr>
              <w:spacing w:after="0" w:line="240" w:lineRule="auto"/>
              <w:jc w:val="both"/>
              <w:rPr>
                <w:rFonts w:ascii="Times New Roman" w:hAnsi="Times New Roman" w:cs="Times New Roman"/>
                <w:sz w:val="20"/>
                <w:szCs w:val="20"/>
                <w:lang w:val="sq-AL"/>
              </w:rPr>
            </w:pPr>
            <w:r w:rsidRPr="00DE5FCB">
              <w:rPr>
                <w:rFonts w:ascii="Times New Roman" w:hAnsi="Times New Roman"/>
                <w:color w:val="000000"/>
                <w:sz w:val="20"/>
              </w:rPr>
              <w:t>N/A</w:t>
            </w:r>
          </w:p>
        </w:tc>
        <w:tc>
          <w:tcPr>
            <w:tcW w:w="900" w:type="dxa"/>
          </w:tcPr>
          <w:p w14:paraId="0907BF84" w14:textId="0FEC6FF2" w:rsidR="00307A73" w:rsidRPr="00DF12A5" w:rsidRDefault="00307A73" w:rsidP="00307A73">
            <w:pPr>
              <w:spacing w:after="0" w:line="240" w:lineRule="auto"/>
              <w:jc w:val="center"/>
              <w:rPr>
                <w:rFonts w:ascii="Times New Roman" w:hAnsi="Times New Roman" w:cs="Times New Roman"/>
                <w:sz w:val="20"/>
                <w:szCs w:val="20"/>
                <w:lang w:val="sq-AL"/>
              </w:rPr>
            </w:pPr>
            <w:r w:rsidRPr="00DE5FCB">
              <w:rPr>
                <w:rFonts w:ascii="Times New Roman" w:hAnsi="Times New Roman"/>
                <w:color w:val="000000"/>
                <w:sz w:val="20"/>
              </w:rPr>
              <w:t>N/A</w:t>
            </w:r>
          </w:p>
        </w:tc>
        <w:tc>
          <w:tcPr>
            <w:tcW w:w="1710" w:type="dxa"/>
            <w:tcBorders>
              <w:bottom w:val="single" w:sz="12" w:space="0" w:color="auto"/>
              <w:right w:val="single" w:sz="12" w:space="0" w:color="auto"/>
            </w:tcBorders>
          </w:tcPr>
          <w:p w14:paraId="11D180CB" w14:textId="77777777" w:rsidR="00307A73" w:rsidRDefault="00307A73" w:rsidP="00307A73">
            <w:pPr>
              <w:spacing w:after="0" w:line="240" w:lineRule="auto"/>
              <w:jc w:val="both"/>
              <w:rPr>
                <w:rFonts w:ascii="Times New Roman" w:eastAsia="Times New Roman" w:hAnsi="Times New Roman" w:cs="Times New Roman"/>
                <w:sz w:val="20"/>
                <w:szCs w:val="20"/>
                <w:lang w:val="sq-AL"/>
              </w:rPr>
            </w:pPr>
            <w:r>
              <w:rPr>
                <w:rFonts w:ascii="Times New Roman" w:hAnsi="Times New Roman"/>
                <w:color w:val="000000"/>
                <w:sz w:val="20"/>
              </w:rPr>
              <w:t>No transposition into national legislation is required.</w:t>
            </w:r>
            <w:r>
              <w:rPr>
                <w:rFonts w:ascii="Times New Roman" w:hAnsi="Times New Roman"/>
                <w:color w:val="000000"/>
                <w:sz w:val="20"/>
              </w:rPr>
              <w:br/>
              <w:t>Final provision of the Directive.</w:t>
            </w:r>
          </w:p>
        </w:tc>
      </w:tr>
    </w:tbl>
    <w:p w14:paraId="6A39EAB9" w14:textId="77777777" w:rsidR="0006234F" w:rsidRPr="00DF12A5" w:rsidRDefault="0006234F" w:rsidP="001A1B6A">
      <w:pPr>
        <w:spacing w:line="240" w:lineRule="auto"/>
        <w:jc w:val="both"/>
        <w:rPr>
          <w:rFonts w:ascii="Times New Roman" w:hAnsi="Times New Roman" w:cs="Times New Roman"/>
          <w:sz w:val="20"/>
          <w:szCs w:val="20"/>
          <w:lang w:val="sq-AL"/>
        </w:rPr>
      </w:pPr>
    </w:p>
    <w:sectPr w:rsidR="0006234F" w:rsidRPr="00DF12A5" w:rsidSect="00C5003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1BEC4" w14:textId="77777777" w:rsidR="00B85710" w:rsidRDefault="00B85710" w:rsidP="00C0737B">
      <w:pPr>
        <w:spacing w:after="0" w:line="240" w:lineRule="auto"/>
      </w:pPr>
      <w:r>
        <w:separator/>
      </w:r>
    </w:p>
  </w:endnote>
  <w:endnote w:type="continuationSeparator" w:id="0">
    <w:p w14:paraId="29717998" w14:textId="77777777" w:rsidR="00B85710" w:rsidRDefault="00B85710" w:rsidP="00C07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ヒラギノ角ゴ Pro W3">
    <w:altName w:val="MS Gothic"/>
    <w:charset w:val="00"/>
    <w:family w:val="roman"/>
    <w:pitch w:val="default"/>
  </w:font>
  <w:font w:name="Times New Roman Bold">
    <w:altName w:val="Times New Roman"/>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44409" w14:textId="77777777" w:rsidR="00B85710" w:rsidRDefault="00B85710" w:rsidP="00C0737B">
      <w:pPr>
        <w:spacing w:after="0" w:line="240" w:lineRule="auto"/>
      </w:pPr>
      <w:r>
        <w:separator/>
      </w:r>
    </w:p>
  </w:footnote>
  <w:footnote w:type="continuationSeparator" w:id="0">
    <w:p w14:paraId="152644E3" w14:textId="77777777" w:rsidR="00B85710" w:rsidRDefault="00B85710" w:rsidP="00C07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114"/>
    <w:multiLevelType w:val="multilevel"/>
    <w:tmpl w:val="0292187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5AC4B1D"/>
    <w:multiLevelType w:val="hybridMultilevel"/>
    <w:tmpl w:val="7DD86250"/>
    <w:lvl w:ilvl="0" w:tplc="9CC6C680">
      <w:start w:val="1"/>
      <w:numFmt w:val="lowerLetter"/>
      <w:lvlText w:val="%1)"/>
      <w:lvlJc w:val="left"/>
      <w:pPr>
        <w:ind w:left="720" w:hanging="360"/>
      </w:pPr>
      <w:rPr>
        <w:rFonts w:ascii="Aptos" w:hAnsi="Apto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436A1"/>
    <w:multiLevelType w:val="multilevel"/>
    <w:tmpl w:val="0122C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07E21"/>
    <w:multiLevelType w:val="multilevel"/>
    <w:tmpl w:val="2A740B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120C4"/>
    <w:multiLevelType w:val="hybridMultilevel"/>
    <w:tmpl w:val="808E6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A51D3"/>
    <w:multiLevelType w:val="multilevel"/>
    <w:tmpl w:val="CA9C44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8233B58"/>
    <w:multiLevelType w:val="hybridMultilevel"/>
    <w:tmpl w:val="0C52179C"/>
    <w:lvl w:ilvl="0" w:tplc="B98EF63C">
      <w:start w:val="1"/>
      <w:numFmt w:val="decimal"/>
      <w:lvlText w:val="%1."/>
      <w:lvlJc w:val="left"/>
      <w:pPr>
        <w:ind w:left="1350" w:hanging="360"/>
      </w:pPr>
      <w:rPr>
        <w:rFonts w:ascii="Aptos" w:hAnsi="Aptos" w:hint="default"/>
        <w:color w:val="000000" w:themeColor="text1"/>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9E2282E"/>
    <w:multiLevelType w:val="hybridMultilevel"/>
    <w:tmpl w:val="23643E50"/>
    <w:lvl w:ilvl="0" w:tplc="5A328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F16B6E"/>
    <w:multiLevelType w:val="multilevel"/>
    <w:tmpl w:val="E59AD1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A2700CF"/>
    <w:multiLevelType w:val="multilevel"/>
    <w:tmpl w:val="6C2E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01690"/>
    <w:multiLevelType w:val="multilevel"/>
    <w:tmpl w:val="AD82D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821B6"/>
    <w:multiLevelType w:val="multilevel"/>
    <w:tmpl w:val="07C0B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944FD8"/>
    <w:multiLevelType w:val="multilevel"/>
    <w:tmpl w:val="B134C7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B2478A"/>
    <w:multiLevelType w:val="hybridMultilevel"/>
    <w:tmpl w:val="E1FC03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067988"/>
    <w:multiLevelType w:val="multilevel"/>
    <w:tmpl w:val="45E60A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C341A8"/>
    <w:multiLevelType w:val="hybridMultilevel"/>
    <w:tmpl w:val="31B45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1A0182"/>
    <w:multiLevelType w:val="multilevel"/>
    <w:tmpl w:val="0F6CE9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E65F65"/>
    <w:multiLevelType w:val="multilevel"/>
    <w:tmpl w:val="D9E6F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253A96"/>
    <w:multiLevelType w:val="hybridMultilevel"/>
    <w:tmpl w:val="62F4B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320ACD"/>
    <w:multiLevelType w:val="hybridMultilevel"/>
    <w:tmpl w:val="4254F870"/>
    <w:lvl w:ilvl="0" w:tplc="04090017">
      <w:start w:val="1"/>
      <w:numFmt w:val="lowerLetter"/>
      <w:lvlText w:val="%1)"/>
      <w:lvlJc w:val="left"/>
      <w:pPr>
        <w:ind w:left="720" w:hanging="360"/>
      </w:pPr>
      <w:rPr>
        <w:rFont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4F13E8"/>
    <w:multiLevelType w:val="hybridMultilevel"/>
    <w:tmpl w:val="5F1410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7E1CE0"/>
    <w:multiLevelType w:val="multilevel"/>
    <w:tmpl w:val="D2D861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462E5B"/>
    <w:multiLevelType w:val="hybridMultilevel"/>
    <w:tmpl w:val="517A3E00"/>
    <w:lvl w:ilvl="0" w:tplc="93A6F126">
      <w:start w:val="1"/>
      <w:numFmt w:val="decimal"/>
      <w:lvlText w:val="%1."/>
      <w:lvlJc w:val="left"/>
      <w:pPr>
        <w:ind w:left="720" w:hanging="360"/>
      </w:pPr>
      <w:rPr>
        <w:rFonts w:ascii="Aptos" w:hAnsi="Apto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1F0E1F"/>
    <w:multiLevelType w:val="hybridMultilevel"/>
    <w:tmpl w:val="89981EB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1AE438F"/>
    <w:multiLevelType w:val="multilevel"/>
    <w:tmpl w:val="F68626DE"/>
    <w:lvl w:ilvl="0">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5" w15:restartNumberingAfterBreak="0">
    <w:nsid w:val="540B7A04"/>
    <w:multiLevelType w:val="multilevel"/>
    <w:tmpl w:val="8B0610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81F777F"/>
    <w:multiLevelType w:val="multilevel"/>
    <w:tmpl w:val="195E8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55648B"/>
    <w:multiLevelType w:val="hybridMultilevel"/>
    <w:tmpl w:val="E90E5864"/>
    <w:lvl w:ilvl="0" w:tplc="D2EAF102">
      <w:start w:val="1"/>
      <w:numFmt w:val="decimal"/>
      <w:lvlText w:val="%1."/>
      <w:lvlJc w:val="left"/>
      <w:pPr>
        <w:ind w:left="720" w:hanging="360"/>
      </w:pPr>
      <w:rPr>
        <w:rFonts w:ascii="Aptos" w:hAnsi="Aptos" w:hint="default"/>
        <w:color w:val="000000" w:themeColor="text1"/>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BD00E6"/>
    <w:multiLevelType w:val="multilevel"/>
    <w:tmpl w:val="69D48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BE2451"/>
    <w:multiLevelType w:val="hybridMultilevel"/>
    <w:tmpl w:val="70726316"/>
    <w:lvl w:ilvl="0" w:tplc="D1B813D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BB6507"/>
    <w:multiLevelType w:val="multilevel"/>
    <w:tmpl w:val="140C7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E16391"/>
    <w:multiLevelType w:val="hybridMultilevel"/>
    <w:tmpl w:val="B6C883D8"/>
    <w:lvl w:ilvl="0" w:tplc="5E52D680">
      <w:start w:val="1"/>
      <w:numFmt w:val="decimal"/>
      <w:lvlText w:val="%1."/>
      <w:lvlJc w:val="left"/>
      <w:pPr>
        <w:ind w:left="720" w:hanging="360"/>
      </w:pPr>
      <w:rPr>
        <w:rFonts w:ascii="Aptos" w:hAnsi="Apto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87E676C"/>
    <w:multiLevelType w:val="hybridMultilevel"/>
    <w:tmpl w:val="DDA46562"/>
    <w:lvl w:ilvl="0" w:tplc="72BAB178">
      <w:start w:val="1"/>
      <w:numFmt w:val="decimal"/>
      <w:lvlText w:val="%1."/>
      <w:lvlJc w:val="left"/>
      <w:pPr>
        <w:ind w:left="720" w:hanging="360"/>
      </w:pPr>
      <w:rPr>
        <w:rFonts w:ascii="Aptos" w:hAnsi="Apto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C7109F7"/>
    <w:multiLevelType w:val="hybridMultilevel"/>
    <w:tmpl w:val="766EE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A056B3"/>
    <w:multiLevelType w:val="hybridMultilevel"/>
    <w:tmpl w:val="E4704FB6"/>
    <w:lvl w:ilvl="0" w:tplc="970663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E6D19A1"/>
    <w:multiLevelType w:val="multilevel"/>
    <w:tmpl w:val="FB50C1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297649"/>
    <w:multiLevelType w:val="multilevel"/>
    <w:tmpl w:val="E59AD1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1615D64"/>
    <w:multiLevelType w:val="multilevel"/>
    <w:tmpl w:val="2A2EA9DE"/>
    <w:lvl w:ilvl="0">
      <w:start w:val="2"/>
      <w:numFmt w:val="decimal"/>
      <w:lvlText w:val="%1."/>
      <w:lvlJc w:val="left"/>
      <w:pPr>
        <w:tabs>
          <w:tab w:val="num" w:pos="540"/>
        </w:tabs>
        <w:ind w:left="54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986807"/>
    <w:multiLevelType w:val="hybridMultilevel"/>
    <w:tmpl w:val="89981EBE"/>
    <w:lvl w:ilvl="0" w:tplc="6B9A8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A4593E"/>
    <w:multiLevelType w:val="hybridMultilevel"/>
    <w:tmpl w:val="1E66A90C"/>
    <w:lvl w:ilvl="0" w:tplc="7870F7F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0" w15:restartNumberingAfterBreak="0">
    <w:nsid w:val="7822158F"/>
    <w:multiLevelType w:val="multilevel"/>
    <w:tmpl w:val="6DAE0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FA7B6A"/>
    <w:multiLevelType w:val="hybridMultilevel"/>
    <w:tmpl w:val="50F2A576"/>
    <w:lvl w:ilvl="0" w:tplc="07163AE8">
      <w:start w:val="1"/>
      <w:numFmt w:val="decimal"/>
      <w:lvlText w:val="%1."/>
      <w:lvlJc w:val="left"/>
      <w:pPr>
        <w:ind w:left="720" w:hanging="360"/>
      </w:pPr>
      <w:rPr>
        <w:rFonts w:ascii="Aptos" w:hAnsi="Aptos" w:hint="default"/>
        <w:color w:val="000000" w:themeColor="text1"/>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4187936">
    <w:abstractNumId w:val="18"/>
  </w:num>
  <w:num w:numId="2" w16cid:durableId="683021877">
    <w:abstractNumId w:val="3"/>
  </w:num>
  <w:num w:numId="3" w16cid:durableId="1567304240">
    <w:abstractNumId w:val="16"/>
  </w:num>
  <w:num w:numId="4" w16cid:durableId="670716610">
    <w:abstractNumId w:val="28"/>
  </w:num>
  <w:num w:numId="5" w16cid:durableId="1308631472">
    <w:abstractNumId w:val="11"/>
  </w:num>
  <w:num w:numId="6" w16cid:durableId="77757352">
    <w:abstractNumId w:val="2"/>
  </w:num>
  <w:num w:numId="7" w16cid:durableId="1165440354">
    <w:abstractNumId w:val="4"/>
  </w:num>
  <w:num w:numId="8" w16cid:durableId="561217418">
    <w:abstractNumId w:val="26"/>
  </w:num>
  <w:num w:numId="9" w16cid:durableId="580525897">
    <w:abstractNumId w:val="30"/>
  </w:num>
  <w:num w:numId="10" w16cid:durableId="1149134148">
    <w:abstractNumId w:val="10"/>
  </w:num>
  <w:num w:numId="11" w16cid:durableId="1799369627">
    <w:abstractNumId w:val="12"/>
  </w:num>
  <w:num w:numId="12" w16cid:durableId="901210386">
    <w:abstractNumId w:val="35"/>
  </w:num>
  <w:num w:numId="13" w16cid:durableId="952250694">
    <w:abstractNumId w:val="21"/>
  </w:num>
  <w:num w:numId="14" w16cid:durableId="404302966">
    <w:abstractNumId w:val="37"/>
  </w:num>
  <w:num w:numId="15" w16cid:durableId="1333483061">
    <w:abstractNumId w:val="40"/>
  </w:num>
  <w:num w:numId="16" w16cid:durableId="327635582">
    <w:abstractNumId w:val="17"/>
  </w:num>
  <w:num w:numId="17" w16cid:durableId="794444471">
    <w:abstractNumId w:val="0"/>
  </w:num>
  <w:num w:numId="18" w16cid:durableId="969557975">
    <w:abstractNumId w:val="39"/>
  </w:num>
  <w:num w:numId="19" w16cid:durableId="1864129935">
    <w:abstractNumId w:val="9"/>
  </w:num>
  <w:num w:numId="20" w16cid:durableId="704989241">
    <w:abstractNumId w:val="36"/>
  </w:num>
  <w:num w:numId="21" w16cid:durableId="44526516">
    <w:abstractNumId w:val="8"/>
  </w:num>
  <w:num w:numId="22" w16cid:durableId="1841118675">
    <w:abstractNumId w:val="25"/>
  </w:num>
  <w:num w:numId="23" w16cid:durableId="702678888">
    <w:abstractNumId w:val="5"/>
  </w:num>
  <w:num w:numId="24" w16cid:durableId="831217417">
    <w:abstractNumId w:val="14"/>
  </w:num>
  <w:num w:numId="25" w16cid:durableId="1068723038">
    <w:abstractNumId w:val="33"/>
  </w:num>
  <w:num w:numId="26" w16cid:durableId="1764177998">
    <w:abstractNumId w:val="38"/>
  </w:num>
  <w:num w:numId="27" w16cid:durableId="1888566030">
    <w:abstractNumId w:val="23"/>
  </w:num>
  <w:num w:numId="28" w16cid:durableId="739330913">
    <w:abstractNumId w:val="1"/>
  </w:num>
  <w:num w:numId="29" w16cid:durableId="1971088920">
    <w:abstractNumId w:val="41"/>
  </w:num>
  <w:num w:numId="30" w16cid:durableId="1693260445">
    <w:abstractNumId w:val="20"/>
  </w:num>
  <w:num w:numId="31" w16cid:durableId="2108695138">
    <w:abstractNumId w:val="27"/>
  </w:num>
  <w:num w:numId="32" w16cid:durableId="1211527401">
    <w:abstractNumId w:val="13"/>
  </w:num>
  <w:num w:numId="33" w16cid:durableId="393159706">
    <w:abstractNumId w:val="22"/>
  </w:num>
  <w:num w:numId="34" w16cid:durableId="14430812">
    <w:abstractNumId w:val="19"/>
  </w:num>
  <w:num w:numId="35" w16cid:durableId="1239634196">
    <w:abstractNumId w:val="7"/>
  </w:num>
  <w:num w:numId="36" w16cid:durableId="1701931306">
    <w:abstractNumId w:val="34"/>
  </w:num>
  <w:num w:numId="37" w16cid:durableId="1631666173">
    <w:abstractNumId w:val="6"/>
  </w:num>
  <w:num w:numId="38" w16cid:durableId="1981113041">
    <w:abstractNumId w:val="31"/>
  </w:num>
  <w:num w:numId="39" w16cid:durableId="1869954486">
    <w:abstractNumId w:val="32"/>
  </w:num>
  <w:num w:numId="40" w16cid:durableId="1950383860">
    <w:abstractNumId w:val="29"/>
  </w:num>
  <w:num w:numId="41" w16cid:durableId="1128428333">
    <w:abstractNumId w:val="24"/>
  </w:num>
  <w:num w:numId="42" w16cid:durableId="7441795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5D8"/>
    <w:rsid w:val="00000190"/>
    <w:rsid w:val="00001A4C"/>
    <w:rsid w:val="00001ECD"/>
    <w:rsid w:val="00002057"/>
    <w:rsid w:val="00002700"/>
    <w:rsid w:val="00002AA3"/>
    <w:rsid w:val="000052A6"/>
    <w:rsid w:val="00007D68"/>
    <w:rsid w:val="00007DAE"/>
    <w:rsid w:val="000102BE"/>
    <w:rsid w:val="00010D04"/>
    <w:rsid w:val="000144A7"/>
    <w:rsid w:val="00015E73"/>
    <w:rsid w:val="00022CC9"/>
    <w:rsid w:val="0002602F"/>
    <w:rsid w:val="000277F4"/>
    <w:rsid w:val="000278E3"/>
    <w:rsid w:val="00030E63"/>
    <w:rsid w:val="00031D52"/>
    <w:rsid w:val="00031E3B"/>
    <w:rsid w:val="00034A0C"/>
    <w:rsid w:val="000371A4"/>
    <w:rsid w:val="000405D8"/>
    <w:rsid w:val="000413BF"/>
    <w:rsid w:val="00041FCC"/>
    <w:rsid w:val="0004205D"/>
    <w:rsid w:val="000420EF"/>
    <w:rsid w:val="000424D6"/>
    <w:rsid w:val="00042A78"/>
    <w:rsid w:val="0004442A"/>
    <w:rsid w:val="00045676"/>
    <w:rsid w:val="00046189"/>
    <w:rsid w:val="0004698F"/>
    <w:rsid w:val="00053DEC"/>
    <w:rsid w:val="0006234F"/>
    <w:rsid w:val="000768EB"/>
    <w:rsid w:val="00076BB6"/>
    <w:rsid w:val="000809B8"/>
    <w:rsid w:val="00080EC8"/>
    <w:rsid w:val="000812FE"/>
    <w:rsid w:val="00082937"/>
    <w:rsid w:val="000858AA"/>
    <w:rsid w:val="000905E4"/>
    <w:rsid w:val="00094DF3"/>
    <w:rsid w:val="000A06E4"/>
    <w:rsid w:val="000A188C"/>
    <w:rsid w:val="000A1F0D"/>
    <w:rsid w:val="000A2F1C"/>
    <w:rsid w:val="000A5400"/>
    <w:rsid w:val="000A781C"/>
    <w:rsid w:val="000A7DA5"/>
    <w:rsid w:val="000B21F1"/>
    <w:rsid w:val="000C1A64"/>
    <w:rsid w:val="000C227B"/>
    <w:rsid w:val="000C38BF"/>
    <w:rsid w:val="000C47B2"/>
    <w:rsid w:val="000C7A1D"/>
    <w:rsid w:val="000D2A11"/>
    <w:rsid w:val="000D2E43"/>
    <w:rsid w:val="000D3B9B"/>
    <w:rsid w:val="000D432C"/>
    <w:rsid w:val="000D7469"/>
    <w:rsid w:val="000E0E5D"/>
    <w:rsid w:val="000E119E"/>
    <w:rsid w:val="000E25B9"/>
    <w:rsid w:val="000E4427"/>
    <w:rsid w:val="000E4D82"/>
    <w:rsid w:val="000E5AFA"/>
    <w:rsid w:val="000E6988"/>
    <w:rsid w:val="000F07C8"/>
    <w:rsid w:val="000F4A66"/>
    <w:rsid w:val="000F59D3"/>
    <w:rsid w:val="000F74A9"/>
    <w:rsid w:val="0010099E"/>
    <w:rsid w:val="001022FA"/>
    <w:rsid w:val="00102F3C"/>
    <w:rsid w:val="00103B1F"/>
    <w:rsid w:val="00105887"/>
    <w:rsid w:val="00106CA1"/>
    <w:rsid w:val="00106DCF"/>
    <w:rsid w:val="00107415"/>
    <w:rsid w:val="001106C0"/>
    <w:rsid w:val="00112FC9"/>
    <w:rsid w:val="0011319A"/>
    <w:rsid w:val="0011368D"/>
    <w:rsid w:val="00114943"/>
    <w:rsid w:val="00115A2A"/>
    <w:rsid w:val="00115F14"/>
    <w:rsid w:val="00117784"/>
    <w:rsid w:val="001203B7"/>
    <w:rsid w:val="001229BF"/>
    <w:rsid w:val="00124580"/>
    <w:rsid w:val="00126C13"/>
    <w:rsid w:val="001271CA"/>
    <w:rsid w:val="00131356"/>
    <w:rsid w:val="00135653"/>
    <w:rsid w:val="001372A4"/>
    <w:rsid w:val="001428D4"/>
    <w:rsid w:val="0014334D"/>
    <w:rsid w:val="00144D6B"/>
    <w:rsid w:val="00146E0F"/>
    <w:rsid w:val="00155436"/>
    <w:rsid w:val="001566B0"/>
    <w:rsid w:val="00161D64"/>
    <w:rsid w:val="00163692"/>
    <w:rsid w:val="00163A77"/>
    <w:rsid w:val="00163DBC"/>
    <w:rsid w:val="001640E6"/>
    <w:rsid w:val="00171345"/>
    <w:rsid w:val="00171F7E"/>
    <w:rsid w:val="00172173"/>
    <w:rsid w:val="00180116"/>
    <w:rsid w:val="0018193F"/>
    <w:rsid w:val="00181FA2"/>
    <w:rsid w:val="001829E4"/>
    <w:rsid w:val="00185EFA"/>
    <w:rsid w:val="00186074"/>
    <w:rsid w:val="00193B0D"/>
    <w:rsid w:val="00195769"/>
    <w:rsid w:val="0019622D"/>
    <w:rsid w:val="00196591"/>
    <w:rsid w:val="00196852"/>
    <w:rsid w:val="00196B83"/>
    <w:rsid w:val="001A09ED"/>
    <w:rsid w:val="001A0A1C"/>
    <w:rsid w:val="001A13C1"/>
    <w:rsid w:val="001A1812"/>
    <w:rsid w:val="001A1B6A"/>
    <w:rsid w:val="001A1E98"/>
    <w:rsid w:val="001A5AB3"/>
    <w:rsid w:val="001B15A2"/>
    <w:rsid w:val="001B1650"/>
    <w:rsid w:val="001B56F9"/>
    <w:rsid w:val="001B7792"/>
    <w:rsid w:val="001C3292"/>
    <w:rsid w:val="001C7D36"/>
    <w:rsid w:val="001D1D8C"/>
    <w:rsid w:val="001D3E67"/>
    <w:rsid w:val="001D4310"/>
    <w:rsid w:val="001D5D4B"/>
    <w:rsid w:val="001D665A"/>
    <w:rsid w:val="001D7353"/>
    <w:rsid w:val="001E0CEB"/>
    <w:rsid w:val="001E0D62"/>
    <w:rsid w:val="001E1D13"/>
    <w:rsid w:val="001E4EF9"/>
    <w:rsid w:val="001E7953"/>
    <w:rsid w:val="001F0341"/>
    <w:rsid w:val="001F0E54"/>
    <w:rsid w:val="001F1C4C"/>
    <w:rsid w:val="001F3493"/>
    <w:rsid w:val="001F37A9"/>
    <w:rsid w:val="001F3EED"/>
    <w:rsid w:val="001F54E0"/>
    <w:rsid w:val="001F7AC4"/>
    <w:rsid w:val="00201653"/>
    <w:rsid w:val="00202515"/>
    <w:rsid w:val="00202A84"/>
    <w:rsid w:val="002073C5"/>
    <w:rsid w:val="00207433"/>
    <w:rsid w:val="0021504A"/>
    <w:rsid w:val="00216D3D"/>
    <w:rsid w:val="00220B84"/>
    <w:rsid w:val="00221480"/>
    <w:rsid w:val="00222F6C"/>
    <w:rsid w:val="00223E79"/>
    <w:rsid w:val="00225A1E"/>
    <w:rsid w:val="00226EF4"/>
    <w:rsid w:val="00230C84"/>
    <w:rsid w:val="00231A16"/>
    <w:rsid w:val="0023259E"/>
    <w:rsid w:val="00232DE3"/>
    <w:rsid w:val="00233512"/>
    <w:rsid w:val="00234F50"/>
    <w:rsid w:val="00235A26"/>
    <w:rsid w:val="00237992"/>
    <w:rsid w:val="00241B21"/>
    <w:rsid w:val="00241BB0"/>
    <w:rsid w:val="002420D1"/>
    <w:rsid w:val="00244E42"/>
    <w:rsid w:val="00245321"/>
    <w:rsid w:val="002500BD"/>
    <w:rsid w:val="002512E8"/>
    <w:rsid w:val="002544DB"/>
    <w:rsid w:val="0025668F"/>
    <w:rsid w:val="00261738"/>
    <w:rsid w:val="00261844"/>
    <w:rsid w:val="002654CA"/>
    <w:rsid w:val="002663E0"/>
    <w:rsid w:val="00270952"/>
    <w:rsid w:val="00270EF6"/>
    <w:rsid w:val="002713DB"/>
    <w:rsid w:val="00271DE1"/>
    <w:rsid w:val="002744B7"/>
    <w:rsid w:val="002757D9"/>
    <w:rsid w:val="0028362D"/>
    <w:rsid w:val="00283E23"/>
    <w:rsid w:val="002848D1"/>
    <w:rsid w:val="0028522F"/>
    <w:rsid w:val="00287CCC"/>
    <w:rsid w:val="002922B2"/>
    <w:rsid w:val="0029415D"/>
    <w:rsid w:val="002A3D07"/>
    <w:rsid w:val="002A3FE1"/>
    <w:rsid w:val="002A50C9"/>
    <w:rsid w:val="002A65D4"/>
    <w:rsid w:val="002A7161"/>
    <w:rsid w:val="002B07DD"/>
    <w:rsid w:val="002B2264"/>
    <w:rsid w:val="002B433A"/>
    <w:rsid w:val="002B6C6D"/>
    <w:rsid w:val="002C1264"/>
    <w:rsid w:val="002C13FA"/>
    <w:rsid w:val="002C3EDE"/>
    <w:rsid w:val="002C6CEA"/>
    <w:rsid w:val="002C76A1"/>
    <w:rsid w:val="002D033B"/>
    <w:rsid w:val="002D1C8E"/>
    <w:rsid w:val="002D6E8A"/>
    <w:rsid w:val="002E0893"/>
    <w:rsid w:val="002F1104"/>
    <w:rsid w:val="002F2514"/>
    <w:rsid w:val="002F3DAE"/>
    <w:rsid w:val="002F484C"/>
    <w:rsid w:val="002F61AF"/>
    <w:rsid w:val="002F7584"/>
    <w:rsid w:val="002F7B73"/>
    <w:rsid w:val="00305986"/>
    <w:rsid w:val="00307A73"/>
    <w:rsid w:val="00310C79"/>
    <w:rsid w:val="00311D02"/>
    <w:rsid w:val="00312915"/>
    <w:rsid w:val="00312BA7"/>
    <w:rsid w:val="00313349"/>
    <w:rsid w:val="003136AD"/>
    <w:rsid w:val="00315DB8"/>
    <w:rsid w:val="00316C04"/>
    <w:rsid w:val="00323A43"/>
    <w:rsid w:val="00323E48"/>
    <w:rsid w:val="00323E6F"/>
    <w:rsid w:val="003261C5"/>
    <w:rsid w:val="003324C7"/>
    <w:rsid w:val="00333259"/>
    <w:rsid w:val="0033331C"/>
    <w:rsid w:val="00333F8C"/>
    <w:rsid w:val="003358BF"/>
    <w:rsid w:val="00335997"/>
    <w:rsid w:val="00340C1C"/>
    <w:rsid w:val="00342694"/>
    <w:rsid w:val="003430C8"/>
    <w:rsid w:val="00344E3E"/>
    <w:rsid w:val="00344F00"/>
    <w:rsid w:val="00345DED"/>
    <w:rsid w:val="00346203"/>
    <w:rsid w:val="00347EEE"/>
    <w:rsid w:val="00355E13"/>
    <w:rsid w:val="003562D0"/>
    <w:rsid w:val="00356356"/>
    <w:rsid w:val="003579A1"/>
    <w:rsid w:val="00367727"/>
    <w:rsid w:val="00372704"/>
    <w:rsid w:val="00373841"/>
    <w:rsid w:val="003744FA"/>
    <w:rsid w:val="003839F2"/>
    <w:rsid w:val="00383EB4"/>
    <w:rsid w:val="00386097"/>
    <w:rsid w:val="003863EF"/>
    <w:rsid w:val="0039178C"/>
    <w:rsid w:val="00392B24"/>
    <w:rsid w:val="00394EB1"/>
    <w:rsid w:val="00396441"/>
    <w:rsid w:val="003966C4"/>
    <w:rsid w:val="003A3E5D"/>
    <w:rsid w:val="003A4D02"/>
    <w:rsid w:val="003A508D"/>
    <w:rsid w:val="003A53AD"/>
    <w:rsid w:val="003A63DD"/>
    <w:rsid w:val="003B199D"/>
    <w:rsid w:val="003B1E31"/>
    <w:rsid w:val="003B4F3D"/>
    <w:rsid w:val="003B7074"/>
    <w:rsid w:val="003C1B6E"/>
    <w:rsid w:val="003C3377"/>
    <w:rsid w:val="003C37A7"/>
    <w:rsid w:val="003C46B1"/>
    <w:rsid w:val="003C5147"/>
    <w:rsid w:val="003C68B9"/>
    <w:rsid w:val="003C7736"/>
    <w:rsid w:val="003D1272"/>
    <w:rsid w:val="003D297C"/>
    <w:rsid w:val="003D36FA"/>
    <w:rsid w:val="003D535F"/>
    <w:rsid w:val="003D79A3"/>
    <w:rsid w:val="003E1741"/>
    <w:rsid w:val="003E1F2C"/>
    <w:rsid w:val="003E4014"/>
    <w:rsid w:val="003E5614"/>
    <w:rsid w:val="003E56E1"/>
    <w:rsid w:val="003E7E51"/>
    <w:rsid w:val="003F334A"/>
    <w:rsid w:val="003F41C1"/>
    <w:rsid w:val="003F463A"/>
    <w:rsid w:val="003F4864"/>
    <w:rsid w:val="00400E0B"/>
    <w:rsid w:val="004039C3"/>
    <w:rsid w:val="00404166"/>
    <w:rsid w:val="0040603D"/>
    <w:rsid w:val="0040666A"/>
    <w:rsid w:val="00415067"/>
    <w:rsid w:val="0041508B"/>
    <w:rsid w:val="00415505"/>
    <w:rsid w:val="00417604"/>
    <w:rsid w:val="00420DF5"/>
    <w:rsid w:val="00420F6E"/>
    <w:rsid w:val="004217DD"/>
    <w:rsid w:val="004238D3"/>
    <w:rsid w:val="004255CB"/>
    <w:rsid w:val="0042585C"/>
    <w:rsid w:val="00425ACC"/>
    <w:rsid w:val="00433264"/>
    <w:rsid w:val="00433AEC"/>
    <w:rsid w:val="00435308"/>
    <w:rsid w:val="00436F37"/>
    <w:rsid w:val="00441782"/>
    <w:rsid w:val="00442FA1"/>
    <w:rsid w:val="0044628D"/>
    <w:rsid w:val="00446860"/>
    <w:rsid w:val="00450A06"/>
    <w:rsid w:val="00453D20"/>
    <w:rsid w:val="00454256"/>
    <w:rsid w:val="004564E4"/>
    <w:rsid w:val="00465882"/>
    <w:rsid w:val="00466A61"/>
    <w:rsid w:val="004677B1"/>
    <w:rsid w:val="00467828"/>
    <w:rsid w:val="00471693"/>
    <w:rsid w:val="0047612C"/>
    <w:rsid w:val="0047618C"/>
    <w:rsid w:val="00476874"/>
    <w:rsid w:val="00476C92"/>
    <w:rsid w:val="0048392B"/>
    <w:rsid w:val="004844A6"/>
    <w:rsid w:val="00487F56"/>
    <w:rsid w:val="004903B0"/>
    <w:rsid w:val="00491BA0"/>
    <w:rsid w:val="00492058"/>
    <w:rsid w:val="004929A0"/>
    <w:rsid w:val="00495AB5"/>
    <w:rsid w:val="00496C68"/>
    <w:rsid w:val="00496E3F"/>
    <w:rsid w:val="0049724E"/>
    <w:rsid w:val="004A20A4"/>
    <w:rsid w:val="004A3278"/>
    <w:rsid w:val="004A5C3B"/>
    <w:rsid w:val="004A5D53"/>
    <w:rsid w:val="004A5F5B"/>
    <w:rsid w:val="004A6DB4"/>
    <w:rsid w:val="004B3115"/>
    <w:rsid w:val="004B31BB"/>
    <w:rsid w:val="004B73DD"/>
    <w:rsid w:val="004B7569"/>
    <w:rsid w:val="004B7610"/>
    <w:rsid w:val="004C0216"/>
    <w:rsid w:val="004C1834"/>
    <w:rsid w:val="004C2052"/>
    <w:rsid w:val="004C2C24"/>
    <w:rsid w:val="004C40FF"/>
    <w:rsid w:val="004C4A0F"/>
    <w:rsid w:val="004C5000"/>
    <w:rsid w:val="004C5347"/>
    <w:rsid w:val="004C6043"/>
    <w:rsid w:val="004C63E4"/>
    <w:rsid w:val="004C69D0"/>
    <w:rsid w:val="004C6A48"/>
    <w:rsid w:val="004C750B"/>
    <w:rsid w:val="004D468F"/>
    <w:rsid w:val="004D4877"/>
    <w:rsid w:val="004D4EDF"/>
    <w:rsid w:val="004D59E7"/>
    <w:rsid w:val="004D5B31"/>
    <w:rsid w:val="004D61BC"/>
    <w:rsid w:val="004E0E6D"/>
    <w:rsid w:val="004E3CCD"/>
    <w:rsid w:val="004E46A3"/>
    <w:rsid w:val="004E6CFF"/>
    <w:rsid w:val="004F0917"/>
    <w:rsid w:val="004F2E95"/>
    <w:rsid w:val="004F42CE"/>
    <w:rsid w:val="0050003B"/>
    <w:rsid w:val="0050176F"/>
    <w:rsid w:val="00503EB1"/>
    <w:rsid w:val="00504FCE"/>
    <w:rsid w:val="005055F8"/>
    <w:rsid w:val="005061D7"/>
    <w:rsid w:val="00507F8D"/>
    <w:rsid w:val="00510215"/>
    <w:rsid w:val="005104F4"/>
    <w:rsid w:val="00510F29"/>
    <w:rsid w:val="005130E0"/>
    <w:rsid w:val="00517E74"/>
    <w:rsid w:val="00522297"/>
    <w:rsid w:val="0052268B"/>
    <w:rsid w:val="00525976"/>
    <w:rsid w:val="005264FA"/>
    <w:rsid w:val="00527E36"/>
    <w:rsid w:val="00533219"/>
    <w:rsid w:val="00535290"/>
    <w:rsid w:val="005362BE"/>
    <w:rsid w:val="00536D2E"/>
    <w:rsid w:val="00540E6C"/>
    <w:rsid w:val="00541C2D"/>
    <w:rsid w:val="00542756"/>
    <w:rsid w:val="005431E6"/>
    <w:rsid w:val="00544811"/>
    <w:rsid w:val="00544893"/>
    <w:rsid w:val="00544ED4"/>
    <w:rsid w:val="005451B2"/>
    <w:rsid w:val="005508E5"/>
    <w:rsid w:val="00557D5A"/>
    <w:rsid w:val="00560164"/>
    <w:rsid w:val="00560885"/>
    <w:rsid w:val="00562F96"/>
    <w:rsid w:val="00563572"/>
    <w:rsid w:val="0056386B"/>
    <w:rsid w:val="00565690"/>
    <w:rsid w:val="00565A50"/>
    <w:rsid w:val="00565A91"/>
    <w:rsid w:val="00566F01"/>
    <w:rsid w:val="00573772"/>
    <w:rsid w:val="00573CCF"/>
    <w:rsid w:val="0057657E"/>
    <w:rsid w:val="005807B1"/>
    <w:rsid w:val="00581236"/>
    <w:rsid w:val="00581936"/>
    <w:rsid w:val="0058717C"/>
    <w:rsid w:val="005876A0"/>
    <w:rsid w:val="005A17F6"/>
    <w:rsid w:val="005A1979"/>
    <w:rsid w:val="005A21F8"/>
    <w:rsid w:val="005A3C31"/>
    <w:rsid w:val="005A4CB6"/>
    <w:rsid w:val="005B19A4"/>
    <w:rsid w:val="005B21A4"/>
    <w:rsid w:val="005B2DB3"/>
    <w:rsid w:val="005B3047"/>
    <w:rsid w:val="005B7ADD"/>
    <w:rsid w:val="005C0B7B"/>
    <w:rsid w:val="005C1EFE"/>
    <w:rsid w:val="005C2C58"/>
    <w:rsid w:val="005C3A99"/>
    <w:rsid w:val="005C4A6B"/>
    <w:rsid w:val="005C6D3B"/>
    <w:rsid w:val="005C7569"/>
    <w:rsid w:val="005D09D6"/>
    <w:rsid w:val="005D2C74"/>
    <w:rsid w:val="005D2EB6"/>
    <w:rsid w:val="005D2F65"/>
    <w:rsid w:val="005D34DF"/>
    <w:rsid w:val="005D4521"/>
    <w:rsid w:val="005D49B8"/>
    <w:rsid w:val="005D519D"/>
    <w:rsid w:val="005D5C87"/>
    <w:rsid w:val="005D60C7"/>
    <w:rsid w:val="005E02D9"/>
    <w:rsid w:val="005E103E"/>
    <w:rsid w:val="005E1788"/>
    <w:rsid w:val="005E2DB7"/>
    <w:rsid w:val="005F0D2B"/>
    <w:rsid w:val="005F34DA"/>
    <w:rsid w:val="005F716C"/>
    <w:rsid w:val="005F7969"/>
    <w:rsid w:val="00601DB4"/>
    <w:rsid w:val="0060424D"/>
    <w:rsid w:val="00604639"/>
    <w:rsid w:val="00606432"/>
    <w:rsid w:val="00611C7D"/>
    <w:rsid w:val="00614C02"/>
    <w:rsid w:val="0061600B"/>
    <w:rsid w:val="006164A3"/>
    <w:rsid w:val="006203DB"/>
    <w:rsid w:val="006206E8"/>
    <w:rsid w:val="0062074C"/>
    <w:rsid w:val="006245D5"/>
    <w:rsid w:val="0062565E"/>
    <w:rsid w:val="006261B6"/>
    <w:rsid w:val="0062712E"/>
    <w:rsid w:val="006312BE"/>
    <w:rsid w:val="00632208"/>
    <w:rsid w:val="006336CE"/>
    <w:rsid w:val="00634591"/>
    <w:rsid w:val="00634EDD"/>
    <w:rsid w:val="00634FAF"/>
    <w:rsid w:val="006356F0"/>
    <w:rsid w:val="0063722F"/>
    <w:rsid w:val="0063734B"/>
    <w:rsid w:val="00643001"/>
    <w:rsid w:val="006433BD"/>
    <w:rsid w:val="0064489D"/>
    <w:rsid w:val="00645997"/>
    <w:rsid w:val="0064670F"/>
    <w:rsid w:val="00647767"/>
    <w:rsid w:val="0065028E"/>
    <w:rsid w:val="00650FBC"/>
    <w:rsid w:val="0065223F"/>
    <w:rsid w:val="0065306A"/>
    <w:rsid w:val="006531F1"/>
    <w:rsid w:val="00653C1A"/>
    <w:rsid w:val="0065486D"/>
    <w:rsid w:val="00655E83"/>
    <w:rsid w:val="00656A37"/>
    <w:rsid w:val="0065769B"/>
    <w:rsid w:val="00657A38"/>
    <w:rsid w:val="00660748"/>
    <w:rsid w:val="006674F3"/>
    <w:rsid w:val="00667C3A"/>
    <w:rsid w:val="00674241"/>
    <w:rsid w:val="00674293"/>
    <w:rsid w:val="00681C1C"/>
    <w:rsid w:val="00682F1A"/>
    <w:rsid w:val="00684652"/>
    <w:rsid w:val="0068495A"/>
    <w:rsid w:val="00684A27"/>
    <w:rsid w:val="00690194"/>
    <w:rsid w:val="00690863"/>
    <w:rsid w:val="00690A3C"/>
    <w:rsid w:val="006930F9"/>
    <w:rsid w:val="006945EC"/>
    <w:rsid w:val="00695079"/>
    <w:rsid w:val="00695C1C"/>
    <w:rsid w:val="00695DF3"/>
    <w:rsid w:val="006A030D"/>
    <w:rsid w:val="006A1C0C"/>
    <w:rsid w:val="006A368F"/>
    <w:rsid w:val="006A4A5F"/>
    <w:rsid w:val="006A4EC5"/>
    <w:rsid w:val="006A619E"/>
    <w:rsid w:val="006B3E43"/>
    <w:rsid w:val="006B44BE"/>
    <w:rsid w:val="006B4951"/>
    <w:rsid w:val="006B6738"/>
    <w:rsid w:val="006B6E3E"/>
    <w:rsid w:val="006B6E7B"/>
    <w:rsid w:val="006C5001"/>
    <w:rsid w:val="006D0FCE"/>
    <w:rsid w:val="006D42EA"/>
    <w:rsid w:val="006D51A7"/>
    <w:rsid w:val="006F1C30"/>
    <w:rsid w:val="006F56FF"/>
    <w:rsid w:val="006F579B"/>
    <w:rsid w:val="006F7618"/>
    <w:rsid w:val="00703EEE"/>
    <w:rsid w:val="007046BD"/>
    <w:rsid w:val="0070481F"/>
    <w:rsid w:val="0070496C"/>
    <w:rsid w:val="0071700C"/>
    <w:rsid w:val="00717A8A"/>
    <w:rsid w:val="00717D18"/>
    <w:rsid w:val="00717DF1"/>
    <w:rsid w:val="00721787"/>
    <w:rsid w:val="00722B2A"/>
    <w:rsid w:val="007230BE"/>
    <w:rsid w:val="00724D4B"/>
    <w:rsid w:val="007256BD"/>
    <w:rsid w:val="007262FB"/>
    <w:rsid w:val="00733701"/>
    <w:rsid w:val="00734034"/>
    <w:rsid w:val="007345AB"/>
    <w:rsid w:val="0073492C"/>
    <w:rsid w:val="00735438"/>
    <w:rsid w:val="00735941"/>
    <w:rsid w:val="00737A39"/>
    <w:rsid w:val="0074130A"/>
    <w:rsid w:val="00742264"/>
    <w:rsid w:val="00742685"/>
    <w:rsid w:val="007432F5"/>
    <w:rsid w:val="00746AE8"/>
    <w:rsid w:val="007475D2"/>
    <w:rsid w:val="007500DB"/>
    <w:rsid w:val="00751469"/>
    <w:rsid w:val="00754A79"/>
    <w:rsid w:val="007553BF"/>
    <w:rsid w:val="00755C9B"/>
    <w:rsid w:val="007562BD"/>
    <w:rsid w:val="00757217"/>
    <w:rsid w:val="0076055D"/>
    <w:rsid w:val="00761E3B"/>
    <w:rsid w:val="00762398"/>
    <w:rsid w:val="00763EBC"/>
    <w:rsid w:val="00765ABA"/>
    <w:rsid w:val="00767C40"/>
    <w:rsid w:val="007711E2"/>
    <w:rsid w:val="00771275"/>
    <w:rsid w:val="00772362"/>
    <w:rsid w:val="00773CDA"/>
    <w:rsid w:val="007816DB"/>
    <w:rsid w:val="0078236C"/>
    <w:rsid w:val="00787224"/>
    <w:rsid w:val="00790DA6"/>
    <w:rsid w:val="007911C1"/>
    <w:rsid w:val="00791D07"/>
    <w:rsid w:val="0079300F"/>
    <w:rsid w:val="00795215"/>
    <w:rsid w:val="007968A8"/>
    <w:rsid w:val="007976AB"/>
    <w:rsid w:val="007A0904"/>
    <w:rsid w:val="007A1CA1"/>
    <w:rsid w:val="007A2C56"/>
    <w:rsid w:val="007A3124"/>
    <w:rsid w:val="007A4D8B"/>
    <w:rsid w:val="007A5F52"/>
    <w:rsid w:val="007A70B8"/>
    <w:rsid w:val="007B2807"/>
    <w:rsid w:val="007B2E5D"/>
    <w:rsid w:val="007C1197"/>
    <w:rsid w:val="007C4625"/>
    <w:rsid w:val="007D1A40"/>
    <w:rsid w:val="007D3B48"/>
    <w:rsid w:val="007D439D"/>
    <w:rsid w:val="007D4E00"/>
    <w:rsid w:val="007E172A"/>
    <w:rsid w:val="007E17C3"/>
    <w:rsid w:val="007E23D8"/>
    <w:rsid w:val="007E402E"/>
    <w:rsid w:val="007E471F"/>
    <w:rsid w:val="007E71A3"/>
    <w:rsid w:val="007E7B74"/>
    <w:rsid w:val="007F4484"/>
    <w:rsid w:val="007F5285"/>
    <w:rsid w:val="007F58B6"/>
    <w:rsid w:val="007F6E40"/>
    <w:rsid w:val="007F7E1E"/>
    <w:rsid w:val="00800A2D"/>
    <w:rsid w:val="008040FC"/>
    <w:rsid w:val="008043D8"/>
    <w:rsid w:val="00805799"/>
    <w:rsid w:val="00806174"/>
    <w:rsid w:val="008155DD"/>
    <w:rsid w:val="0081618C"/>
    <w:rsid w:val="00826BA9"/>
    <w:rsid w:val="00831FB7"/>
    <w:rsid w:val="00834746"/>
    <w:rsid w:val="00842603"/>
    <w:rsid w:val="00844780"/>
    <w:rsid w:val="0084634C"/>
    <w:rsid w:val="008527AF"/>
    <w:rsid w:val="00852D17"/>
    <w:rsid w:val="00852E87"/>
    <w:rsid w:val="008564E7"/>
    <w:rsid w:val="008571D3"/>
    <w:rsid w:val="00857252"/>
    <w:rsid w:val="00860C36"/>
    <w:rsid w:val="00861C9D"/>
    <w:rsid w:val="00864B9E"/>
    <w:rsid w:val="00865068"/>
    <w:rsid w:val="0086726F"/>
    <w:rsid w:val="008700EF"/>
    <w:rsid w:val="00870892"/>
    <w:rsid w:val="00870E24"/>
    <w:rsid w:val="00871865"/>
    <w:rsid w:val="00874618"/>
    <w:rsid w:val="00874ECF"/>
    <w:rsid w:val="008757F9"/>
    <w:rsid w:val="008776B3"/>
    <w:rsid w:val="00880760"/>
    <w:rsid w:val="00880787"/>
    <w:rsid w:val="0088080D"/>
    <w:rsid w:val="00884B34"/>
    <w:rsid w:val="00885E2E"/>
    <w:rsid w:val="00886002"/>
    <w:rsid w:val="008865A6"/>
    <w:rsid w:val="0088775A"/>
    <w:rsid w:val="00887B22"/>
    <w:rsid w:val="00890B26"/>
    <w:rsid w:val="008941E0"/>
    <w:rsid w:val="008946AD"/>
    <w:rsid w:val="00895391"/>
    <w:rsid w:val="00895ACF"/>
    <w:rsid w:val="008A3851"/>
    <w:rsid w:val="008A4338"/>
    <w:rsid w:val="008A46C4"/>
    <w:rsid w:val="008A5677"/>
    <w:rsid w:val="008A5CE2"/>
    <w:rsid w:val="008A71ED"/>
    <w:rsid w:val="008A7904"/>
    <w:rsid w:val="008B0897"/>
    <w:rsid w:val="008B393D"/>
    <w:rsid w:val="008B4245"/>
    <w:rsid w:val="008B4468"/>
    <w:rsid w:val="008B4692"/>
    <w:rsid w:val="008B6E73"/>
    <w:rsid w:val="008C1024"/>
    <w:rsid w:val="008C1F48"/>
    <w:rsid w:val="008C450D"/>
    <w:rsid w:val="008C565E"/>
    <w:rsid w:val="008D07A5"/>
    <w:rsid w:val="008D6F5B"/>
    <w:rsid w:val="008E17E1"/>
    <w:rsid w:val="008E4A58"/>
    <w:rsid w:val="008E53C4"/>
    <w:rsid w:val="008E7F68"/>
    <w:rsid w:val="008F1BA7"/>
    <w:rsid w:val="008F1E4A"/>
    <w:rsid w:val="008F73E9"/>
    <w:rsid w:val="00900569"/>
    <w:rsid w:val="0090321D"/>
    <w:rsid w:val="00906CC6"/>
    <w:rsid w:val="0091242A"/>
    <w:rsid w:val="009139F4"/>
    <w:rsid w:val="00920C1D"/>
    <w:rsid w:val="00922659"/>
    <w:rsid w:val="009230B5"/>
    <w:rsid w:val="00923DBB"/>
    <w:rsid w:val="009251FC"/>
    <w:rsid w:val="0093087F"/>
    <w:rsid w:val="00932BC5"/>
    <w:rsid w:val="00932ED3"/>
    <w:rsid w:val="00933E50"/>
    <w:rsid w:val="0093751F"/>
    <w:rsid w:val="00942FA2"/>
    <w:rsid w:val="009509DD"/>
    <w:rsid w:val="00954AD8"/>
    <w:rsid w:val="00955C58"/>
    <w:rsid w:val="00956CA8"/>
    <w:rsid w:val="00956F6B"/>
    <w:rsid w:val="00957218"/>
    <w:rsid w:val="00963897"/>
    <w:rsid w:val="009667A3"/>
    <w:rsid w:val="00970B4C"/>
    <w:rsid w:val="00970C03"/>
    <w:rsid w:val="00972280"/>
    <w:rsid w:val="0097311E"/>
    <w:rsid w:val="009732F9"/>
    <w:rsid w:val="00973F4C"/>
    <w:rsid w:val="0097590F"/>
    <w:rsid w:val="00975E5B"/>
    <w:rsid w:val="00980472"/>
    <w:rsid w:val="0098228B"/>
    <w:rsid w:val="00982A15"/>
    <w:rsid w:val="00982E29"/>
    <w:rsid w:val="009862CF"/>
    <w:rsid w:val="00986803"/>
    <w:rsid w:val="00991C58"/>
    <w:rsid w:val="00991C73"/>
    <w:rsid w:val="00992032"/>
    <w:rsid w:val="00992940"/>
    <w:rsid w:val="0099357D"/>
    <w:rsid w:val="00993B03"/>
    <w:rsid w:val="00994460"/>
    <w:rsid w:val="00995AEB"/>
    <w:rsid w:val="009A45EE"/>
    <w:rsid w:val="009B08B5"/>
    <w:rsid w:val="009B2145"/>
    <w:rsid w:val="009C031F"/>
    <w:rsid w:val="009C05AD"/>
    <w:rsid w:val="009C4C1F"/>
    <w:rsid w:val="009C5E2F"/>
    <w:rsid w:val="009C6A1E"/>
    <w:rsid w:val="009C737A"/>
    <w:rsid w:val="009D3523"/>
    <w:rsid w:val="009D777E"/>
    <w:rsid w:val="009E03F7"/>
    <w:rsid w:val="009E04D5"/>
    <w:rsid w:val="009E10FB"/>
    <w:rsid w:val="009E221B"/>
    <w:rsid w:val="009E51B8"/>
    <w:rsid w:val="009E542D"/>
    <w:rsid w:val="009E667D"/>
    <w:rsid w:val="009E69C2"/>
    <w:rsid w:val="009E7BF7"/>
    <w:rsid w:val="009E7EC7"/>
    <w:rsid w:val="009F4955"/>
    <w:rsid w:val="00A007BF"/>
    <w:rsid w:val="00A024AD"/>
    <w:rsid w:val="00A02EAA"/>
    <w:rsid w:val="00A04E33"/>
    <w:rsid w:val="00A05B1D"/>
    <w:rsid w:val="00A1324F"/>
    <w:rsid w:val="00A140CD"/>
    <w:rsid w:val="00A15198"/>
    <w:rsid w:val="00A16BE4"/>
    <w:rsid w:val="00A16F2D"/>
    <w:rsid w:val="00A17032"/>
    <w:rsid w:val="00A200D5"/>
    <w:rsid w:val="00A206C7"/>
    <w:rsid w:val="00A20CB9"/>
    <w:rsid w:val="00A2295F"/>
    <w:rsid w:val="00A24148"/>
    <w:rsid w:val="00A25EB8"/>
    <w:rsid w:val="00A27726"/>
    <w:rsid w:val="00A34FCC"/>
    <w:rsid w:val="00A359A0"/>
    <w:rsid w:val="00A4118D"/>
    <w:rsid w:val="00A42E23"/>
    <w:rsid w:val="00A46F27"/>
    <w:rsid w:val="00A47BFA"/>
    <w:rsid w:val="00A51D18"/>
    <w:rsid w:val="00A5409C"/>
    <w:rsid w:val="00A543C6"/>
    <w:rsid w:val="00A610C6"/>
    <w:rsid w:val="00A63FFA"/>
    <w:rsid w:val="00A64804"/>
    <w:rsid w:val="00A66F64"/>
    <w:rsid w:val="00A70D10"/>
    <w:rsid w:val="00A71C39"/>
    <w:rsid w:val="00A726FE"/>
    <w:rsid w:val="00A73D68"/>
    <w:rsid w:val="00A7459E"/>
    <w:rsid w:val="00A7625B"/>
    <w:rsid w:val="00A80306"/>
    <w:rsid w:val="00A80B34"/>
    <w:rsid w:val="00A81F5C"/>
    <w:rsid w:val="00A87241"/>
    <w:rsid w:val="00A87875"/>
    <w:rsid w:val="00A87AE7"/>
    <w:rsid w:val="00A87DEC"/>
    <w:rsid w:val="00A93F95"/>
    <w:rsid w:val="00A94319"/>
    <w:rsid w:val="00A947A6"/>
    <w:rsid w:val="00AA0F1B"/>
    <w:rsid w:val="00AA3DBC"/>
    <w:rsid w:val="00AA4E9B"/>
    <w:rsid w:val="00AA65DD"/>
    <w:rsid w:val="00AB0CD2"/>
    <w:rsid w:val="00AB1941"/>
    <w:rsid w:val="00AB2184"/>
    <w:rsid w:val="00AB4582"/>
    <w:rsid w:val="00AB62FD"/>
    <w:rsid w:val="00AB6A68"/>
    <w:rsid w:val="00AC0F98"/>
    <w:rsid w:val="00AC1F81"/>
    <w:rsid w:val="00AC26FC"/>
    <w:rsid w:val="00AC48E2"/>
    <w:rsid w:val="00AC4F7A"/>
    <w:rsid w:val="00AD03FA"/>
    <w:rsid w:val="00AD17C3"/>
    <w:rsid w:val="00AD1BC3"/>
    <w:rsid w:val="00AD3D3C"/>
    <w:rsid w:val="00AD519B"/>
    <w:rsid w:val="00AD6912"/>
    <w:rsid w:val="00AD79C1"/>
    <w:rsid w:val="00AD7EC7"/>
    <w:rsid w:val="00AE2E43"/>
    <w:rsid w:val="00AE794F"/>
    <w:rsid w:val="00AF13E0"/>
    <w:rsid w:val="00AF4B54"/>
    <w:rsid w:val="00AF5B32"/>
    <w:rsid w:val="00AF62D9"/>
    <w:rsid w:val="00AF739B"/>
    <w:rsid w:val="00AF7D36"/>
    <w:rsid w:val="00B00999"/>
    <w:rsid w:val="00B03302"/>
    <w:rsid w:val="00B033BB"/>
    <w:rsid w:val="00B10158"/>
    <w:rsid w:val="00B11C16"/>
    <w:rsid w:val="00B11E3B"/>
    <w:rsid w:val="00B1412A"/>
    <w:rsid w:val="00B148E8"/>
    <w:rsid w:val="00B15D5D"/>
    <w:rsid w:val="00B15FB9"/>
    <w:rsid w:val="00B20C43"/>
    <w:rsid w:val="00B2390E"/>
    <w:rsid w:val="00B239D4"/>
    <w:rsid w:val="00B2406E"/>
    <w:rsid w:val="00B2455C"/>
    <w:rsid w:val="00B27761"/>
    <w:rsid w:val="00B368C9"/>
    <w:rsid w:val="00B372CD"/>
    <w:rsid w:val="00B40160"/>
    <w:rsid w:val="00B433B2"/>
    <w:rsid w:val="00B436E8"/>
    <w:rsid w:val="00B44455"/>
    <w:rsid w:val="00B4528E"/>
    <w:rsid w:val="00B4655B"/>
    <w:rsid w:val="00B47E7C"/>
    <w:rsid w:val="00B51E37"/>
    <w:rsid w:val="00B546CF"/>
    <w:rsid w:val="00B54703"/>
    <w:rsid w:val="00B55716"/>
    <w:rsid w:val="00B55AE7"/>
    <w:rsid w:val="00B568C7"/>
    <w:rsid w:val="00B56E60"/>
    <w:rsid w:val="00B5721D"/>
    <w:rsid w:val="00B60DCF"/>
    <w:rsid w:val="00B628AB"/>
    <w:rsid w:val="00B64E57"/>
    <w:rsid w:val="00B65437"/>
    <w:rsid w:val="00B67A6C"/>
    <w:rsid w:val="00B705D5"/>
    <w:rsid w:val="00B70AAA"/>
    <w:rsid w:val="00B70ED4"/>
    <w:rsid w:val="00B71407"/>
    <w:rsid w:val="00B72965"/>
    <w:rsid w:val="00B73E18"/>
    <w:rsid w:val="00B740BE"/>
    <w:rsid w:val="00B7543F"/>
    <w:rsid w:val="00B77A1F"/>
    <w:rsid w:val="00B80581"/>
    <w:rsid w:val="00B82C36"/>
    <w:rsid w:val="00B82DB8"/>
    <w:rsid w:val="00B832DA"/>
    <w:rsid w:val="00B8412A"/>
    <w:rsid w:val="00B84156"/>
    <w:rsid w:val="00B85710"/>
    <w:rsid w:val="00B876E6"/>
    <w:rsid w:val="00B90DE0"/>
    <w:rsid w:val="00B92ABD"/>
    <w:rsid w:val="00B95ECA"/>
    <w:rsid w:val="00B9635D"/>
    <w:rsid w:val="00B97E34"/>
    <w:rsid w:val="00BA1EB0"/>
    <w:rsid w:val="00BA530E"/>
    <w:rsid w:val="00BA5B57"/>
    <w:rsid w:val="00BA6763"/>
    <w:rsid w:val="00BA7AD7"/>
    <w:rsid w:val="00BB0DAB"/>
    <w:rsid w:val="00BB1AFE"/>
    <w:rsid w:val="00BB3B68"/>
    <w:rsid w:val="00BB61B0"/>
    <w:rsid w:val="00BB66D4"/>
    <w:rsid w:val="00BC00B0"/>
    <w:rsid w:val="00BC0EBE"/>
    <w:rsid w:val="00BC2D19"/>
    <w:rsid w:val="00BC2EB8"/>
    <w:rsid w:val="00BC4155"/>
    <w:rsid w:val="00BC4ED2"/>
    <w:rsid w:val="00BC7220"/>
    <w:rsid w:val="00BC7B3C"/>
    <w:rsid w:val="00BD03DA"/>
    <w:rsid w:val="00BD0756"/>
    <w:rsid w:val="00BD2157"/>
    <w:rsid w:val="00BD25DF"/>
    <w:rsid w:val="00BD2C23"/>
    <w:rsid w:val="00BD509C"/>
    <w:rsid w:val="00BD58B3"/>
    <w:rsid w:val="00BD58EF"/>
    <w:rsid w:val="00BD5962"/>
    <w:rsid w:val="00BD5BD8"/>
    <w:rsid w:val="00BD6F38"/>
    <w:rsid w:val="00BD7F57"/>
    <w:rsid w:val="00BE10D2"/>
    <w:rsid w:val="00BE247D"/>
    <w:rsid w:val="00BE25F4"/>
    <w:rsid w:val="00BE3324"/>
    <w:rsid w:val="00BF0719"/>
    <w:rsid w:val="00BF123E"/>
    <w:rsid w:val="00BF5060"/>
    <w:rsid w:val="00BF5765"/>
    <w:rsid w:val="00BF6199"/>
    <w:rsid w:val="00C00E74"/>
    <w:rsid w:val="00C028D6"/>
    <w:rsid w:val="00C03AA0"/>
    <w:rsid w:val="00C057C8"/>
    <w:rsid w:val="00C0737B"/>
    <w:rsid w:val="00C07FA6"/>
    <w:rsid w:val="00C12629"/>
    <w:rsid w:val="00C12CA0"/>
    <w:rsid w:val="00C175F8"/>
    <w:rsid w:val="00C219F2"/>
    <w:rsid w:val="00C23A74"/>
    <w:rsid w:val="00C24F55"/>
    <w:rsid w:val="00C252FD"/>
    <w:rsid w:val="00C2551F"/>
    <w:rsid w:val="00C274B0"/>
    <w:rsid w:val="00C336FC"/>
    <w:rsid w:val="00C34D2F"/>
    <w:rsid w:val="00C3749C"/>
    <w:rsid w:val="00C377E2"/>
    <w:rsid w:val="00C439E1"/>
    <w:rsid w:val="00C44A16"/>
    <w:rsid w:val="00C464D5"/>
    <w:rsid w:val="00C46EBE"/>
    <w:rsid w:val="00C5003D"/>
    <w:rsid w:val="00C50E52"/>
    <w:rsid w:val="00C535CF"/>
    <w:rsid w:val="00C55F02"/>
    <w:rsid w:val="00C640FA"/>
    <w:rsid w:val="00C655BE"/>
    <w:rsid w:val="00C6578D"/>
    <w:rsid w:val="00C66EE6"/>
    <w:rsid w:val="00C70B3A"/>
    <w:rsid w:val="00C71D00"/>
    <w:rsid w:val="00C762B1"/>
    <w:rsid w:val="00C77AB6"/>
    <w:rsid w:val="00C8587C"/>
    <w:rsid w:val="00C85D2C"/>
    <w:rsid w:val="00C87430"/>
    <w:rsid w:val="00C92934"/>
    <w:rsid w:val="00C92DCA"/>
    <w:rsid w:val="00C94C78"/>
    <w:rsid w:val="00C95164"/>
    <w:rsid w:val="00C95A0D"/>
    <w:rsid w:val="00CA33E1"/>
    <w:rsid w:val="00CA68A2"/>
    <w:rsid w:val="00CA6FFB"/>
    <w:rsid w:val="00CB044C"/>
    <w:rsid w:val="00CB056B"/>
    <w:rsid w:val="00CB313A"/>
    <w:rsid w:val="00CB4071"/>
    <w:rsid w:val="00CB75E5"/>
    <w:rsid w:val="00CB7740"/>
    <w:rsid w:val="00CC0CF7"/>
    <w:rsid w:val="00CC16E1"/>
    <w:rsid w:val="00CC1FBB"/>
    <w:rsid w:val="00CC2B70"/>
    <w:rsid w:val="00CC5FF2"/>
    <w:rsid w:val="00CC7D53"/>
    <w:rsid w:val="00CD1FFD"/>
    <w:rsid w:val="00CD3FE0"/>
    <w:rsid w:val="00CE0781"/>
    <w:rsid w:val="00CE14DB"/>
    <w:rsid w:val="00CE5552"/>
    <w:rsid w:val="00CE79C7"/>
    <w:rsid w:val="00CF0637"/>
    <w:rsid w:val="00CF10EA"/>
    <w:rsid w:val="00CF3B43"/>
    <w:rsid w:val="00CF431F"/>
    <w:rsid w:val="00CF6E4A"/>
    <w:rsid w:val="00CF78B6"/>
    <w:rsid w:val="00CF7A02"/>
    <w:rsid w:val="00D00F57"/>
    <w:rsid w:val="00D05968"/>
    <w:rsid w:val="00D07B7D"/>
    <w:rsid w:val="00D15EC2"/>
    <w:rsid w:val="00D15FBC"/>
    <w:rsid w:val="00D16FBF"/>
    <w:rsid w:val="00D172BD"/>
    <w:rsid w:val="00D20E64"/>
    <w:rsid w:val="00D20ECC"/>
    <w:rsid w:val="00D22772"/>
    <w:rsid w:val="00D229B7"/>
    <w:rsid w:val="00D240F4"/>
    <w:rsid w:val="00D266B5"/>
    <w:rsid w:val="00D26A72"/>
    <w:rsid w:val="00D330A2"/>
    <w:rsid w:val="00D350D7"/>
    <w:rsid w:val="00D36343"/>
    <w:rsid w:val="00D365A9"/>
    <w:rsid w:val="00D3747A"/>
    <w:rsid w:val="00D37C25"/>
    <w:rsid w:val="00D37F81"/>
    <w:rsid w:val="00D40608"/>
    <w:rsid w:val="00D417B6"/>
    <w:rsid w:val="00D4392D"/>
    <w:rsid w:val="00D46E3B"/>
    <w:rsid w:val="00D4797F"/>
    <w:rsid w:val="00D50F76"/>
    <w:rsid w:val="00D51C2A"/>
    <w:rsid w:val="00D538B7"/>
    <w:rsid w:val="00D5657E"/>
    <w:rsid w:val="00D63F82"/>
    <w:rsid w:val="00D677AD"/>
    <w:rsid w:val="00D700E4"/>
    <w:rsid w:val="00D70231"/>
    <w:rsid w:val="00D7028B"/>
    <w:rsid w:val="00D72304"/>
    <w:rsid w:val="00D72334"/>
    <w:rsid w:val="00D80701"/>
    <w:rsid w:val="00D823D2"/>
    <w:rsid w:val="00D8371C"/>
    <w:rsid w:val="00D84545"/>
    <w:rsid w:val="00D84CFC"/>
    <w:rsid w:val="00D85312"/>
    <w:rsid w:val="00D85ECA"/>
    <w:rsid w:val="00D8659A"/>
    <w:rsid w:val="00D9190A"/>
    <w:rsid w:val="00D92798"/>
    <w:rsid w:val="00D94812"/>
    <w:rsid w:val="00D959F1"/>
    <w:rsid w:val="00DA07CE"/>
    <w:rsid w:val="00DA38DB"/>
    <w:rsid w:val="00DA45A8"/>
    <w:rsid w:val="00DA7E94"/>
    <w:rsid w:val="00DB144C"/>
    <w:rsid w:val="00DB1548"/>
    <w:rsid w:val="00DB1AE5"/>
    <w:rsid w:val="00DB218F"/>
    <w:rsid w:val="00DB4E91"/>
    <w:rsid w:val="00DC0417"/>
    <w:rsid w:val="00DC0ABE"/>
    <w:rsid w:val="00DC1E34"/>
    <w:rsid w:val="00DC27B5"/>
    <w:rsid w:val="00DC2C84"/>
    <w:rsid w:val="00DC5F13"/>
    <w:rsid w:val="00DC6AE6"/>
    <w:rsid w:val="00DD1041"/>
    <w:rsid w:val="00DD223C"/>
    <w:rsid w:val="00DD2A9C"/>
    <w:rsid w:val="00DD5B16"/>
    <w:rsid w:val="00DD5D8A"/>
    <w:rsid w:val="00DD6DFF"/>
    <w:rsid w:val="00DE038D"/>
    <w:rsid w:val="00DE0539"/>
    <w:rsid w:val="00DE0956"/>
    <w:rsid w:val="00DE61D3"/>
    <w:rsid w:val="00DF12A5"/>
    <w:rsid w:val="00DF4073"/>
    <w:rsid w:val="00DF603E"/>
    <w:rsid w:val="00DF7249"/>
    <w:rsid w:val="00E0373F"/>
    <w:rsid w:val="00E04DD9"/>
    <w:rsid w:val="00E05DBF"/>
    <w:rsid w:val="00E103F5"/>
    <w:rsid w:val="00E12113"/>
    <w:rsid w:val="00E13E89"/>
    <w:rsid w:val="00E1538C"/>
    <w:rsid w:val="00E15FB1"/>
    <w:rsid w:val="00E17A65"/>
    <w:rsid w:val="00E21050"/>
    <w:rsid w:val="00E22695"/>
    <w:rsid w:val="00E228BE"/>
    <w:rsid w:val="00E2385E"/>
    <w:rsid w:val="00E27057"/>
    <w:rsid w:val="00E31FD2"/>
    <w:rsid w:val="00E330E3"/>
    <w:rsid w:val="00E35F01"/>
    <w:rsid w:val="00E41B7B"/>
    <w:rsid w:val="00E42081"/>
    <w:rsid w:val="00E42793"/>
    <w:rsid w:val="00E42AAE"/>
    <w:rsid w:val="00E435B4"/>
    <w:rsid w:val="00E43C6C"/>
    <w:rsid w:val="00E44203"/>
    <w:rsid w:val="00E445F5"/>
    <w:rsid w:val="00E50F54"/>
    <w:rsid w:val="00E52922"/>
    <w:rsid w:val="00E565FA"/>
    <w:rsid w:val="00E5673A"/>
    <w:rsid w:val="00E6039C"/>
    <w:rsid w:val="00E61278"/>
    <w:rsid w:val="00E62E0F"/>
    <w:rsid w:val="00E660E1"/>
    <w:rsid w:val="00E6750A"/>
    <w:rsid w:val="00E67CDD"/>
    <w:rsid w:val="00E708DE"/>
    <w:rsid w:val="00E718A8"/>
    <w:rsid w:val="00E72F45"/>
    <w:rsid w:val="00E73427"/>
    <w:rsid w:val="00E75734"/>
    <w:rsid w:val="00E86F6F"/>
    <w:rsid w:val="00E87788"/>
    <w:rsid w:val="00E91D75"/>
    <w:rsid w:val="00E9539D"/>
    <w:rsid w:val="00EA0926"/>
    <w:rsid w:val="00EA1CB1"/>
    <w:rsid w:val="00EA286A"/>
    <w:rsid w:val="00EA2FD6"/>
    <w:rsid w:val="00EA6E3E"/>
    <w:rsid w:val="00EC3770"/>
    <w:rsid w:val="00EC3C49"/>
    <w:rsid w:val="00EC3D7F"/>
    <w:rsid w:val="00EC6A30"/>
    <w:rsid w:val="00EC6DF6"/>
    <w:rsid w:val="00EC7109"/>
    <w:rsid w:val="00ED0CD8"/>
    <w:rsid w:val="00ED1330"/>
    <w:rsid w:val="00ED1B31"/>
    <w:rsid w:val="00ED2092"/>
    <w:rsid w:val="00ED4429"/>
    <w:rsid w:val="00ED6450"/>
    <w:rsid w:val="00EE1BA6"/>
    <w:rsid w:val="00EE2B5C"/>
    <w:rsid w:val="00EE3CC6"/>
    <w:rsid w:val="00EE57BC"/>
    <w:rsid w:val="00EE721A"/>
    <w:rsid w:val="00EE7833"/>
    <w:rsid w:val="00EF05DB"/>
    <w:rsid w:val="00EF302A"/>
    <w:rsid w:val="00EF4341"/>
    <w:rsid w:val="00EF490F"/>
    <w:rsid w:val="00EF5C97"/>
    <w:rsid w:val="00F01938"/>
    <w:rsid w:val="00F03136"/>
    <w:rsid w:val="00F04210"/>
    <w:rsid w:val="00F06A3A"/>
    <w:rsid w:val="00F13163"/>
    <w:rsid w:val="00F15D08"/>
    <w:rsid w:val="00F2040C"/>
    <w:rsid w:val="00F23180"/>
    <w:rsid w:val="00F2327F"/>
    <w:rsid w:val="00F27724"/>
    <w:rsid w:val="00F30386"/>
    <w:rsid w:val="00F30510"/>
    <w:rsid w:val="00F30CE3"/>
    <w:rsid w:val="00F31198"/>
    <w:rsid w:val="00F312DA"/>
    <w:rsid w:val="00F31C9F"/>
    <w:rsid w:val="00F31EE6"/>
    <w:rsid w:val="00F34181"/>
    <w:rsid w:val="00F34D58"/>
    <w:rsid w:val="00F3645F"/>
    <w:rsid w:val="00F4503F"/>
    <w:rsid w:val="00F50E49"/>
    <w:rsid w:val="00F513C2"/>
    <w:rsid w:val="00F51BCA"/>
    <w:rsid w:val="00F51BCC"/>
    <w:rsid w:val="00F51EFC"/>
    <w:rsid w:val="00F521AB"/>
    <w:rsid w:val="00F52229"/>
    <w:rsid w:val="00F54EEF"/>
    <w:rsid w:val="00F5601F"/>
    <w:rsid w:val="00F56462"/>
    <w:rsid w:val="00F574A7"/>
    <w:rsid w:val="00F61028"/>
    <w:rsid w:val="00F63521"/>
    <w:rsid w:val="00F646BA"/>
    <w:rsid w:val="00F73758"/>
    <w:rsid w:val="00F75C69"/>
    <w:rsid w:val="00F76851"/>
    <w:rsid w:val="00F778B7"/>
    <w:rsid w:val="00F77907"/>
    <w:rsid w:val="00F77A42"/>
    <w:rsid w:val="00F77C31"/>
    <w:rsid w:val="00F80A01"/>
    <w:rsid w:val="00F81160"/>
    <w:rsid w:val="00F81669"/>
    <w:rsid w:val="00F839DF"/>
    <w:rsid w:val="00F84E5E"/>
    <w:rsid w:val="00F86FE2"/>
    <w:rsid w:val="00F87277"/>
    <w:rsid w:val="00F91A1F"/>
    <w:rsid w:val="00F91D08"/>
    <w:rsid w:val="00F931A7"/>
    <w:rsid w:val="00F97611"/>
    <w:rsid w:val="00F97BD8"/>
    <w:rsid w:val="00FA04A5"/>
    <w:rsid w:val="00FA2824"/>
    <w:rsid w:val="00FA389A"/>
    <w:rsid w:val="00FA48B5"/>
    <w:rsid w:val="00FA492E"/>
    <w:rsid w:val="00FA506F"/>
    <w:rsid w:val="00FA70F8"/>
    <w:rsid w:val="00FB2B71"/>
    <w:rsid w:val="00FB4D36"/>
    <w:rsid w:val="00FB60CB"/>
    <w:rsid w:val="00FB717C"/>
    <w:rsid w:val="00FB71B9"/>
    <w:rsid w:val="00FC0058"/>
    <w:rsid w:val="00FC00BA"/>
    <w:rsid w:val="00FC1782"/>
    <w:rsid w:val="00FC53B4"/>
    <w:rsid w:val="00FC5D74"/>
    <w:rsid w:val="00FD116F"/>
    <w:rsid w:val="00FD3EB8"/>
    <w:rsid w:val="00FE0679"/>
    <w:rsid w:val="00FE2AB6"/>
    <w:rsid w:val="00FF5A04"/>
    <w:rsid w:val="00FF619B"/>
    <w:rsid w:val="00FF652A"/>
    <w:rsid w:val="00FF7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D9BA"/>
  <w15:chartTrackingRefBased/>
  <w15:docId w15:val="{8FC0105F-FD26-42F8-9462-692627CB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9E1"/>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040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0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0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0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0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0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0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0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0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0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0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0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0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0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0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0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05D8"/>
    <w:rPr>
      <w:rFonts w:eastAsiaTheme="majorEastAsia" w:cstheme="majorBidi"/>
      <w:color w:val="272727" w:themeColor="text1" w:themeTint="D8"/>
    </w:rPr>
  </w:style>
  <w:style w:type="paragraph" w:styleId="Title">
    <w:name w:val="Title"/>
    <w:basedOn w:val="Normal"/>
    <w:next w:val="Normal"/>
    <w:link w:val="TitleChar"/>
    <w:uiPriority w:val="10"/>
    <w:qFormat/>
    <w:rsid w:val="00040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0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05D8"/>
    <w:pPr>
      <w:spacing w:before="160"/>
      <w:jc w:val="center"/>
    </w:pPr>
    <w:rPr>
      <w:i/>
      <w:iCs/>
      <w:color w:val="404040" w:themeColor="text1" w:themeTint="BF"/>
    </w:rPr>
  </w:style>
  <w:style w:type="character" w:customStyle="1" w:styleId="QuoteChar">
    <w:name w:val="Quote Char"/>
    <w:basedOn w:val="DefaultParagraphFont"/>
    <w:link w:val="Quote"/>
    <w:uiPriority w:val="29"/>
    <w:rsid w:val="000405D8"/>
    <w:rPr>
      <w:i/>
      <w:iCs/>
      <w:color w:val="404040" w:themeColor="text1" w:themeTint="BF"/>
    </w:rPr>
  </w:style>
  <w:style w:type="paragraph" w:styleId="ListParagraph">
    <w:name w:val="List Paragraph"/>
    <w:basedOn w:val="Normal"/>
    <w:uiPriority w:val="34"/>
    <w:qFormat/>
    <w:rsid w:val="000405D8"/>
    <w:pPr>
      <w:ind w:left="720"/>
      <w:contextualSpacing/>
    </w:pPr>
  </w:style>
  <w:style w:type="character" w:styleId="IntenseEmphasis">
    <w:name w:val="Intense Emphasis"/>
    <w:basedOn w:val="DefaultParagraphFont"/>
    <w:uiPriority w:val="21"/>
    <w:qFormat/>
    <w:rsid w:val="000405D8"/>
    <w:rPr>
      <w:i/>
      <w:iCs/>
      <w:color w:val="0F4761" w:themeColor="accent1" w:themeShade="BF"/>
    </w:rPr>
  </w:style>
  <w:style w:type="paragraph" w:styleId="IntenseQuote">
    <w:name w:val="Intense Quote"/>
    <w:basedOn w:val="Normal"/>
    <w:next w:val="Normal"/>
    <w:link w:val="IntenseQuoteChar"/>
    <w:uiPriority w:val="30"/>
    <w:qFormat/>
    <w:rsid w:val="00040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05D8"/>
    <w:rPr>
      <w:i/>
      <w:iCs/>
      <w:color w:val="0F4761" w:themeColor="accent1" w:themeShade="BF"/>
    </w:rPr>
  </w:style>
  <w:style w:type="character" w:styleId="IntenseReference">
    <w:name w:val="Intense Reference"/>
    <w:basedOn w:val="DefaultParagraphFont"/>
    <w:uiPriority w:val="32"/>
    <w:qFormat/>
    <w:rsid w:val="000405D8"/>
    <w:rPr>
      <w:b/>
      <w:bCs/>
      <w:smallCaps/>
      <w:color w:val="0F4761" w:themeColor="accent1" w:themeShade="BF"/>
      <w:spacing w:val="5"/>
    </w:rPr>
  </w:style>
  <w:style w:type="table" w:styleId="TableGrid">
    <w:name w:val="Table Grid"/>
    <w:basedOn w:val="TableNormal"/>
    <w:uiPriority w:val="59"/>
    <w:rsid w:val="00C5003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28B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D4429"/>
    <w:pPr>
      <w:spacing w:after="0" w:line="240" w:lineRule="auto"/>
    </w:pPr>
    <w:rPr>
      <w:rFonts w:eastAsiaTheme="minorEastAsia"/>
      <w:kern w:val="0"/>
      <w:sz w:val="22"/>
      <w:szCs w:val="22"/>
      <w14:ligatures w14:val="none"/>
    </w:rPr>
  </w:style>
  <w:style w:type="character" w:styleId="Strong">
    <w:name w:val="Strong"/>
    <w:basedOn w:val="DefaultParagraphFont"/>
    <w:uiPriority w:val="22"/>
    <w:qFormat/>
    <w:rsid w:val="00FA506F"/>
    <w:rPr>
      <w:b/>
      <w:bCs/>
    </w:rPr>
  </w:style>
  <w:style w:type="paragraph" w:styleId="Header">
    <w:name w:val="header"/>
    <w:basedOn w:val="Normal"/>
    <w:link w:val="HeaderChar"/>
    <w:uiPriority w:val="99"/>
    <w:unhideWhenUsed/>
    <w:rsid w:val="00C07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37B"/>
    <w:rPr>
      <w:rFonts w:eastAsiaTheme="minorEastAsia"/>
      <w:kern w:val="0"/>
      <w:sz w:val="22"/>
      <w:szCs w:val="22"/>
      <w14:ligatures w14:val="none"/>
    </w:rPr>
  </w:style>
  <w:style w:type="paragraph" w:styleId="Footer">
    <w:name w:val="footer"/>
    <w:basedOn w:val="Normal"/>
    <w:link w:val="FooterChar"/>
    <w:uiPriority w:val="99"/>
    <w:unhideWhenUsed/>
    <w:rsid w:val="00C07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37B"/>
    <w:rPr>
      <w:rFonts w:eastAsiaTheme="minorEastAsia"/>
      <w:kern w:val="0"/>
      <w:sz w:val="22"/>
      <w:szCs w:val="22"/>
      <w14:ligatures w14:val="none"/>
    </w:rPr>
  </w:style>
  <w:style w:type="paragraph" w:styleId="Revision">
    <w:name w:val="Revision"/>
    <w:hidden/>
    <w:uiPriority w:val="99"/>
    <w:semiHidden/>
    <w:rsid w:val="000371A4"/>
    <w:pPr>
      <w:spacing w:after="0" w:line="240" w:lineRule="auto"/>
    </w:pPr>
    <w:rPr>
      <w:rFonts w:eastAsiaTheme="minorEastAsia"/>
      <w:kern w:val="0"/>
      <w:sz w:val="22"/>
      <w:szCs w:val="22"/>
      <w14:ligatures w14:val="none"/>
    </w:rPr>
  </w:style>
  <w:style w:type="character" w:styleId="CommentReference">
    <w:name w:val="annotation reference"/>
    <w:basedOn w:val="DefaultParagraphFont"/>
    <w:uiPriority w:val="99"/>
    <w:semiHidden/>
    <w:unhideWhenUsed/>
    <w:rsid w:val="0063722F"/>
    <w:rPr>
      <w:sz w:val="16"/>
      <w:szCs w:val="16"/>
    </w:rPr>
  </w:style>
  <w:style w:type="paragraph" w:styleId="CommentText">
    <w:name w:val="annotation text"/>
    <w:basedOn w:val="Normal"/>
    <w:link w:val="CommentTextChar"/>
    <w:uiPriority w:val="99"/>
    <w:unhideWhenUsed/>
    <w:rsid w:val="0063722F"/>
    <w:pPr>
      <w:spacing w:line="240" w:lineRule="auto"/>
    </w:pPr>
    <w:rPr>
      <w:sz w:val="20"/>
      <w:szCs w:val="20"/>
    </w:rPr>
  </w:style>
  <w:style w:type="character" w:customStyle="1" w:styleId="CommentTextChar">
    <w:name w:val="Comment Text Char"/>
    <w:basedOn w:val="DefaultParagraphFont"/>
    <w:link w:val="CommentText"/>
    <w:uiPriority w:val="99"/>
    <w:rsid w:val="0063722F"/>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3722F"/>
    <w:rPr>
      <w:b/>
      <w:bCs/>
    </w:rPr>
  </w:style>
  <w:style w:type="character" w:customStyle="1" w:styleId="CommentSubjectChar">
    <w:name w:val="Comment Subject Char"/>
    <w:basedOn w:val="CommentTextChar"/>
    <w:link w:val="CommentSubject"/>
    <w:uiPriority w:val="99"/>
    <w:semiHidden/>
    <w:rsid w:val="0063722F"/>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8724">
      <w:bodyDiv w:val="1"/>
      <w:marLeft w:val="0"/>
      <w:marRight w:val="0"/>
      <w:marTop w:val="0"/>
      <w:marBottom w:val="0"/>
      <w:divBdr>
        <w:top w:val="none" w:sz="0" w:space="0" w:color="auto"/>
        <w:left w:val="none" w:sz="0" w:space="0" w:color="auto"/>
        <w:bottom w:val="none" w:sz="0" w:space="0" w:color="auto"/>
        <w:right w:val="none" w:sz="0" w:space="0" w:color="auto"/>
      </w:divBdr>
    </w:div>
    <w:div w:id="15350142">
      <w:bodyDiv w:val="1"/>
      <w:marLeft w:val="0"/>
      <w:marRight w:val="0"/>
      <w:marTop w:val="0"/>
      <w:marBottom w:val="0"/>
      <w:divBdr>
        <w:top w:val="none" w:sz="0" w:space="0" w:color="auto"/>
        <w:left w:val="none" w:sz="0" w:space="0" w:color="auto"/>
        <w:bottom w:val="none" w:sz="0" w:space="0" w:color="auto"/>
        <w:right w:val="none" w:sz="0" w:space="0" w:color="auto"/>
      </w:divBdr>
    </w:div>
    <w:div w:id="24720574">
      <w:bodyDiv w:val="1"/>
      <w:marLeft w:val="0"/>
      <w:marRight w:val="0"/>
      <w:marTop w:val="0"/>
      <w:marBottom w:val="0"/>
      <w:divBdr>
        <w:top w:val="none" w:sz="0" w:space="0" w:color="auto"/>
        <w:left w:val="none" w:sz="0" w:space="0" w:color="auto"/>
        <w:bottom w:val="none" w:sz="0" w:space="0" w:color="auto"/>
        <w:right w:val="none" w:sz="0" w:space="0" w:color="auto"/>
      </w:divBdr>
    </w:div>
    <w:div w:id="44331965">
      <w:bodyDiv w:val="1"/>
      <w:marLeft w:val="0"/>
      <w:marRight w:val="0"/>
      <w:marTop w:val="0"/>
      <w:marBottom w:val="0"/>
      <w:divBdr>
        <w:top w:val="none" w:sz="0" w:space="0" w:color="auto"/>
        <w:left w:val="none" w:sz="0" w:space="0" w:color="auto"/>
        <w:bottom w:val="none" w:sz="0" w:space="0" w:color="auto"/>
        <w:right w:val="none" w:sz="0" w:space="0" w:color="auto"/>
      </w:divBdr>
    </w:div>
    <w:div w:id="73628279">
      <w:bodyDiv w:val="1"/>
      <w:marLeft w:val="0"/>
      <w:marRight w:val="0"/>
      <w:marTop w:val="0"/>
      <w:marBottom w:val="0"/>
      <w:divBdr>
        <w:top w:val="none" w:sz="0" w:space="0" w:color="auto"/>
        <w:left w:val="none" w:sz="0" w:space="0" w:color="auto"/>
        <w:bottom w:val="none" w:sz="0" w:space="0" w:color="auto"/>
        <w:right w:val="none" w:sz="0" w:space="0" w:color="auto"/>
      </w:divBdr>
    </w:div>
    <w:div w:id="130948208">
      <w:bodyDiv w:val="1"/>
      <w:marLeft w:val="0"/>
      <w:marRight w:val="0"/>
      <w:marTop w:val="0"/>
      <w:marBottom w:val="0"/>
      <w:divBdr>
        <w:top w:val="none" w:sz="0" w:space="0" w:color="auto"/>
        <w:left w:val="none" w:sz="0" w:space="0" w:color="auto"/>
        <w:bottom w:val="none" w:sz="0" w:space="0" w:color="auto"/>
        <w:right w:val="none" w:sz="0" w:space="0" w:color="auto"/>
      </w:divBdr>
    </w:div>
    <w:div w:id="131409748">
      <w:bodyDiv w:val="1"/>
      <w:marLeft w:val="0"/>
      <w:marRight w:val="0"/>
      <w:marTop w:val="0"/>
      <w:marBottom w:val="0"/>
      <w:divBdr>
        <w:top w:val="none" w:sz="0" w:space="0" w:color="auto"/>
        <w:left w:val="none" w:sz="0" w:space="0" w:color="auto"/>
        <w:bottom w:val="none" w:sz="0" w:space="0" w:color="auto"/>
        <w:right w:val="none" w:sz="0" w:space="0" w:color="auto"/>
      </w:divBdr>
    </w:div>
    <w:div w:id="209340456">
      <w:bodyDiv w:val="1"/>
      <w:marLeft w:val="0"/>
      <w:marRight w:val="0"/>
      <w:marTop w:val="0"/>
      <w:marBottom w:val="0"/>
      <w:divBdr>
        <w:top w:val="none" w:sz="0" w:space="0" w:color="auto"/>
        <w:left w:val="none" w:sz="0" w:space="0" w:color="auto"/>
        <w:bottom w:val="none" w:sz="0" w:space="0" w:color="auto"/>
        <w:right w:val="none" w:sz="0" w:space="0" w:color="auto"/>
      </w:divBdr>
    </w:div>
    <w:div w:id="222713856">
      <w:bodyDiv w:val="1"/>
      <w:marLeft w:val="0"/>
      <w:marRight w:val="0"/>
      <w:marTop w:val="0"/>
      <w:marBottom w:val="0"/>
      <w:divBdr>
        <w:top w:val="none" w:sz="0" w:space="0" w:color="auto"/>
        <w:left w:val="none" w:sz="0" w:space="0" w:color="auto"/>
        <w:bottom w:val="none" w:sz="0" w:space="0" w:color="auto"/>
        <w:right w:val="none" w:sz="0" w:space="0" w:color="auto"/>
      </w:divBdr>
    </w:div>
    <w:div w:id="275138303">
      <w:bodyDiv w:val="1"/>
      <w:marLeft w:val="0"/>
      <w:marRight w:val="0"/>
      <w:marTop w:val="0"/>
      <w:marBottom w:val="0"/>
      <w:divBdr>
        <w:top w:val="none" w:sz="0" w:space="0" w:color="auto"/>
        <w:left w:val="none" w:sz="0" w:space="0" w:color="auto"/>
        <w:bottom w:val="none" w:sz="0" w:space="0" w:color="auto"/>
        <w:right w:val="none" w:sz="0" w:space="0" w:color="auto"/>
      </w:divBdr>
    </w:div>
    <w:div w:id="277415234">
      <w:bodyDiv w:val="1"/>
      <w:marLeft w:val="0"/>
      <w:marRight w:val="0"/>
      <w:marTop w:val="0"/>
      <w:marBottom w:val="0"/>
      <w:divBdr>
        <w:top w:val="none" w:sz="0" w:space="0" w:color="auto"/>
        <w:left w:val="none" w:sz="0" w:space="0" w:color="auto"/>
        <w:bottom w:val="none" w:sz="0" w:space="0" w:color="auto"/>
        <w:right w:val="none" w:sz="0" w:space="0" w:color="auto"/>
      </w:divBdr>
    </w:div>
    <w:div w:id="292250402">
      <w:bodyDiv w:val="1"/>
      <w:marLeft w:val="0"/>
      <w:marRight w:val="0"/>
      <w:marTop w:val="0"/>
      <w:marBottom w:val="0"/>
      <w:divBdr>
        <w:top w:val="none" w:sz="0" w:space="0" w:color="auto"/>
        <w:left w:val="none" w:sz="0" w:space="0" w:color="auto"/>
        <w:bottom w:val="none" w:sz="0" w:space="0" w:color="auto"/>
        <w:right w:val="none" w:sz="0" w:space="0" w:color="auto"/>
      </w:divBdr>
    </w:div>
    <w:div w:id="382608183">
      <w:bodyDiv w:val="1"/>
      <w:marLeft w:val="0"/>
      <w:marRight w:val="0"/>
      <w:marTop w:val="0"/>
      <w:marBottom w:val="0"/>
      <w:divBdr>
        <w:top w:val="none" w:sz="0" w:space="0" w:color="auto"/>
        <w:left w:val="none" w:sz="0" w:space="0" w:color="auto"/>
        <w:bottom w:val="none" w:sz="0" w:space="0" w:color="auto"/>
        <w:right w:val="none" w:sz="0" w:space="0" w:color="auto"/>
      </w:divBdr>
    </w:div>
    <w:div w:id="409549289">
      <w:bodyDiv w:val="1"/>
      <w:marLeft w:val="0"/>
      <w:marRight w:val="0"/>
      <w:marTop w:val="0"/>
      <w:marBottom w:val="0"/>
      <w:divBdr>
        <w:top w:val="none" w:sz="0" w:space="0" w:color="auto"/>
        <w:left w:val="none" w:sz="0" w:space="0" w:color="auto"/>
        <w:bottom w:val="none" w:sz="0" w:space="0" w:color="auto"/>
        <w:right w:val="none" w:sz="0" w:space="0" w:color="auto"/>
      </w:divBdr>
    </w:div>
    <w:div w:id="501551882">
      <w:bodyDiv w:val="1"/>
      <w:marLeft w:val="0"/>
      <w:marRight w:val="0"/>
      <w:marTop w:val="0"/>
      <w:marBottom w:val="0"/>
      <w:divBdr>
        <w:top w:val="none" w:sz="0" w:space="0" w:color="auto"/>
        <w:left w:val="none" w:sz="0" w:space="0" w:color="auto"/>
        <w:bottom w:val="none" w:sz="0" w:space="0" w:color="auto"/>
        <w:right w:val="none" w:sz="0" w:space="0" w:color="auto"/>
      </w:divBdr>
    </w:div>
    <w:div w:id="528645716">
      <w:bodyDiv w:val="1"/>
      <w:marLeft w:val="0"/>
      <w:marRight w:val="0"/>
      <w:marTop w:val="0"/>
      <w:marBottom w:val="0"/>
      <w:divBdr>
        <w:top w:val="none" w:sz="0" w:space="0" w:color="auto"/>
        <w:left w:val="none" w:sz="0" w:space="0" w:color="auto"/>
        <w:bottom w:val="none" w:sz="0" w:space="0" w:color="auto"/>
        <w:right w:val="none" w:sz="0" w:space="0" w:color="auto"/>
      </w:divBdr>
    </w:div>
    <w:div w:id="542836216">
      <w:bodyDiv w:val="1"/>
      <w:marLeft w:val="0"/>
      <w:marRight w:val="0"/>
      <w:marTop w:val="0"/>
      <w:marBottom w:val="0"/>
      <w:divBdr>
        <w:top w:val="none" w:sz="0" w:space="0" w:color="auto"/>
        <w:left w:val="none" w:sz="0" w:space="0" w:color="auto"/>
        <w:bottom w:val="none" w:sz="0" w:space="0" w:color="auto"/>
        <w:right w:val="none" w:sz="0" w:space="0" w:color="auto"/>
      </w:divBdr>
    </w:div>
    <w:div w:id="544564784">
      <w:bodyDiv w:val="1"/>
      <w:marLeft w:val="0"/>
      <w:marRight w:val="0"/>
      <w:marTop w:val="0"/>
      <w:marBottom w:val="0"/>
      <w:divBdr>
        <w:top w:val="none" w:sz="0" w:space="0" w:color="auto"/>
        <w:left w:val="none" w:sz="0" w:space="0" w:color="auto"/>
        <w:bottom w:val="none" w:sz="0" w:space="0" w:color="auto"/>
        <w:right w:val="none" w:sz="0" w:space="0" w:color="auto"/>
      </w:divBdr>
    </w:div>
    <w:div w:id="550921307">
      <w:bodyDiv w:val="1"/>
      <w:marLeft w:val="0"/>
      <w:marRight w:val="0"/>
      <w:marTop w:val="0"/>
      <w:marBottom w:val="0"/>
      <w:divBdr>
        <w:top w:val="none" w:sz="0" w:space="0" w:color="auto"/>
        <w:left w:val="none" w:sz="0" w:space="0" w:color="auto"/>
        <w:bottom w:val="none" w:sz="0" w:space="0" w:color="auto"/>
        <w:right w:val="none" w:sz="0" w:space="0" w:color="auto"/>
      </w:divBdr>
    </w:div>
    <w:div w:id="582950921">
      <w:bodyDiv w:val="1"/>
      <w:marLeft w:val="0"/>
      <w:marRight w:val="0"/>
      <w:marTop w:val="0"/>
      <w:marBottom w:val="0"/>
      <w:divBdr>
        <w:top w:val="none" w:sz="0" w:space="0" w:color="auto"/>
        <w:left w:val="none" w:sz="0" w:space="0" w:color="auto"/>
        <w:bottom w:val="none" w:sz="0" w:space="0" w:color="auto"/>
        <w:right w:val="none" w:sz="0" w:space="0" w:color="auto"/>
      </w:divBdr>
    </w:div>
    <w:div w:id="587737711">
      <w:bodyDiv w:val="1"/>
      <w:marLeft w:val="0"/>
      <w:marRight w:val="0"/>
      <w:marTop w:val="0"/>
      <w:marBottom w:val="0"/>
      <w:divBdr>
        <w:top w:val="none" w:sz="0" w:space="0" w:color="auto"/>
        <w:left w:val="none" w:sz="0" w:space="0" w:color="auto"/>
        <w:bottom w:val="none" w:sz="0" w:space="0" w:color="auto"/>
        <w:right w:val="none" w:sz="0" w:space="0" w:color="auto"/>
      </w:divBdr>
    </w:div>
    <w:div w:id="623580258">
      <w:bodyDiv w:val="1"/>
      <w:marLeft w:val="0"/>
      <w:marRight w:val="0"/>
      <w:marTop w:val="0"/>
      <w:marBottom w:val="0"/>
      <w:divBdr>
        <w:top w:val="none" w:sz="0" w:space="0" w:color="auto"/>
        <w:left w:val="none" w:sz="0" w:space="0" w:color="auto"/>
        <w:bottom w:val="none" w:sz="0" w:space="0" w:color="auto"/>
        <w:right w:val="none" w:sz="0" w:space="0" w:color="auto"/>
      </w:divBdr>
      <w:divsChild>
        <w:div w:id="1397121862">
          <w:marLeft w:val="0"/>
          <w:marRight w:val="0"/>
          <w:marTop w:val="0"/>
          <w:marBottom w:val="0"/>
          <w:divBdr>
            <w:top w:val="none" w:sz="0" w:space="0" w:color="auto"/>
            <w:left w:val="none" w:sz="0" w:space="0" w:color="auto"/>
            <w:bottom w:val="none" w:sz="0" w:space="0" w:color="auto"/>
            <w:right w:val="none" w:sz="0" w:space="0" w:color="auto"/>
          </w:divBdr>
          <w:divsChild>
            <w:div w:id="604458639">
              <w:marLeft w:val="0"/>
              <w:marRight w:val="0"/>
              <w:marTop w:val="0"/>
              <w:marBottom w:val="0"/>
              <w:divBdr>
                <w:top w:val="none" w:sz="0" w:space="0" w:color="auto"/>
                <w:left w:val="none" w:sz="0" w:space="0" w:color="auto"/>
                <w:bottom w:val="none" w:sz="0" w:space="0" w:color="auto"/>
                <w:right w:val="none" w:sz="0" w:space="0" w:color="auto"/>
              </w:divBdr>
              <w:divsChild>
                <w:div w:id="396127010">
                  <w:marLeft w:val="0"/>
                  <w:marRight w:val="0"/>
                  <w:marTop w:val="0"/>
                  <w:marBottom w:val="0"/>
                  <w:divBdr>
                    <w:top w:val="none" w:sz="0" w:space="0" w:color="auto"/>
                    <w:left w:val="none" w:sz="0" w:space="0" w:color="auto"/>
                    <w:bottom w:val="none" w:sz="0" w:space="0" w:color="auto"/>
                    <w:right w:val="none" w:sz="0" w:space="0" w:color="auto"/>
                  </w:divBdr>
                  <w:divsChild>
                    <w:div w:id="564685822">
                      <w:marLeft w:val="0"/>
                      <w:marRight w:val="0"/>
                      <w:marTop w:val="0"/>
                      <w:marBottom w:val="0"/>
                      <w:divBdr>
                        <w:top w:val="none" w:sz="0" w:space="0" w:color="auto"/>
                        <w:left w:val="none" w:sz="0" w:space="0" w:color="auto"/>
                        <w:bottom w:val="none" w:sz="0" w:space="0" w:color="auto"/>
                        <w:right w:val="none" w:sz="0" w:space="0" w:color="auto"/>
                      </w:divBdr>
                      <w:divsChild>
                        <w:div w:id="1905729">
                          <w:marLeft w:val="0"/>
                          <w:marRight w:val="0"/>
                          <w:marTop w:val="0"/>
                          <w:marBottom w:val="0"/>
                          <w:divBdr>
                            <w:top w:val="none" w:sz="0" w:space="0" w:color="auto"/>
                            <w:left w:val="none" w:sz="0" w:space="0" w:color="auto"/>
                            <w:bottom w:val="none" w:sz="0" w:space="0" w:color="auto"/>
                            <w:right w:val="none" w:sz="0" w:space="0" w:color="auto"/>
                          </w:divBdr>
                          <w:divsChild>
                            <w:div w:id="1625307730">
                              <w:marLeft w:val="0"/>
                              <w:marRight w:val="0"/>
                              <w:marTop w:val="0"/>
                              <w:marBottom w:val="0"/>
                              <w:divBdr>
                                <w:top w:val="none" w:sz="0" w:space="0" w:color="auto"/>
                                <w:left w:val="none" w:sz="0" w:space="0" w:color="auto"/>
                                <w:bottom w:val="none" w:sz="0" w:space="0" w:color="auto"/>
                                <w:right w:val="none" w:sz="0" w:space="0" w:color="auto"/>
                              </w:divBdr>
                              <w:divsChild>
                                <w:div w:id="3772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326143">
      <w:bodyDiv w:val="1"/>
      <w:marLeft w:val="0"/>
      <w:marRight w:val="0"/>
      <w:marTop w:val="0"/>
      <w:marBottom w:val="0"/>
      <w:divBdr>
        <w:top w:val="none" w:sz="0" w:space="0" w:color="auto"/>
        <w:left w:val="none" w:sz="0" w:space="0" w:color="auto"/>
        <w:bottom w:val="none" w:sz="0" w:space="0" w:color="auto"/>
        <w:right w:val="none" w:sz="0" w:space="0" w:color="auto"/>
      </w:divBdr>
    </w:div>
    <w:div w:id="660960846">
      <w:bodyDiv w:val="1"/>
      <w:marLeft w:val="0"/>
      <w:marRight w:val="0"/>
      <w:marTop w:val="0"/>
      <w:marBottom w:val="0"/>
      <w:divBdr>
        <w:top w:val="none" w:sz="0" w:space="0" w:color="auto"/>
        <w:left w:val="none" w:sz="0" w:space="0" w:color="auto"/>
        <w:bottom w:val="none" w:sz="0" w:space="0" w:color="auto"/>
        <w:right w:val="none" w:sz="0" w:space="0" w:color="auto"/>
      </w:divBdr>
    </w:div>
    <w:div w:id="684944397">
      <w:bodyDiv w:val="1"/>
      <w:marLeft w:val="0"/>
      <w:marRight w:val="0"/>
      <w:marTop w:val="0"/>
      <w:marBottom w:val="0"/>
      <w:divBdr>
        <w:top w:val="none" w:sz="0" w:space="0" w:color="auto"/>
        <w:left w:val="none" w:sz="0" w:space="0" w:color="auto"/>
        <w:bottom w:val="none" w:sz="0" w:space="0" w:color="auto"/>
        <w:right w:val="none" w:sz="0" w:space="0" w:color="auto"/>
      </w:divBdr>
      <w:divsChild>
        <w:div w:id="656031703">
          <w:marLeft w:val="0"/>
          <w:marRight w:val="0"/>
          <w:marTop w:val="0"/>
          <w:marBottom w:val="0"/>
          <w:divBdr>
            <w:top w:val="none" w:sz="0" w:space="0" w:color="auto"/>
            <w:left w:val="none" w:sz="0" w:space="0" w:color="auto"/>
            <w:bottom w:val="none" w:sz="0" w:space="0" w:color="auto"/>
            <w:right w:val="none" w:sz="0" w:space="0" w:color="auto"/>
          </w:divBdr>
          <w:divsChild>
            <w:div w:id="1377386795">
              <w:marLeft w:val="0"/>
              <w:marRight w:val="0"/>
              <w:marTop w:val="0"/>
              <w:marBottom w:val="0"/>
              <w:divBdr>
                <w:top w:val="none" w:sz="0" w:space="0" w:color="auto"/>
                <w:left w:val="none" w:sz="0" w:space="0" w:color="auto"/>
                <w:bottom w:val="none" w:sz="0" w:space="0" w:color="auto"/>
                <w:right w:val="none" w:sz="0" w:space="0" w:color="auto"/>
              </w:divBdr>
              <w:divsChild>
                <w:div w:id="963270177">
                  <w:marLeft w:val="0"/>
                  <w:marRight w:val="0"/>
                  <w:marTop w:val="0"/>
                  <w:marBottom w:val="0"/>
                  <w:divBdr>
                    <w:top w:val="none" w:sz="0" w:space="0" w:color="auto"/>
                    <w:left w:val="none" w:sz="0" w:space="0" w:color="auto"/>
                    <w:bottom w:val="none" w:sz="0" w:space="0" w:color="auto"/>
                    <w:right w:val="none" w:sz="0" w:space="0" w:color="auto"/>
                  </w:divBdr>
                  <w:divsChild>
                    <w:div w:id="873076939">
                      <w:marLeft w:val="0"/>
                      <w:marRight w:val="0"/>
                      <w:marTop w:val="0"/>
                      <w:marBottom w:val="0"/>
                      <w:divBdr>
                        <w:top w:val="none" w:sz="0" w:space="0" w:color="auto"/>
                        <w:left w:val="none" w:sz="0" w:space="0" w:color="auto"/>
                        <w:bottom w:val="none" w:sz="0" w:space="0" w:color="auto"/>
                        <w:right w:val="none" w:sz="0" w:space="0" w:color="auto"/>
                      </w:divBdr>
                      <w:divsChild>
                        <w:div w:id="2109613213">
                          <w:marLeft w:val="0"/>
                          <w:marRight w:val="0"/>
                          <w:marTop w:val="0"/>
                          <w:marBottom w:val="0"/>
                          <w:divBdr>
                            <w:top w:val="none" w:sz="0" w:space="0" w:color="auto"/>
                            <w:left w:val="none" w:sz="0" w:space="0" w:color="auto"/>
                            <w:bottom w:val="none" w:sz="0" w:space="0" w:color="auto"/>
                            <w:right w:val="none" w:sz="0" w:space="0" w:color="auto"/>
                          </w:divBdr>
                          <w:divsChild>
                            <w:div w:id="87388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520318">
      <w:bodyDiv w:val="1"/>
      <w:marLeft w:val="0"/>
      <w:marRight w:val="0"/>
      <w:marTop w:val="0"/>
      <w:marBottom w:val="0"/>
      <w:divBdr>
        <w:top w:val="none" w:sz="0" w:space="0" w:color="auto"/>
        <w:left w:val="none" w:sz="0" w:space="0" w:color="auto"/>
        <w:bottom w:val="none" w:sz="0" w:space="0" w:color="auto"/>
        <w:right w:val="none" w:sz="0" w:space="0" w:color="auto"/>
      </w:divBdr>
    </w:div>
    <w:div w:id="689067792">
      <w:bodyDiv w:val="1"/>
      <w:marLeft w:val="0"/>
      <w:marRight w:val="0"/>
      <w:marTop w:val="0"/>
      <w:marBottom w:val="0"/>
      <w:divBdr>
        <w:top w:val="none" w:sz="0" w:space="0" w:color="auto"/>
        <w:left w:val="none" w:sz="0" w:space="0" w:color="auto"/>
        <w:bottom w:val="none" w:sz="0" w:space="0" w:color="auto"/>
        <w:right w:val="none" w:sz="0" w:space="0" w:color="auto"/>
      </w:divBdr>
    </w:div>
    <w:div w:id="696540583">
      <w:bodyDiv w:val="1"/>
      <w:marLeft w:val="0"/>
      <w:marRight w:val="0"/>
      <w:marTop w:val="0"/>
      <w:marBottom w:val="0"/>
      <w:divBdr>
        <w:top w:val="none" w:sz="0" w:space="0" w:color="auto"/>
        <w:left w:val="none" w:sz="0" w:space="0" w:color="auto"/>
        <w:bottom w:val="none" w:sz="0" w:space="0" w:color="auto"/>
        <w:right w:val="none" w:sz="0" w:space="0" w:color="auto"/>
      </w:divBdr>
    </w:div>
    <w:div w:id="700010862">
      <w:bodyDiv w:val="1"/>
      <w:marLeft w:val="0"/>
      <w:marRight w:val="0"/>
      <w:marTop w:val="0"/>
      <w:marBottom w:val="0"/>
      <w:divBdr>
        <w:top w:val="none" w:sz="0" w:space="0" w:color="auto"/>
        <w:left w:val="none" w:sz="0" w:space="0" w:color="auto"/>
        <w:bottom w:val="none" w:sz="0" w:space="0" w:color="auto"/>
        <w:right w:val="none" w:sz="0" w:space="0" w:color="auto"/>
      </w:divBdr>
    </w:div>
    <w:div w:id="745298297">
      <w:bodyDiv w:val="1"/>
      <w:marLeft w:val="0"/>
      <w:marRight w:val="0"/>
      <w:marTop w:val="0"/>
      <w:marBottom w:val="0"/>
      <w:divBdr>
        <w:top w:val="none" w:sz="0" w:space="0" w:color="auto"/>
        <w:left w:val="none" w:sz="0" w:space="0" w:color="auto"/>
        <w:bottom w:val="none" w:sz="0" w:space="0" w:color="auto"/>
        <w:right w:val="none" w:sz="0" w:space="0" w:color="auto"/>
      </w:divBdr>
    </w:div>
    <w:div w:id="778373302">
      <w:bodyDiv w:val="1"/>
      <w:marLeft w:val="0"/>
      <w:marRight w:val="0"/>
      <w:marTop w:val="0"/>
      <w:marBottom w:val="0"/>
      <w:divBdr>
        <w:top w:val="none" w:sz="0" w:space="0" w:color="auto"/>
        <w:left w:val="none" w:sz="0" w:space="0" w:color="auto"/>
        <w:bottom w:val="none" w:sz="0" w:space="0" w:color="auto"/>
        <w:right w:val="none" w:sz="0" w:space="0" w:color="auto"/>
      </w:divBdr>
    </w:div>
    <w:div w:id="779683584">
      <w:bodyDiv w:val="1"/>
      <w:marLeft w:val="0"/>
      <w:marRight w:val="0"/>
      <w:marTop w:val="0"/>
      <w:marBottom w:val="0"/>
      <w:divBdr>
        <w:top w:val="none" w:sz="0" w:space="0" w:color="auto"/>
        <w:left w:val="none" w:sz="0" w:space="0" w:color="auto"/>
        <w:bottom w:val="none" w:sz="0" w:space="0" w:color="auto"/>
        <w:right w:val="none" w:sz="0" w:space="0" w:color="auto"/>
      </w:divBdr>
    </w:div>
    <w:div w:id="784232521">
      <w:bodyDiv w:val="1"/>
      <w:marLeft w:val="0"/>
      <w:marRight w:val="0"/>
      <w:marTop w:val="0"/>
      <w:marBottom w:val="0"/>
      <w:divBdr>
        <w:top w:val="none" w:sz="0" w:space="0" w:color="auto"/>
        <w:left w:val="none" w:sz="0" w:space="0" w:color="auto"/>
        <w:bottom w:val="none" w:sz="0" w:space="0" w:color="auto"/>
        <w:right w:val="none" w:sz="0" w:space="0" w:color="auto"/>
      </w:divBdr>
    </w:div>
    <w:div w:id="792945697">
      <w:bodyDiv w:val="1"/>
      <w:marLeft w:val="0"/>
      <w:marRight w:val="0"/>
      <w:marTop w:val="0"/>
      <w:marBottom w:val="0"/>
      <w:divBdr>
        <w:top w:val="none" w:sz="0" w:space="0" w:color="auto"/>
        <w:left w:val="none" w:sz="0" w:space="0" w:color="auto"/>
        <w:bottom w:val="none" w:sz="0" w:space="0" w:color="auto"/>
        <w:right w:val="none" w:sz="0" w:space="0" w:color="auto"/>
      </w:divBdr>
    </w:div>
    <w:div w:id="809858206">
      <w:bodyDiv w:val="1"/>
      <w:marLeft w:val="0"/>
      <w:marRight w:val="0"/>
      <w:marTop w:val="0"/>
      <w:marBottom w:val="0"/>
      <w:divBdr>
        <w:top w:val="none" w:sz="0" w:space="0" w:color="auto"/>
        <w:left w:val="none" w:sz="0" w:space="0" w:color="auto"/>
        <w:bottom w:val="none" w:sz="0" w:space="0" w:color="auto"/>
        <w:right w:val="none" w:sz="0" w:space="0" w:color="auto"/>
      </w:divBdr>
    </w:div>
    <w:div w:id="825898943">
      <w:bodyDiv w:val="1"/>
      <w:marLeft w:val="0"/>
      <w:marRight w:val="0"/>
      <w:marTop w:val="0"/>
      <w:marBottom w:val="0"/>
      <w:divBdr>
        <w:top w:val="none" w:sz="0" w:space="0" w:color="auto"/>
        <w:left w:val="none" w:sz="0" w:space="0" w:color="auto"/>
        <w:bottom w:val="none" w:sz="0" w:space="0" w:color="auto"/>
        <w:right w:val="none" w:sz="0" w:space="0" w:color="auto"/>
      </w:divBdr>
    </w:div>
    <w:div w:id="852575166">
      <w:bodyDiv w:val="1"/>
      <w:marLeft w:val="0"/>
      <w:marRight w:val="0"/>
      <w:marTop w:val="0"/>
      <w:marBottom w:val="0"/>
      <w:divBdr>
        <w:top w:val="none" w:sz="0" w:space="0" w:color="auto"/>
        <w:left w:val="none" w:sz="0" w:space="0" w:color="auto"/>
        <w:bottom w:val="none" w:sz="0" w:space="0" w:color="auto"/>
        <w:right w:val="none" w:sz="0" w:space="0" w:color="auto"/>
      </w:divBdr>
    </w:div>
    <w:div w:id="864632789">
      <w:bodyDiv w:val="1"/>
      <w:marLeft w:val="0"/>
      <w:marRight w:val="0"/>
      <w:marTop w:val="0"/>
      <w:marBottom w:val="0"/>
      <w:divBdr>
        <w:top w:val="none" w:sz="0" w:space="0" w:color="auto"/>
        <w:left w:val="none" w:sz="0" w:space="0" w:color="auto"/>
        <w:bottom w:val="none" w:sz="0" w:space="0" w:color="auto"/>
        <w:right w:val="none" w:sz="0" w:space="0" w:color="auto"/>
      </w:divBdr>
    </w:div>
    <w:div w:id="892698019">
      <w:bodyDiv w:val="1"/>
      <w:marLeft w:val="0"/>
      <w:marRight w:val="0"/>
      <w:marTop w:val="0"/>
      <w:marBottom w:val="0"/>
      <w:divBdr>
        <w:top w:val="none" w:sz="0" w:space="0" w:color="auto"/>
        <w:left w:val="none" w:sz="0" w:space="0" w:color="auto"/>
        <w:bottom w:val="none" w:sz="0" w:space="0" w:color="auto"/>
        <w:right w:val="none" w:sz="0" w:space="0" w:color="auto"/>
      </w:divBdr>
    </w:div>
    <w:div w:id="900678438">
      <w:bodyDiv w:val="1"/>
      <w:marLeft w:val="0"/>
      <w:marRight w:val="0"/>
      <w:marTop w:val="0"/>
      <w:marBottom w:val="0"/>
      <w:divBdr>
        <w:top w:val="none" w:sz="0" w:space="0" w:color="auto"/>
        <w:left w:val="none" w:sz="0" w:space="0" w:color="auto"/>
        <w:bottom w:val="none" w:sz="0" w:space="0" w:color="auto"/>
        <w:right w:val="none" w:sz="0" w:space="0" w:color="auto"/>
      </w:divBdr>
    </w:div>
    <w:div w:id="904602536">
      <w:bodyDiv w:val="1"/>
      <w:marLeft w:val="0"/>
      <w:marRight w:val="0"/>
      <w:marTop w:val="0"/>
      <w:marBottom w:val="0"/>
      <w:divBdr>
        <w:top w:val="none" w:sz="0" w:space="0" w:color="auto"/>
        <w:left w:val="none" w:sz="0" w:space="0" w:color="auto"/>
        <w:bottom w:val="none" w:sz="0" w:space="0" w:color="auto"/>
        <w:right w:val="none" w:sz="0" w:space="0" w:color="auto"/>
      </w:divBdr>
      <w:divsChild>
        <w:div w:id="1200632563">
          <w:marLeft w:val="0"/>
          <w:marRight w:val="0"/>
          <w:marTop w:val="0"/>
          <w:marBottom w:val="0"/>
          <w:divBdr>
            <w:top w:val="none" w:sz="0" w:space="0" w:color="auto"/>
            <w:left w:val="none" w:sz="0" w:space="0" w:color="auto"/>
            <w:bottom w:val="none" w:sz="0" w:space="0" w:color="auto"/>
            <w:right w:val="none" w:sz="0" w:space="0" w:color="auto"/>
          </w:divBdr>
          <w:divsChild>
            <w:div w:id="1705011239">
              <w:marLeft w:val="0"/>
              <w:marRight w:val="0"/>
              <w:marTop w:val="0"/>
              <w:marBottom w:val="0"/>
              <w:divBdr>
                <w:top w:val="none" w:sz="0" w:space="0" w:color="auto"/>
                <w:left w:val="none" w:sz="0" w:space="0" w:color="auto"/>
                <w:bottom w:val="none" w:sz="0" w:space="0" w:color="auto"/>
                <w:right w:val="none" w:sz="0" w:space="0" w:color="auto"/>
              </w:divBdr>
              <w:divsChild>
                <w:div w:id="1145659241">
                  <w:marLeft w:val="0"/>
                  <w:marRight w:val="0"/>
                  <w:marTop w:val="0"/>
                  <w:marBottom w:val="0"/>
                  <w:divBdr>
                    <w:top w:val="none" w:sz="0" w:space="0" w:color="auto"/>
                    <w:left w:val="none" w:sz="0" w:space="0" w:color="auto"/>
                    <w:bottom w:val="none" w:sz="0" w:space="0" w:color="auto"/>
                    <w:right w:val="none" w:sz="0" w:space="0" w:color="auto"/>
                  </w:divBdr>
                  <w:divsChild>
                    <w:div w:id="290136381">
                      <w:marLeft w:val="0"/>
                      <w:marRight w:val="0"/>
                      <w:marTop w:val="0"/>
                      <w:marBottom w:val="0"/>
                      <w:divBdr>
                        <w:top w:val="none" w:sz="0" w:space="0" w:color="auto"/>
                        <w:left w:val="none" w:sz="0" w:space="0" w:color="auto"/>
                        <w:bottom w:val="none" w:sz="0" w:space="0" w:color="auto"/>
                        <w:right w:val="none" w:sz="0" w:space="0" w:color="auto"/>
                      </w:divBdr>
                      <w:divsChild>
                        <w:div w:id="1792819241">
                          <w:marLeft w:val="0"/>
                          <w:marRight w:val="0"/>
                          <w:marTop w:val="0"/>
                          <w:marBottom w:val="0"/>
                          <w:divBdr>
                            <w:top w:val="none" w:sz="0" w:space="0" w:color="auto"/>
                            <w:left w:val="none" w:sz="0" w:space="0" w:color="auto"/>
                            <w:bottom w:val="none" w:sz="0" w:space="0" w:color="auto"/>
                            <w:right w:val="none" w:sz="0" w:space="0" w:color="auto"/>
                          </w:divBdr>
                          <w:divsChild>
                            <w:div w:id="8706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369996">
      <w:bodyDiv w:val="1"/>
      <w:marLeft w:val="0"/>
      <w:marRight w:val="0"/>
      <w:marTop w:val="0"/>
      <w:marBottom w:val="0"/>
      <w:divBdr>
        <w:top w:val="none" w:sz="0" w:space="0" w:color="auto"/>
        <w:left w:val="none" w:sz="0" w:space="0" w:color="auto"/>
        <w:bottom w:val="none" w:sz="0" w:space="0" w:color="auto"/>
        <w:right w:val="none" w:sz="0" w:space="0" w:color="auto"/>
      </w:divBdr>
      <w:divsChild>
        <w:div w:id="1302035619">
          <w:marLeft w:val="0"/>
          <w:marRight w:val="0"/>
          <w:marTop w:val="0"/>
          <w:marBottom w:val="0"/>
          <w:divBdr>
            <w:top w:val="none" w:sz="0" w:space="0" w:color="auto"/>
            <w:left w:val="none" w:sz="0" w:space="0" w:color="auto"/>
            <w:bottom w:val="none" w:sz="0" w:space="0" w:color="auto"/>
            <w:right w:val="none" w:sz="0" w:space="0" w:color="auto"/>
          </w:divBdr>
          <w:divsChild>
            <w:div w:id="108398171">
              <w:marLeft w:val="0"/>
              <w:marRight w:val="0"/>
              <w:marTop w:val="0"/>
              <w:marBottom w:val="0"/>
              <w:divBdr>
                <w:top w:val="none" w:sz="0" w:space="0" w:color="auto"/>
                <w:left w:val="none" w:sz="0" w:space="0" w:color="auto"/>
                <w:bottom w:val="none" w:sz="0" w:space="0" w:color="auto"/>
                <w:right w:val="none" w:sz="0" w:space="0" w:color="auto"/>
              </w:divBdr>
              <w:divsChild>
                <w:div w:id="617643998">
                  <w:marLeft w:val="0"/>
                  <w:marRight w:val="0"/>
                  <w:marTop w:val="0"/>
                  <w:marBottom w:val="0"/>
                  <w:divBdr>
                    <w:top w:val="none" w:sz="0" w:space="0" w:color="auto"/>
                    <w:left w:val="none" w:sz="0" w:space="0" w:color="auto"/>
                    <w:bottom w:val="none" w:sz="0" w:space="0" w:color="auto"/>
                    <w:right w:val="none" w:sz="0" w:space="0" w:color="auto"/>
                  </w:divBdr>
                  <w:divsChild>
                    <w:div w:id="1746686659">
                      <w:marLeft w:val="0"/>
                      <w:marRight w:val="0"/>
                      <w:marTop w:val="0"/>
                      <w:marBottom w:val="0"/>
                      <w:divBdr>
                        <w:top w:val="none" w:sz="0" w:space="0" w:color="auto"/>
                        <w:left w:val="none" w:sz="0" w:space="0" w:color="auto"/>
                        <w:bottom w:val="none" w:sz="0" w:space="0" w:color="auto"/>
                        <w:right w:val="none" w:sz="0" w:space="0" w:color="auto"/>
                      </w:divBdr>
                      <w:divsChild>
                        <w:div w:id="1139568987">
                          <w:marLeft w:val="0"/>
                          <w:marRight w:val="0"/>
                          <w:marTop w:val="0"/>
                          <w:marBottom w:val="0"/>
                          <w:divBdr>
                            <w:top w:val="none" w:sz="0" w:space="0" w:color="auto"/>
                            <w:left w:val="none" w:sz="0" w:space="0" w:color="auto"/>
                            <w:bottom w:val="none" w:sz="0" w:space="0" w:color="auto"/>
                            <w:right w:val="none" w:sz="0" w:space="0" w:color="auto"/>
                          </w:divBdr>
                          <w:divsChild>
                            <w:div w:id="481578528">
                              <w:marLeft w:val="0"/>
                              <w:marRight w:val="0"/>
                              <w:marTop w:val="0"/>
                              <w:marBottom w:val="0"/>
                              <w:divBdr>
                                <w:top w:val="none" w:sz="0" w:space="0" w:color="auto"/>
                                <w:left w:val="none" w:sz="0" w:space="0" w:color="auto"/>
                                <w:bottom w:val="none" w:sz="0" w:space="0" w:color="auto"/>
                                <w:right w:val="none" w:sz="0" w:space="0" w:color="auto"/>
                              </w:divBdr>
                              <w:divsChild>
                                <w:div w:id="134697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097592">
      <w:bodyDiv w:val="1"/>
      <w:marLeft w:val="0"/>
      <w:marRight w:val="0"/>
      <w:marTop w:val="0"/>
      <w:marBottom w:val="0"/>
      <w:divBdr>
        <w:top w:val="none" w:sz="0" w:space="0" w:color="auto"/>
        <w:left w:val="none" w:sz="0" w:space="0" w:color="auto"/>
        <w:bottom w:val="none" w:sz="0" w:space="0" w:color="auto"/>
        <w:right w:val="none" w:sz="0" w:space="0" w:color="auto"/>
      </w:divBdr>
    </w:div>
    <w:div w:id="969096811">
      <w:bodyDiv w:val="1"/>
      <w:marLeft w:val="0"/>
      <w:marRight w:val="0"/>
      <w:marTop w:val="0"/>
      <w:marBottom w:val="0"/>
      <w:divBdr>
        <w:top w:val="none" w:sz="0" w:space="0" w:color="auto"/>
        <w:left w:val="none" w:sz="0" w:space="0" w:color="auto"/>
        <w:bottom w:val="none" w:sz="0" w:space="0" w:color="auto"/>
        <w:right w:val="none" w:sz="0" w:space="0" w:color="auto"/>
      </w:divBdr>
    </w:div>
    <w:div w:id="985283596">
      <w:bodyDiv w:val="1"/>
      <w:marLeft w:val="0"/>
      <w:marRight w:val="0"/>
      <w:marTop w:val="0"/>
      <w:marBottom w:val="0"/>
      <w:divBdr>
        <w:top w:val="none" w:sz="0" w:space="0" w:color="auto"/>
        <w:left w:val="none" w:sz="0" w:space="0" w:color="auto"/>
        <w:bottom w:val="none" w:sz="0" w:space="0" w:color="auto"/>
        <w:right w:val="none" w:sz="0" w:space="0" w:color="auto"/>
      </w:divBdr>
    </w:div>
    <w:div w:id="1016032300">
      <w:bodyDiv w:val="1"/>
      <w:marLeft w:val="0"/>
      <w:marRight w:val="0"/>
      <w:marTop w:val="0"/>
      <w:marBottom w:val="0"/>
      <w:divBdr>
        <w:top w:val="none" w:sz="0" w:space="0" w:color="auto"/>
        <w:left w:val="none" w:sz="0" w:space="0" w:color="auto"/>
        <w:bottom w:val="none" w:sz="0" w:space="0" w:color="auto"/>
        <w:right w:val="none" w:sz="0" w:space="0" w:color="auto"/>
      </w:divBdr>
      <w:divsChild>
        <w:div w:id="1722482900">
          <w:marLeft w:val="0"/>
          <w:marRight w:val="0"/>
          <w:marTop w:val="0"/>
          <w:marBottom w:val="0"/>
          <w:divBdr>
            <w:top w:val="none" w:sz="0" w:space="0" w:color="auto"/>
            <w:left w:val="none" w:sz="0" w:space="0" w:color="auto"/>
            <w:bottom w:val="none" w:sz="0" w:space="0" w:color="auto"/>
            <w:right w:val="none" w:sz="0" w:space="0" w:color="auto"/>
          </w:divBdr>
          <w:divsChild>
            <w:div w:id="864560420">
              <w:marLeft w:val="0"/>
              <w:marRight w:val="0"/>
              <w:marTop w:val="0"/>
              <w:marBottom w:val="0"/>
              <w:divBdr>
                <w:top w:val="none" w:sz="0" w:space="0" w:color="auto"/>
                <w:left w:val="none" w:sz="0" w:space="0" w:color="auto"/>
                <w:bottom w:val="none" w:sz="0" w:space="0" w:color="auto"/>
                <w:right w:val="none" w:sz="0" w:space="0" w:color="auto"/>
              </w:divBdr>
              <w:divsChild>
                <w:div w:id="1926185066">
                  <w:marLeft w:val="0"/>
                  <w:marRight w:val="0"/>
                  <w:marTop w:val="0"/>
                  <w:marBottom w:val="0"/>
                  <w:divBdr>
                    <w:top w:val="none" w:sz="0" w:space="0" w:color="auto"/>
                    <w:left w:val="none" w:sz="0" w:space="0" w:color="auto"/>
                    <w:bottom w:val="none" w:sz="0" w:space="0" w:color="auto"/>
                    <w:right w:val="none" w:sz="0" w:space="0" w:color="auto"/>
                  </w:divBdr>
                  <w:divsChild>
                    <w:div w:id="1060635311">
                      <w:marLeft w:val="0"/>
                      <w:marRight w:val="0"/>
                      <w:marTop w:val="0"/>
                      <w:marBottom w:val="0"/>
                      <w:divBdr>
                        <w:top w:val="none" w:sz="0" w:space="0" w:color="auto"/>
                        <w:left w:val="none" w:sz="0" w:space="0" w:color="auto"/>
                        <w:bottom w:val="none" w:sz="0" w:space="0" w:color="auto"/>
                        <w:right w:val="none" w:sz="0" w:space="0" w:color="auto"/>
                      </w:divBdr>
                      <w:divsChild>
                        <w:div w:id="2002387886">
                          <w:marLeft w:val="0"/>
                          <w:marRight w:val="0"/>
                          <w:marTop w:val="0"/>
                          <w:marBottom w:val="0"/>
                          <w:divBdr>
                            <w:top w:val="none" w:sz="0" w:space="0" w:color="auto"/>
                            <w:left w:val="none" w:sz="0" w:space="0" w:color="auto"/>
                            <w:bottom w:val="none" w:sz="0" w:space="0" w:color="auto"/>
                            <w:right w:val="none" w:sz="0" w:space="0" w:color="auto"/>
                          </w:divBdr>
                          <w:divsChild>
                            <w:div w:id="100463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073640">
      <w:bodyDiv w:val="1"/>
      <w:marLeft w:val="0"/>
      <w:marRight w:val="0"/>
      <w:marTop w:val="0"/>
      <w:marBottom w:val="0"/>
      <w:divBdr>
        <w:top w:val="none" w:sz="0" w:space="0" w:color="auto"/>
        <w:left w:val="none" w:sz="0" w:space="0" w:color="auto"/>
        <w:bottom w:val="none" w:sz="0" w:space="0" w:color="auto"/>
        <w:right w:val="none" w:sz="0" w:space="0" w:color="auto"/>
      </w:divBdr>
      <w:divsChild>
        <w:div w:id="1651710592">
          <w:marLeft w:val="0"/>
          <w:marRight w:val="0"/>
          <w:marTop w:val="0"/>
          <w:marBottom w:val="0"/>
          <w:divBdr>
            <w:top w:val="none" w:sz="0" w:space="0" w:color="auto"/>
            <w:left w:val="none" w:sz="0" w:space="0" w:color="auto"/>
            <w:bottom w:val="none" w:sz="0" w:space="0" w:color="auto"/>
            <w:right w:val="none" w:sz="0" w:space="0" w:color="auto"/>
          </w:divBdr>
          <w:divsChild>
            <w:div w:id="2045672229">
              <w:marLeft w:val="0"/>
              <w:marRight w:val="0"/>
              <w:marTop w:val="0"/>
              <w:marBottom w:val="0"/>
              <w:divBdr>
                <w:top w:val="none" w:sz="0" w:space="0" w:color="auto"/>
                <w:left w:val="none" w:sz="0" w:space="0" w:color="auto"/>
                <w:bottom w:val="none" w:sz="0" w:space="0" w:color="auto"/>
                <w:right w:val="none" w:sz="0" w:space="0" w:color="auto"/>
              </w:divBdr>
              <w:divsChild>
                <w:div w:id="998269221">
                  <w:marLeft w:val="0"/>
                  <w:marRight w:val="0"/>
                  <w:marTop w:val="0"/>
                  <w:marBottom w:val="0"/>
                  <w:divBdr>
                    <w:top w:val="none" w:sz="0" w:space="0" w:color="auto"/>
                    <w:left w:val="none" w:sz="0" w:space="0" w:color="auto"/>
                    <w:bottom w:val="none" w:sz="0" w:space="0" w:color="auto"/>
                    <w:right w:val="none" w:sz="0" w:space="0" w:color="auto"/>
                  </w:divBdr>
                  <w:divsChild>
                    <w:div w:id="1806393209">
                      <w:marLeft w:val="0"/>
                      <w:marRight w:val="0"/>
                      <w:marTop w:val="0"/>
                      <w:marBottom w:val="0"/>
                      <w:divBdr>
                        <w:top w:val="none" w:sz="0" w:space="0" w:color="auto"/>
                        <w:left w:val="none" w:sz="0" w:space="0" w:color="auto"/>
                        <w:bottom w:val="none" w:sz="0" w:space="0" w:color="auto"/>
                        <w:right w:val="none" w:sz="0" w:space="0" w:color="auto"/>
                      </w:divBdr>
                      <w:divsChild>
                        <w:div w:id="1955205397">
                          <w:marLeft w:val="0"/>
                          <w:marRight w:val="0"/>
                          <w:marTop w:val="0"/>
                          <w:marBottom w:val="0"/>
                          <w:divBdr>
                            <w:top w:val="none" w:sz="0" w:space="0" w:color="auto"/>
                            <w:left w:val="none" w:sz="0" w:space="0" w:color="auto"/>
                            <w:bottom w:val="none" w:sz="0" w:space="0" w:color="auto"/>
                            <w:right w:val="none" w:sz="0" w:space="0" w:color="auto"/>
                          </w:divBdr>
                          <w:divsChild>
                            <w:div w:id="177478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712080">
      <w:bodyDiv w:val="1"/>
      <w:marLeft w:val="0"/>
      <w:marRight w:val="0"/>
      <w:marTop w:val="0"/>
      <w:marBottom w:val="0"/>
      <w:divBdr>
        <w:top w:val="none" w:sz="0" w:space="0" w:color="auto"/>
        <w:left w:val="none" w:sz="0" w:space="0" w:color="auto"/>
        <w:bottom w:val="none" w:sz="0" w:space="0" w:color="auto"/>
        <w:right w:val="none" w:sz="0" w:space="0" w:color="auto"/>
      </w:divBdr>
    </w:div>
    <w:div w:id="1087337595">
      <w:bodyDiv w:val="1"/>
      <w:marLeft w:val="0"/>
      <w:marRight w:val="0"/>
      <w:marTop w:val="0"/>
      <w:marBottom w:val="0"/>
      <w:divBdr>
        <w:top w:val="none" w:sz="0" w:space="0" w:color="auto"/>
        <w:left w:val="none" w:sz="0" w:space="0" w:color="auto"/>
        <w:bottom w:val="none" w:sz="0" w:space="0" w:color="auto"/>
        <w:right w:val="none" w:sz="0" w:space="0" w:color="auto"/>
      </w:divBdr>
    </w:div>
    <w:div w:id="1088580743">
      <w:bodyDiv w:val="1"/>
      <w:marLeft w:val="0"/>
      <w:marRight w:val="0"/>
      <w:marTop w:val="0"/>
      <w:marBottom w:val="0"/>
      <w:divBdr>
        <w:top w:val="none" w:sz="0" w:space="0" w:color="auto"/>
        <w:left w:val="none" w:sz="0" w:space="0" w:color="auto"/>
        <w:bottom w:val="none" w:sz="0" w:space="0" w:color="auto"/>
        <w:right w:val="none" w:sz="0" w:space="0" w:color="auto"/>
      </w:divBdr>
      <w:divsChild>
        <w:div w:id="1487865308">
          <w:marLeft w:val="0"/>
          <w:marRight w:val="0"/>
          <w:marTop w:val="0"/>
          <w:marBottom w:val="0"/>
          <w:divBdr>
            <w:top w:val="none" w:sz="0" w:space="0" w:color="auto"/>
            <w:left w:val="none" w:sz="0" w:space="0" w:color="auto"/>
            <w:bottom w:val="none" w:sz="0" w:space="0" w:color="auto"/>
            <w:right w:val="none" w:sz="0" w:space="0" w:color="auto"/>
          </w:divBdr>
          <w:divsChild>
            <w:div w:id="1473904722">
              <w:marLeft w:val="0"/>
              <w:marRight w:val="0"/>
              <w:marTop w:val="0"/>
              <w:marBottom w:val="0"/>
              <w:divBdr>
                <w:top w:val="none" w:sz="0" w:space="0" w:color="auto"/>
                <w:left w:val="none" w:sz="0" w:space="0" w:color="auto"/>
                <w:bottom w:val="none" w:sz="0" w:space="0" w:color="auto"/>
                <w:right w:val="none" w:sz="0" w:space="0" w:color="auto"/>
              </w:divBdr>
              <w:divsChild>
                <w:div w:id="519389901">
                  <w:marLeft w:val="0"/>
                  <w:marRight w:val="0"/>
                  <w:marTop w:val="0"/>
                  <w:marBottom w:val="0"/>
                  <w:divBdr>
                    <w:top w:val="none" w:sz="0" w:space="0" w:color="auto"/>
                    <w:left w:val="none" w:sz="0" w:space="0" w:color="auto"/>
                    <w:bottom w:val="none" w:sz="0" w:space="0" w:color="auto"/>
                    <w:right w:val="none" w:sz="0" w:space="0" w:color="auto"/>
                  </w:divBdr>
                  <w:divsChild>
                    <w:div w:id="1069691625">
                      <w:marLeft w:val="0"/>
                      <w:marRight w:val="0"/>
                      <w:marTop w:val="0"/>
                      <w:marBottom w:val="0"/>
                      <w:divBdr>
                        <w:top w:val="none" w:sz="0" w:space="0" w:color="auto"/>
                        <w:left w:val="none" w:sz="0" w:space="0" w:color="auto"/>
                        <w:bottom w:val="none" w:sz="0" w:space="0" w:color="auto"/>
                        <w:right w:val="none" w:sz="0" w:space="0" w:color="auto"/>
                      </w:divBdr>
                      <w:divsChild>
                        <w:div w:id="157309339">
                          <w:marLeft w:val="0"/>
                          <w:marRight w:val="0"/>
                          <w:marTop w:val="0"/>
                          <w:marBottom w:val="0"/>
                          <w:divBdr>
                            <w:top w:val="none" w:sz="0" w:space="0" w:color="auto"/>
                            <w:left w:val="none" w:sz="0" w:space="0" w:color="auto"/>
                            <w:bottom w:val="none" w:sz="0" w:space="0" w:color="auto"/>
                            <w:right w:val="none" w:sz="0" w:space="0" w:color="auto"/>
                          </w:divBdr>
                          <w:divsChild>
                            <w:div w:id="103457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751065">
      <w:bodyDiv w:val="1"/>
      <w:marLeft w:val="0"/>
      <w:marRight w:val="0"/>
      <w:marTop w:val="0"/>
      <w:marBottom w:val="0"/>
      <w:divBdr>
        <w:top w:val="none" w:sz="0" w:space="0" w:color="auto"/>
        <w:left w:val="none" w:sz="0" w:space="0" w:color="auto"/>
        <w:bottom w:val="none" w:sz="0" w:space="0" w:color="auto"/>
        <w:right w:val="none" w:sz="0" w:space="0" w:color="auto"/>
      </w:divBdr>
    </w:div>
    <w:div w:id="1099836941">
      <w:bodyDiv w:val="1"/>
      <w:marLeft w:val="0"/>
      <w:marRight w:val="0"/>
      <w:marTop w:val="0"/>
      <w:marBottom w:val="0"/>
      <w:divBdr>
        <w:top w:val="none" w:sz="0" w:space="0" w:color="auto"/>
        <w:left w:val="none" w:sz="0" w:space="0" w:color="auto"/>
        <w:bottom w:val="none" w:sz="0" w:space="0" w:color="auto"/>
        <w:right w:val="none" w:sz="0" w:space="0" w:color="auto"/>
      </w:divBdr>
    </w:div>
    <w:div w:id="1119908942">
      <w:bodyDiv w:val="1"/>
      <w:marLeft w:val="0"/>
      <w:marRight w:val="0"/>
      <w:marTop w:val="0"/>
      <w:marBottom w:val="0"/>
      <w:divBdr>
        <w:top w:val="none" w:sz="0" w:space="0" w:color="auto"/>
        <w:left w:val="none" w:sz="0" w:space="0" w:color="auto"/>
        <w:bottom w:val="none" w:sz="0" w:space="0" w:color="auto"/>
        <w:right w:val="none" w:sz="0" w:space="0" w:color="auto"/>
      </w:divBdr>
    </w:div>
    <w:div w:id="1157385534">
      <w:bodyDiv w:val="1"/>
      <w:marLeft w:val="0"/>
      <w:marRight w:val="0"/>
      <w:marTop w:val="0"/>
      <w:marBottom w:val="0"/>
      <w:divBdr>
        <w:top w:val="none" w:sz="0" w:space="0" w:color="auto"/>
        <w:left w:val="none" w:sz="0" w:space="0" w:color="auto"/>
        <w:bottom w:val="none" w:sz="0" w:space="0" w:color="auto"/>
        <w:right w:val="none" w:sz="0" w:space="0" w:color="auto"/>
      </w:divBdr>
      <w:divsChild>
        <w:div w:id="1603297028">
          <w:marLeft w:val="0"/>
          <w:marRight w:val="0"/>
          <w:marTop w:val="0"/>
          <w:marBottom w:val="0"/>
          <w:divBdr>
            <w:top w:val="none" w:sz="0" w:space="0" w:color="auto"/>
            <w:left w:val="none" w:sz="0" w:space="0" w:color="auto"/>
            <w:bottom w:val="none" w:sz="0" w:space="0" w:color="auto"/>
            <w:right w:val="none" w:sz="0" w:space="0" w:color="auto"/>
          </w:divBdr>
          <w:divsChild>
            <w:div w:id="2069113571">
              <w:marLeft w:val="0"/>
              <w:marRight w:val="0"/>
              <w:marTop w:val="0"/>
              <w:marBottom w:val="0"/>
              <w:divBdr>
                <w:top w:val="none" w:sz="0" w:space="0" w:color="auto"/>
                <w:left w:val="none" w:sz="0" w:space="0" w:color="auto"/>
                <w:bottom w:val="none" w:sz="0" w:space="0" w:color="auto"/>
                <w:right w:val="none" w:sz="0" w:space="0" w:color="auto"/>
              </w:divBdr>
              <w:divsChild>
                <w:div w:id="792790153">
                  <w:marLeft w:val="0"/>
                  <w:marRight w:val="0"/>
                  <w:marTop w:val="0"/>
                  <w:marBottom w:val="0"/>
                  <w:divBdr>
                    <w:top w:val="none" w:sz="0" w:space="0" w:color="auto"/>
                    <w:left w:val="none" w:sz="0" w:space="0" w:color="auto"/>
                    <w:bottom w:val="none" w:sz="0" w:space="0" w:color="auto"/>
                    <w:right w:val="none" w:sz="0" w:space="0" w:color="auto"/>
                  </w:divBdr>
                  <w:divsChild>
                    <w:div w:id="429551521">
                      <w:marLeft w:val="0"/>
                      <w:marRight w:val="0"/>
                      <w:marTop w:val="0"/>
                      <w:marBottom w:val="0"/>
                      <w:divBdr>
                        <w:top w:val="none" w:sz="0" w:space="0" w:color="auto"/>
                        <w:left w:val="none" w:sz="0" w:space="0" w:color="auto"/>
                        <w:bottom w:val="none" w:sz="0" w:space="0" w:color="auto"/>
                        <w:right w:val="none" w:sz="0" w:space="0" w:color="auto"/>
                      </w:divBdr>
                      <w:divsChild>
                        <w:div w:id="1755928106">
                          <w:marLeft w:val="0"/>
                          <w:marRight w:val="0"/>
                          <w:marTop w:val="0"/>
                          <w:marBottom w:val="0"/>
                          <w:divBdr>
                            <w:top w:val="none" w:sz="0" w:space="0" w:color="auto"/>
                            <w:left w:val="none" w:sz="0" w:space="0" w:color="auto"/>
                            <w:bottom w:val="none" w:sz="0" w:space="0" w:color="auto"/>
                            <w:right w:val="none" w:sz="0" w:space="0" w:color="auto"/>
                          </w:divBdr>
                          <w:divsChild>
                            <w:div w:id="1830173663">
                              <w:marLeft w:val="0"/>
                              <w:marRight w:val="0"/>
                              <w:marTop w:val="0"/>
                              <w:marBottom w:val="0"/>
                              <w:divBdr>
                                <w:top w:val="none" w:sz="0" w:space="0" w:color="auto"/>
                                <w:left w:val="none" w:sz="0" w:space="0" w:color="auto"/>
                                <w:bottom w:val="none" w:sz="0" w:space="0" w:color="auto"/>
                                <w:right w:val="none" w:sz="0" w:space="0" w:color="auto"/>
                              </w:divBdr>
                              <w:divsChild>
                                <w:div w:id="150381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420196">
      <w:bodyDiv w:val="1"/>
      <w:marLeft w:val="0"/>
      <w:marRight w:val="0"/>
      <w:marTop w:val="0"/>
      <w:marBottom w:val="0"/>
      <w:divBdr>
        <w:top w:val="none" w:sz="0" w:space="0" w:color="auto"/>
        <w:left w:val="none" w:sz="0" w:space="0" w:color="auto"/>
        <w:bottom w:val="none" w:sz="0" w:space="0" w:color="auto"/>
        <w:right w:val="none" w:sz="0" w:space="0" w:color="auto"/>
      </w:divBdr>
    </w:div>
    <w:div w:id="1204170646">
      <w:bodyDiv w:val="1"/>
      <w:marLeft w:val="0"/>
      <w:marRight w:val="0"/>
      <w:marTop w:val="0"/>
      <w:marBottom w:val="0"/>
      <w:divBdr>
        <w:top w:val="none" w:sz="0" w:space="0" w:color="auto"/>
        <w:left w:val="none" w:sz="0" w:space="0" w:color="auto"/>
        <w:bottom w:val="none" w:sz="0" w:space="0" w:color="auto"/>
        <w:right w:val="none" w:sz="0" w:space="0" w:color="auto"/>
      </w:divBdr>
    </w:div>
    <w:div w:id="1210342453">
      <w:bodyDiv w:val="1"/>
      <w:marLeft w:val="0"/>
      <w:marRight w:val="0"/>
      <w:marTop w:val="0"/>
      <w:marBottom w:val="0"/>
      <w:divBdr>
        <w:top w:val="none" w:sz="0" w:space="0" w:color="auto"/>
        <w:left w:val="none" w:sz="0" w:space="0" w:color="auto"/>
        <w:bottom w:val="none" w:sz="0" w:space="0" w:color="auto"/>
        <w:right w:val="none" w:sz="0" w:space="0" w:color="auto"/>
      </w:divBdr>
    </w:div>
    <w:div w:id="1231423346">
      <w:bodyDiv w:val="1"/>
      <w:marLeft w:val="0"/>
      <w:marRight w:val="0"/>
      <w:marTop w:val="0"/>
      <w:marBottom w:val="0"/>
      <w:divBdr>
        <w:top w:val="none" w:sz="0" w:space="0" w:color="auto"/>
        <w:left w:val="none" w:sz="0" w:space="0" w:color="auto"/>
        <w:bottom w:val="none" w:sz="0" w:space="0" w:color="auto"/>
        <w:right w:val="none" w:sz="0" w:space="0" w:color="auto"/>
      </w:divBdr>
    </w:div>
    <w:div w:id="1242056747">
      <w:bodyDiv w:val="1"/>
      <w:marLeft w:val="0"/>
      <w:marRight w:val="0"/>
      <w:marTop w:val="0"/>
      <w:marBottom w:val="0"/>
      <w:divBdr>
        <w:top w:val="none" w:sz="0" w:space="0" w:color="auto"/>
        <w:left w:val="none" w:sz="0" w:space="0" w:color="auto"/>
        <w:bottom w:val="none" w:sz="0" w:space="0" w:color="auto"/>
        <w:right w:val="none" w:sz="0" w:space="0" w:color="auto"/>
      </w:divBdr>
      <w:divsChild>
        <w:div w:id="655843373">
          <w:marLeft w:val="0"/>
          <w:marRight w:val="0"/>
          <w:marTop w:val="0"/>
          <w:marBottom w:val="0"/>
          <w:divBdr>
            <w:top w:val="none" w:sz="0" w:space="0" w:color="auto"/>
            <w:left w:val="none" w:sz="0" w:space="0" w:color="auto"/>
            <w:bottom w:val="none" w:sz="0" w:space="0" w:color="auto"/>
            <w:right w:val="none" w:sz="0" w:space="0" w:color="auto"/>
          </w:divBdr>
          <w:divsChild>
            <w:div w:id="1082482142">
              <w:marLeft w:val="0"/>
              <w:marRight w:val="0"/>
              <w:marTop w:val="0"/>
              <w:marBottom w:val="0"/>
              <w:divBdr>
                <w:top w:val="none" w:sz="0" w:space="0" w:color="auto"/>
                <w:left w:val="none" w:sz="0" w:space="0" w:color="auto"/>
                <w:bottom w:val="none" w:sz="0" w:space="0" w:color="auto"/>
                <w:right w:val="none" w:sz="0" w:space="0" w:color="auto"/>
              </w:divBdr>
              <w:divsChild>
                <w:div w:id="1227839649">
                  <w:marLeft w:val="0"/>
                  <w:marRight w:val="0"/>
                  <w:marTop w:val="0"/>
                  <w:marBottom w:val="0"/>
                  <w:divBdr>
                    <w:top w:val="none" w:sz="0" w:space="0" w:color="auto"/>
                    <w:left w:val="none" w:sz="0" w:space="0" w:color="auto"/>
                    <w:bottom w:val="none" w:sz="0" w:space="0" w:color="auto"/>
                    <w:right w:val="none" w:sz="0" w:space="0" w:color="auto"/>
                  </w:divBdr>
                  <w:divsChild>
                    <w:div w:id="139999057">
                      <w:marLeft w:val="0"/>
                      <w:marRight w:val="0"/>
                      <w:marTop w:val="0"/>
                      <w:marBottom w:val="0"/>
                      <w:divBdr>
                        <w:top w:val="none" w:sz="0" w:space="0" w:color="auto"/>
                        <w:left w:val="none" w:sz="0" w:space="0" w:color="auto"/>
                        <w:bottom w:val="none" w:sz="0" w:space="0" w:color="auto"/>
                        <w:right w:val="none" w:sz="0" w:space="0" w:color="auto"/>
                      </w:divBdr>
                      <w:divsChild>
                        <w:div w:id="538593288">
                          <w:marLeft w:val="0"/>
                          <w:marRight w:val="0"/>
                          <w:marTop w:val="0"/>
                          <w:marBottom w:val="0"/>
                          <w:divBdr>
                            <w:top w:val="none" w:sz="0" w:space="0" w:color="auto"/>
                            <w:left w:val="none" w:sz="0" w:space="0" w:color="auto"/>
                            <w:bottom w:val="none" w:sz="0" w:space="0" w:color="auto"/>
                            <w:right w:val="none" w:sz="0" w:space="0" w:color="auto"/>
                          </w:divBdr>
                          <w:divsChild>
                            <w:div w:id="129710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786996">
      <w:bodyDiv w:val="1"/>
      <w:marLeft w:val="0"/>
      <w:marRight w:val="0"/>
      <w:marTop w:val="0"/>
      <w:marBottom w:val="0"/>
      <w:divBdr>
        <w:top w:val="none" w:sz="0" w:space="0" w:color="auto"/>
        <w:left w:val="none" w:sz="0" w:space="0" w:color="auto"/>
        <w:bottom w:val="none" w:sz="0" w:space="0" w:color="auto"/>
        <w:right w:val="none" w:sz="0" w:space="0" w:color="auto"/>
      </w:divBdr>
    </w:div>
    <w:div w:id="1275089211">
      <w:bodyDiv w:val="1"/>
      <w:marLeft w:val="0"/>
      <w:marRight w:val="0"/>
      <w:marTop w:val="0"/>
      <w:marBottom w:val="0"/>
      <w:divBdr>
        <w:top w:val="none" w:sz="0" w:space="0" w:color="auto"/>
        <w:left w:val="none" w:sz="0" w:space="0" w:color="auto"/>
        <w:bottom w:val="none" w:sz="0" w:space="0" w:color="auto"/>
        <w:right w:val="none" w:sz="0" w:space="0" w:color="auto"/>
      </w:divBdr>
    </w:div>
    <w:div w:id="1281571610">
      <w:bodyDiv w:val="1"/>
      <w:marLeft w:val="0"/>
      <w:marRight w:val="0"/>
      <w:marTop w:val="0"/>
      <w:marBottom w:val="0"/>
      <w:divBdr>
        <w:top w:val="none" w:sz="0" w:space="0" w:color="auto"/>
        <w:left w:val="none" w:sz="0" w:space="0" w:color="auto"/>
        <w:bottom w:val="none" w:sz="0" w:space="0" w:color="auto"/>
        <w:right w:val="none" w:sz="0" w:space="0" w:color="auto"/>
      </w:divBdr>
    </w:div>
    <w:div w:id="1293437645">
      <w:bodyDiv w:val="1"/>
      <w:marLeft w:val="0"/>
      <w:marRight w:val="0"/>
      <w:marTop w:val="0"/>
      <w:marBottom w:val="0"/>
      <w:divBdr>
        <w:top w:val="none" w:sz="0" w:space="0" w:color="auto"/>
        <w:left w:val="none" w:sz="0" w:space="0" w:color="auto"/>
        <w:bottom w:val="none" w:sz="0" w:space="0" w:color="auto"/>
        <w:right w:val="none" w:sz="0" w:space="0" w:color="auto"/>
      </w:divBdr>
    </w:div>
    <w:div w:id="1317497120">
      <w:bodyDiv w:val="1"/>
      <w:marLeft w:val="0"/>
      <w:marRight w:val="0"/>
      <w:marTop w:val="0"/>
      <w:marBottom w:val="0"/>
      <w:divBdr>
        <w:top w:val="none" w:sz="0" w:space="0" w:color="auto"/>
        <w:left w:val="none" w:sz="0" w:space="0" w:color="auto"/>
        <w:bottom w:val="none" w:sz="0" w:space="0" w:color="auto"/>
        <w:right w:val="none" w:sz="0" w:space="0" w:color="auto"/>
      </w:divBdr>
    </w:div>
    <w:div w:id="1334601960">
      <w:bodyDiv w:val="1"/>
      <w:marLeft w:val="0"/>
      <w:marRight w:val="0"/>
      <w:marTop w:val="0"/>
      <w:marBottom w:val="0"/>
      <w:divBdr>
        <w:top w:val="none" w:sz="0" w:space="0" w:color="auto"/>
        <w:left w:val="none" w:sz="0" w:space="0" w:color="auto"/>
        <w:bottom w:val="none" w:sz="0" w:space="0" w:color="auto"/>
        <w:right w:val="none" w:sz="0" w:space="0" w:color="auto"/>
      </w:divBdr>
    </w:div>
    <w:div w:id="1340429935">
      <w:bodyDiv w:val="1"/>
      <w:marLeft w:val="0"/>
      <w:marRight w:val="0"/>
      <w:marTop w:val="0"/>
      <w:marBottom w:val="0"/>
      <w:divBdr>
        <w:top w:val="none" w:sz="0" w:space="0" w:color="auto"/>
        <w:left w:val="none" w:sz="0" w:space="0" w:color="auto"/>
        <w:bottom w:val="none" w:sz="0" w:space="0" w:color="auto"/>
        <w:right w:val="none" w:sz="0" w:space="0" w:color="auto"/>
      </w:divBdr>
    </w:div>
    <w:div w:id="1342704755">
      <w:bodyDiv w:val="1"/>
      <w:marLeft w:val="0"/>
      <w:marRight w:val="0"/>
      <w:marTop w:val="0"/>
      <w:marBottom w:val="0"/>
      <w:divBdr>
        <w:top w:val="none" w:sz="0" w:space="0" w:color="auto"/>
        <w:left w:val="none" w:sz="0" w:space="0" w:color="auto"/>
        <w:bottom w:val="none" w:sz="0" w:space="0" w:color="auto"/>
        <w:right w:val="none" w:sz="0" w:space="0" w:color="auto"/>
      </w:divBdr>
    </w:div>
    <w:div w:id="1349715077">
      <w:bodyDiv w:val="1"/>
      <w:marLeft w:val="0"/>
      <w:marRight w:val="0"/>
      <w:marTop w:val="0"/>
      <w:marBottom w:val="0"/>
      <w:divBdr>
        <w:top w:val="none" w:sz="0" w:space="0" w:color="auto"/>
        <w:left w:val="none" w:sz="0" w:space="0" w:color="auto"/>
        <w:bottom w:val="none" w:sz="0" w:space="0" w:color="auto"/>
        <w:right w:val="none" w:sz="0" w:space="0" w:color="auto"/>
      </w:divBdr>
    </w:div>
    <w:div w:id="1362899104">
      <w:bodyDiv w:val="1"/>
      <w:marLeft w:val="0"/>
      <w:marRight w:val="0"/>
      <w:marTop w:val="0"/>
      <w:marBottom w:val="0"/>
      <w:divBdr>
        <w:top w:val="none" w:sz="0" w:space="0" w:color="auto"/>
        <w:left w:val="none" w:sz="0" w:space="0" w:color="auto"/>
        <w:bottom w:val="none" w:sz="0" w:space="0" w:color="auto"/>
        <w:right w:val="none" w:sz="0" w:space="0" w:color="auto"/>
      </w:divBdr>
    </w:div>
    <w:div w:id="1387993140">
      <w:bodyDiv w:val="1"/>
      <w:marLeft w:val="0"/>
      <w:marRight w:val="0"/>
      <w:marTop w:val="0"/>
      <w:marBottom w:val="0"/>
      <w:divBdr>
        <w:top w:val="none" w:sz="0" w:space="0" w:color="auto"/>
        <w:left w:val="none" w:sz="0" w:space="0" w:color="auto"/>
        <w:bottom w:val="none" w:sz="0" w:space="0" w:color="auto"/>
        <w:right w:val="none" w:sz="0" w:space="0" w:color="auto"/>
      </w:divBdr>
      <w:divsChild>
        <w:div w:id="980428057">
          <w:marLeft w:val="0"/>
          <w:marRight w:val="0"/>
          <w:marTop w:val="0"/>
          <w:marBottom w:val="0"/>
          <w:divBdr>
            <w:top w:val="none" w:sz="0" w:space="0" w:color="auto"/>
            <w:left w:val="none" w:sz="0" w:space="0" w:color="auto"/>
            <w:bottom w:val="none" w:sz="0" w:space="0" w:color="auto"/>
            <w:right w:val="none" w:sz="0" w:space="0" w:color="auto"/>
          </w:divBdr>
          <w:divsChild>
            <w:div w:id="1841190022">
              <w:marLeft w:val="0"/>
              <w:marRight w:val="0"/>
              <w:marTop w:val="0"/>
              <w:marBottom w:val="0"/>
              <w:divBdr>
                <w:top w:val="none" w:sz="0" w:space="0" w:color="auto"/>
                <w:left w:val="none" w:sz="0" w:space="0" w:color="auto"/>
                <w:bottom w:val="none" w:sz="0" w:space="0" w:color="auto"/>
                <w:right w:val="none" w:sz="0" w:space="0" w:color="auto"/>
              </w:divBdr>
              <w:divsChild>
                <w:div w:id="896478044">
                  <w:marLeft w:val="0"/>
                  <w:marRight w:val="0"/>
                  <w:marTop w:val="0"/>
                  <w:marBottom w:val="0"/>
                  <w:divBdr>
                    <w:top w:val="none" w:sz="0" w:space="0" w:color="auto"/>
                    <w:left w:val="none" w:sz="0" w:space="0" w:color="auto"/>
                    <w:bottom w:val="none" w:sz="0" w:space="0" w:color="auto"/>
                    <w:right w:val="none" w:sz="0" w:space="0" w:color="auto"/>
                  </w:divBdr>
                  <w:divsChild>
                    <w:div w:id="2014409510">
                      <w:marLeft w:val="0"/>
                      <w:marRight w:val="0"/>
                      <w:marTop w:val="0"/>
                      <w:marBottom w:val="0"/>
                      <w:divBdr>
                        <w:top w:val="none" w:sz="0" w:space="0" w:color="auto"/>
                        <w:left w:val="none" w:sz="0" w:space="0" w:color="auto"/>
                        <w:bottom w:val="none" w:sz="0" w:space="0" w:color="auto"/>
                        <w:right w:val="none" w:sz="0" w:space="0" w:color="auto"/>
                      </w:divBdr>
                      <w:divsChild>
                        <w:div w:id="860510541">
                          <w:marLeft w:val="0"/>
                          <w:marRight w:val="0"/>
                          <w:marTop w:val="0"/>
                          <w:marBottom w:val="0"/>
                          <w:divBdr>
                            <w:top w:val="none" w:sz="0" w:space="0" w:color="auto"/>
                            <w:left w:val="none" w:sz="0" w:space="0" w:color="auto"/>
                            <w:bottom w:val="none" w:sz="0" w:space="0" w:color="auto"/>
                            <w:right w:val="none" w:sz="0" w:space="0" w:color="auto"/>
                          </w:divBdr>
                          <w:divsChild>
                            <w:div w:id="540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113027">
      <w:bodyDiv w:val="1"/>
      <w:marLeft w:val="0"/>
      <w:marRight w:val="0"/>
      <w:marTop w:val="0"/>
      <w:marBottom w:val="0"/>
      <w:divBdr>
        <w:top w:val="none" w:sz="0" w:space="0" w:color="auto"/>
        <w:left w:val="none" w:sz="0" w:space="0" w:color="auto"/>
        <w:bottom w:val="none" w:sz="0" w:space="0" w:color="auto"/>
        <w:right w:val="none" w:sz="0" w:space="0" w:color="auto"/>
      </w:divBdr>
    </w:div>
    <w:div w:id="1444305886">
      <w:bodyDiv w:val="1"/>
      <w:marLeft w:val="0"/>
      <w:marRight w:val="0"/>
      <w:marTop w:val="0"/>
      <w:marBottom w:val="0"/>
      <w:divBdr>
        <w:top w:val="none" w:sz="0" w:space="0" w:color="auto"/>
        <w:left w:val="none" w:sz="0" w:space="0" w:color="auto"/>
        <w:bottom w:val="none" w:sz="0" w:space="0" w:color="auto"/>
        <w:right w:val="none" w:sz="0" w:space="0" w:color="auto"/>
      </w:divBdr>
    </w:div>
    <w:div w:id="1451121377">
      <w:bodyDiv w:val="1"/>
      <w:marLeft w:val="0"/>
      <w:marRight w:val="0"/>
      <w:marTop w:val="0"/>
      <w:marBottom w:val="0"/>
      <w:divBdr>
        <w:top w:val="none" w:sz="0" w:space="0" w:color="auto"/>
        <w:left w:val="none" w:sz="0" w:space="0" w:color="auto"/>
        <w:bottom w:val="none" w:sz="0" w:space="0" w:color="auto"/>
        <w:right w:val="none" w:sz="0" w:space="0" w:color="auto"/>
      </w:divBdr>
    </w:div>
    <w:div w:id="1461265235">
      <w:bodyDiv w:val="1"/>
      <w:marLeft w:val="0"/>
      <w:marRight w:val="0"/>
      <w:marTop w:val="0"/>
      <w:marBottom w:val="0"/>
      <w:divBdr>
        <w:top w:val="none" w:sz="0" w:space="0" w:color="auto"/>
        <w:left w:val="none" w:sz="0" w:space="0" w:color="auto"/>
        <w:bottom w:val="none" w:sz="0" w:space="0" w:color="auto"/>
        <w:right w:val="none" w:sz="0" w:space="0" w:color="auto"/>
      </w:divBdr>
    </w:div>
    <w:div w:id="1499687559">
      <w:bodyDiv w:val="1"/>
      <w:marLeft w:val="0"/>
      <w:marRight w:val="0"/>
      <w:marTop w:val="0"/>
      <w:marBottom w:val="0"/>
      <w:divBdr>
        <w:top w:val="none" w:sz="0" w:space="0" w:color="auto"/>
        <w:left w:val="none" w:sz="0" w:space="0" w:color="auto"/>
        <w:bottom w:val="none" w:sz="0" w:space="0" w:color="auto"/>
        <w:right w:val="none" w:sz="0" w:space="0" w:color="auto"/>
      </w:divBdr>
      <w:divsChild>
        <w:div w:id="1161703626">
          <w:marLeft w:val="0"/>
          <w:marRight w:val="0"/>
          <w:marTop w:val="0"/>
          <w:marBottom w:val="0"/>
          <w:divBdr>
            <w:top w:val="none" w:sz="0" w:space="0" w:color="auto"/>
            <w:left w:val="none" w:sz="0" w:space="0" w:color="auto"/>
            <w:bottom w:val="none" w:sz="0" w:space="0" w:color="auto"/>
            <w:right w:val="none" w:sz="0" w:space="0" w:color="auto"/>
          </w:divBdr>
          <w:divsChild>
            <w:div w:id="955408169">
              <w:marLeft w:val="0"/>
              <w:marRight w:val="0"/>
              <w:marTop w:val="0"/>
              <w:marBottom w:val="0"/>
              <w:divBdr>
                <w:top w:val="none" w:sz="0" w:space="0" w:color="auto"/>
                <w:left w:val="none" w:sz="0" w:space="0" w:color="auto"/>
                <w:bottom w:val="none" w:sz="0" w:space="0" w:color="auto"/>
                <w:right w:val="none" w:sz="0" w:space="0" w:color="auto"/>
              </w:divBdr>
              <w:divsChild>
                <w:div w:id="305815076">
                  <w:marLeft w:val="0"/>
                  <w:marRight w:val="0"/>
                  <w:marTop w:val="0"/>
                  <w:marBottom w:val="0"/>
                  <w:divBdr>
                    <w:top w:val="none" w:sz="0" w:space="0" w:color="auto"/>
                    <w:left w:val="none" w:sz="0" w:space="0" w:color="auto"/>
                    <w:bottom w:val="none" w:sz="0" w:space="0" w:color="auto"/>
                    <w:right w:val="none" w:sz="0" w:space="0" w:color="auto"/>
                  </w:divBdr>
                  <w:divsChild>
                    <w:div w:id="1601797830">
                      <w:marLeft w:val="0"/>
                      <w:marRight w:val="0"/>
                      <w:marTop w:val="0"/>
                      <w:marBottom w:val="0"/>
                      <w:divBdr>
                        <w:top w:val="none" w:sz="0" w:space="0" w:color="auto"/>
                        <w:left w:val="none" w:sz="0" w:space="0" w:color="auto"/>
                        <w:bottom w:val="none" w:sz="0" w:space="0" w:color="auto"/>
                        <w:right w:val="none" w:sz="0" w:space="0" w:color="auto"/>
                      </w:divBdr>
                      <w:divsChild>
                        <w:div w:id="837769948">
                          <w:marLeft w:val="0"/>
                          <w:marRight w:val="0"/>
                          <w:marTop w:val="0"/>
                          <w:marBottom w:val="0"/>
                          <w:divBdr>
                            <w:top w:val="none" w:sz="0" w:space="0" w:color="auto"/>
                            <w:left w:val="none" w:sz="0" w:space="0" w:color="auto"/>
                            <w:bottom w:val="none" w:sz="0" w:space="0" w:color="auto"/>
                            <w:right w:val="none" w:sz="0" w:space="0" w:color="auto"/>
                          </w:divBdr>
                          <w:divsChild>
                            <w:div w:id="1160929812">
                              <w:marLeft w:val="0"/>
                              <w:marRight w:val="0"/>
                              <w:marTop w:val="0"/>
                              <w:marBottom w:val="0"/>
                              <w:divBdr>
                                <w:top w:val="none" w:sz="0" w:space="0" w:color="auto"/>
                                <w:left w:val="none" w:sz="0" w:space="0" w:color="auto"/>
                                <w:bottom w:val="none" w:sz="0" w:space="0" w:color="auto"/>
                                <w:right w:val="none" w:sz="0" w:space="0" w:color="auto"/>
                              </w:divBdr>
                              <w:divsChild>
                                <w:div w:id="84602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068923">
      <w:bodyDiv w:val="1"/>
      <w:marLeft w:val="0"/>
      <w:marRight w:val="0"/>
      <w:marTop w:val="0"/>
      <w:marBottom w:val="0"/>
      <w:divBdr>
        <w:top w:val="none" w:sz="0" w:space="0" w:color="auto"/>
        <w:left w:val="none" w:sz="0" w:space="0" w:color="auto"/>
        <w:bottom w:val="none" w:sz="0" w:space="0" w:color="auto"/>
        <w:right w:val="none" w:sz="0" w:space="0" w:color="auto"/>
      </w:divBdr>
    </w:div>
    <w:div w:id="1528130722">
      <w:bodyDiv w:val="1"/>
      <w:marLeft w:val="0"/>
      <w:marRight w:val="0"/>
      <w:marTop w:val="0"/>
      <w:marBottom w:val="0"/>
      <w:divBdr>
        <w:top w:val="none" w:sz="0" w:space="0" w:color="auto"/>
        <w:left w:val="none" w:sz="0" w:space="0" w:color="auto"/>
        <w:bottom w:val="none" w:sz="0" w:space="0" w:color="auto"/>
        <w:right w:val="none" w:sz="0" w:space="0" w:color="auto"/>
      </w:divBdr>
    </w:div>
    <w:div w:id="1590040349">
      <w:bodyDiv w:val="1"/>
      <w:marLeft w:val="0"/>
      <w:marRight w:val="0"/>
      <w:marTop w:val="0"/>
      <w:marBottom w:val="0"/>
      <w:divBdr>
        <w:top w:val="none" w:sz="0" w:space="0" w:color="auto"/>
        <w:left w:val="none" w:sz="0" w:space="0" w:color="auto"/>
        <w:bottom w:val="none" w:sz="0" w:space="0" w:color="auto"/>
        <w:right w:val="none" w:sz="0" w:space="0" w:color="auto"/>
      </w:divBdr>
      <w:divsChild>
        <w:div w:id="218788884">
          <w:marLeft w:val="0"/>
          <w:marRight w:val="0"/>
          <w:marTop w:val="0"/>
          <w:marBottom w:val="0"/>
          <w:divBdr>
            <w:top w:val="none" w:sz="0" w:space="0" w:color="auto"/>
            <w:left w:val="none" w:sz="0" w:space="0" w:color="auto"/>
            <w:bottom w:val="none" w:sz="0" w:space="0" w:color="auto"/>
            <w:right w:val="none" w:sz="0" w:space="0" w:color="auto"/>
          </w:divBdr>
          <w:divsChild>
            <w:div w:id="2098671703">
              <w:marLeft w:val="0"/>
              <w:marRight w:val="0"/>
              <w:marTop w:val="0"/>
              <w:marBottom w:val="0"/>
              <w:divBdr>
                <w:top w:val="none" w:sz="0" w:space="0" w:color="auto"/>
                <w:left w:val="none" w:sz="0" w:space="0" w:color="auto"/>
                <w:bottom w:val="none" w:sz="0" w:space="0" w:color="auto"/>
                <w:right w:val="none" w:sz="0" w:space="0" w:color="auto"/>
              </w:divBdr>
              <w:divsChild>
                <w:div w:id="1385716228">
                  <w:marLeft w:val="0"/>
                  <w:marRight w:val="0"/>
                  <w:marTop w:val="0"/>
                  <w:marBottom w:val="0"/>
                  <w:divBdr>
                    <w:top w:val="none" w:sz="0" w:space="0" w:color="auto"/>
                    <w:left w:val="none" w:sz="0" w:space="0" w:color="auto"/>
                    <w:bottom w:val="none" w:sz="0" w:space="0" w:color="auto"/>
                    <w:right w:val="none" w:sz="0" w:space="0" w:color="auto"/>
                  </w:divBdr>
                  <w:divsChild>
                    <w:div w:id="324403596">
                      <w:marLeft w:val="0"/>
                      <w:marRight w:val="0"/>
                      <w:marTop w:val="0"/>
                      <w:marBottom w:val="0"/>
                      <w:divBdr>
                        <w:top w:val="none" w:sz="0" w:space="0" w:color="auto"/>
                        <w:left w:val="none" w:sz="0" w:space="0" w:color="auto"/>
                        <w:bottom w:val="none" w:sz="0" w:space="0" w:color="auto"/>
                        <w:right w:val="none" w:sz="0" w:space="0" w:color="auto"/>
                      </w:divBdr>
                      <w:divsChild>
                        <w:div w:id="1911453761">
                          <w:marLeft w:val="0"/>
                          <w:marRight w:val="0"/>
                          <w:marTop w:val="0"/>
                          <w:marBottom w:val="0"/>
                          <w:divBdr>
                            <w:top w:val="none" w:sz="0" w:space="0" w:color="auto"/>
                            <w:left w:val="none" w:sz="0" w:space="0" w:color="auto"/>
                            <w:bottom w:val="none" w:sz="0" w:space="0" w:color="auto"/>
                            <w:right w:val="none" w:sz="0" w:space="0" w:color="auto"/>
                          </w:divBdr>
                          <w:divsChild>
                            <w:div w:id="136964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271375">
      <w:bodyDiv w:val="1"/>
      <w:marLeft w:val="0"/>
      <w:marRight w:val="0"/>
      <w:marTop w:val="0"/>
      <w:marBottom w:val="0"/>
      <w:divBdr>
        <w:top w:val="none" w:sz="0" w:space="0" w:color="auto"/>
        <w:left w:val="none" w:sz="0" w:space="0" w:color="auto"/>
        <w:bottom w:val="none" w:sz="0" w:space="0" w:color="auto"/>
        <w:right w:val="none" w:sz="0" w:space="0" w:color="auto"/>
      </w:divBdr>
    </w:div>
    <w:div w:id="1627001839">
      <w:bodyDiv w:val="1"/>
      <w:marLeft w:val="0"/>
      <w:marRight w:val="0"/>
      <w:marTop w:val="0"/>
      <w:marBottom w:val="0"/>
      <w:divBdr>
        <w:top w:val="none" w:sz="0" w:space="0" w:color="auto"/>
        <w:left w:val="none" w:sz="0" w:space="0" w:color="auto"/>
        <w:bottom w:val="none" w:sz="0" w:space="0" w:color="auto"/>
        <w:right w:val="none" w:sz="0" w:space="0" w:color="auto"/>
      </w:divBdr>
    </w:div>
    <w:div w:id="1632438225">
      <w:bodyDiv w:val="1"/>
      <w:marLeft w:val="0"/>
      <w:marRight w:val="0"/>
      <w:marTop w:val="0"/>
      <w:marBottom w:val="0"/>
      <w:divBdr>
        <w:top w:val="none" w:sz="0" w:space="0" w:color="auto"/>
        <w:left w:val="none" w:sz="0" w:space="0" w:color="auto"/>
        <w:bottom w:val="none" w:sz="0" w:space="0" w:color="auto"/>
        <w:right w:val="none" w:sz="0" w:space="0" w:color="auto"/>
      </w:divBdr>
    </w:div>
    <w:div w:id="1641839971">
      <w:bodyDiv w:val="1"/>
      <w:marLeft w:val="0"/>
      <w:marRight w:val="0"/>
      <w:marTop w:val="0"/>
      <w:marBottom w:val="0"/>
      <w:divBdr>
        <w:top w:val="none" w:sz="0" w:space="0" w:color="auto"/>
        <w:left w:val="none" w:sz="0" w:space="0" w:color="auto"/>
        <w:bottom w:val="none" w:sz="0" w:space="0" w:color="auto"/>
        <w:right w:val="none" w:sz="0" w:space="0" w:color="auto"/>
      </w:divBdr>
    </w:div>
    <w:div w:id="1644970333">
      <w:bodyDiv w:val="1"/>
      <w:marLeft w:val="0"/>
      <w:marRight w:val="0"/>
      <w:marTop w:val="0"/>
      <w:marBottom w:val="0"/>
      <w:divBdr>
        <w:top w:val="none" w:sz="0" w:space="0" w:color="auto"/>
        <w:left w:val="none" w:sz="0" w:space="0" w:color="auto"/>
        <w:bottom w:val="none" w:sz="0" w:space="0" w:color="auto"/>
        <w:right w:val="none" w:sz="0" w:space="0" w:color="auto"/>
      </w:divBdr>
      <w:divsChild>
        <w:div w:id="997029502">
          <w:marLeft w:val="0"/>
          <w:marRight w:val="0"/>
          <w:marTop w:val="0"/>
          <w:marBottom w:val="0"/>
          <w:divBdr>
            <w:top w:val="none" w:sz="0" w:space="0" w:color="auto"/>
            <w:left w:val="none" w:sz="0" w:space="0" w:color="auto"/>
            <w:bottom w:val="none" w:sz="0" w:space="0" w:color="auto"/>
            <w:right w:val="none" w:sz="0" w:space="0" w:color="auto"/>
          </w:divBdr>
          <w:divsChild>
            <w:div w:id="1224636045">
              <w:marLeft w:val="0"/>
              <w:marRight w:val="0"/>
              <w:marTop w:val="0"/>
              <w:marBottom w:val="0"/>
              <w:divBdr>
                <w:top w:val="none" w:sz="0" w:space="0" w:color="auto"/>
                <w:left w:val="none" w:sz="0" w:space="0" w:color="auto"/>
                <w:bottom w:val="none" w:sz="0" w:space="0" w:color="auto"/>
                <w:right w:val="none" w:sz="0" w:space="0" w:color="auto"/>
              </w:divBdr>
              <w:divsChild>
                <w:div w:id="2096394737">
                  <w:marLeft w:val="0"/>
                  <w:marRight w:val="0"/>
                  <w:marTop w:val="0"/>
                  <w:marBottom w:val="0"/>
                  <w:divBdr>
                    <w:top w:val="none" w:sz="0" w:space="0" w:color="auto"/>
                    <w:left w:val="none" w:sz="0" w:space="0" w:color="auto"/>
                    <w:bottom w:val="none" w:sz="0" w:space="0" w:color="auto"/>
                    <w:right w:val="none" w:sz="0" w:space="0" w:color="auto"/>
                  </w:divBdr>
                  <w:divsChild>
                    <w:div w:id="454063342">
                      <w:marLeft w:val="0"/>
                      <w:marRight w:val="0"/>
                      <w:marTop w:val="0"/>
                      <w:marBottom w:val="0"/>
                      <w:divBdr>
                        <w:top w:val="none" w:sz="0" w:space="0" w:color="auto"/>
                        <w:left w:val="none" w:sz="0" w:space="0" w:color="auto"/>
                        <w:bottom w:val="none" w:sz="0" w:space="0" w:color="auto"/>
                        <w:right w:val="none" w:sz="0" w:space="0" w:color="auto"/>
                      </w:divBdr>
                      <w:divsChild>
                        <w:div w:id="216741589">
                          <w:marLeft w:val="0"/>
                          <w:marRight w:val="0"/>
                          <w:marTop w:val="0"/>
                          <w:marBottom w:val="0"/>
                          <w:divBdr>
                            <w:top w:val="none" w:sz="0" w:space="0" w:color="auto"/>
                            <w:left w:val="none" w:sz="0" w:space="0" w:color="auto"/>
                            <w:bottom w:val="none" w:sz="0" w:space="0" w:color="auto"/>
                            <w:right w:val="none" w:sz="0" w:space="0" w:color="auto"/>
                          </w:divBdr>
                          <w:divsChild>
                            <w:div w:id="5579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312672">
      <w:bodyDiv w:val="1"/>
      <w:marLeft w:val="0"/>
      <w:marRight w:val="0"/>
      <w:marTop w:val="0"/>
      <w:marBottom w:val="0"/>
      <w:divBdr>
        <w:top w:val="none" w:sz="0" w:space="0" w:color="auto"/>
        <w:left w:val="none" w:sz="0" w:space="0" w:color="auto"/>
        <w:bottom w:val="none" w:sz="0" w:space="0" w:color="auto"/>
        <w:right w:val="none" w:sz="0" w:space="0" w:color="auto"/>
      </w:divBdr>
    </w:div>
    <w:div w:id="1723211470">
      <w:bodyDiv w:val="1"/>
      <w:marLeft w:val="0"/>
      <w:marRight w:val="0"/>
      <w:marTop w:val="0"/>
      <w:marBottom w:val="0"/>
      <w:divBdr>
        <w:top w:val="none" w:sz="0" w:space="0" w:color="auto"/>
        <w:left w:val="none" w:sz="0" w:space="0" w:color="auto"/>
        <w:bottom w:val="none" w:sz="0" w:space="0" w:color="auto"/>
        <w:right w:val="none" w:sz="0" w:space="0" w:color="auto"/>
      </w:divBdr>
    </w:div>
    <w:div w:id="1740714586">
      <w:bodyDiv w:val="1"/>
      <w:marLeft w:val="0"/>
      <w:marRight w:val="0"/>
      <w:marTop w:val="0"/>
      <w:marBottom w:val="0"/>
      <w:divBdr>
        <w:top w:val="none" w:sz="0" w:space="0" w:color="auto"/>
        <w:left w:val="none" w:sz="0" w:space="0" w:color="auto"/>
        <w:bottom w:val="none" w:sz="0" w:space="0" w:color="auto"/>
        <w:right w:val="none" w:sz="0" w:space="0" w:color="auto"/>
      </w:divBdr>
      <w:divsChild>
        <w:div w:id="1135224404">
          <w:marLeft w:val="0"/>
          <w:marRight w:val="0"/>
          <w:marTop w:val="0"/>
          <w:marBottom w:val="0"/>
          <w:divBdr>
            <w:top w:val="none" w:sz="0" w:space="0" w:color="auto"/>
            <w:left w:val="none" w:sz="0" w:space="0" w:color="auto"/>
            <w:bottom w:val="none" w:sz="0" w:space="0" w:color="auto"/>
            <w:right w:val="none" w:sz="0" w:space="0" w:color="auto"/>
          </w:divBdr>
          <w:divsChild>
            <w:div w:id="2126852615">
              <w:marLeft w:val="0"/>
              <w:marRight w:val="0"/>
              <w:marTop w:val="0"/>
              <w:marBottom w:val="0"/>
              <w:divBdr>
                <w:top w:val="none" w:sz="0" w:space="0" w:color="auto"/>
                <w:left w:val="none" w:sz="0" w:space="0" w:color="auto"/>
                <w:bottom w:val="none" w:sz="0" w:space="0" w:color="auto"/>
                <w:right w:val="none" w:sz="0" w:space="0" w:color="auto"/>
              </w:divBdr>
              <w:divsChild>
                <w:div w:id="1459685210">
                  <w:marLeft w:val="0"/>
                  <w:marRight w:val="0"/>
                  <w:marTop w:val="0"/>
                  <w:marBottom w:val="0"/>
                  <w:divBdr>
                    <w:top w:val="none" w:sz="0" w:space="0" w:color="auto"/>
                    <w:left w:val="none" w:sz="0" w:space="0" w:color="auto"/>
                    <w:bottom w:val="none" w:sz="0" w:space="0" w:color="auto"/>
                    <w:right w:val="none" w:sz="0" w:space="0" w:color="auto"/>
                  </w:divBdr>
                  <w:divsChild>
                    <w:div w:id="1172989684">
                      <w:marLeft w:val="0"/>
                      <w:marRight w:val="0"/>
                      <w:marTop w:val="0"/>
                      <w:marBottom w:val="0"/>
                      <w:divBdr>
                        <w:top w:val="none" w:sz="0" w:space="0" w:color="auto"/>
                        <w:left w:val="none" w:sz="0" w:space="0" w:color="auto"/>
                        <w:bottom w:val="none" w:sz="0" w:space="0" w:color="auto"/>
                        <w:right w:val="none" w:sz="0" w:space="0" w:color="auto"/>
                      </w:divBdr>
                      <w:divsChild>
                        <w:div w:id="1756055072">
                          <w:marLeft w:val="0"/>
                          <w:marRight w:val="0"/>
                          <w:marTop w:val="0"/>
                          <w:marBottom w:val="0"/>
                          <w:divBdr>
                            <w:top w:val="none" w:sz="0" w:space="0" w:color="auto"/>
                            <w:left w:val="none" w:sz="0" w:space="0" w:color="auto"/>
                            <w:bottom w:val="none" w:sz="0" w:space="0" w:color="auto"/>
                            <w:right w:val="none" w:sz="0" w:space="0" w:color="auto"/>
                          </w:divBdr>
                          <w:divsChild>
                            <w:div w:id="1778060391">
                              <w:marLeft w:val="0"/>
                              <w:marRight w:val="0"/>
                              <w:marTop w:val="0"/>
                              <w:marBottom w:val="0"/>
                              <w:divBdr>
                                <w:top w:val="none" w:sz="0" w:space="0" w:color="auto"/>
                                <w:left w:val="none" w:sz="0" w:space="0" w:color="auto"/>
                                <w:bottom w:val="none" w:sz="0" w:space="0" w:color="auto"/>
                                <w:right w:val="none" w:sz="0" w:space="0" w:color="auto"/>
                              </w:divBdr>
                              <w:divsChild>
                                <w:div w:id="188370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906763">
      <w:bodyDiv w:val="1"/>
      <w:marLeft w:val="0"/>
      <w:marRight w:val="0"/>
      <w:marTop w:val="0"/>
      <w:marBottom w:val="0"/>
      <w:divBdr>
        <w:top w:val="none" w:sz="0" w:space="0" w:color="auto"/>
        <w:left w:val="none" w:sz="0" w:space="0" w:color="auto"/>
        <w:bottom w:val="none" w:sz="0" w:space="0" w:color="auto"/>
        <w:right w:val="none" w:sz="0" w:space="0" w:color="auto"/>
      </w:divBdr>
    </w:div>
    <w:div w:id="1781024384">
      <w:bodyDiv w:val="1"/>
      <w:marLeft w:val="0"/>
      <w:marRight w:val="0"/>
      <w:marTop w:val="0"/>
      <w:marBottom w:val="0"/>
      <w:divBdr>
        <w:top w:val="none" w:sz="0" w:space="0" w:color="auto"/>
        <w:left w:val="none" w:sz="0" w:space="0" w:color="auto"/>
        <w:bottom w:val="none" w:sz="0" w:space="0" w:color="auto"/>
        <w:right w:val="none" w:sz="0" w:space="0" w:color="auto"/>
      </w:divBdr>
    </w:div>
    <w:div w:id="1793018380">
      <w:bodyDiv w:val="1"/>
      <w:marLeft w:val="0"/>
      <w:marRight w:val="0"/>
      <w:marTop w:val="0"/>
      <w:marBottom w:val="0"/>
      <w:divBdr>
        <w:top w:val="none" w:sz="0" w:space="0" w:color="auto"/>
        <w:left w:val="none" w:sz="0" w:space="0" w:color="auto"/>
        <w:bottom w:val="none" w:sz="0" w:space="0" w:color="auto"/>
        <w:right w:val="none" w:sz="0" w:space="0" w:color="auto"/>
      </w:divBdr>
    </w:div>
    <w:div w:id="1804348248">
      <w:bodyDiv w:val="1"/>
      <w:marLeft w:val="0"/>
      <w:marRight w:val="0"/>
      <w:marTop w:val="0"/>
      <w:marBottom w:val="0"/>
      <w:divBdr>
        <w:top w:val="none" w:sz="0" w:space="0" w:color="auto"/>
        <w:left w:val="none" w:sz="0" w:space="0" w:color="auto"/>
        <w:bottom w:val="none" w:sz="0" w:space="0" w:color="auto"/>
        <w:right w:val="none" w:sz="0" w:space="0" w:color="auto"/>
      </w:divBdr>
    </w:div>
    <w:div w:id="1844665492">
      <w:bodyDiv w:val="1"/>
      <w:marLeft w:val="0"/>
      <w:marRight w:val="0"/>
      <w:marTop w:val="0"/>
      <w:marBottom w:val="0"/>
      <w:divBdr>
        <w:top w:val="none" w:sz="0" w:space="0" w:color="auto"/>
        <w:left w:val="none" w:sz="0" w:space="0" w:color="auto"/>
        <w:bottom w:val="none" w:sz="0" w:space="0" w:color="auto"/>
        <w:right w:val="none" w:sz="0" w:space="0" w:color="auto"/>
      </w:divBdr>
    </w:div>
    <w:div w:id="1846289317">
      <w:bodyDiv w:val="1"/>
      <w:marLeft w:val="0"/>
      <w:marRight w:val="0"/>
      <w:marTop w:val="0"/>
      <w:marBottom w:val="0"/>
      <w:divBdr>
        <w:top w:val="none" w:sz="0" w:space="0" w:color="auto"/>
        <w:left w:val="none" w:sz="0" w:space="0" w:color="auto"/>
        <w:bottom w:val="none" w:sz="0" w:space="0" w:color="auto"/>
        <w:right w:val="none" w:sz="0" w:space="0" w:color="auto"/>
      </w:divBdr>
    </w:div>
    <w:div w:id="1866208308">
      <w:bodyDiv w:val="1"/>
      <w:marLeft w:val="0"/>
      <w:marRight w:val="0"/>
      <w:marTop w:val="0"/>
      <w:marBottom w:val="0"/>
      <w:divBdr>
        <w:top w:val="none" w:sz="0" w:space="0" w:color="auto"/>
        <w:left w:val="none" w:sz="0" w:space="0" w:color="auto"/>
        <w:bottom w:val="none" w:sz="0" w:space="0" w:color="auto"/>
        <w:right w:val="none" w:sz="0" w:space="0" w:color="auto"/>
      </w:divBdr>
    </w:div>
    <w:div w:id="1867205870">
      <w:bodyDiv w:val="1"/>
      <w:marLeft w:val="0"/>
      <w:marRight w:val="0"/>
      <w:marTop w:val="0"/>
      <w:marBottom w:val="0"/>
      <w:divBdr>
        <w:top w:val="none" w:sz="0" w:space="0" w:color="auto"/>
        <w:left w:val="none" w:sz="0" w:space="0" w:color="auto"/>
        <w:bottom w:val="none" w:sz="0" w:space="0" w:color="auto"/>
        <w:right w:val="none" w:sz="0" w:space="0" w:color="auto"/>
      </w:divBdr>
      <w:divsChild>
        <w:div w:id="1957901889">
          <w:marLeft w:val="0"/>
          <w:marRight w:val="0"/>
          <w:marTop w:val="0"/>
          <w:marBottom w:val="0"/>
          <w:divBdr>
            <w:top w:val="none" w:sz="0" w:space="0" w:color="auto"/>
            <w:left w:val="none" w:sz="0" w:space="0" w:color="auto"/>
            <w:bottom w:val="none" w:sz="0" w:space="0" w:color="auto"/>
            <w:right w:val="none" w:sz="0" w:space="0" w:color="auto"/>
          </w:divBdr>
          <w:divsChild>
            <w:div w:id="79647092">
              <w:marLeft w:val="0"/>
              <w:marRight w:val="0"/>
              <w:marTop w:val="0"/>
              <w:marBottom w:val="0"/>
              <w:divBdr>
                <w:top w:val="none" w:sz="0" w:space="0" w:color="auto"/>
                <w:left w:val="none" w:sz="0" w:space="0" w:color="auto"/>
                <w:bottom w:val="none" w:sz="0" w:space="0" w:color="auto"/>
                <w:right w:val="none" w:sz="0" w:space="0" w:color="auto"/>
              </w:divBdr>
              <w:divsChild>
                <w:div w:id="2014261735">
                  <w:marLeft w:val="0"/>
                  <w:marRight w:val="0"/>
                  <w:marTop w:val="0"/>
                  <w:marBottom w:val="0"/>
                  <w:divBdr>
                    <w:top w:val="none" w:sz="0" w:space="0" w:color="auto"/>
                    <w:left w:val="none" w:sz="0" w:space="0" w:color="auto"/>
                    <w:bottom w:val="none" w:sz="0" w:space="0" w:color="auto"/>
                    <w:right w:val="none" w:sz="0" w:space="0" w:color="auto"/>
                  </w:divBdr>
                  <w:divsChild>
                    <w:div w:id="552544105">
                      <w:marLeft w:val="0"/>
                      <w:marRight w:val="0"/>
                      <w:marTop w:val="0"/>
                      <w:marBottom w:val="0"/>
                      <w:divBdr>
                        <w:top w:val="none" w:sz="0" w:space="0" w:color="auto"/>
                        <w:left w:val="none" w:sz="0" w:space="0" w:color="auto"/>
                        <w:bottom w:val="none" w:sz="0" w:space="0" w:color="auto"/>
                        <w:right w:val="none" w:sz="0" w:space="0" w:color="auto"/>
                      </w:divBdr>
                      <w:divsChild>
                        <w:div w:id="160587877">
                          <w:marLeft w:val="0"/>
                          <w:marRight w:val="0"/>
                          <w:marTop w:val="0"/>
                          <w:marBottom w:val="0"/>
                          <w:divBdr>
                            <w:top w:val="none" w:sz="0" w:space="0" w:color="auto"/>
                            <w:left w:val="none" w:sz="0" w:space="0" w:color="auto"/>
                            <w:bottom w:val="none" w:sz="0" w:space="0" w:color="auto"/>
                            <w:right w:val="none" w:sz="0" w:space="0" w:color="auto"/>
                          </w:divBdr>
                          <w:divsChild>
                            <w:div w:id="9397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892929">
      <w:bodyDiv w:val="1"/>
      <w:marLeft w:val="0"/>
      <w:marRight w:val="0"/>
      <w:marTop w:val="0"/>
      <w:marBottom w:val="0"/>
      <w:divBdr>
        <w:top w:val="none" w:sz="0" w:space="0" w:color="auto"/>
        <w:left w:val="none" w:sz="0" w:space="0" w:color="auto"/>
        <w:bottom w:val="none" w:sz="0" w:space="0" w:color="auto"/>
        <w:right w:val="none" w:sz="0" w:space="0" w:color="auto"/>
      </w:divBdr>
    </w:div>
    <w:div w:id="1881892821">
      <w:bodyDiv w:val="1"/>
      <w:marLeft w:val="0"/>
      <w:marRight w:val="0"/>
      <w:marTop w:val="0"/>
      <w:marBottom w:val="0"/>
      <w:divBdr>
        <w:top w:val="none" w:sz="0" w:space="0" w:color="auto"/>
        <w:left w:val="none" w:sz="0" w:space="0" w:color="auto"/>
        <w:bottom w:val="none" w:sz="0" w:space="0" w:color="auto"/>
        <w:right w:val="none" w:sz="0" w:space="0" w:color="auto"/>
      </w:divBdr>
      <w:divsChild>
        <w:div w:id="1782072388">
          <w:marLeft w:val="0"/>
          <w:marRight w:val="0"/>
          <w:marTop w:val="0"/>
          <w:marBottom w:val="0"/>
          <w:divBdr>
            <w:top w:val="none" w:sz="0" w:space="0" w:color="auto"/>
            <w:left w:val="none" w:sz="0" w:space="0" w:color="auto"/>
            <w:bottom w:val="none" w:sz="0" w:space="0" w:color="auto"/>
            <w:right w:val="none" w:sz="0" w:space="0" w:color="auto"/>
          </w:divBdr>
          <w:divsChild>
            <w:div w:id="1901748367">
              <w:marLeft w:val="0"/>
              <w:marRight w:val="0"/>
              <w:marTop w:val="0"/>
              <w:marBottom w:val="0"/>
              <w:divBdr>
                <w:top w:val="none" w:sz="0" w:space="0" w:color="auto"/>
                <w:left w:val="none" w:sz="0" w:space="0" w:color="auto"/>
                <w:bottom w:val="none" w:sz="0" w:space="0" w:color="auto"/>
                <w:right w:val="none" w:sz="0" w:space="0" w:color="auto"/>
              </w:divBdr>
              <w:divsChild>
                <w:div w:id="2099597854">
                  <w:marLeft w:val="0"/>
                  <w:marRight w:val="0"/>
                  <w:marTop w:val="0"/>
                  <w:marBottom w:val="0"/>
                  <w:divBdr>
                    <w:top w:val="none" w:sz="0" w:space="0" w:color="auto"/>
                    <w:left w:val="none" w:sz="0" w:space="0" w:color="auto"/>
                    <w:bottom w:val="none" w:sz="0" w:space="0" w:color="auto"/>
                    <w:right w:val="none" w:sz="0" w:space="0" w:color="auto"/>
                  </w:divBdr>
                  <w:divsChild>
                    <w:div w:id="1501582612">
                      <w:marLeft w:val="0"/>
                      <w:marRight w:val="0"/>
                      <w:marTop w:val="0"/>
                      <w:marBottom w:val="0"/>
                      <w:divBdr>
                        <w:top w:val="none" w:sz="0" w:space="0" w:color="auto"/>
                        <w:left w:val="none" w:sz="0" w:space="0" w:color="auto"/>
                        <w:bottom w:val="none" w:sz="0" w:space="0" w:color="auto"/>
                        <w:right w:val="none" w:sz="0" w:space="0" w:color="auto"/>
                      </w:divBdr>
                      <w:divsChild>
                        <w:div w:id="989138153">
                          <w:marLeft w:val="0"/>
                          <w:marRight w:val="0"/>
                          <w:marTop w:val="0"/>
                          <w:marBottom w:val="0"/>
                          <w:divBdr>
                            <w:top w:val="none" w:sz="0" w:space="0" w:color="auto"/>
                            <w:left w:val="none" w:sz="0" w:space="0" w:color="auto"/>
                            <w:bottom w:val="none" w:sz="0" w:space="0" w:color="auto"/>
                            <w:right w:val="none" w:sz="0" w:space="0" w:color="auto"/>
                          </w:divBdr>
                          <w:divsChild>
                            <w:div w:id="572470210">
                              <w:marLeft w:val="0"/>
                              <w:marRight w:val="0"/>
                              <w:marTop w:val="0"/>
                              <w:marBottom w:val="0"/>
                              <w:divBdr>
                                <w:top w:val="none" w:sz="0" w:space="0" w:color="auto"/>
                                <w:left w:val="none" w:sz="0" w:space="0" w:color="auto"/>
                                <w:bottom w:val="none" w:sz="0" w:space="0" w:color="auto"/>
                                <w:right w:val="none" w:sz="0" w:space="0" w:color="auto"/>
                              </w:divBdr>
                              <w:divsChild>
                                <w:div w:id="16348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0339515">
      <w:bodyDiv w:val="1"/>
      <w:marLeft w:val="0"/>
      <w:marRight w:val="0"/>
      <w:marTop w:val="0"/>
      <w:marBottom w:val="0"/>
      <w:divBdr>
        <w:top w:val="none" w:sz="0" w:space="0" w:color="auto"/>
        <w:left w:val="none" w:sz="0" w:space="0" w:color="auto"/>
        <w:bottom w:val="none" w:sz="0" w:space="0" w:color="auto"/>
        <w:right w:val="none" w:sz="0" w:space="0" w:color="auto"/>
      </w:divBdr>
    </w:div>
    <w:div w:id="1897467411">
      <w:bodyDiv w:val="1"/>
      <w:marLeft w:val="0"/>
      <w:marRight w:val="0"/>
      <w:marTop w:val="0"/>
      <w:marBottom w:val="0"/>
      <w:divBdr>
        <w:top w:val="none" w:sz="0" w:space="0" w:color="auto"/>
        <w:left w:val="none" w:sz="0" w:space="0" w:color="auto"/>
        <w:bottom w:val="none" w:sz="0" w:space="0" w:color="auto"/>
        <w:right w:val="none" w:sz="0" w:space="0" w:color="auto"/>
      </w:divBdr>
      <w:divsChild>
        <w:div w:id="2076707043">
          <w:marLeft w:val="0"/>
          <w:marRight w:val="0"/>
          <w:marTop w:val="0"/>
          <w:marBottom w:val="0"/>
          <w:divBdr>
            <w:top w:val="none" w:sz="0" w:space="0" w:color="auto"/>
            <w:left w:val="none" w:sz="0" w:space="0" w:color="auto"/>
            <w:bottom w:val="none" w:sz="0" w:space="0" w:color="auto"/>
            <w:right w:val="none" w:sz="0" w:space="0" w:color="auto"/>
          </w:divBdr>
          <w:divsChild>
            <w:div w:id="616260705">
              <w:marLeft w:val="0"/>
              <w:marRight w:val="0"/>
              <w:marTop w:val="0"/>
              <w:marBottom w:val="0"/>
              <w:divBdr>
                <w:top w:val="none" w:sz="0" w:space="0" w:color="auto"/>
                <w:left w:val="none" w:sz="0" w:space="0" w:color="auto"/>
                <w:bottom w:val="none" w:sz="0" w:space="0" w:color="auto"/>
                <w:right w:val="none" w:sz="0" w:space="0" w:color="auto"/>
              </w:divBdr>
              <w:divsChild>
                <w:div w:id="1993756465">
                  <w:marLeft w:val="0"/>
                  <w:marRight w:val="0"/>
                  <w:marTop w:val="0"/>
                  <w:marBottom w:val="0"/>
                  <w:divBdr>
                    <w:top w:val="none" w:sz="0" w:space="0" w:color="auto"/>
                    <w:left w:val="none" w:sz="0" w:space="0" w:color="auto"/>
                    <w:bottom w:val="none" w:sz="0" w:space="0" w:color="auto"/>
                    <w:right w:val="none" w:sz="0" w:space="0" w:color="auto"/>
                  </w:divBdr>
                  <w:divsChild>
                    <w:div w:id="484904010">
                      <w:marLeft w:val="0"/>
                      <w:marRight w:val="0"/>
                      <w:marTop w:val="0"/>
                      <w:marBottom w:val="0"/>
                      <w:divBdr>
                        <w:top w:val="none" w:sz="0" w:space="0" w:color="auto"/>
                        <w:left w:val="none" w:sz="0" w:space="0" w:color="auto"/>
                        <w:bottom w:val="none" w:sz="0" w:space="0" w:color="auto"/>
                        <w:right w:val="none" w:sz="0" w:space="0" w:color="auto"/>
                      </w:divBdr>
                      <w:divsChild>
                        <w:div w:id="244922876">
                          <w:marLeft w:val="0"/>
                          <w:marRight w:val="0"/>
                          <w:marTop w:val="0"/>
                          <w:marBottom w:val="0"/>
                          <w:divBdr>
                            <w:top w:val="none" w:sz="0" w:space="0" w:color="auto"/>
                            <w:left w:val="none" w:sz="0" w:space="0" w:color="auto"/>
                            <w:bottom w:val="none" w:sz="0" w:space="0" w:color="auto"/>
                            <w:right w:val="none" w:sz="0" w:space="0" w:color="auto"/>
                          </w:divBdr>
                          <w:divsChild>
                            <w:div w:id="84143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98092">
      <w:bodyDiv w:val="1"/>
      <w:marLeft w:val="0"/>
      <w:marRight w:val="0"/>
      <w:marTop w:val="0"/>
      <w:marBottom w:val="0"/>
      <w:divBdr>
        <w:top w:val="none" w:sz="0" w:space="0" w:color="auto"/>
        <w:left w:val="none" w:sz="0" w:space="0" w:color="auto"/>
        <w:bottom w:val="none" w:sz="0" w:space="0" w:color="auto"/>
        <w:right w:val="none" w:sz="0" w:space="0" w:color="auto"/>
      </w:divBdr>
    </w:div>
    <w:div w:id="1921871029">
      <w:bodyDiv w:val="1"/>
      <w:marLeft w:val="0"/>
      <w:marRight w:val="0"/>
      <w:marTop w:val="0"/>
      <w:marBottom w:val="0"/>
      <w:divBdr>
        <w:top w:val="none" w:sz="0" w:space="0" w:color="auto"/>
        <w:left w:val="none" w:sz="0" w:space="0" w:color="auto"/>
        <w:bottom w:val="none" w:sz="0" w:space="0" w:color="auto"/>
        <w:right w:val="none" w:sz="0" w:space="0" w:color="auto"/>
      </w:divBdr>
    </w:div>
    <w:div w:id="1943957208">
      <w:bodyDiv w:val="1"/>
      <w:marLeft w:val="0"/>
      <w:marRight w:val="0"/>
      <w:marTop w:val="0"/>
      <w:marBottom w:val="0"/>
      <w:divBdr>
        <w:top w:val="none" w:sz="0" w:space="0" w:color="auto"/>
        <w:left w:val="none" w:sz="0" w:space="0" w:color="auto"/>
        <w:bottom w:val="none" w:sz="0" w:space="0" w:color="auto"/>
        <w:right w:val="none" w:sz="0" w:space="0" w:color="auto"/>
      </w:divBdr>
    </w:div>
    <w:div w:id="1965693093">
      <w:bodyDiv w:val="1"/>
      <w:marLeft w:val="0"/>
      <w:marRight w:val="0"/>
      <w:marTop w:val="0"/>
      <w:marBottom w:val="0"/>
      <w:divBdr>
        <w:top w:val="none" w:sz="0" w:space="0" w:color="auto"/>
        <w:left w:val="none" w:sz="0" w:space="0" w:color="auto"/>
        <w:bottom w:val="none" w:sz="0" w:space="0" w:color="auto"/>
        <w:right w:val="none" w:sz="0" w:space="0" w:color="auto"/>
      </w:divBdr>
    </w:div>
    <w:div w:id="1967657129">
      <w:bodyDiv w:val="1"/>
      <w:marLeft w:val="0"/>
      <w:marRight w:val="0"/>
      <w:marTop w:val="0"/>
      <w:marBottom w:val="0"/>
      <w:divBdr>
        <w:top w:val="none" w:sz="0" w:space="0" w:color="auto"/>
        <w:left w:val="none" w:sz="0" w:space="0" w:color="auto"/>
        <w:bottom w:val="none" w:sz="0" w:space="0" w:color="auto"/>
        <w:right w:val="none" w:sz="0" w:space="0" w:color="auto"/>
      </w:divBdr>
    </w:div>
    <w:div w:id="1980264562">
      <w:bodyDiv w:val="1"/>
      <w:marLeft w:val="0"/>
      <w:marRight w:val="0"/>
      <w:marTop w:val="0"/>
      <w:marBottom w:val="0"/>
      <w:divBdr>
        <w:top w:val="none" w:sz="0" w:space="0" w:color="auto"/>
        <w:left w:val="none" w:sz="0" w:space="0" w:color="auto"/>
        <w:bottom w:val="none" w:sz="0" w:space="0" w:color="auto"/>
        <w:right w:val="none" w:sz="0" w:space="0" w:color="auto"/>
      </w:divBdr>
    </w:div>
    <w:div w:id="2014452524">
      <w:bodyDiv w:val="1"/>
      <w:marLeft w:val="0"/>
      <w:marRight w:val="0"/>
      <w:marTop w:val="0"/>
      <w:marBottom w:val="0"/>
      <w:divBdr>
        <w:top w:val="none" w:sz="0" w:space="0" w:color="auto"/>
        <w:left w:val="none" w:sz="0" w:space="0" w:color="auto"/>
        <w:bottom w:val="none" w:sz="0" w:space="0" w:color="auto"/>
        <w:right w:val="none" w:sz="0" w:space="0" w:color="auto"/>
      </w:divBdr>
    </w:div>
    <w:div w:id="2057387676">
      <w:bodyDiv w:val="1"/>
      <w:marLeft w:val="0"/>
      <w:marRight w:val="0"/>
      <w:marTop w:val="0"/>
      <w:marBottom w:val="0"/>
      <w:divBdr>
        <w:top w:val="none" w:sz="0" w:space="0" w:color="auto"/>
        <w:left w:val="none" w:sz="0" w:space="0" w:color="auto"/>
        <w:bottom w:val="none" w:sz="0" w:space="0" w:color="auto"/>
        <w:right w:val="none" w:sz="0" w:space="0" w:color="auto"/>
      </w:divBdr>
    </w:div>
    <w:div w:id="2059208271">
      <w:bodyDiv w:val="1"/>
      <w:marLeft w:val="0"/>
      <w:marRight w:val="0"/>
      <w:marTop w:val="0"/>
      <w:marBottom w:val="0"/>
      <w:divBdr>
        <w:top w:val="none" w:sz="0" w:space="0" w:color="auto"/>
        <w:left w:val="none" w:sz="0" w:space="0" w:color="auto"/>
        <w:bottom w:val="none" w:sz="0" w:space="0" w:color="auto"/>
        <w:right w:val="none" w:sz="0" w:space="0" w:color="auto"/>
      </w:divBdr>
    </w:div>
    <w:div w:id="2072576427">
      <w:bodyDiv w:val="1"/>
      <w:marLeft w:val="0"/>
      <w:marRight w:val="0"/>
      <w:marTop w:val="0"/>
      <w:marBottom w:val="0"/>
      <w:divBdr>
        <w:top w:val="none" w:sz="0" w:space="0" w:color="auto"/>
        <w:left w:val="none" w:sz="0" w:space="0" w:color="auto"/>
        <w:bottom w:val="none" w:sz="0" w:space="0" w:color="auto"/>
        <w:right w:val="none" w:sz="0" w:space="0" w:color="auto"/>
      </w:divBdr>
    </w:div>
    <w:div w:id="2099984795">
      <w:bodyDiv w:val="1"/>
      <w:marLeft w:val="0"/>
      <w:marRight w:val="0"/>
      <w:marTop w:val="0"/>
      <w:marBottom w:val="0"/>
      <w:divBdr>
        <w:top w:val="none" w:sz="0" w:space="0" w:color="auto"/>
        <w:left w:val="none" w:sz="0" w:space="0" w:color="auto"/>
        <w:bottom w:val="none" w:sz="0" w:space="0" w:color="auto"/>
        <w:right w:val="none" w:sz="0" w:space="0" w:color="auto"/>
      </w:divBdr>
      <w:divsChild>
        <w:div w:id="1302423753">
          <w:marLeft w:val="0"/>
          <w:marRight w:val="0"/>
          <w:marTop w:val="0"/>
          <w:marBottom w:val="0"/>
          <w:divBdr>
            <w:top w:val="none" w:sz="0" w:space="0" w:color="auto"/>
            <w:left w:val="none" w:sz="0" w:space="0" w:color="auto"/>
            <w:bottom w:val="none" w:sz="0" w:space="0" w:color="auto"/>
            <w:right w:val="none" w:sz="0" w:space="0" w:color="auto"/>
          </w:divBdr>
          <w:divsChild>
            <w:div w:id="481704699">
              <w:marLeft w:val="0"/>
              <w:marRight w:val="0"/>
              <w:marTop w:val="0"/>
              <w:marBottom w:val="0"/>
              <w:divBdr>
                <w:top w:val="none" w:sz="0" w:space="0" w:color="auto"/>
                <w:left w:val="none" w:sz="0" w:space="0" w:color="auto"/>
                <w:bottom w:val="none" w:sz="0" w:space="0" w:color="auto"/>
                <w:right w:val="none" w:sz="0" w:space="0" w:color="auto"/>
              </w:divBdr>
              <w:divsChild>
                <w:div w:id="1571891454">
                  <w:marLeft w:val="0"/>
                  <w:marRight w:val="0"/>
                  <w:marTop w:val="0"/>
                  <w:marBottom w:val="0"/>
                  <w:divBdr>
                    <w:top w:val="none" w:sz="0" w:space="0" w:color="auto"/>
                    <w:left w:val="none" w:sz="0" w:space="0" w:color="auto"/>
                    <w:bottom w:val="none" w:sz="0" w:space="0" w:color="auto"/>
                    <w:right w:val="none" w:sz="0" w:space="0" w:color="auto"/>
                  </w:divBdr>
                  <w:divsChild>
                    <w:div w:id="1925915649">
                      <w:marLeft w:val="0"/>
                      <w:marRight w:val="0"/>
                      <w:marTop w:val="0"/>
                      <w:marBottom w:val="0"/>
                      <w:divBdr>
                        <w:top w:val="none" w:sz="0" w:space="0" w:color="auto"/>
                        <w:left w:val="none" w:sz="0" w:space="0" w:color="auto"/>
                        <w:bottom w:val="none" w:sz="0" w:space="0" w:color="auto"/>
                        <w:right w:val="none" w:sz="0" w:space="0" w:color="auto"/>
                      </w:divBdr>
                      <w:divsChild>
                        <w:div w:id="875889363">
                          <w:marLeft w:val="0"/>
                          <w:marRight w:val="0"/>
                          <w:marTop w:val="0"/>
                          <w:marBottom w:val="0"/>
                          <w:divBdr>
                            <w:top w:val="none" w:sz="0" w:space="0" w:color="auto"/>
                            <w:left w:val="none" w:sz="0" w:space="0" w:color="auto"/>
                            <w:bottom w:val="none" w:sz="0" w:space="0" w:color="auto"/>
                            <w:right w:val="none" w:sz="0" w:space="0" w:color="auto"/>
                          </w:divBdr>
                          <w:divsChild>
                            <w:div w:id="2017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405034">
      <w:bodyDiv w:val="1"/>
      <w:marLeft w:val="0"/>
      <w:marRight w:val="0"/>
      <w:marTop w:val="0"/>
      <w:marBottom w:val="0"/>
      <w:divBdr>
        <w:top w:val="none" w:sz="0" w:space="0" w:color="auto"/>
        <w:left w:val="none" w:sz="0" w:space="0" w:color="auto"/>
        <w:bottom w:val="none" w:sz="0" w:space="0" w:color="auto"/>
        <w:right w:val="none" w:sz="0" w:space="0" w:color="auto"/>
      </w:divBdr>
    </w:div>
    <w:div w:id="213963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8982E-0039-47A5-81B9-AECF290EB0D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31404</Words>
  <Characters>179004</Characters>
  <Application>Microsoft Office Word</Application>
  <DocSecurity>0</DocSecurity>
  <Lines>1491</Lines>
  <Paragraphs>419</Paragraphs>
  <ScaleCrop>false</ScaleCrop>
  <HeadingPairs>
    <vt:vector size="2" baseType="variant">
      <vt:variant>
        <vt:lpstr>Title</vt:lpstr>
      </vt:variant>
      <vt:variant>
        <vt:i4>1</vt:i4>
      </vt:variant>
    </vt:vector>
  </HeadingPairs>
  <TitlesOfParts>
    <vt:vector size="1" baseType="lpstr">
      <vt:lpstr>Tabela e përputhshmërisë - Covered Bonds</vt:lpstr>
    </vt:vector>
  </TitlesOfParts>
  <Company/>
  <LinksUpToDate>false</LinksUpToDate>
  <CharactersWithSpaces>209989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Concordance - Covered Bonds</dc:title>
  <dc:subject>Directive (EU) 2019/2162 and the Albanian Draft Law on Covered Bonds</dc:subject>
  <dc:creator>Saimir Mucmataj</dc:creator>
  <cp:keywords>covered bonds; table of concordance; Directive (EU) 2019/2162</cp:keywords>
  <dc:description>Ripërpunuar sipas variantit të projektligjit të datës 27 korrik 2026.</dc:description>
  <cp:lastModifiedBy>Amela Kora</cp:lastModifiedBy>
  <cp:revision>2</cp:revision>
  <dcterms:created xsi:type="dcterms:W3CDTF">2026-09-08T11:43:00Z</dcterms:created>
  <dcterms:modified xsi:type="dcterms:W3CDTF">2026-09-08T11:43:00Z</dcterms:modified>
</cp:coreProperties>
</file>