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page" w:horzAnchor="margin" w:tblpX="-100" w:tblpY="1758"/>
        <w:tblOverlap w:val="neve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170"/>
        <w:gridCol w:w="4460"/>
      </w:tblGrid>
      <w:tr w:rsidR="002E46F4" w:rsidRPr="00E57A74" w14:paraId="7148D38A" w14:textId="77777777" w:rsidTr="007135D3">
        <w:tc>
          <w:tcPr>
            <w:tcW w:w="9630" w:type="dxa"/>
            <w:gridSpan w:val="2"/>
            <w:tcBorders>
              <w:top w:val="single" w:sz="4" w:space="0" w:color="B7B7B7"/>
              <w:left w:val="single" w:sz="4" w:space="0" w:color="B7B7B7"/>
              <w:bottom w:val="single" w:sz="4" w:space="0" w:color="B7B7B7"/>
              <w:right w:val="single" w:sz="4" w:space="0" w:color="B7B7B7"/>
            </w:tcBorders>
            <w:shd w:val="clear" w:color="auto" w:fill="D9D9D9"/>
            <w:vAlign w:val="center"/>
          </w:tcPr>
          <w:p w14:paraId="7F72C6FD" w14:textId="77777777" w:rsidR="002E46F4" w:rsidRPr="00E57A74" w:rsidRDefault="002E46F4" w:rsidP="007135D3">
            <w:pPr>
              <w:rPr>
                <w:b/>
                <w:bCs/>
                <w:sz w:val="24"/>
                <w:szCs w:val="24"/>
                <w:lang w:val="sq-AL"/>
              </w:rPr>
            </w:pPr>
            <w:r w:rsidRPr="00E57A74">
              <w:rPr>
                <w:b/>
                <w:bCs/>
                <w:sz w:val="24"/>
                <w:szCs w:val="24"/>
                <w:lang w:val="sq-AL"/>
              </w:rPr>
              <w:t>RAPORTI I VLERËSIMIT TË NDIKIMIT</w:t>
            </w:r>
          </w:p>
        </w:tc>
      </w:tr>
      <w:tr w:rsidR="00264B20" w:rsidRPr="00E57A74" w14:paraId="04B7B374"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11E84A40" w14:textId="77777777" w:rsidR="00264B20" w:rsidRPr="00E57A74" w:rsidRDefault="00264B20" w:rsidP="007135D3">
            <w:pPr>
              <w:rPr>
                <w:b/>
                <w:bCs/>
                <w:sz w:val="24"/>
                <w:szCs w:val="24"/>
                <w:lang w:val="sq-AL"/>
              </w:rPr>
            </w:pPr>
            <w:r w:rsidRPr="00E57A74">
              <w:rPr>
                <w:b/>
                <w:bCs/>
                <w:sz w:val="24"/>
                <w:szCs w:val="24"/>
                <w:lang w:val="sq-AL"/>
              </w:rPr>
              <w:t xml:space="preserve">EMËRTIMI I PROPOZIMIT TË POLITIKËS </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17752922" w14:textId="77777777" w:rsidR="00271B8C" w:rsidRPr="00E57A74" w:rsidRDefault="00EE0F6E" w:rsidP="007135D3">
            <w:pPr>
              <w:jc w:val="both"/>
              <w:rPr>
                <w:sz w:val="24"/>
                <w:szCs w:val="24"/>
              </w:rPr>
            </w:pPr>
            <w:r w:rsidRPr="00E57A74">
              <w:rPr>
                <w:sz w:val="24"/>
                <w:szCs w:val="24"/>
              </w:rPr>
              <w:t>Projektligj për disa shtesa dhe ndryshime në ligjin nr. 87/2024 “Për rregullimin e prodhimit, tregtimit, kërkimit dhe zhvillimit të armëve, municioneve, pajisjeve dhe teknologjive ushtarake”</w:t>
            </w:r>
          </w:p>
        </w:tc>
      </w:tr>
      <w:tr w:rsidR="00264B20" w:rsidRPr="00E57A74" w14:paraId="121446D7"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166C222A" w14:textId="77777777" w:rsidR="00264B20" w:rsidRPr="00E57A74" w:rsidRDefault="00264B20" w:rsidP="007135D3">
            <w:pPr>
              <w:rPr>
                <w:b/>
                <w:bCs/>
                <w:sz w:val="24"/>
                <w:szCs w:val="24"/>
                <w:lang w:val="sq-AL"/>
              </w:rPr>
            </w:pPr>
            <w:r w:rsidRPr="00E57A74">
              <w:rPr>
                <w:b/>
                <w:bCs/>
                <w:sz w:val="24"/>
                <w:szCs w:val="24"/>
                <w:lang w:val="sq-AL"/>
              </w:rPr>
              <w:t xml:space="preserve">MINISTRIA UDHËHEQËSE  </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4D676180" w14:textId="77777777" w:rsidR="00271B8C" w:rsidRPr="00E57A74" w:rsidRDefault="00EE0F6E" w:rsidP="007135D3">
            <w:pPr>
              <w:jc w:val="both"/>
              <w:rPr>
                <w:sz w:val="24"/>
                <w:szCs w:val="24"/>
              </w:rPr>
            </w:pPr>
            <w:r w:rsidRPr="00E57A74">
              <w:rPr>
                <w:sz w:val="24"/>
                <w:szCs w:val="24"/>
              </w:rPr>
              <w:t>Ministria e Mbrojtjes</w:t>
            </w:r>
          </w:p>
        </w:tc>
      </w:tr>
      <w:tr w:rsidR="00264B20" w:rsidRPr="00E57A74" w14:paraId="0369D25C"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2EEE69B1" w14:textId="77777777" w:rsidR="00264B20" w:rsidRPr="00E57A74" w:rsidRDefault="00264B20" w:rsidP="007135D3">
            <w:pPr>
              <w:rPr>
                <w:b/>
                <w:bCs/>
                <w:sz w:val="24"/>
                <w:szCs w:val="24"/>
                <w:lang w:val="sq-AL"/>
              </w:rPr>
            </w:pPr>
            <w:r w:rsidRPr="00E57A74">
              <w:rPr>
                <w:b/>
                <w:bCs/>
                <w:sz w:val="24"/>
                <w:szCs w:val="24"/>
                <w:lang w:val="sq-AL"/>
              </w:rPr>
              <w:t>FAZA E POLITIKËS/VLERËSIMIT TË NDIKIMIT</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0B597F00" w14:textId="77777777" w:rsidR="00271B8C" w:rsidRPr="00E57A74" w:rsidRDefault="00EE0F6E" w:rsidP="007135D3">
            <w:pPr>
              <w:jc w:val="both"/>
              <w:rPr>
                <w:sz w:val="24"/>
                <w:szCs w:val="24"/>
              </w:rPr>
            </w:pPr>
            <w:r w:rsidRPr="00E57A74">
              <w:rPr>
                <w:sz w:val="24"/>
                <w:szCs w:val="24"/>
              </w:rPr>
              <w:t>Zhvillim / konsultim</w:t>
            </w:r>
          </w:p>
        </w:tc>
      </w:tr>
      <w:tr w:rsidR="00264B20" w:rsidRPr="00E57A74" w14:paraId="5FF680D4"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0DB7BF1C" w14:textId="77777777" w:rsidR="00264B20" w:rsidRPr="00E57A74" w:rsidRDefault="00264B20" w:rsidP="007135D3">
            <w:pPr>
              <w:rPr>
                <w:b/>
                <w:bCs/>
                <w:sz w:val="24"/>
                <w:szCs w:val="24"/>
                <w:lang w:val="sq-AL"/>
              </w:rPr>
            </w:pPr>
            <w:r w:rsidRPr="00E57A74">
              <w:rPr>
                <w:b/>
                <w:bCs/>
                <w:sz w:val="24"/>
                <w:szCs w:val="24"/>
                <w:lang w:val="sq-AL"/>
              </w:rPr>
              <w:t>BURIMI I PROPOZIMIT TË POLITIKËS</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5D2B44AD" w14:textId="77777777" w:rsidR="00271B8C" w:rsidRPr="00E57A74" w:rsidRDefault="00EE0F6E" w:rsidP="007135D3">
            <w:pPr>
              <w:jc w:val="both"/>
              <w:rPr>
                <w:sz w:val="24"/>
                <w:szCs w:val="24"/>
              </w:rPr>
            </w:pPr>
            <w:r w:rsidRPr="00E57A74">
              <w:rPr>
                <w:sz w:val="24"/>
                <w:szCs w:val="24"/>
              </w:rPr>
              <w:t>I brendshëm</w:t>
            </w:r>
          </w:p>
        </w:tc>
      </w:tr>
      <w:tr w:rsidR="00264B20" w:rsidRPr="00E57A74" w14:paraId="3358D1AA" w14:textId="77777777" w:rsidTr="007135D3">
        <w:trPr>
          <w:trHeight w:val="557"/>
        </w:trPr>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0EB93902" w14:textId="77777777" w:rsidR="00264B20" w:rsidRPr="00E57A74" w:rsidRDefault="00264B20" w:rsidP="007135D3">
            <w:pPr>
              <w:rPr>
                <w:b/>
                <w:bCs/>
                <w:sz w:val="24"/>
                <w:szCs w:val="24"/>
                <w:lang w:val="sq-AL"/>
              </w:rPr>
            </w:pPr>
            <w:r w:rsidRPr="00E57A74">
              <w:rPr>
                <w:b/>
                <w:bCs/>
                <w:sz w:val="24"/>
                <w:szCs w:val="24"/>
                <w:lang w:val="sq-AL"/>
              </w:rPr>
              <w:t xml:space="preserve">DIREKTIVË/RREGULLORE E BE-së </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72CCBC18" w14:textId="77777777" w:rsidR="00271B8C" w:rsidRPr="00E57A74" w:rsidRDefault="00EE0F6E" w:rsidP="007135D3">
            <w:pPr>
              <w:jc w:val="both"/>
              <w:rPr>
                <w:sz w:val="24"/>
                <w:szCs w:val="24"/>
              </w:rPr>
            </w:pPr>
            <w:r w:rsidRPr="00E57A74">
              <w:rPr>
                <w:sz w:val="24"/>
                <w:szCs w:val="24"/>
              </w:rPr>
              <w:t>Nuk synon përafrim të drejtpërdrejtë me acquis të BE-së</w:t>
            </w:r>
          </w:p>
        </w:tc>
      </w:tr>
      <w:tr w:rsidR="00264B20" w:rsidRPr="00E57A74" w14:paraId="15366408" w14:textId="77777777" w:rsidTr="007135D3">
        <w:trPr>
          <w:trHeight w:val="1342"/>
        </w:trPr>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717044CA" w14:textId="77777777" w:rsidR="00264B20" w:rsidRPr="00E57A74" w:rsidRDefault="00264B20" w:rsidP="007135D3">
            <w:pPr>
              <w:rPr>
                <w:b/>
                <w:bCs/>
                <w:sz w:val="24"/>
                <w:szCs w:val="24"/>
                <w:lang w:val="sq-AL"/>
              </w:rPr>
            </w:pPr>
            <w:r w:rsidRPr="00E57A74">
              <w:rPr>
                <w:b/>
                <w:bCs/>
                <w:sz w:val="24"/>
                <w:szCs w:val="24"/>
                <w:lang w:val="sq-AL"/>
              </w:rPr>
              <w:t>PUBLIKIMET DHE STRATEGJITË E LIDHURA</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7B0BF802" w14:textId="0E5CAC62" w:rsidR="00271B8C" w:rsidRPr="00E57A74" w:rsidRDefault="00EE0F6E" w:rsidP="00AE1FA8">
            <w:pPr>
              <w:jc w:val="both"/>
              <w:rPr>
                <w:sz w:val="24"/>
                <w:szCs w:val="24"/>
              </w:rPr>
            </w:pPr>
            <w:r w:rsidRPr="00E57A74">
              <w:rPr>
                <w:sz w:val="24"/>
                <w:szCs w:val="24"/>
              </w:rPr>
              <w:t>Ligji nr. 87/2024; Programi i Përgjithshëm Analitik i Projektakteve të Ministrisë së Mbrojtjes</w:t>
            </w:r>
            <w:r w:rsidR="007D31CA">
              <w:rPr>
                <w:sz w:val="24"/>
                <w:szCs w:val="24"/>
              </w:rPr>
              <w:t>, katë</w:t>
            </w:r>
            <w:r w:rsidR="00AE1FA8">
              <w:rPr>
                <w:sz w:val="24"/>
                <w:szCs w:val="24"/>
              </w:rPr>
              <w:t>rmujori i dytë për vitin 2026; D</w:t>
            </w:r>
            <w:r w:rsidRPr="00E57A74">
              <w:rPr>
                <w:sz w:val="24"/>
                <w:szCs w:val="24"/>
              </w:rPr>
              <w:t>okumentet strategjike kombëtare në fushën e mbrojtjes dhe sigurisë</w:t>
            </w:r>
          </w:p>
        </w:tc>
      </w:tr>
      <w:tr w:rsidR="00264B20" w:rsidRPr="00E57A74" w14:paraId="5DF3CBB4"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62A851C2" w14:textId="77777777" w:rsidR="00264B20" w:rsidRPr="00E57A74" w:rsidRDefault="00264B20" w:rsidP="007135D3">
            <w:pPr>
              <w:rPr>
                <w:b/>
                <w:bCs/>
                <w:sz w:val="24"/>
                <w:szCs w:val="24"/>
                <w:lang w:val="sq-AL"/>
              </w:rPr>
            </w:pPr>
            <w:r w:rsidRPr="00E57A74">
              <w:rPr>
                <w:b/>
                <w:bCs/>
                <w:sz w:val="24"/>
                <w:szCs w:val="24"/>
                <w:lang w:val="sq-AL"/>
              </w:rPr>
              <w:t>DATA E KONSULTIMIT PUBLIK</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6E556AEC" w14:textId="3F87A5B0" w:rsidR="00271B8C" w:rsidRPr="00E57A74" w:rsidRDefault="00271B8C" w:rsidP="00EE0F6E">
            <w:pPr>
              <w:pStyle w:val="ListParagraph"/>
              <w:numPr>
                <w:ilvl w:val="0"/>
                <w:numId w:val="4"/>
              </w:numPr>
              <w:jc w:val="both"/>
              <w:rPr>
                <w:rFonts w:ascii="Times New Roman" w:hAnsi="Times New Roman"/>
                <w:sz w:val="24"/>
                <w:szCs w:val="24"/>
              </w:rPr>
            </w:pPr>
          </w:p>
        </w:tc>
      </w:tr>
      <w:tr w:rsidR="00264B20" w:rsidRPr="00E57A74" w14:paraId="797DEE6E"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6CDAAEDA" w14:textId="77777777" w:rsidR="00264B20" w:rsidRPr="00E57A74" w:rsidRDefault="00264B20" w:rsidP="007135D3">
            <w:pPr>
              <w:rPr>
                <w:b/>
                <w:bCs/>
                <w:sz w:val="24"/>
                <w:szCs w:val="24"/>
                <w:lang w:val="sq-AL"/>
              </w:rPr>
            </w:pPr>
            <w:r w:rsidRPr="00E57A74">
              <w:rPr>
                <w:b/>
                <w:bCs/>
                <w:sz w:val="24"/>
                <w:szCs w:val="24"/>
                <w:lang w:val="sq-AL"/>
              </w:rPr>
              <w:t xml:space="preserve">DATA E VLERËSIMIT TË NDIKIMIT </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1C72C1B5" w14:textId="33AF637A" w:rsidR="00271B8C" w:rsidRPr="00E57A74" w:rsidRDefault="00AE1FA8" w:rsidP="007135D3">
            <w:pPr>
              <w:jc w:val="both"/>
              <w:rPr>
                <w:sz w:val="24"/>
                <w:szCs w:val="24"/>
              </w:rPr>
            </w:pPr>
            <w:r>
              <w:rPr>
                <w:sz w:val="24"/>
                <w:szCs w:val="24"/>
              </w:rPr>
              <w:t xml:space="preserve">      -</w:t>
            </w:r>
          </w:p>
        </w:tc>
      </w:tr>
      <w:tr w:rsidR="00264B20" w:rsidRPr="00E57A74" w14:paraId="6628AEA9"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6F30DC35" w14:textId="77777777" w:rsidR="00264B20" w:rsidRPr="00E57A74" w:rsidRDefault="00264B20" w:rsidP="007135D3">
            <w:pPr>
              <w:rPr>
                <w:b/>
                <w:bCs/>
                <w:sz w:val="24"/>
                <w:szCs w:val="24"/>
                <w:lang w:val="sq-AL"/>
              </w:rPr>
            </w:pPr>
            <w:r w:rsidRPr="00E57A74">
              <w:rPr>
                <w:b/>
                <w:bCs/>
                <w:sz w:val="24"/>
                <w:szCs w:val="24"/>
                <w:lang w:val="sq-AL"/>
              </w:rPr>
              <w:t xml:space="preserve">A E KA SHQYRTUAR KRYEMINISTRIA VLERËSIMIN E NDIKIMIT? </w:t>
            </w:r>
          </w:p>
          <w:p w14:paraId="407CCCF9" w14:textId="77777777" w:rsidR="00264B20" w:rsidRPr="00E57A74" w:rsidRDefault="00264B20" w:rsidP="007135D3">
            <w:pPr>
              <w:rPr>
                <w:sz w:val="24"/>
                <w:szCs w:val="24"/>
                <w:lang w:val="sq-AL"/>
              </w:rPr>
            </w:pPr>
            <w:r w:rsidRPr="00E57A74">
              <w:rPr>
                <w:b/>
                <w:bCs/>
                <w:sz w:val="24"/>
                <w:szCs w:val="24"/>
                <w:lang w:val="sq-AL"/>
              </w:rPr>
              <w:t>NËSE PO, JEPNI DATËN E SHQYRTIMIT</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0ED03FB5" w14:textId="7F2D785D" w:rsidR="00271B8C" w:rsidRPr="00E57A74" w:rsidRDefault="00EE0F6E" w:rsidP="007135D3">
            <w:pPr>
              <w:jc w:val="both"/>
              <w:rPr>
                <w:iCs/>
                <w:sz w:val="24"/>
                <w:szCs w:val="24"/>
              </w:rPr>
            </w:pPr>
            <w:r w:rsidRPr="00E57A74">
              <w:rPr>
                <w:iCs/>
                <w:sz w:val="24"/>
                <w:szCs w:val="24"/>
              </w:rPr>
              <w:t xml:space="preserve">Jo </w:t>
            </w:r>
          </w:p>
        </w:tc>
      </w:tr>
      <w:tr w:rsidR="00264B20" w:rsidRPr="00E57A74" w14:paraId="4CDC3E46"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41C1742B" w14:textId="77777777" w:rsidR="00264B20" w:rsidRPr="00E57A74" w:rsidRDefault="00264B20" w:rsidP="007135D3">
            <w:pPr>
              <w:rPr>
                <w:b/>
                <w:bCs/>
                <w:sz w:val="24"/>
                <w:szCs w:val="24"/>
                <w:lang w:val="sq-AL"/>
              </w:rPr>
            </w:pPr>
            <w:r w:rsidRPr="00E57A74">
              <w:rPr>
                <w:b/>
                <w:bCs/>
                <w:sz w:val="24"/>
                <w:szCs w:val="24"/>
                <w:lang w:val="sq-AL"/>
              </w:rPr>
              <w:t>NUMRI I VLERËSIMIT TË NDIKIMIT</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3592693E" w14:textId="3B33270B" w:rsidR="00271B8C" w:rsidRPr="00E57A74" w:rsidRDefault="00E34ED8" w:rsidP="007135D3">
            <w:pPr>
              <w:jc w:val="both"/>
              <w:rPr>
                <w:sz w:val="24"/>
                <w:szCs w:val="24"/>
              </w:rPr>
            </w:pPr>
            <w:r w:rsidRPr="00E57A74">
              <w:rPr>
                <w:i/>
                <w:sz w:val="24"/>
                <w:szCs w:val="24"/>
              </w:rPr>
              <w:t>2026 – MM – Nr…</w:t>
            </w:r>
          </w:p>
        </w:tc>
      </w:tr>
      <w:tr w:rsidR="00264B20" w:rsidRPr="00E57A74" w14:paraId="3ED41C03" w14:textId="77777777" w:rsidTr="007135D3">
        <w:tc>
          <w:tcPr>
            <w:tcW w:w="517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384DD999" w14:textId="77777777" w:rsidR="00264B20" w:rsidRPr="00E57A74" w:rsidRDefault="00264B20" w:rsidP="007135D3">
            <w:pPr>
              <w:rPr>
                <w:b/>
                <w:bCs/>
                <w:sz w:val="24"/>
                <w:szCs w:val="24"/>
                <w:lang w:val="sq-AL"/>
              </w:rPr>
            </w:pPr>
            <w:r w:rsidRPr="00E57A74">
              <w:rPr>
                <w:b/>
                <w:bCs/>
                <w:sz w:val="24"/>
                <w:szCs w:val="24"/>
                <w:lang w:val="sq-AL"/>
              </w:rPr>
              <w:t xml:space="preserve">TE DHËNA KONTAKTI </w:t>
            </w:r>
          </w:p>
          <w:p w14:paraId="1DA19814" w14:textId="77777777" w:rsidR="00264B20" w:rsidRPr="00E57A74" w:rsidRDefault="00264B20" w:rsidP="007135D3">
            <w:pPr>
              <w:rPr>
                <w:sz w:val="24"/>
                <w:szCs w:val="24"/>
                <w:lang w:val="sq-AL"/>
              </w:rPr>
            </w:pPr>
            <w:r w:rsidRPr="00E57A74">
              <w:rPr>
                <w:b/>
                <w:bCs/>
                <w:sz w:val="24"/>
                <w:szCs w:val="24"/>
                <w:lang w:val="sq-AL"/>
              </w:rPr>
              <w:t>(EMRI, E-MAIL, NUMRI I TELEFONIT TË PERSONIT TË KONTAKTIT)</w:t>
            </w:r>
          </w:p>
        </w:tc>
        <w:tc>
          <w:tcPr>
            <w:tcW w:w="4460" w:type="dxa"/>
            <w:tcBorders>
              <w:top w:val="single" w:sz="4" w:space="0" w:color="B7B7B7"/>
              <w:left w:val="single" w:sz="4" w:space="0" w:color="B7B7B7"/>
              <w:bottom w:val="single" w:sz="4" w:space="0" w:color="B7B7B7"/>
              <w:right w:val="single" w:sz="4" w:space="0" w:color="B7B7B7"/>
            </w:tcBorders>
            <w:shd w:val="clear" w:color="auto" w:fill="D9D9D9"/>
            <w:tcMar>
              <w:top w:w="70" w:type="dxa"/>
              <w:left w:w="90" w:type="dxa"/>
              <w:bottom w:w="70" w:type="dxa"/>
              <w:right w:w="90" w:type="dxa"/>
            </w:tcMar>
            <w:vAlign w:val="center"/>
          </w:tcPr>
          <w:p w14:paraId="0260DB67" w14:textId="77777777" w:rsidR="00573D27" w:rsidRPr="00E57A74" w:rsidRDefault="00573D27" w:rsidP="007135D3">
            <w:pPr>
              <w:jc w:val="both"/>
              <w:rPr>
                <w:sz w:val="24"/>
                <w:szCs w:val="24"/>
              </w:rPr>
            </w:pPr>
            <w:r w:rsidRPr="00E57A74">
              <w:rPr>
                <w:sz w:val="24"/>
                <w:szCs w:val="24"/>
              </w:rPr>
              <w:t>Ina Nikolla</w:t>
            </w:r>
          </w:p>
          <w:p w14:paraId="58CDA2C2" w14:textId="77777777" w:rsidR="00573D27" w:rsidRPr="00E57A74" w:rsidRDefault="00573D27" w:rsidP="007135D3">
            <w:pPr>
              <w:jc w:val="both"/>
              <w:rPr>
                <w:sz w:val="24"/>
                <w:szCs w:val="24"/>
              </w:rPr>
            </w:pPr>
            <w:r w:rsidRPr="00E57A74">
              <w:rPr>
                <w:sz w:val="24"/>
                <w:szCs w:val="24"/>
              </w:rPr>
              <w:t>E-mail: ina.nikolla@mbrojtja.gov.al</w:t>
            </w:r>
          </w:p>
          <w:p w14:paraId="5B53F468" w14:textId="659455F1" w:rsidR="00533AF1" w:rsidRPr="00E57A74" w:rsidRDefault="00573D27" w:rsidP="007135D3">
            <w:pPr>
              <w:jc w:val="both"/>
              <w:rPr>
                <w:sz w:val="24"/>
                <w:szCs w:val="24"/>
              </w:rPr>
            </w:pPr>
            <w:r w:rsidRPr="00E57A74">
              <w:rPr>
                <w:sz w:val="24"/>
                <w:szCs w:val="24"/>
              </w:rPr>
              <w:t>Cel: 06820212800</w:t>
            </w:r>
            <w:bookmarkStart w:id="0" w:name="_GoBack"/>
            <w:bookmarkEnd w:id="0"/>
          </w:p>
        </w:tc>
      </w:tr>
      <w:tr w:rsidR="00264B20" w:rsidRPr="00E57A74" w14:paraId="1DE4CCC8" w14:textId="77777777" w:rsidTr="007135D3">
        <w:trPr>
          <w:trHeight w:val="353"/>
        </w:trPr>
        <w:tc>
          <w:tcPr>
            <w:tcW w:w="9630" w:type="dxa"/>
            <w:gridSpan w:val="2"/>
            <w:tcBorders>
              <w:top w:val="single" w:sz="4" w:space="0" w:color="B7B7B7"/>
              <w:left w:val="single" w:sz="4" w:space="0" w:color="B7B7B7"/>
              <w:bottom w:val="single" w:sz="4" w:space="0" w:color="B7B7B7"/>
              <w:right w:val="single" w:sz="4" w:space="0" w:color="B7B7B7"/>
            </w:tcBorders>
            <w:shd w:val="clear" w:color="auto" w:fill="D9D9D9"/>
            <w:vAlign w:val="center"/>
          </w:tcPr>
          <w:p w14:paraId="27EA28BA" w14:textId="77777777" w:rsidR="00264B20" w:rsidRPr="00E57A74" w:rsidRDefault="00264B20" w:rsidP="007135D3">
            <w:pPr>
              <w:rPr>
                <w:b/>
                <w:bCs/>
                <w:sz w:val="24"/>
                <w:szCs w:val="24"/>
              </w:rPr>
            </w:pPr>
            <w:r w:rsidRPr="00E57A74">
              <w:rPr>
                <w:b/>
                <w:bCs/>
                <w:sz w:val="24"/>
                <w:szCs w:val="24"/>
              </w:rPr>
              <w:t xml:space="preserve">PJESA 1. PËRMBLEDHJE EKZEKUTIVE </w:t>
            </w:r>
          </w:p>
          <w:p w14:paraId="5D293412" w14:textId="77777777" w:rsidR="00264B20" w:rsidRPr="00E57A74" w:rsidRDefault="00264B20" w:rsidP="007135D3">
            <w:pPr>
              <w:rPr>
                <w:b/>
                <w:bCs/>
                <w:sz w:val="24"/>
                <w:szCs w:val="24"/>
              </w:rPr>
            </w:pPr>
            <w:r w:rsidRPr="00E57A74">
              <w:rPr>
                <w:b/>
                <w:bCs/>
                <w:sz w:val="24"/>
                <w:szCs w:val="24"/>
              </w:rPr>
              <w:t>(Maksimumi 2 faqe)</w:t>
            </w:r>
          </w:p>
          <w:p w14:paraId="10BF81D7" w14:textId="77777777" w:rsidR="00264B20" w:rsidRPr="00E57A74" w:rsidRDefault="00264B20" w:rsidP="007135D3">
            <w:pPr>
              <w:rPr>
                <w:sz w:val="24"/>
                <w:szCs w:val="24"/>
                <w:lang w:val="sq-AL"/>
              </w:rPr>
            </w:pPr>
          </w:p>
        </w:tc>
      </w:tr>
      <w:tr w:rsidR="00264B20" w:rsidRPr="00E57A74" w14:paraId="661E34BD" w14:textId="77777777" w:rsidTr="007135D3">
        <w:trPr>
          <w:trHeight w:val="953"/>
        </w:trPr>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16A98BD8" w14:textId="3ADA317B" w:rsidR="00B828B1" w:rsidRPr="00E57A74" w:rsidRDefault="00EE0F6E" w:rsidP="008171D8">
            <w:pPr>
              <w:rPr>
                <w:sz w:val="24"/>
                <w:szCs w:val="24"/>
              </w:rPr>
            </w:pPr>
            <w:r w:rsidRPr="00E57A74">
              <w:rPr>
                <w:b/>
                <w:bCs/>
                <w:sz w:val="24"/>
                <w:szCs w:val="24"/>
              </w:rPr>
              <w:t>PËRKUFIZIMI I PROBLEMIT</w:t>
            </w:r>
            <w:r w:rsidRPr="00E57A74">
              <w:rPr>
                <w:sz w:val="24"/>
                <w:szCs w:val="24"/>
              </w:rPr>
              <w:br/>
            </w:r>
            <w:r w:rsidR="00B828B1" w:rsidRPr="00E57A74">
              <w:rPr>
                <w:sz w:val="24"/>
                <w:szCs w:val="24"/>
              </w:rPr>
              <w:t>Ligji nr. 87/2024 ka krijuar kuadrin bazë juridik dhe institucional për rregullimin e prodhimit, tregtimit, kërkimit dhe zhvillimit të armëve, municioneve, pajisjeve dhe teknologjive ushtarake. Problemi i evidentuar gjatë zbatimit të tij nuk lidhet me mungesën e këtij kuadri, por me faktin se disa mekanizma të parashikuar prej tij nuk janë të përcaktuar dhe të ndërlidhur në mënyrë të mjaftueshme për të garantuar një sistem të plotë gjurmueshmërie, kontrolli dhe koordinimi institucional.</w:t>
            </w:r>
          </w:p>
          <w:p w14:paraId="0166A388" w14:textId="77777777" w:rsidR="00B828B1" w:rsidRPr="00E57A74" w:rsidRDefault="00B828B1" w:rsidP="007135D3">
            <w:pPr>
              <w:jc w:val="both"/>
              <w:rPr>
                <w:sz w:val="24"/>
                <w:szCs w:val="24"/>
              </w:rPr>
            </w:pPr>
          </w:p>
          <w:p w14:paraId="599C4583" w14:textId="77777777" w:rsidR="00B828B1" w:rsidRPr="00E57A74" w:rsidRDefault="00B828B1" w:rsidP="007135D3">
            <w:pPr>
              <w:jc w:val="both"/>
              <w:rPr>
                <w:sz w:val="24"/>
                <w:szCs w:val="24"/>
              </w:rPr>
            </w:pPr>
            <w:r w:rsidRPr="00E57A74">
              <w:rPr>
                <w:sz w:val="24"/>
                <w:szCs w:val="24"/>
              </w:rPr>
              <w:t xml:space="preserve">Ligji parashikon mbajtjen e regjistrave nga Agjencia e Industrisë së Mbrojtjes, ngritjen e sistemeve elektronike të gjurmimit nga subjektet e licencuara dhe hedhjen e të dhënave në regjistrin elektronik. Megjithatë, dispozitat aktuale nuk përcaktojnë qartë marrëdhënien ndërmjet regjistrit të parashikuar në nenin 15 dhe regjistrit elektronik të parashikuar në nenin 17, përgjegjësitë për krijimin, administrimin dhe mirëmbajtjen e tij, si dhe detyrimin për ndërlidhjen e sistemeve të gjurmimit të operatorëve me sistemin e administruar nga Agjencia. Kjo krijon paqartësi në administrimin e të dhënave dhe kufizon mundësinë për një gjurmim të integruar të armatimit </w:t>
            </w:r>
            <w:r w:rsidRPr="00E57A74">
              <w:rPr>
                <w:sz w:val="24"/>
                <w:szCs w:val="24"/>
              </w:rPr>
              <w:lastRenderedPageBreak/>
              <w:t>ushtarak. Edhe terminologjia që i referohet “pullës” ose “pullës unike” nuk është e përshtatur plotësisht me format teknologjike të identifikimit dhe gjurmimit.</w:t>
            </w:r>
          </w:p>
          <w:p w14:paraId="5B2399C4" w14:textId="77777777" w:rsidR="00B828B1" w:rsidRPr="00E57A74" w:rsidRDefault="00B828B1" w:rsidP="007135D3">
            <w:pPr>
              <w:jc w:val="both"/>
              <w:rPr>
                <w:sz w:val="24"/>
                <w:szCs w:val="24"/>
              </w:rPr>
            </w:pPr>
          </w:p>
          <w:p w14:paraId="7FCEDE13" w14:textId="77777777" w:rsidR="00B828B1" w:rsidRPr="00E57A74" w:rsidRDefault="00B828B1" w:rsidP="007135D3">
            <w:pPr>
              <w:jc w:val="both"/>
              <w:rPr>
                <w:sz w:val="24"/>
                <w:szCs w:val="24"/>
              </w:rPr>
            </w:pPr>
            <w:r w:rsidRPr="00E57A74">
              <w:rPr>
                <w:sz w:val="24"/>
                <w:szCs w:val="24"/>
              </w:rPr>
              <w:t>Një mangësi tjetër lidhet me sigurinë dhe qëndrueshmërinë e zinxhirit të furnizimit. Ligji aktual rregullon sigurinë e prodhimit, magazinimit dhe veprimtarive të subjekteve, por nuk e përfshin vlerësimin e zinxhirit të furnizimit si pjesë të posaçme të procesit të licencimit ose autorizimit. Për rrjedhojë, operatorët nuk kanë detyrimin e shprehur të dokumentojnë origjinën e lëndëve të para, vendndodhjen e furnitorëve dhe varësitë strategjike që mund të cenojnë vazhdimësinë ose sigurinë e prodhimit.</w:t>
            </w:r>
          </w:p>
          <w:p w14:paraId="3E2A71FE" w14:textId="77777777" w:rsidR="00B828B1" w:rsidRPr="00E57A74" w:rsidRDefault="00B828B1" w:rsidP="007135D3">
            <w:pPr>
              <w:jc w:val="both"/>
              <w:rPr>
                <w:sz w:val="24"/>
                <w:szCs w:val="24"/>
              </w:rPr>
            </w:pPr>
          </w:p>
          <w:p w14:paraId="7D63F71C" w14:textId="77777777" w:rsidR="00B828B1" w:rsidRPr="00E57A74" w:rsidRDefault="00B828B1" w:rsidP="007135D3">
            <w:pPr>
              <w:jc w:val="both"/>
              <w:rPr>
                <w:sz w:val="24"/>
                <w:szCs w:val="24"/>
              </w:rPr>
            </w:pPr>
            <w:r w:rsidRPr="00E57A74">
              <w:rPr>
                <w:sz w:val="24"/>
                <w:szCs w:val="24"/>
              </w:rPr>
              <w:t>Problematika evidentohen edhe në administrimin e lehtësive. Regjimi aktual i tatimit mbi vlerën e shtuar nuk është përshtatur plotësisht me nevojat e veprimtarive prodhuese me intensitet të lartë kapitali dhe nuk adreson në mënyrë të drejtpërdrejtë kostot e importimit të makinerive, pajisjeve dhe inputeve të prodhimit. Në të njëjtën kohë, dispozitat ekzistuese të mbikëqyrjes nuk përcaktojnë qartë periodicitetin e raportimit, rastet e njoftimit të menjëhershëm, shkëmbimin e informacionit ndërmjet institucioneve, kontrollet e përbashkëta dhe mbajtjen e një regjistri të posaçëm të përfituesve. Mënyra e kthimit të përfitimeve nuk bën dallim të qartë ndërmjet mospërputhjeve pa keqbesim dhe përfitimeve të marra përmes deklarimeve të rreme, dokumenteve të falsifikuara, fshehjes së informacionit ose mashtrimit. Gjithashtu, regjimi i kundërvajtjeve nuk mbulon në mënyrë të posaçme keqpërdorimin e lehtësive dhe shkeljet që lidhen me ruajtjen e kushteve të përfitimit.</w:t>
            </w:r>
          </w:p>
          <w:p w14:paraId="7F0BE534" w14:textId="77777777" w:rsidR="00B828B1" w:rsidRPr="00E57A74" w:rsidRDefault="00B828B1" w:rsidP="007135D3">
            <w:pPr>
              <w:jc w:val="both"/>
              <w:rPr>
                <w:sz w:val="24"/>
                <w:szCs w:val="24"/>
              </w:rPr>
            </w:pPr>
          </w:p>
          <w:p w14:paraId="0664FBCC" w14:textId="77777777" w:rsidR="00B828B1" w:rsidRPr="00E57A74" w:rsidRDefault="00B828B1" w:rsidP="007135D3">
            <w:pPr>
              <w:jc w:val="both"/>
              <w:rPr>
                <w:sz w:val="24"/>
                <w:szCs w:val="24"/>
              </w:rPr>
            </w:pPr>
            <w:r w:rsidRPr="00E57A74">
              <w:rPr>
                <w:sz w:val="24"/>
                <w:szCs w:val="24"/>
              </w:rPr>
              <w:t>Afati aktual 30-ditor për shqyrtimin e aplikimeve për lehtësi zbatohet në mënyrë të njëjtë edhe kur investimi ka natyrë komplekse ose rëndësi strategjike dhe kërkon verifikime shtesë. Mungesa e mundësisë për një zgjatje të kufizuar dhe të arsyetuar mund të ndikojë në cilësinë e vlerësimit administrativ.</w:t>
            </w:r>
          </w:p>
          <w:p w14:paraId="6B1C76FB" w14:textId="77777777" w:rsidR="00B828B1" w:rsidRPr="00E57A74" w:rsidRDefault="00B828B1" w:rsidP="007135D3">
            <w:pPr>
              <w:jc w:val="both"/>
              <w:rPr>
                <w:sz w:val="24"/>
                <w:szCs w:val="24"/>
              </w:rPr>
            </w:pPr>
          </w:p>
          <w:p w14:paraId="3E0D6C07" w14:textId="77777777" w:rsidR="00B828B1" w:rsidRPr="00E57A74" w:rsidRDefault="00B828B1" w:rsidP="007135D3">
            <w:pPr>
              <w:jc w:val="both"/>
              <w:rPr>
                <w:sz w:val="24"/>
                <w:szCs w:val="24"/>
              </w:rPr>
            </w:pPr>
            <w:r w:rsidRPr="00E57A74">
              <w:rPr>
                <w:sz w:val="24"/>
                <w:szCs w:val="24"/>
              </w:rPr>
              <w:t>Ligji përcakton gjithashtu ngritjen, përbërjen dhe përgjegjësitë e Komitetit të Mbrojtjes dhe Sigurisë, si dhe rolin e Agjencisë si sekretariat i tij. Megjithatë, nuk përcaktohet shprehimisht funksioni i Komitetit në koordinimin ndërinstitucional dhe vendimmarrjen strategjike, mënyra e drejtimit të mbledhjeve në mungesë të Kryeministrit, detyrimi i institucioneve të tjera për të marrë pjesë dhe për të paraqitur informacion, si dhe përgjegjësia për vlerësimin e zbatimit të vendimeve strategjike.</w:t>
            </w:r>
          </w:p>
          <w:p w14:paraId="23F6114D" w14:textId="77777777" w:rsidR="00B828B1" w:rsidRPr="00E57A74" w:rsidRDefault="00B828B1" w:rsidP="007135D3">
            <w:pPr>
              <w:jc w:val="both"/>
              <w:rPr>
                <w:sz w:val="24"/>
                <w:szCs w:val="24"/>
              </w:rPr>
            </w:pPr>
          </w:p>
          <w:p w14:paraId="6D90C68E" w14:textId="320278C3" w:rsidR="00271B8C" w:rsidRPr="00E57A74" w:rsidRDefault="00B828B1" w:rsidP="007135D3">
            <w:pPr>
              <w:jc w:val="both"/>
              <w:rPr>
                <w:sz w:val="24"/>
                <w:szCs w:val="24"/>
              </w:rPr>
            </w:pPr>
            <w:r w:rsidRPr="00E57A74">
              <w:rPr>
                <w:sz w:val="24"/>
                <w:szCs w:val="24"/>
              </w:rPr>
              <w:t>Si pasojë, Agjencia e Industrisë së Mbrojtjes nuk disponon të gjitha instrumentet ligjore të nevojshme për administrimin e integruar të të dhënave, vlerësimin e rreziqeve të furnizimit dhe monitorimin e plotë të lehtësive. Operatorët ekonomikë përballen me paqartësi mbi kërkesat dhe detyrimet që duhet të përmbushin, ndërsa institucionet publike nuk kanë një bazë të plotë për shkëmbimin e informacionit dhe koordinimin e veprimeve të tyre. Problemi ka natyrë kryesisht normative dhe institucionale, jo buxhetore, dhe adresimi i tij kërkon plotësimin e ligjit nr. 87/2024, pa krijuar efekte financiare shtesë për buxhetin e shtetit.</w:t>
            </w:r>
          </w:p>
        </w:tc>
      </w:tr>
      <w:tr w:rsidR="00264B20" w:rsidRPr="00E57A74" w14:paraId="5D21FFE0" w14:textId="77777777" w:rsidTr="007135D3">
        <w:trPr>
          <w:trHeight w:val="543"/>
        </w:trPr>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5C9C456F" w14:textId="661B1F09" w:rsidR="004A11F7" w:rsidRPr="00E57A74" w:rsidRDefault="00EE0F6E" w:rsidP="007135D3">
            <w:pPr>
              <w:jc w:val="both"/>
              <w:rPr>
                <w:sz w:val="24"/>
                <w:szCs w:val="24"/>
              </w:rPr>
            </w:pPr>
            <w:r w:rsidRPr="00E57A74">
              <w:rPr>
                <w:b/>
                <w:bCs/>
                <w:sz w:val="24"/>
                <w:szCs w:val="24"/>
              </w:rPr>
              <w:lastRenderedPageBreak/>
              <w:t>OBJEKTIVAT</w:t>
            </w:r>
          </w:p>
          <w:p w14:paraId="1C07F48D" w14:textId="6ADEAA97" w:rsidR="007135D3" w:rsidRPr="00E57A74" w:rsidRDefault="004A11F7" w:rsidP="007135D3">
            <w:pPr>
              <w:jc w:val="both"/>
              <w:rPr>
                <w:sz w:val="24"/>
                <w:szCs w:val="24"/>
              </w:rPr>
            </w:pPr>
            <w:r w:rsidRPr="00E57A74">
              <w:rPr>
                <w:sz w:val="24"/>
                <w:szCs w:val="24"/>
              </w:rPr>
              <w:t>Objektivi i përgjithshëm i propozimit është përmirësimi i funksionimit të kuadrit ligjor për industrinë e mbrojtjes, nëpërmjet forcimit të gjurmueshmërisë, kontrollit institucional, sigurisë së zinxhirit të furnizimit, administrimit të lehtësive dhe koordinimit ndërinstitucional, pa krijuar efekte financiare shtesë për buxhetin e shtetit.</w:t>
            </w:r>
          </w:p>
          <w:p w14:paraId="7B436142" w14:textId="77777777" w:rsidR="007135D3" w:rsidRPr="00E57A74" w:rsidRDefault="007135D3" w:rsidP="007135D3">
            <w:pPr>
              <w:jc w:val="both"/>
              <w:rPr>
                <w:sz w:val="24"/>
                <w:szCs w:val="24"/>
              </w:rPr>
            </w:pPr>
          </w:p>
          <w:p w14:paraId="67A54D62" w14:textId="5FA90C28" w:rsidR="004A11F7" w:rsidRPr="00E57A74" w:rsidRDefault="004A11F7" w:rsidP="007135D3">
            <w:pPr>
              <w:jc w:val="both"/>
              <w:rPr>
                <w:i/>
                <w:iCs/>
                <w:sz w:val="24"/>
                <w:szCs w:val="24"/>
              </w:rPr>
            </w:pPr>
            <w:r w:rsidRPr="00E57A74">
              <w:rPr>
                <w:i/>
                <w:iCs/>
                <w:sz w:val="24"/>
                <w:szCs w:val="24"/>
              </w:rPr>
              <w:t>Objektivat specifikë janë:</w:t>
            </w:r>
          </w:p>
          <w:p w14:paraId="68086309" w14:textId="77777777" w:rsidR="004A11F7" w:rsidRPr="00E57A74" w:rsidRDefault="004A11F7" w:rsidP="00EE0F6E">
            <w:pPr>
              <w:pStyle w:val="ListParagraph"/>
              <w:numPr>
                <w:ilvl w:val="0"/>
                <w:numId w:val="5"/>
              </w:numPr>
              <w:tabs>
                <w:tab w:val="clear" w:pos="567"/>
                <w:tab w:val="left" w:pos="360"/>
              </w:tabs>
              <w:spacing w:after="0"/>
              <w:ind w:left="360" w:hanging="270"/>
              <w:jc w:val="both"/>
              <w:rPr>
                <w:rFonts w:ascii="Times New Roman" w:hAnsi="Times New Roman"/>
                <w:sz w:val="24"/>
                <w:szCs w:val="24"/>
              </w:rPr>
            </w:pPr>
            <w:r w:rsidRPr="00E57A74">
              <w:rPr>
                <w:rFonts w:ascii="Times New Roman" w:hAnsi="Times New Roman"/>
                <w:sz w:val="24"/>
                <w:szCs w:val="24"/>
              </w:rPr>
              <w:t xml:space="preserve">Forcimi i sistemit të gjurmueshmërisë së armatimit ushtarak, duke përcaktuar qartë përgjegjësinë e Agjencisë së Industrisë së Mbrojtjes për krijimin, administrimin dhe mirëmbajtjen e Regjistrit Elektronik, si dhe detyrimin e subjekteve të licencuara për të ndërlidhur sistemet e tyre të gjurmimit me këtë regjistër. Efekti i synuar është krijimi i një </w:t>
            </w:r>
            <w:r w:rsidRPr="00E57A74">
              <w:rPr>
                <w:rFonts w:ascii="Times New Roman" w:hAnsi="Times New Roman"/>
                <w:sz w:val="24"/>
                <w:szCs w:val="24"/>
              </w:rPr>
              <w:lastRenderedPageBreak/>
              <w:t>sistemi të integruar të të dhënave, që mundëson identifikimin, gjurmimin, kontrollin dhe inspektimin më efektiv të armatimit ushtarak.</w:t>
            </w:r>
          </w:p>
          <w:p w14:paraId="4F75BA46" w14:textId="77777777" w:rsidR="004A11F7" w:rsidRPr="00E57A74" w:rsidRDefault="004A11F7"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rPr>
              <w:t>Rritja e sigurisë dhe qëndrueshmërisë së zinxhirit të furnizimit, duke përfshirë në procesin e licencimit dhe autorizimit vlerësimin e origjinës së lëndëve të para, vendndodhjes së furnitorëve dhe varësive strategjike. Efekti i synuar është identifikimi paraprak i rreziqeve që mund të ndikojnë në vazhdimësinë, besueshmërinë dhe sigurinë e prodhimit.</w:t>
            </w:r>
          </w:p>
          <w:p w14:paraId="7E36B1C2" w14:textId="77777777" w:rsidR="004A11F7" w:rsidRPr="00E57A74" w:rsidRDefault="004A11F7"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rPr>
              <w:t>Përmirësimi i administrimit të lehtësive fiskale, doganore dhe të lehtësive të tjera, duke përshtatur rregullat me nevojat e veprimtarive prodhuese të industrisë së mbrojtjes dhe duke përcaktuar më qartë përdorimin e tyre vetëm për veprimtaritë e licencuara. Efekti i synuar është rritja e sigurisë juridike për operatorët, përmirësimi i likuiditetit dhe krijimi i kushteve më të favorshme për investime dhe zhvillim të kapaciteteve prodhuese vendase.</w:t>
            </w:r>
          </w:p>
          <w:p w14:paraId="2F1BE414" w14:textId="77777777" w:rsidR="004A11F7" w:rsidRPr="00E57A74" w:rsidRDefault="004A11F7"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rPr>
              <w:t>Forcimi i monitorimit dhe kontrollit të subjekteve përfituese, nëpërmjet raportimit vjetor dhe njoftimit të menjëhershëm të ndryshimeve që ndikojnë në kushtet e përfitimit, krijimit të Regjistrit të Përfituesve të Lehtësive, shkëmbimit ndërinstitucional të informacionit dhe zhvillimit të kontrolleve të përbashkëta. Efekti i synuar është rritja e transparencës, parandalimi i përdorimit të parregullt të lehtësive dhe mundësimi i verifikimit të vazhdueshëm të përmbushjes së kushteve ligjore.</w:t>
            </w:r>
          </w:p>
          <w:p w14:paraId="39F661B8" w14:textId="6F8B1654" w:rsidR="00FD6906" w:rsidRPr="00E57A74" w:rsidRDefault="006D4B4D"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lang w:val="en-US"/>
              </w:rPr>
              <w:t>P</w:t>
            </w:r>
            <w:r w:rsidR="004A11F7" w:rsidRPr="00E57A74">
              <w:rPr>
                <w:rFonts w:ascii="Times New Roman" w:hAnsi="Times New Roman"/>
                <w:sz w:val="24"/>
                <w:szCs w:val="24"/>
              </w:rPr>
              <w:t>ërcaktuar rregulla të diferencuara për kthimin e përfitimeve të marra në kundërshtim me ligjin dhe kundërvajtje të posaçme për keqpërdorimin e lehtësive, mosnjoftimin e ndryshimeve dhe paraqitjen e të dhënave ose dokumentacionit të pasaktë apo të rremë. Efekti i synuar është forcimi i integritetit të skemës së lehtësive dhe zbatimi proporcional i masave administrative.</w:t>
            </w:r>
          </w:p>
          <w:p w14:paraId="3031787D" w14:textId="77777777" w:rsidR="00FD6906" w:rsidRPr="00E57A74" w:rsidRDefault="004A11F7"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rPr>
              <w:t>Përmirësimi i cilësisë së shqyrtimit të investimeve komplekse ose me rëndësi strategjike, duke lejuar, vetëm në raste të veçanta dhe me vendim të arsyetuar, zgjatjen një herë të afatit të shqyrtimit. Efekti i synuar është kryerja e verifikimeve të nevojshme pa cenuar transparencën dhe parashikueshmërinë e procedurës për subjektin aplikues.</w:t>
            </w:r>
          </w:p>
          <w:p w14:paraId="2FDA19F1" w14:textId="09E84F28" w:rsidR="00271B8C" w:rsidRPr="00E57A74" w:rsidRDefault="004A11F7" w:rsidP="00EE0F6E">
            <w:pPr>
              <w:pStyle w:val="ListParagraph"/>
              <w:numPr>
                <w:ilvl w:val="0"/>
                <w:numId w:val="5"/>
              </w:numPr>
              <w:tabs>
                <w:tab w:val="clear" w:pos="567"/>
                <w:tab w:val="left" w:pos="360"/>
              </w:tabs>
              <w:ind w:left="360" w:hanging="270"/>
              <w:jc w:val="both"/>
              <w:rPr>
                <w:rFonts w:ascii="Times New Roman" w:hAnsi="Times New Roman"/>
                <w:sz w:val="24"/>
                <w:szCs w:val="24"/>
              </w:rPr>
            </w:pPr>
            <w:r w:rsidRPr="00E57A74">
              <w:rPr>
                <w:rFonts w:ascii="Times New Roman" w:hAnsi="Times New Roman"/>
                <w:sz w:val="24"/>
                <w:szCs w:val="24"/>
              </w:rPr>
              <w:t>Forcimi i koordinimit ndërinstitucional dhe vendimmarrjes strategjike, duke qartësuar funksionin e Komitetit të Mbrojtjes dhe Sigurisë, mënyrën e drejtimit të mbledhjeve në mungesë të Kryeministrit, pjesëmarrjen e institucioneve të tjera dhe përgjegjësitë për koordinimin e politikave dhe vlerësimin e zbatimit të vendimeve strategjike. Efekti i synuar është rritja e koherencës së veprimeve institucionale me interesat e mbrojtjes dhe sigurisë kombëtare.</w:t>
            </w:r>
          </w:p>
        </w:tc>
      </w:tr>
      <w:tr w:rsidR="00264B20" w:rsidRPr="00E57A74" w14:paraId="5B6307A6" w14:textId="77777777" w:rsidTr="007135D3">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18BEC479" w14:textId="73443784" w:rsidR="007D2999" w:rsidRPr="00E57A74" w:rsidRDefault="00EE0F6E" w:rsidP="007135D3">
            <w:pPr>
              <w:jc w:val="both"/>
              <w:rPr>
                <w:sz w:val="24"/>
                <w:szCs w:val="24"/>
              </w:rPr>
            </w:pPr>
            <w:r w:rsidRPr="00E57A74">
              <w:rPr>
                <w:b/>
                <w:bCs/>
                <w:sz w:val="24"/>
                <w:szCs w:val="24"/>
              </w:rPr>
              <w:lastRenderedPageBreak/>
              <w:t>OPSIONET E POLITIKAVE</w:t>
            </w:r>
          </w:p>
          <w:p w14:paraId="0E06820A" w14:textId="77777777" w:rsidR="007D2999" w:rsidRPr="00E57A74" w:rsidRDefault="007D2999" w:rsidP="007135D3">
            <w:pPr>
              <w:jc w:val="both"/>
              <w:rPr>
                <w:sz w:val="24"/>
                <w:szCs w:val="24"/>
              </w:rPr>
            </w:pPr>
            <w:r w:rsidRPr="00E57A74">
              <w:rPr>
                <w:sz w:val="24"/>
                <w:szCs w:val="24"/>
              </w:rPr>
              <w:t>Për adresimin e problematikave të evidentuara janë shqyrtuar tri opsione: ruajtja e situatës ekzistuese, ndërhyrja ligjore e synuar dhe përdorimi vetëm i masave administrative ose jo-rregullatore.</w:t>
            </w:r>
          </w:p>
          <w:p w14:paraId="2AB77294" w14:textId="77777777" w:rsidR="007D2999" w:rsidRPr="00E57A74" w:rsidRDefault="007D2999" w:rsidP="007135D3">
            <w:pPr>
              <w:jc w:val="both"/>
              <w:rPr>
                <w:sz w:val="24"/>
                <w:szCs w:val="24"/>
              </w:rPr>
            </w:pPr>
          </w:p>
          <w:p w14:paraId="315F15E1" w14:textId="1B12ACC1" w:rsidR="007D2999" w:rsidRPr="00E57A74" w:rsidRDefault="007D2999" w:rsidP="007135D3">
            <w:pPr>
              <w:jc w:val="both"/>
              <w:rPr>
                <w:i/>
                <w:iCs/>
                <w:sz w:val="24"/>
                <w:szCs w:val="24"/>
              </w:rPr>
            </w:pPr>
            <w:r w:rsidRPr="00E57A74">
              <w:rPr>
                <w:i/>
                <w:iCs/>
                <w:sz w:val="24"/>
                <w:szCs w:val="24"/>
              </w:rPr>
              <w:t>Opsioni 0 – Ruajtja e situatës ekzistuese</w:t>
            </w:r>
          </w:p>
          <w:p w14:paraId="27D71BF3" w14:textId="77777777" w:rsidR="007D2999" w:rsidRPr="00E57A74" w:rsidRDefault="007D2999" w:rsidP="007135D3">
            <w:pPr>
              <w:jc w:val="both"/>
              <w:rPr>
                <w:sz w:val="24"/>
                <w:szCs w:val="24"/>
              </w:rPr>
            </w:pPr>
            <w:r w:rsidRPr="00E57A74">
              <w:rPr>
                <w:sz w:val="24"/>
                <w:szCs w:val="24"/>
              </w:rPr>
              <w:t>Ky opsion parashikon vijimin e zbatimit të ligjit nr. 87/2024 pa ndryshime ligjore dhe pa masa të reja rregullatore.</w:t>
            </w:r>
          </w:p>
          <w:p w14:paraId="0258107F" w14:textId="77777777" w:rsidR="007D2999" w:rsidRPr="00E57A74" w:rsidRDefault="007D2999" w:rsidP="007135D3">
            <w:pPr>
              <w:jc w:val="both"/>
              <w:rPr>
                <w:sz w:val="24"/>
                <w:szCs w:val="24"/>
              </w:rPr>
            </w:pPr>
          </w:p>
          <w:p w14:paraId="077D9C1A" w14:textId="77777777" w:rsidR="007D2999" w:rsidRPr="00E57A74" w:rsidRDefault="007D2999" w:rsidP="007135D3">
            <w:pPr>
              <w:jc w:val="both"/>
              <w:rPr>
                <w:sz w:val="24"/>
                <w:szCs w:val="24"/>
              </w:rPr>
            </w:pPr>
            <w:r w:rsidRPr="00E57A74">
              <w:rPr>
                <w:sz w:val="24"/>
                <w:szCs w:val="24"/>
              </w:rPr>
              <w:t>Avantazhi kryesor i këtij opsioni është se nuk kërkon ndryshime të procedurave ekzistuese, përshtatje administrative ose masa kalimtare për institucionet dhe operatorët ekonomikë. Ai nuk krijon ngarkesë të re për zbatimin dhe ruan vazhdimësinë formale të kuadrit aktual.</w:t>
            </w:r>
          </w:p>
          <w:p w14:paraId="78DA3B41" w14:textId="77777777" w:rsidR="007D2999" w:rsidRPr="00E57A74" w:rsidRDefault="007D2999" w:rsidP="007135D3">
            <w:pPr>
              <w:jc w:val="both"/>
              <w:rPr>
                <w:sz w:val="24"/>
                <w:szCs w:val="24"/>
              </w:rPr>
            </w:pPr>
          </w:p>
          <w:p w14:paraId="67202B15" w14:textId="77777777" w:rsidR="007D2999" w:rsidRPr="00E57A74" w:rsidRDefault="007D2999" w:rsidP="007135D3">
            <w:pPr>
              <w:jc w:val="both"/>
              <w:rPr>
                <w:sz w:val="24"/>
                <w:szCs w:val="24"/>
              </w:rPr>
            </w:pPr>
            <w:r w:rsidRPr="00E57A74">
              <w:rPr>
                <w:sz w:val="24"/>
                <w:szCs w:val="24"/>
              </w:rPr>
              <w:t>Megjithatë, ky opsion nuk adreson paqartësitë ndërmjet dispozitave për regjistrimin dhe gjurmimin, mungesën e ndërlidhjes së sistemeve të operatorëve me Regjistrin Elektronik, mungesën e vlerësimit të zinxhirit të furnizimit dhe mangësitë në monitorimin e lehtësive. Do të vazhdonin gjithashtu kufizimet në shkëmbimin ndërinstitucional të informacionit, kontrollet e përbashkëta, kthimin e përfitimeve të marra në kundërshtim me ligjin dhe sanksionimin e shkeljeve të posaçme. Ky opsion nuk forcon rolin koordinues të Komitetit të Mbrojtjes dhe Sigurisë dhe nuk arrin objektivat e politikës.</w:t>
            </w:r>
          </w:p>
          <w:p w14:paraId="5821A6B5" w14:textId="77777777" w:rsidR="007D2999" w:rsidRPr="00E57A74" w:rsidRDefault="007D2999" w:rsidP="007135D3">
            <w:pPr>
              <w:jc w:val="both"/>
              <w:rPr>
                <w:sz w:val="24"/>
                <w:szCs w:val="24"/>
              </w:rPr>
            </w:pPr>
          </w:p>
          <w:p w14:paraId="50021111" w14:textId="367A2DDF" w:rsidR="007D2999" w:rsidRPr="00E57A74" w:rsidRDefault="007D2999" w:rsidP="006D4B4D">
            <w:pPr>
              <w:jc w:val="both"/>
              <w:rPr>
                <w:i/>
                <w:iCs/>
                <w:sz w:val="24"/>
                <w:szCs w:val="24"/>
              </w:rPr>
            </w:pPr>
            <w:r w:rsidRPr="00E57A74">
              <w:rPr>
                <w:i/>
                <w:iCs/>
                <w:sz w:val="24"/>
                <w:szCs w:val="24"/>
              </w:rPr>
              <w:t>Opsioni 1 – Ndryshimi i ligjit nr. 87/2024 dhe marrja e masave zbatuese</w:t>
            </w:r>
          </w:p>
          <w:p w14:paraId="7A558A3F" w14:textId="77777777" w:rsidR="007D2999" w:rsidRPr="00E57A74" w:rsidRDefault="007D2999" w:rsidP="006D4B4D">
            <w:pPr>
              <w:jc w:val="both"/>
              <w:rPr>
                <w:sz w:val="24"/>
                <w:szCs w:val="24"/>
              </w:rPr>
            </w:pPr>
            <w:r w:rsidRPr="00E57A74">
              <w:rPr>
                <w:sz w:val="24"/>
                <w:szCs w:val="24"/>
              </w:rPr>
              <w:t>Ky opsion parashikon ndërhyrje të synuar në ligjin nr. 87/2024, të shoqëruar me miratimin ose përshtatjen e rregullave, procedurave dhe marrëveshjeve të nevojshme për zbatimin e ndryshimeve.</w:t>
            </w:r>
          </w:p>
          <w:p w14:paraId="3EA58142" w14:textId="77777777" w:rsidR="007D2999" w:rsidRPr="00E57A74" w:rsidRDefault="007D2999" w:rsidP="006D4B4D">
            <w:pPr>
              <w:jc w:val="both"/>
              <w:rPr>
                <w:sz w:val="24"/>
                <w:szCs w:val="24"/>
              </w:rPr>
            </w:pPr>
          </w:p>
          <w:p w14:paraId="1A38FD44" w14:textId="083EA1FA" w:rsidR="007D2999" w:rsidRPr="00E57A74" w:rsidRDefault="007D2999" w:rsidP="006D4B4D">
            <w:pPr>
              <w:jc w:val="both"/>
              <w:rPr>
                <w:sz w:val="24"/>
                <w:szCs w:val="24"/>
              </w:rPr>
            </w:pPr>
            <w:r w:rsidRPr="00E57A74">
              <w:rPr>
                <w:sz w:val="24"/>
                <w:szCs w:val="24"/>
              </w:rPr>
              <w:t>Ndërhyrja ligjore përfshin:</w:t>
            </w:r>
          </w:p>
          <w:p w14:paraId="179BECAF" w14:textId="133603B5"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përcaktimin e përgjegjësisë së Agjencisë për krijimin, administrimin dhe mirëmbajtjen e Regjistrit Elektronik;</w:t>
            </w:r>
          </w:p>
          <w:p w14:paraId="53D3BBEE" w14:textId="4454146D"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ndërlidhjen e sistemeve të gjurmimit të subjekteve të licencuara me Regjistrin Elektronik;</w:t>
            </w:r>
          </w:p>
          <w:p w14:paraId="7CDD88CD" w14:textId="6F7EF597"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përditësimin e terminologjisë së markimit;</w:t>
            </w:r>
          </w:p>
          <w:p w14:paraId="4C97FDCC" w14:textId="77777777"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vendosjen e kërkesave për dokumentimin dhe vlerësimin e zinxhirit të furnizimit;</w:t>
            </w:r>
          </w:p>
          <w:p w14:paraId="0637A408" w14:textId="7DF064D4"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përshtatjen e skemës së lehtësive me nevojat e veprimtarive prodhuese të industrisë së mbrojtjes;</w:t>
            </w:r>
          </w:p>
          <w:p w14:paraId="1F9C6E2C" w14:textId="18DB57A4"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përcaktimin e raportimit vjetor dhe të njoftimit të menjëhershëm për ndryshimet që ndikojnë në kushtet e përfitimit;</w:t>
            </w:r>
          </w:p>
          <w:p w14:paraId="4F3B485A" w14:textId="5D569C17"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rregullimin e shkëmbimit të informacionit dhe të kontrolleve të përbashkëta ndërinstitucionale;</w:t>
            </w:r>
          </w:p>
          <w:p w14:paraId="0B3F04FC" w14:textId="77777777"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krijimin e Regjistrit të Përfituesve të Lehtësive;</w:t>
            </w:r>
          </w:p>
          <w:p w14:paraId="5307D718" w14:textId="77777777"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plotësimin e kundërvajtjeve dhe masave administrative;</w:t>
            </w:r>
          </w:p>
          <w:p w14:paraId="02989FFC" w14:textId="2684E311"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mundësinë e zgjatjes së arsyetuar të afatit të shqyrtimit për investimet komplekse ose strategjike;</w:t>
            </w:r>
          </w:p>
          <w:p w14:paraId="538F5AFB" w14:textId="6A8BD28B" w:rsidR="007D2999" w:rsidRPr="00E57A74" w:rsidRDefault="007D2999" w:rsidP="006D4B4D">
            <w:pPr>
              <w:pStyle w:val="ListParagraph"/>
              <w:numPr>
                <w:ilvl w:val="0"/>
                <w:numId w:val="6"/>
              </w:numPr>
              <w:spacing w:after="0"/>
              <w:ind w:left="360" w:hanging="270"/>
              <w:jc w:val="both"/>
              <w:rPr>
                <w:rFonts w:ascii="Times New Roman" w:hAnsi="Times New Roman"/>
                <w:sz w:val="24"/>
                <w:szCs w:val="24"/>
              </w:rPr>
            </w:pPr>
            <w:r w:rsidRPr="00E57A74">
              <w:rPr>
                <w:rFonts w:ascii="Times New Roman" w:hAnsi="Times New Roman"/>
                <w:sz w:val="24"/>
                <w:szCs w:val="24"/>
              </w:rPr>
              <w:t>forcimin e funksionit koordinues dhe vendimmarrës strategjik të Komitetit të Mbrojtjes dhe Sigurisë.</w:t>
            </w:r>
          </w:p>
          <w:p w14:paraId="11191316" w14:textId="77777777" w:rsidR="007135D3" w:rsidRPr="00E57A74" w:rsidRDefault="007135D3" w:rsidP="007135D3">
            <w:pPr>
              <w:pStyle w:val="ListParagraph"/>
              <w:spacing w:after="0"/>
              <w:ind w:left="360" w:firstLine="0"/>
              <w:jc w:val="both"/>
              <w:rPr>
                <w:rFonts w:ascii="Times New Roman" w:hAnsi="Times New Roman"/>
                <w:sz w:val="24"/>
                <w:szCs w:val="24"/>
              </w:rPr>
            </w:pPr>
          </w:p>
          <w:p w14:paraId="3DA23204" w14:textId="77777777" w:rsidR="007D2999" w:rsidRPr="00E57A74" w:rsidRDefault="007D2999" w:rsidP="007135D3">
            <w:pPr>
              <w:jc w:val="both"/>
              <w:rPr>
                <w:sz w:val="24"/>
                <w:szCs w:val="24"/>
              </w:rPr>
            </w:pPr>
            <w:r w:rsidRPr="00E57A74">
              <w:rPr>
                <w:sz w:val="24"/>
                <w:szCs w:val="24"/>
              </w:rPr>
              <w:t>Përfitimi kryesor i këtij opsioni është se adreson drejtpërdrejt shkaqet normative dhe institucionale të problemeve. Ai krijon bazë të qartë ligjore për kompetencat e Agjencisë, detyrimet e operatorëve, shkëmbimin e të dhënave, kontrollin e lehtësive dhe përgjegjësinë administrative. Opsioni rrit sigurinë juridike, gjurmueshmërinë, transparencën dhe koordinimin ndërinstitucional, si dhe krijon kushte më të përshtatshme për zhvillimin e industrisë së mbrojtjes.</w:t>
            </w:r>
          </w:p>
          <w:p w14:paraId="12658D56" w14:textId="77777777" w:rsidR="007D2999" w:rsidRPr="00E57A74" w:rsidRDefault="007D2999" w:rsidP="007135D3">
            <w:pPr>
              <w:jc w:val="both"/>
              <w:rPr>
                <w:sz w:val="24"/>
                <w:szCs w:val="24"/>
              </w:rPr>
            </w:pPr>
          </w:p>
          <w:p w14:paraId="5CEBD377" w14:textId="77777777" w:rsidR="007D2999" w:rsidRPr="00E57A74" w:rsidRDefault="007D2999" w:rsidP="007135D3">
            <w:pPr>
              <w:jc w:val="both"/>
              <w:rPr>
                <w:sz w:val="24"/>
                <w:szCs w:val="24"/>
              </w:rPr>
            </w:pPr>
            <w:r w:rsidRPr="00E57A74">
              <w:rPr>
                <w:sz w:val="24"/>
                <w:szCs w:val="24"/>
              </w:rPr>
              <w:t>Zbatimi i tij kërkon përshtatjen e procedurave të brendshme, hartimin e rregullave të funksionimit të regjistrave, lidhjen e marrëveshjeve të bashkëpunimit, informimin e operatorëve dhe trajnimin e personelit. Për operatorët mund të krijohen detyrime administrative për dokumentimin e zinxhirit të furnizimit, ndërlidhjen e sistemeve dhe raportimin. Këto ngarkesa janë të lidhura drejtpërdrejt me nevojën për kontroll dhe gjurmueshmëri dhe duhet të zbatohen në mënyrë proporcionale. Masat institucionale do të përballohen me burimet ekzistuese dhe nuk krijojnë efekte financiare shtesë për buxhetin e shtetit.</w:t>
            </w:r>
          </w:p>
          <w:p w14:paraId="5E1C510C" w14:textId="77777777" w:rsidR="007D2999" w:rsidRPr="00E57A74" w:rsidRDefault="007D2999" w:rsidP="007135D3">
            <w:pPr>
              <w:jc w:val="both"/>
              <w:rPr>
                <w:sz w:val="24"/>
                <w:szCs w:val="24"/>
              </w:rPr>
            </w:pPr>
          </w:p>
          <w:p w14:paraId="5A9FB455" w14:textId="65D89EC1" w:rsidR="007D2999" w:rsidRPr="00E57A74" w:rsidRDefault="007D2999" w:rsidP="007135D3">
            <w:pPr>
              <w:jc w:val="both"/>
              <w:rPr>
                <w:i/>
                <w:iCs/>
                <w:sz w:val="24"/>
                <w:szCs w:val="24"/>
              </w:rPr>
            </w:pPr>
            <w:r w:rsidRPr="00E57A74">
              <w:rPr>
                <w:i/>
                <w:iCs/>
                <w:sz w:val="24"/>
                <w:szCs w:val="24"/>
              </w:rPr>
              <w:t>Opsioni 2 – Masa administrative dhe jo-rregullatore</w:t>
            </w:r>
          </w:p>
          <w:p w14:paraId="3BD5FC84" w14:textId="77777777" w:rsidR="007D2999" w:rsidRPr="00E57A74" w:rsidRDefault="007D2999" w:rsidP="007135D3">
            <w:pPr>
              <w:jc w:val="both"/>
              <w:rPr>
                <w:sz w:val="24"/>
                <w:szCs w:val="24"/>
              </w:rPr>
            </w:pPr>
            <w:r w:rsidRPr="00E57A74">
              <w:rPr>
                <w:sz w:val="24"/>
                <w:szCs w:val="24"/>
              </w:rPr>
              <w:t>Ky opsion parashikon përmirësimin e zbatimit të ligjit ekzistues nëpërmjet udhëzimeve administrative, manualeve të procedurave, marrëveshjeve të bashkëpunimit, trajnimeve, sesioneve informuese dhe standardizimit të praktikave të punës, pa ndryshuar ligjin nr. 87/2024.</w:t>
            </w:r>
          </w:p>
          <w:p w14:paraId="1B45336A" w14:textId="77777777" w:rsidR="007D2999" w:rsidRPr="00E57A74" w:rsidRDefault="007D2999" w:rsidP="007135D3">
            <w:pPr>
              <w:jc w:val="both"/>
              <w:rPr>
                <w:sz w:val="24"/>
                <w:szCs w:val="24"/>
              </w:rPr>
            </w:pPr>
          </w:p>
          <w:p w14:paraId="48D22CB8" w14:textId="77777777" w:rsidR="007D2999" w:rsidRPr="00E57A74" w:rsidRDefault="007D2999" w:rsidP="007135D3">
            <w:pPr>
              <w:jc w:val="both"/>
              <w:rPr>
                <w:sz w:val="24"/>
                <w:szCs w:val="24"/>
              </w:rPr>
            </w:pPr>
            <w:r w:rsidRPr="00E57A74">
              <w:rPr>
                <w:sz w:val="24"/>
                <w:szCs w:val="24"/>
              </w:rPr>
              <w:t>Avantazhet e këtij opsioni janë zbatimi më i shpejtë, fleksibiliteti administrativ dhe mungesa e nevojës për procedurë legjislative. Udhëzimet dhe trajnimet mund të përmirësojnë interpretimin e dispozitave ekzistuese, cilësinë e raportimit dhe bashkëpunimin praktik ndërmjet institucioneve.</w:t>
            </w:r>
          </w:p>
          <w:p w14:paraId="420A660F" w14:textId="77777777" w:rsidR="007D2999" w:rsidRPr="00E57A74" w:rsidRDefault="007D2999" w:rsidP="007135D3">
            <w:pPr>
              <w:jc w:val="both"/>
              <w:rPr>
                <w:sz w:val="24"/>
                <w:szCs w:val="24"/>
              </w:rPr>
            </w:pPr>
          </w:p>
          <w:p w14:paraId="23FA37C6" w14:textId="523D480E" w:rsidR="007D2999" w:rsidRPr="00E57A74" w:rsidRDefault="007D2999" w:rsidP="007135D3">
            <w:pPr>
              <w:jc w:val="both"/>
              <w:rPr>
                <w:sz w:val="24"/>
                <w:szCs w:val="24"/>
              </w:rPr>
            </w:pPr>
            <w:r w:rsidRPr="00E57A74">
              <w:rPr>
                <w:sz w:val="24"/>
                <w:szCs w:val="24"/>
              </w:rPr>
              <w:t>Megjithatë, masat jo-rregullatore nuk mund të krijojnë kompetenca të reja për Agjencinë, detyrime për ndërlidhjen e sistemeve, kërkesa të reja për operatorët, lehtësi fiskale, rregulla për kthimin e përfitimeve ose kundërvajtje administrative. Ato nuk mund të ndryshojnë statusin dhe kompetencat e Komitetit të Mbrojtjes dhe Sigurisë. Për këtë arsye, ky opsion mund të mbështesë zbatimin, por nuk mund të zëvendësojë ndërhyrjen ligjore.</w:t>
            </w:r>
          </w:p>
          <w:p w14:paraId="513A771A" w14:textId="424F2F06" w:rsidR="007D2999" w:rsidRPr="00E57A74" w:rsidRDefault="007D2999" w:rsidP="007135D3">
            <w:pPr>
              <w:jc w:val="both"/>
              <w:rPr>
                <w:sz w:val="24"/>
                <w:szCs w:val="24"/>
              </w:rPr>
            </w:pPr>
          </w:p>
          <w:p w14:paraId="72CBDC02" w14:textId="77777777" w:rsidR="008171D8" w:rsidRPr="00E57A74" w:rsidRDefault="008171D8" w:rsidP="007135D3">
            <w:pPr>
              <w:jc w:val="both"/>
              <w:rPr>
                <w:sz w:val="24"/>
                <w:szCs w:val="24"/>
              </w:rPr>
            </w:pPr>
          </w:p>
          <w:p w14:paraId="4AF807EC" w14:textId="6A81B987" w:rsidR="007D2999" w:rsidRPr="00E57A74" w:rsidRDefault="007D2999" w:rsidP="007135D3">
            <w:pPr>
              <w:jc w:val="both"/>
              <w:rPr>
                <w:b/>
                <w:bCs/>
                <w:i/>
                <w:iCs/>
                <w:sz w:val="24"/>
                <w:szCs w:val="24"/>
              </w:rPr>
            </w:pPr>
            <w:r w:rsidRPr="00E57A74">
              <w:rPr>
                <w:b/>
                <w:bCs/>
                <w:i/>
                <w:iCs/>
                <w:sz w:val="24"/>
                <w:szCs w:val="24"/>
              </w:rPr>
              <w:lastRenderedPageBreak/>
              <w:t>Opsioni i preferuar</w:t>
            </w:r>
          </w:p>
          <w:p w14:paraId="71627B56" w14:textId="77777777" w:rsidR="007D2999" w:rsidRPr="00E57A74" w:rsidRDefault="007D2999" w:rsidP="007135D3">
            <w:pPr>
              <w:jc w:val="both"/>
              <w:rPr>
                <w:sz w:val="24"/>
                <w:szCs w:val="24"/>
              </w:rPr>
            </w:pPr>
            <w:r w:rsidRPr="00E57A74">
              <w:rPr>
                <w:sz w:val="24"/>
                <w:szCs w:val="24"/>
              </w:rPr>
              <w:t xml:space="preserve">Opsioni i preferuar është Opsioni 1 – ndryshimi i ligjit nr. 87/2024 dhe marrja e masave zbatuese. </w:t>
            </w:r>
          </w:p>
          <w:p w14:paraId="55D63D4A" w14:textId="7DF66A8C" w:rsidR="007D2999" w:rsidRPr="00E57A74" w:rsidRDefault="007D2999" w:rsidP="007135D3">
            <w:pPr>
              <w:jc w:val="both"/>
              <w:rPr>
                <w:sz w:val="24"/>
                <w:szCs w:val="24"/>
              </w:rPr>
            </w:pPr>
            <w:r w:rsidRPr="00E57A74">
              <w:rPr>
                <w:sz w:val="24"/>
                <w:szCs w:val="24"/>
              </w:rPr>
              <w:t>Ky opsion është më efektiv, sepse adreson drejtpërdrejt shkaqet juridike dhe institucionale të problematikave; më proporcional, sepse ndërhyrja kufizohet në dispozitat që kërkojnë plotësim ose saktësim; dhe më i qëndrueshëm, sepse krijon mekanizma të detyrueshëm dhe të zbatueshëm për të gjitha institucionet dhe subjektet e përfshira.</w:t>
            </w:r>
          </w:p>
          <w:p w14:paraId="16FA2BEF" w14:textId="77777777" w:rsidR="007D2999" w:rsidRPr="00E57A74" w:rsidRDefault="007D2999" w:rsidP="007135D3">
            <w:pPr>
              <w:jc w:val="both"/>
              <w:rPr>
                <w:sz w:val="24"/>
                <w:szCs w:val="24"/>
              </w:rPr>
            </w:pPr>
          </w:p>
          <w:p w14:paraId="7C621F98" w14:textId="16742075" w:rsidR="00271B8C" w:rsidRPr="00E57A74" w:rsidRDefault="007D2999" w:rsidP="007135D3">
            <w:pPr>
              <w:jc w:val="both"/>
              <w:rPr>
                <w:sz w:val="24"/>
                <w:szCs w:val="24"/>
              </w:rPr>
            </w:pPr>
            <w:r w:rsidRPr="00E57A74">
              <w:rPr>
                <w:sz w:val="24"/>
                <w:szCs w:val="24"/>
              </w:rPr>
              <w:t>Opsioni i preferuar do të zbatohet i shoqëruar me masa administrative dhe jo-rregullatore, përfshirë miratimin e rregullave të regjistrave, përcaktimin e standardeve të ndërlidhjes, lidhjen e marrëveshjeve për shkëmbimin e informacionit, përgatitjen e formateve të raportimit, trajnimin e personelit dhe informimin e operatorëve. Në këtë mënyrë, masat e parashikuara në Opsionin 2 përdoren si instrumente plotësuese për zbatimin efektiv të ndërhyrjes ligjore dhe jo si alternativë ndaj saj.</w:t>
            </w:r>
          </w:p>
        </w:tc>
      </w:tr>
      <w:tr w:rsidR="00264B20" w:rsidRPr="00E57A74" w14:paraId="27B5E976" w14:textId="77777777" w:rsidTr="007135D3">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5D7076B2" w14:textId="2D648FD5" w:rsidR="009E40AB" w:rsidRPr="00E57A74" w:rsidRDefault="00EE0F6E" w:rsidP="007135D3">
            <w:pPr>
              <w:pStyle w:val="isselectedend"/>
              <w:spacing w:before="0" w:beforeAutospacing="0" w:after="0" w:afterAutospacing="0"/>
            </w:pPr>
            <w:r w:rsidRPr="00E57A74">
              <w:rPr>
                <w:b/>
                <w:bCs/>
              </w:rPr>
              <w:lastRenderedPageBreak/>
              <w:t>ANALIZA E NDIKIMEVE</w:t>
            </w:r>
            <w:r w:rsidRPr="00E57A74">
              <w:br/>
            </w:r>
            <w:r w:rsidR="009E40AB" w:rsidRPr="00E57A74">
              <w:t>Ndikimet e opsionit të preferuar janë kryesisht cilësore.</w:t>
            </w:r>
          </w:p>
          <w:p w14:paraId="05EE9AC6" w14:textId="77777777" w:rsidR="008171D8" w:rsidRPr="00E57A74" w:rsidRDefault="008171D8" w:rsidP="007135D3">
            <w:pPr>
              <w:pStyle w:val="isselectedend"/>
              <w:spacing w:before="0" w:beforeAutospacing="0" w:after="0" w:afterAutospacing="0"/>
            </w:pPr>
          </w:p>
          <w:p w14:paraId="75BAB38B" w14:textId="77777777" w:rsidR="009E40AB" w:rsidRPr="00E57A74" w:rsidRDefault="009E40AB" w:rsidP="007135D3">
            <w:pPr>
              <w:jc w:val="both"/>
              <w:rPr>
                <w:color w:val="auto"/>
                <w:sz w:val="24"/>
                <w:szCs w:val="24"/>
                <w:lang w:val="en-US" w:eastAsia="en-US"/>
              </w:rPr>
            </w:pPr>
            <w:r w:rsidRPr="00E57A74">
              <w:rPr>
                <w:b/>
                <w:bCs/>
                <w:color w:val="auto"/>
                <w:sz w:val="24"/>
                <w:szCs w:val="24"/>
                <w:lang w:val="en-US" w:eastAsia="en-US"/>
              </w:rPr>
              <w:t>Ndikimi me vlerë monetare mbi buxhetin:</w:t>
            </w:r>
            <w:r w:rsidRPr="00E57A74">
              <w:rPr>
                <w:color w:val="auto"/>
                <w:sz w:val="24"/>
                <w:szCs w:val="24"/>
                <w:lang w:val="en-US" w:eastAsia="en-US"/>
              </w:rPr>
              <w:t xml:space="preserve"> Ndryshimet e propozuara nuk sjellin kosto financiare shtesë për buxhetin e shtetit. Zbatimi i tyre do të realizohet me strukturat, personelin dhe burimet ekzistuese. Kostoja shtesë e përllogaritur për periudhën trevjeçare pas hyrjes në fuqi të ligjit është </w:t>
            </w:r>
            <w:r w:rsidRPr="00E57A74">
              <w:rPr>
                <w:b/>
                <w:bCs/>
                <w:color w:val="auto"/>
                <w:sz w:val="24"/>
                <w:szCs w:val="24"/>
                <w:lang w:val="en-US" w:eastAsia="en-US"/>
              </w:rPr>
              <w:t>0 lekë</w:t>
            </w:r>
            <w:r w:rsidRPr="00E57A74">
              <w:rPr>
                <w:color w:val="auto"/>
                <w:sz w:val="24"/>
                <w:szCs w:val="24"/>
                <w:lang w:val="en-US" w:eastAsia="en-US"/>
              </w:rPr>
              <w:t>.</w:t>
            </w:r>
          </w:p>
          <w:p w14:paraId="44601F52" w14:textId="77777777" w:rsidR="009E40AB" w:rsidRPr="00E57A74" w:rsidRDefault="009E40AB" w:rsidP="007135D3">
            <w:pPr>
              <w:jc w:val="both"/>
              <w:rPr>
                <w:b/>
                <w:bCs/>
                <w:color w:val="auto"/>
                <w:sz w:val="24"/>
                <w:szCs w:val="24"/>
                <w:lang w:val="en-US" w:eastAsia="en-US"/>
              </w:rPr>
            </w:pPr>
          </w:p>
          <w:p w14:paraId="1686E1B2" w14:textId="3E8661BB" w:rsidR="009E40AB" w:rsidRPr="00E57A74" w:rsidRDefault="009E40AB" w:rsidP="007135D3">
            <w:pPr>
              <w:jc w:val="both"/>
              <w:rPr>
                <w:color w:val="auto"/>
                <w:sz w:val="24"/>
                <w:szCs w:val="24"/>
                <w:lang w:val="en-US" w:eastAsia="en-US"/>
              </w:rPr>
            </w:pPr>
            <w:r w:rsidRPr="00E57A74">
              <w:rPr>
                <w:b/>
                <w:bCs/>
                <w:color w:val="auto"/>
                <w:sz w:val="24"/>
                <w:szCs w:val="24"/>
                <w:lang w:val="en-US" w:eastAsia="en-US"/>
              </w:rPr>
              <w:t>Ndikimi pa vlerë monetare mbi buxhetin:</w:t>
            </w:r>
            <w:r w:rsidRPr="00E57A74">
              <w:rPr>
                <w:color w:val="auto"/>
                <w:sz w:val="24"/>
                <w:szCs w:val="24"/>
                <w:lang w:val="en-US" w:eastAsia="en-US"/>
              </w:rPr>
              <w:t xml:space="preserve"> Ndryshimet pritet të përmirësojnë administrimin e të dhënave, gjurmueshmërinë, monitorimin e lehtësive, shkëmbimin e informacionit dhe koordinimin institucional. Në terma afatgjatë, ato kontribuojnë në përdorimin më racional të burimeve ekzistuese, rritjen e transparencës dhe forcimin e kontrollit.</w:t>
            </w:r>
          </w:p>
          <w:p w14:paraId="759D629D" w14:textId="77777777" w:rsidR="009E40AB" w:rsidRPr="00E57A74" w:rsidRDefault="009E40AB" w:rsidP="007135D3">
            <w:pPr>
              <w:jc w:val="both"/>
              <w:rPr>
                <w:b/>
                <w:bCs/>
                <w:color w:val="auto"/>
                <w:sz w:val="24"/>
                <w:szCs w:val="24"/>
                <w:lang w:val="en-US" w:eastAsia="en-US"/>
              </w:rPr>
            </w:pPr>
          </w:p>
          <w:p w14:paraId="4F8D296D" w14:textId="369E6535" w:rsidR="009E40AB" w:rsidRPr="00E57A74" w:rsidRDefault="009E40AB" w:rsidP="007135D3">
            <w:pPr>
              <w:jc w:val="both"/>
              <w:rPr>
                <w:color w:val="auto"/>
                <w:sz w:val="24"/>
                <w:szCs w:val="24"/>
                <w:lang w:val="en-US" w:eastAsia="en-US"/>
              </w:rPr>
            </w:pPr>
            <w:r w:rsidRPr="00E57A74">
              <w:rPr>
                <w:b/>
                <w:bCs/>
                <w:color w:val="auto"/>
                <w:sz w:val="24"/>
                <w:szCs w:val="24"/>
                <w:lang w:val="en-US" w:eastAsia="en-US"/>
              </w:rPr>
              <w:t>Ndikimi me vlerë monetare mbi bizneset:</w:t>
            </w:r>
            <w:r w:rsidRPr="00E57A74">
              <w:rPr>
                <w:color w:val="auto"/>
                <w:sz w:val="24"/>
                <w:szCs w:val="24"/>
                <w:lang w:val="en-US" w:eastAsia="en-US"/>
              </w:rPr>
              <w:t xml:space="preserve"> Projektligji nuk vendos tarifa të reja, detyrime të reja tatimore ose pagesa të tjera të drejtpërdrejta për subjektet e licencuara. Kërkesat për dokumentim, raportim dhe ndërlidhjen e sistemeve mund të krijojnë kosto administrative të kufizuara, por këto nuk mund të përcaktohen në vlerë monetare për shkak të mungesës së të dhënave mbi numrin, madhësinë dhe sistemet e përdorura nga operatorët. Ndryshimet në trajtimin e inputeve dhe produkteve përfundimtare pritet të përmirësojnë likuiditetin dhe të sjellin përfitime financiare për subjektet, por vlera e tyre nuk mund të përllogaritet paraprakisht.</w:t>
            </w:r>
          </w:p>
          <w:p w14:paraId="0B7C110C" w14:textId="77777777" w:rsidR="009E40AB" w:rsidRPr="00E57A74" w:rsidRDefault="009E40AB" w:rsidP="007135D3">
            <w:pPr>
              <w:jc w:val="both"/>
              <w:rPr>
                <w:b/>
                <w:bCs/>
                <w:color w:val="auto"/>
                <w:sz w:val="24"/>
                <w:szCs w:val="24"/>
                <w:lang w:val="en-US" w:eastAsia="en-US"/>
              </w:rPr>
            </w:pPr>
          </w:p>
          <w:p w14:paraId="012947D8" w14:textId="09FDFEC0" w:rsidR="00271B8C" w:rsidRPr="00E57A74" w:rsidRDefault="009E40AB" w:rsidP="007135D3">
            <w:pPr>
              <w:jc w:val="both"/>
              <w:rPr>
                <w:color w:val="auto"/>
                <w:sz w:val="24"/>
                <w:szCs w:val="24"/>
                <w:lang w:val="en-US" w:eastAsia="en-US"/>
              </w:rPr>
            </w:pPr>
            <w:r w:rsidRPr="00E57A74">
              <w:rPr>
                <w:b/>
                <w:bCs/>
                <w:color w:val="auto"/>
                <w:sz w:val="24"/>
                <w:szCs w:val="24"/>
                <w:lang w:val="en-US" w:eastAsia="en-US"/>
              </w:rPr>
              <w:t>Ndikimi pa vlerë monetare mbi bizneset:</w:t>
            </w:r>
            <w:r w:rsidRPr="00E57A74">
              <w:rPr>
                <w:color w:val="auto"/>
                <w:sz w:val="24"/>
                <w:szCs w:val="24"/>
                <w:lang w:val="en-US" w:eastAsia="en-US"/>
              </w:rPr>
              <w:t xml:space="preserve"> Ndryshimet pritet të rrisin qartësinë dhe sigurinë juridike, të përmirësojnë parashikueshmërinë e procedurave dhe të ulin rrezikun e interpretimeve të ndryshme. Detyrimet për dokumentimin e zinxhirit të furnizimit, raportimin dhe përditësimin e të dhënave janë të kufizuara dhe proporcionale me natyrën e veprimtarisë. Në tërësi, përfitimet që lidhen me qartësinë, gjurmueshmërinë dhe zbatimin më të njëtrajtshëm të ligjit pritet të tejkalojnë ngarkesën administrative të krijuar.</w:t>
            </w:r>
          </w:p>
        </w:tc>
      </w:tr>
      <w:tr w:rsidR="00264B20" w:rsidRPr="00E57A74" w14:paraId="4A3AD020" w14:textId="77777777" w:rsidTr="007135D3">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656E5ABC" w14:textId="0990EF20" w:rsidR="00D35D13" w:rsidRPr="00E57A74" w:rsidRDefault="00EE0F6E" w:rsidP="007135D3">
            <w:pPr>
              <w:rPr>
                <w:sz w:val="24"/>
                <w:szCs w:val="24"/>
              </w:rPr>
            </w:pPr>
            <w:r w:rsidRPr="00E57A74">
              <w:rPr>
                <w:b/>
                <w:bCs/>
                <w:sz w:val="24"/>
                <w:szCs w:val="24"/>
              </w:rPr>
              <w:t>ARSYETIMI I OPSIONIT TË PREFERUAR</w:t>
            </w:r>
            <w:r w:rsidRPr="00E57A74">
              <w:rPr>
                <w:sz w:val="24"/>
                <w:szCs w:val="24"/>
              </w:rPr>
              <w:br/>
            </w:r>
            <w:r w:rsidR="00D35D13" w:rsidRPr="00E57A74">
              <w:rPr>
                <w:sz w:val="24"/>
                <w:szCs w:val="24"/>
              </w:rPr>
              <w:t>Opsioni i preferuar është ndryshimi i kuadrit ligjor, pasi mundëson adresimin e drejtpërdrejtë të paqartësive dhe mangësive të evidentuara gjatë zbatimit të ligjit. Ruajtja e gjendjes ekzistuese nuk i zgjidh problematikat, ndërsa masat vetëm administrative nuk janë të mjaftueshme për të përcaktuar qartë të drejtat, detyrimet, procedurat dhe mekanizmat e kontrollit.</w:t>
            </w:r>
          </w:p>
          <w:p w14:paraId="559BCF96" w14:textId="77777777" w:rsidR="00D35D13" w:rsidRPr="00E57A74" w:rsidRDefault="00D35D13" w:rsidP="007135D3">
            <w:pPr>
              <w:jc w:val="both"/>
              <w:rPr>
                <w:sz w:val="24"/>
                <w:szCs w:val="24"/>
              </w:rPr>
            </w:pPr>
          </w:p>
          <w:p w14:paraId="693E6F21" w14:textId="2DB460D8" w:rsidR="00D35D13" w:rsidRPr="00E57A74" w:rsidRDefault="00D35D13" w:rsidP="007135D3">
            <w:pPr>
              <w:jc w:val="both"/>
              <w:rPr>
                <w:sz w:val="24"/>
                <w:szCs w:val="24"/>
              </w:rPr>
            </w:pPr>
            <w:r w:rsidRPr="00E57A74">
              <w:rPr>
                <w:sz w:val="24"/>
                <w:szCs w:val="24"/>
              </w:rPr>
              <w:t>Ky opsion vlerësohet si proporcional dhe i zbatueshëm, pasi ndryshimet kufizohen në dispozitat që kërkojnë qartësim ose plotësim dhe do të zbatohen nëpërmjet strukturave dhe burimeve ekzistuese. Përfitimet janë kryesisht jomonetare dhe lidhen me rritjen e sigurisë juridike, transparencës, gjurmueshmërisë dhe parashikueshmërisë së procedurave për subjektet e licencuara. Përfitimet e mundshme financiare për bizneset nuk mund të përcaktohen në vlerë monetare për shkak të mungesës së të dhënave të matshme.</w:t>
            </w:r>
          </w:p>
          <w:p w14:paraId="08CA0BFE" w14:textId="1B3A3BC1" w:rsidR="00271B8C" w:rsidRPr="00E57A74" w:rsidRDefault="00D35D13" w:rsidP="007135D3">
            <w:pPr>
              <w:jc w:val="both"/>
              <w:rPr>
                <w:sz w:val="24"/>
                <w:szCs w:val="24"/>
              </w:rPr>
            </w:pPr>
            <w:r w:rsidRPr="00E57A74">
              <w:rPr>
                <w:sz w:val="24"/>
                <w:szCs w:val="24"/>
              </w:rPr>
              <w:lastRenderedPageBreak/>
              <w:t>Kostoja e përllogaritur në total e opsionit të preferuar mbi buxhetin e shtetit gjatë periudhës 3-vjeçare menjëherë pas miratimit të ligjit: 0 (zero) lekë.</w:t>
            </w:r>
          </w:p>
        </w:tc>
      </w:tr>
      <w:tr w:rsidR="002E46F4" w:rsidRPr="00E57A74" w14:paraId="71180B24" w14:textId="77777777" w:rsidTr="007135D3">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08094815" w14:textId="77777777" w:rsidR="00651AB1" w:rsidRPr="00E57A74" w:rsidRDefault="00EE0F6E" w:rsidP="007135D3">
            <w:pPr>
              <w:jc w:val="both"/>
              <w:rPr>
                <w:sz w:val="24"/>
                <w:szCs w:val="24"/>
              </w:rPr>
            </w:pPr>
            <w:r w:rsidRPr="00E57A74">
              <w:rPr>
                <w:b/>
                <w:bCs/>
                <w:sz w:val="24"/>
                <w:szCs w:val="24"/>
              </w:rPr>
              <w:lastRenderedPageBreak/>
              <w:t>KONSULTIMI</w:t>
            </w:r>
            <w:r w:rsidRPr="00E57A74">
              <w:rPr>
                <w:sz w:val="24"/>
                <w:szCs w:val="24"/>
              </w:rPr>
              <w:br/>
            </w:r>
            <w:r w:rsidR="00651AB1" w:rsidRPr="00E57A74">
              <w:rPr>
                <w:sz w:val="24"/>
                <w:szCs w:val="24"/>
              </w:rPr>
              <w:t>Projektligji është hartuar pas konsultimeve të brendshme të zhvilluara në kuadër të grupeve të punës të ngritura pranë Agjencisë së Industrisë së Mbrojtjes, me pjesëmarrjen e strukturave përgjegjëse dhe ekspertëve të fushës. Konsultimet janë mbështetur në problematikat e evidentuara gjatë zbatimit të ligjit nr. 87/2024 dhe janë përqendruar në qartësimin e dispozitave, përmirësimin e procedurave dhe forcimin e mekanizmave të kontrollit dhe monitorimit.</w:t>
            </w:r>
          </w:p>
          <w:p w14:paraId="671F0227" w14:textId="77777777" w:rsidR="00651AB1" w:rsidRPr="00E57A74" w:rsidRDefault="00651AB1" w:rsidP="007135D3">
            <w:pPr>
              <w:jc w:val="both"/>
              <w:rPr>
                <w:sz w:val="24"/>
                <w:szCs w:val="24"/>
              </w:rPr>
            </w:pPr>
          </w:p>
          <w:p w14:paraId="2BA278AC" w14:textId="77777777" w:rsidR="00651AB1" w:rsidRPr="00E57A74" w:rsidRDefault="00651AB1" w:rsidP="007135D3">
            <w:pPr>
              <w:jc w:val="both"/>
              <w:rPr>
                <w:sz w:val="24"/>
                <w:szCs w:val="24"/>
              </w:rPr>
            </w:pPr>
            <w:r w:rsidRPr="00E57A74">
              <w:rPr>
                <w:sz w:val="24"/>
                <w:szCs w:val="24"/>
              </w:rPr>
              <w:t>Gjatë konsultimeve u paraqitën propozime lidhur me administrimin e regjistrave, gjurmueshmërinë e armatimit ushtarak, kërkesat për zinxhirin e furnizimit, monitorimin e subjekteve të licencuara, kushtet e përfitimit të lehtësive dhe koordinimin ndërinstitucional. Propozimet që u vlerësuan të nevojshme, të zbatueshme dhe në përputhje me qëllimin e ligjit janë pasqyruar në projektligj. Sugjerimet që mund të trajtohen përmes akteve nënligjore ose masave administrative nuk janë përfshirë në tekstin e ligjit, me qëllim shmangien e rregullimit të tepërt në nivel ligjor.</w:t>
            </w:r>
          </w:p>
          <w:p w14:paraId="12FC248C" w14:textId="77777777" w:rsidR="00651AB1" w:rsidRPr="00E57A74" w:rsidRDefault="00651AB1" w:rsidP="007135D3">
            <w:pPr>
              <w:jc w:val="both"/>
              <w:rPr>
                <w:sz w:val="24"/>
                <w:szCs w:val="24"/>
              </w:rPr>
            </w:pPr>
          </w:p>
          <w:p w14:paraId="4D4F2A56" w14:textId="6E12BBF7" w:rsidR="00271B8C" w:rsidRPr="00E57A74" w:rsidRDefault="00651AB1" w:rsidP="007135D3">
            <w:pPr>
              <w:jc w:val="both"/>
              <w:rPr>
                <w:sz w:val="24"/>
                <w:szCs w:val="24"/>
              </w:rPr>
            </w:pPr>
            <w:r w:rsidRPr="00E57A74">
              <w:rPr>
                <w:sz w:val="24"/>
                <w:szCs w:val="24"/>
              </w:rPr>
              <w:t>Në përfundim të procesit, grupet e punës konsoliduan propozimet e pranuara në një paketë ndryshimesh, të orientuar drejt përmirësimit të zbatueshmërisë së ligjit dhe përshtatjes së tij me kërkesat aktuale operacionale dhe standardet e zbatueshme.</w:t>
            </w:r>
          </w:p>
        </w:tc>
      </w:tr>
      <w:tr w:rsidR="002E46F4" w:rsidRPr="00E57A74" w14:paraId="6CF1EDD5" w14:textId="77777777" w:rsidTr="007135D3">
        <w:trPr>
          <w:trHeight w:val="2080"/>
        </w:trPr>
        <w:tc>
          <w:tcPr>
            <w:tcW w:w="9630" w:type="dxa"/>
            <w:gridSpan w:val="2"/>
            <w:tcBorders>
              <w:top w:val="single" w:sz="4" w:space="0" w:color="B7B7B7"/>
              <w:left w:val="single" w:sz="4" w:space="0" w:color="B7B7B7"/>
              <w:bottom w:val="single" w:sz="4" w:space="0" w:color="B7B7B7"/>
              <w:right w:val="single" w:sz="4" w:space="0" w:color="B7B7B7"/>
            </w:tcBorders>
            <w:tcMar>
              <w:top w:w="70" w:type="dxa"/>
              <w:left w:w="90" w:type="dxa"/>
              <w:bottom w:w="70" w:type="dxa"/>
              <w:right w:w="90" w:type="dxa"/>
            </w:tcMar>
            <w:vAlign w:val="center"/>
          </w:tcPr>
          <w:p w14:paraId="1D02D309" w14:textId="77777777" w:rsidR="00351157" w:rsidRPr="00E57A74" w:rsidRDefault="00351157" w:rsidP="007135D3">
            <w:pPr>
              <w:spacing w:line="276" w:lineRule="auto"/>
              <w:jc w:val="both"/>
              <w:rPr>
                <w:b/>
                <w:sz w:val="24"/>
                <w:szCs w:val="24"/>
                <w:lang w:val="sq-AL"/>
              </w:rPr>
            </w:pPr>
            <w:r w:rsidRPr="00E57A74">
              <w:rPr>
                <w:b/>
                <w:sz w:val="24"/>
                <w:szCs w:val="24"/>
                <w:lang w:val="sq-AL"/>
              </w:rPr>
              <w:t>ZBATIMI DHE MONITORIMI</w:t>
            </w:r>
          </w:p>
          <w:p w14:paraId="4270657B" w14:textId="42220C69" w:rsidR="00271B8C" w:rsidRPr="00E57A74" w:rsidRDefault="00651AB1" w:rsidP="007135D3">
            <w:pPr>
              <w:jc w:val="both"/>
              <w:rPr>
                <w:sz w:val="24"/>
                <w:szCs w:val="24"/>
              </w:rPr>
            </w:pPr>
            <w:r w:rsidRPr="00E57A74">
              <w:rPr>
                <w:sz w:val="24"/>
                <w:szCs w:val="24"/>
              </w:rPr>
              <w:t>Zbatimi dhe monitorimi i ndryshimeve ligjore do të realizohen në mënyrë të strukturuar, nën drejtimin e Agjencisë së Industrisë së Mbrojtjes (AIM), në bashkëpunim me strukturat përgjegjëse. AIM do të përgatisë udhëzime praktike dhe do të organizojë sesione informuese për subjektet e licencuara, me qëllim zbatimin e unifikuar të kërkesave të reja. Monitorimi periodik dhe vlerësimi i rezultateve do të shërbejnë për evidentimin e problematikave dhe përmirësimin e vazhdueshëm të zbatimit.</w:t>
            </w:r>
          </w:p>
        </w:tc>
      </w:tr>
    </w:tbl>
    <w:p w14:paraId="183DEF87" w14:textId="77777777" w:rsidR="002E46F4" w:rsidRPr="00E57A74" w:rsidRDefault="002E46F4" w:rsidP="00573D27">
      <w:pPr>
        <w:rPr>
          <w:sz w:val="24"/>
          <w:szCs w:val="24"/>
          <w:lang w:val="sq-AL"/>
        </w:rPr>
      </w:pPr>
      <w:bookmarkStart w:id="1" w:name="_Toc506919731"/>
    </w:p>
    <w:tbl>
      <w:tblPr>
        <w:tblW w:w="95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540"/>
      </w:tblGrid>
      <w:tr w:rsidR="002E46F4" w:rsidRPr="00E57A74" w14:paraId="70CEAB53" w14:textId="77777777" w:rsidTr="007135D3">
        <w:trPr>
          <w:trHeight w:val="353"/>
        </w:trPr>
        <w:tc>
          <w:tcPr>
            <w:tcW w:w="9540" w:type="dxa"/>
            <w:tcBorders>
              <w:top w:val="single" w:sz="4" w:space="0" w:color="B7B7B7"/>
              <w:left w:val="single" w:sz="4" w:space="0" w:color="B7B7B7"/>
              <w:bottom w:val="single" w:sz="4" w:space="0" w:color="B7B7B7"/>
              <w:right w:val="single" w:sz="4" w:space="0" w:color="B7B7B7"/>
            </w:tcBorders>
            <w:shd w:val="clear" w:color="auto" w:fill="D9D9D9"/>
            <w:vAlign w:val="center"/>
          </w:tcPr>
          <w:p w14:paraId="1B1ADE4B" w14:textId="77777777" w:rsidR="002E46F4" w:rsidRPr="00E57A74" w:rsidRDefault="002E46F4" w:rsidP="00573D27">
            <w:pPr>
              <w:rPr>
                <w:b/>
                <w:bCs/>
                <w:sz w:val="24"/>
                <w:szCs w:val="24"/>
                <w:lang w:val="sq-AL"/>
              </w:rPr>
            </w:pPr>
            <w:r w:rsidRPr="00E57A74">
              <w:rPr>
                <w:b/>
                <w:bCs/>
                <w:sz w:val="24"/>
                <w:szCs w:val="24"/>
                <w:lang w:val="sq-AL"/>
              </w:rPr>
              <w:t xml:space="preserve">PJESA 2: BAZA KRYESORE E ANALIZËS DHE E PROVAVE </w:t>
            </w:r>
          </w:p>
        </w:tc>
      </w:tr>
      <w:bookmarkEnd w:id="1"/>
    </w:tbl>
    <w:p w14:paraId="4613D8AC" w14:textId="77777777" w:rsidR="00B6503E" w:rsidRPr="00E57A74" w:rsidRDefault="00B6503E" w:rsidP="00B6503E">
      <w:pPr>
        <w:ind w:left="-270"/>
        <w:rPr>
          <w:b/>
          <w:bCs/>
          <w:sz w:val="24"/>
          <w:szCs w:val="24"/>
        </w:rPr>
      </w:pPr>
    </w:p>
    <w:p w14:paraId="52824215" w14:textId="6863572A" w:rsidR="00B6503E" w:rsidRPr="00E57A74" w:rsidRDefault="00B6503E" w:rsidP="007135D3">
      <w:pPr>
        <w:ind w:left="-270" w:firstLine="360"/>
        <w:rPr>
          <w:b/>
          <w:bCs/>
          <w:sz w:val="24"/>
          <w:szCs w:val="24"/>
        </w:rPr>
      </w:pPr>
      <w:r w:rsidRPr="00E57A74">
        <w:rPr>
          <w:b/>
          <w:bCs/>
          <w:sz w:val="24"/>
          <w:szCs w:val="24"/>
        </w:rPr>
        <w:t>Historik – Konteksti i politikës</w:t>
      </w:r>
    </w:p>
    <w:p w14:paraId="032C86B9" w14:textId="77777777" w:rsidR="00B6503E" w:rsidRPr="00E57A74" w:rsidRDefault="00B6503E" w:rsidP="007135D3">
      <w:pPr>
        <w:ind w:left="90"/>
        <w:jc w:val="both"/>
        <w:rPr>
          <w:sz w:val="24"/>
          <w:szCs w:val="24"/>
        </w:rPr>
      </w:pPr>
      <w:r w:rsidRPr="00E57A74">
        <w:rPr>
          <w:sz w:val="24"/>
          <w:szCs w:val="24"/>
        </w:rPr>
        <w:t>Zhvillimet në fushën e sigurisë dhe të mbrojtjes, përparimi teknologjik dhe nevoja për rritjen e kapaciteteve kombëtare kanë shtuar rëndësinë e krijimit të një industrie të mbrojtjes të kontrolluar, të qëndrueshme dhe konkurruese. Në këtë kuadër, është e nevojshme që zhvillimi i veprimtarive ekonomike në këtë sektor të shoqërohet me mekanizma të përshtatshëm licencimi, monitorimi, gjurmueshmërie dhe kontrolli.</w:t>
      </w:r>
    </w:p>
    <w:p w14:paraId="5E391ECD" w14:textId="77777777" w:rsidR="00B6503E" w:rsidRPr="00E57A74" w:rsidRDefault="00B6503E" w:rsidP="007135D3">
      <w:pPr>
        <w:ind w:left="-270" w:firstLine="360"/>
        <w:jc w:val="both"/>
        <w:rPr>
          <w:sz w:val="24"/>
          <w:szCs w:val="24"/>
        </w:rPr>
      </w:pPr>
    </w:p>
    <w:p w14:paraId="505F9623" w14:textId="77777777" w:rsidR="00B6503E" w:rsidRPr="00E57A74" w:rsidRDefault="00B6503E" w:rsidP="007135D3">
      <w:pPr>
        <w:jc w:val="both"/>
        <w:rPr>
          <w:sz w:val="24"/>
          <w:szCs w:val="24"/>
        </w:rPr>
      </w:pPr>
      <w:r w:rsidRPr="00E57A74">
        <w:rPr>
          <w:sz w:val="24"/>
          <w:szCs w:val="24"/>
        </w:rPr>
        <w:t>Ligji nr. 87/2024 krijoi kuadrin ligjor për rregullimin e prodhimit dhe të veprimtarive të tjera që lidhen me armët, municionet, pajisjet dhe teknologjitë ushtarake. Ligji përcaktoi rregullat bazë për licencimin dhe autorizimin e subjekteve, ushtrimin e kontrollit shtetëror dhe nxitjen e zhvillimit të industrisë së mbrojtjes.</w:t>
      </w:r>
    </w:p>
    <w:p w14:paraId="7E0F8A43" w14:textId="77777777" w:rsidR="00B6503E" w:rsidRPr="00E57A74" w:rsidRDefault="00B6503E" w:rsidP="005A7A7D">
      <w:pPr>
        <w:ind w:left="-270"/>
        <w:jc w:val="both"/>
        <w:rPr>
          <w:sz w:val="24"/>
          <w:szCs w:val="24"/>
        </w:rPr>
      </w:pPr>
    </w:p>
    <w:p w14:paraId="35382C78" w14:textId="77777777" w:rsidR="00B6503E" w:rsidRPr="00E57A74" w:rsidRDefault="00B6503E" w:rsidP="007135D3">
      <w:pPr>
        <w:jc w:val="both"/>
        <w:rPr>
          <w:sz w:val="24"/>
          <w:szCs w:val="24"/>
        </w:rPr>
      </w:pPr>
      <w:r w:rsidRPr="00E57A74">
        <w:rPr>
          <w:sz w:val="24"/>
          <w:szCs w:val="24"/>
        </w:rPr>
        <w:t>Gjatë zbatimit të ligjit janë evidentuar disa çështje që kërkojnë qartësim ose plotësim të mëtejshëm. Këto lidhen kryesisht me administrimin e regjistrave elektronikë, gjurmueshmërinë e armatimit ushtarak, dokumentimin e zinxhirit të furnizimit, raportimin dhe monitorimin e subjekteve të licencuara, kushtet e përfitimit të lehtësive, si dhe kontrollin e përdorimit të tyre.</w:t>
      </w:r>
    </w:p>
    <w:p w14:paraId="470EC272" w14:textId="77777777" w:rsidR="00B6503E" w:rsidRPr="00E57A74" w:rsidRDefault="00B6503E" w:rsidP="005A7A7D">
      <w:pPr>
        <w:ind w:left="-270"/>
        <w:jc w:val="both"/>
        <w:rPr>
          <w:sz w:val="24"/>
          <w:szCs w:val="24"/>
        </w:rPr>
      </w:pPr>
    </w:p>
    <w:p w14:paraId="5701A270" w14:textId="7BF3F9CF" w:rsidR="00B6503E" w:rsidRPr="00E57A74" w:rsidRDefault="00B6503E" w:rsidP="005A7A7D">
      <w:pPr>
        <w:jc w:val="both"/>
        <w:rPr>
          <w:sz w:val="24"/>
          <w:szCs w:val="24"/>
        </w:rPr>
      </w:pPr>
      <w:r w:rsidRPr="00E57A74">
        <w:rPr>
          <w:sz w:val="24"/>
          <w:szCs w:val="24"/>
        </w:rPr>
        <w:t>Ndryshimet e propozuara synojnë të përmirësojnë zbatueshmërinë e ligjit, të qartësojnë përgjegjësitë dhe procedurat, të forcojnë kontrollin dhe shkëmbimin e informacionit dhe të krijojnë më shumë siguri juridike për subjektet që veprojnë në këtë sektor. Ndërhyrja ruan qëllimin dhe strukturën kryesore të ligjit ekzistues, duke e plotësuar atë në çështjet ku praktika ka evidentuar nevojën për një rregullim më të qartë dhe më efektiv.</w:t>
      </w:r>
    </w:p>
    <w:p w14:paraId="6B2252BB" w14:textId="59C37501" w:rsidR="00B6503E" w:rsidRPr="00E57A74" w:rsidRDefault="00B6503E" w:rsidP="008171D8">
      <w:pPr>
        <w:ind w:left="-270" w:firstLine="270"/>
        <w:jc w:val="both"/>
        <w:rPr>
          <w:b/>
          <w:bCs/>
          <w:sz w:val="24"/>
          <w:szCs w:val="24"/>
        </w:rPr>
      </w:pPr>
      <w:r w:rsidRPr="00E57A74">
        <w:rPr>
          <w:b/>
          <w:bCs/>
          <w:sz w:val="24"/>
          <w:szCs w:val="24"/>
        </w:rPr>
        <w:lastRenderedPageBreak/>
        <w:t>Problemi në shqyrtim</w:t>
      </w:r>
    </w:p>
    <w:p w14:paraId="1464C9A9" w14:textId="77777777" w:rsidR="007135D3" w:rsidRPr="00E57A74" w:rsidRDefault="00B6503E" w:rsidP="00EE0F6E">
      <w:pPr>
        <w:pStyle w:val="ListParagraph"/>
        <w:numPr>
          <w:ilvl w:val="0"/>
          <w:numId w:val="7"/>
        </w:numPr>
        <w:spacing w:after="0"/>
        <w:jc w:val="both"/>
        <w:rPr>
          <w:rFonts w:ascii="Times New Roman" w:hAnsi="Times New Roman"/>
          <w:b/>
          <w:bCs/>
          <w:i/>
          <w:iCs/>
          <w:sz w:val="24"/>
          <w:szCs w:val="24"/>
        </w:rPr>
      </w:pPr>
      <w:r w:rsidRPr="00E57A74">
        <w:rPr>
          <w:rFonts w:ascii="Times New Roman" w:hAnsi="Times New Roman"/>
          <w:b/>
          <w:bCs/>
          <w:i/>
          <w:iCs/>
          <w:sz w:val="24"/>
          <w:szCs w:val="24"/>
        </w:rPr>
        <w:t>Natyra e problemit</w:t>
      </w:r>
    </w:p>
    <w:p w14:paraId="249CB83E" w14:textId="3A6C9C7A" w:rsidR="00B6503E" w:rsidRPr="00E57A74" w:rsidRDefault="00B6503E" w:rsidP="008171D8">
      <w:pPr>
        <w:jc w:val="both"/>
        <w:rPr>
          <w:b/>
          <w:bCs/>
          <w:i/>
          <w:iCs/>
          <w:sz w:val="24"/>
          <w:szCs w:val="24"/>
        </w:rPr>
      </w:pPr>
      <w:r w:rsidRPr="00E57A74">
        <w:rPr>
          <w:sz w:val="24"/>
          <w:szCs w:val="24"/>
        </w:rPr>
        <w:t>Zbatimi i ligjit nr. 87/2024 ka evidentuar nevojën për qartësimin dhe plotësimin e disa dispozitave që</w:t>
      </w:r>
      <w:r w:rsidR="007135D3" w:rsidRPr="00E57A74">
        <w:rPr>
          <w:b/>
          <w:bCs/>
          <w:i/>
          <w:iCs/>
          <w:sz w:val="24"/>
          <w:szCs w:val="24"/>
        </w:rPr>
        <w:t xml:space="preserve"> </w:t>
      </w:r>
      <w:r w:rsidRPr="00E57A74">
        <w:rPr>
          <w:sz w:val="24"/>
          <w:szCs w:val="24"/>
        </w:rPr>
        <w:t>lidhen me</w:t>
      </w:r>
      <w:r w:rsidR="007135D3" w:rsidRPr="00E57A74">
        <w:rPr>
          <w:sz w:val="24"/>
          <w:szCs w:val="24"/>
        </w:rPr>
        <w:t xml:space="preserve"> </w:t>
      </w:r>
      <w:r w:rsidRPr="00E57A74">
        <w:rPr>
          <w:sz w:val="24"/>
          <w:szCs w:val="24"/>
        </w:rPr>
        <w:t>kontrollin dhe zhvillimin e industrisë së mbrojtjes. Kuadri aktual nuk përcakton në mënyrë të</w:t>
      </w:r>
      <w:r w:rsidR="007135D3" w:rsidRPr="00E57A74">
        <w:rPr>
          <w:b/>
          <w:bCs/>
          <w:i/>
          <w:iCs/>
          <w:sz w:val="24"/>
          <w:szCs w:val="24"/>
        </w:rPr>
        <w:t xml:space="preserve"> </w:t>
      </w:r>
      <w:r w:rsidRPr="00E57A74">
        <w:rPr>
          <w:sz w:val="24"/>
          <w:szCs w:val="24"/>
        </w:rPr>
        <w:t>mjaftueshme disa</w:t>
      </w:r>
      <w:r w:rsidR="007135D3" w:rsidRPr="00E57A74">
        <w:rPr>
          <w:sz w:val="24"/>
          <w:szCs w:val="24"/>
        </w:rPr>
        <w:t xml:space="preserve"> </w:t>
      </w:r>
      <w:r w:rsidRPr="00E57A74">
        <w:rPr>
          <w:sz w:val="24"/>
          <w:szCs w:val="24"/>
        </w:rPr>
        <w:t>përgjegjësi, procedura dhe mekanizma që lidhen me administrimin e regjistrave</w:t>
      </w:r>
      <w:r w:rsidR="007135D3" w:rsidRPr="00E57A74">
        <w:rPr>
          <w:b/>
          <w:bCs/>
          <w:i/>
          <w:iCs/>
          <w:sz w:val="24"/>
          <w:szCs w:val="24"/>
        </w:rPr>
        <w:t xml:space="preserve"> </w:t>
      </w:r>
      <w:r w:rsidRPr="00E57A74">
        <w:rPr>
          <w:sz w:val="24"/>
          <w:szCs w:val="24"/>
        </w:rPr>
        <w:t>elektronikë, gjurmueshmërinë e armatimit ushtarak, dokumentimin e zinxhirit të furnizimit, monitorimin</w:t>
      </w:r>
      <w:r w:rsidR="007135D3" w:rsidRPr="00E57A74">
        <w:rPr>
          <w:b/>
          <w:bCs/>
          <w:i/>
          <w:iCs/>
          <w:sz w:val="24"/>
          <w:szCs w:val="24"/>
        </w:rPr>
        <w:t xml:space="preserve"> </w:t>
      </w:r>
      <w:r w:rsidRPr="00E57A74">
        <w:rPr>
          <w:sz w:val="24"/>
          <w:szCs w:val="24"/>
        </w:rPr>
        <w:t>e subjekteve të licencuara dhe kontrollin e lehtësive të përfituara. Kjo mund të sjellë paqartësi në zbatim,</w:t>
      </w:r>
      <w:r w:rsidR="007135D3" w:rsidRPr="00E57A74">
        <w:rPr>
          <w:sz w:val="24"/>
          <w:szCs w:val="24"/>
        </w:rPr>
        <w:t xml:space="preserve"> </w:t>
      </w:r>
      <w:r w:rsidRPr="00E57A74">
        <w:rPr>
          <w:sz w:val="24"/>
          <w:szCs w:val="24"/>
        </w:rPr>
        <w:t>interpretime të ndryshme dhe vështirësi në shkëmbimin e informacionit dhe kryerjen e kontrolleve.</w:t>
      </w:r>
    </w:p>
    <w:p w14:paraId="5E3EADD2" w14:textId="77777777" w:rsidR="00E90808" w:rsidRPr="00E57A74" w:rsidRDefault="00B6503E" w:rsidP="00EE0F6E">
      <w:pPr>
        <w:pStyle w:val="ListParagraph"/>
        <w:numPr>
          <w:ilvl w:val="0"/>
          <w:numId w:val="7"/>
        </w:numPr>
        <w:spacing w:after="0"/>
        <w:jc w:val="both"/>
        <w:rPr>
          <w:rFonts w:ascii="Times New Roman" w:hAnsi="Times New Roman"/>
          <w:b/>
          <w:bCs/>
          <w:i/>
          <w:iCs/>
          <w:sz w:val="24"/>
          <w:szCs w:val="24"/>
        </w:rPr>
      </w:pPr>
      <w:r w:rsidRPr="00E57A74">
        <w:rPr>
          <w:rFonts w:ascii="Times New Roman" w:hAnsi="Times New Roman"/>
          <w:b/>
          <w:bCs/>
          <w:i/>
          <w:iCs/>
          <w:sz w:val="24"/>
          <w:szCs w:val="24"/>
        </w:rPr>
        <w:t>Shkaqet e problemit</w:t>
      </w:r>
    </w:p>
    <w:p w14:paraId="3E431FE3" w14:textId="73BBCA7C" w:rsidR="00B6503E" w:rsidRPr="00E57A74" w:rsidRDefault="00B6503E" w:rsidP="008171D8">
      <w:pPr>
        <w:jc w:val="both"/>
        <w:rPr>
          <w:b/>
          <w:bCs/>
          <w:sz w:val="24"/>
          <w:szCs w:val="24"/>
        </w:rPr>
      </w:pPr>
      <w:r w:rsidRPr="00E57A74">
        <w:rPr>
          <w:sz w:val="24"/>
          <w:szCs w:val="24"/>
        </w:rPr>
        <w:t>Shkaqet kryesore lidhen me faktin se disa aspekte të zbatimit praktik nuk janë rregulluar në mënyrë të plotë në ligjin ekzistues. Përvoja e deritanishme ka evidentuar nevojën për përcaktimin më të qartë të detyrimeve të subjekteve, përgjegjësive të strukturave kompetente dhe procedurave për raportimin, monitorimin dhe verifikimin e të dhënave. Një shkak tjetër është nevoja për përshtatjen e mekanizmave të kontrollit me zhvillimet teknologjike dhe me kërkesat aktuale të sigurisë dhe të gjurmueshmërisë.</w:t>
      </w:r>
    </w:p>
    <w:p w14:paraId="302B1924" w14:textId="77777777" w:rsidR="00B6503E" w:rsidRPr="00E57A74" w:rsidRDefault="00B6503E" w:rsidP="00EE0F6E">
      <w:pPr>
        <w:pStyle w:val="ListParagraph"/>
        <w:numPr>
          <w:ilvl w:val="0"/>
          <w:numId w:val="7"/>
        </w:numPr>
        <w:spacing w:after="0"/>
        <w:jc w:val="both"/>
        <w:rPr>
          <w:rFonts w:ascii="Times New Roman" w:hAnsi="Times New Roman"/>
          <w:b/>
          <w:bCs/>
          <w:i/>
          <w:iCs/>
          <w:sz w:val="24"/>
          <w:szCs w:val="24"/>
        </w:rPr>
      </w:pPr>
      <w:r w:rsidRPr="00E57A74">
        <w:rPr>
          <w:rFonts w:ascii="Times New Roman" w:hAnsi="Times New Roman"/>
          <w:b/>
          <w:bCs/>
          <w:i/>
          <w:iCs/>
          <w:sz w:val="24"/>
          <w:szCs w:val="24"/>
        </w:rPr>
        <w:t>Shtrirja e problemit</w:t>
      </w:r>
    </w:p>
    <w:p w14:paraId="6B46A874" w14:textId="0653F2E8" w:rsidR="00B6503E" w:rsidRPr="00E57A74" w:rsidRDefault="00B6503E" w:rsidP="008171D8">
      <w:pPr>
        <w:jc w:val="both"/>
        <w:rPr>
          <w:sz w:val="24"/>
          <w:szCs w:val="24"/>
        </w:rPr>
      </w:pPr>
      <w:r w:rsidRPr="00E57A74">
        <w:rPr>
          <w:sz w:val="24"/>
          <w:szCs w:val="24"/>
        </w:rPr>
        <w:t>Problemi është i përqendruar në sektorin e industrisë së mbrojtjes dhe prek zbatimin e disa proceseve kryesore të parashikuara nga ligji. Ai shtrihet mbi subjektet e licencuara dhe aplikuesit, si dhe mbi strukturat përgjegjëse për administrimin e regjistrave, monitorimin, shkëmbimin e informacionit dhe kontrollin e lehtësive. Për shkak të natyrës së veçantë të sektorit, mangësitë në gjurmueshmëri dhe kontroll mund të ndikojnë edhe në sigurinë kombëtare dhe në besueshmërinë e kuadrit rregullator.</w:t>
      </w:r>
    </w:p>
    <w:p w14:paraId="3E0A636F" w14:textId="77777777" w:rsidR="00F93BD9" w:rsidRPr="00E57A74" w:rsidRDefault="00B6503E" w:rsidP="00EE0F6E">
      <w:pPr>
        <w:pStyle w:val="ListParagraph"/>
        <w:numPr>
          <w:ilvl w:val="0"/>
          <w:numId w:val="7"/>
        </w:numPr>
        <w:spacing w:after="0"/>
        <w:jc w:val="both"/>
        <w:rPr>
          <w:rFonts w:ascii="Times New Roman" w:hAnsi="Times New Roman"/>
          <w:b/>
          <w:bCs/>
          <w:i/>
          <w:iCs/>
          <w:sz w:val="24"/>
          <w:szCs w:val="24"/>
        </w:rPr>
      </w:pPr>
      <w:r w:rsidRPr="00E57A74">
        <w:rPr>
          <w:rFonts w:ascii="Times New Roman" w:hAnsi="Times New Roman"/>
          <w:b/>
          <w:bCs/>
          <w:i/>
          <w:iCs/>
          <w:sz w:val="24"/>
          <w:szCs w:val="24"/>
        </w:rPr>
        <w:t>Grupet e prekura</w:t>
      </w:r>
    </w:p>
    <w:p w14:paraId="67BE2111" w14:textId="79B55EFF" w:rsidR="00F93BD9" w:rsidRPr="00E57A74" w:rsidRDefault="00B6503E" w:rsidP="00EE0F6E">
      <w:pPr>
        <w:pStyle w:val="ListParagraph"/>
        <w:numPr>
          <w:ilvl w:val="0"/>
          <w:numId w:val="8"/>
        </w:numPr>
        <w:spacing w:after="0"/>
        <w:ind w:left="540"/>
        <w:jc w:val="both"/>
        <w:rPr>
          <w:rFonts w:ascii="Times New Roman" w:hAnsi="Times New Roman"/>
          <w:b/>
          <w:bCs/>
          <w:sz w:val="24"/>
          <w:szCs w:val="24"/>
        </w:rPr>
      </w:pPr>
      <w:r w:rsidRPr="00E57A74">
        <w:rPr>
          <w:rFonts w:ascii="Times New Roman" w:hAnsi="Times New Roman"/>
          <w:i/>
          <w:iCs/>
          <w:sz w:val="24"/>
          <w:szCs w:val="24"/>
        </w:rPr>
        <w:t>Qeveria dhe institucionet publike</w:t>
      </w:r>
      <w:r w:rsidRPr="00E57A74">
        <w:rPr>
          <w:rFonts w:ascii="Times New Roman" w:hAnsi="Times New Roman"/>
          <w:sz w:val="24"/>
          <w:szCs w:val="24"/>
        </w:rPr>
        <w:t>, për shkak të nevojës për përgjegjësi më të qarta, informacion të plotë dhe koordinim më të mirë gjatë monitorimit dhe kontrollit;</w:t>
      </w:r>
    </w:p>
    <w:p w14:paraId="247B2B77" w14:textId="77777777" w:rsidR="00F93BD9" w:rsidRPr="00E57A74" w:rsidRDefault="00F93BD9" w:rsidP="00EE0F6E">
      <w:pPr>
        <w:pStyle w:val="ListParagraph"/>
        <w:numPr>
          <w:ilvl w:val="0"/>
          <w:numId w:val="8"/>
        </w:numPr>
        <w:tabs>
          <w:tab w:val="left" w:pos="540"/>
        </w:tabs>
        <w:spacing w:after="0"/>
        <w:ind w:left="540"/>
        <w:jc w:val="both"/>
        <w:rPr>
          <w:rFonts w:ascii="Times New Roman" w:hAnsi="Times New Roman"/>
          <w:sz w:val="24"/>
          <w:szCs w:val="24"/>
        </w:rPr>
      </w:pPr>
      <w:r w:rsidRPr="00E57A74">
        <w:rPr>
          <w:rFonts w:ascii="Times New Roman" w:hAnsi="Times New Roman"/>
          <w:i/>
          <w:iCs/>
          <w:sz w:val="24"/>
          <w:szCs w:val="24"/>
        </w:rPr>
        <w:t>B</w:t>
      </w:r>
      <w:r w:rsidR="00B6503E" w:rsidRPr="00E57A74">
        <w:rPr>
          <w:rFonts w:ascii="Times New Roman" w:hAnsi="Times New Roman"/>
          <w:i/>
          <w:iCs/>
          <w:sz w:val="24"/>
          <w:szCs w:val="24"/>
        </w:rPr>
        <w:t>izneset</w:t>
      </w:r>
      <w:r w:rsidR="00B6503E" w:rsidRPr="00E57A74">
        <w:rPr>
          <w:rFonts w:ascii="Times New Roman" w:hAnsi="Times New Roman"/>
          <w:sz w:val="24"/>
          <w:szCs w:val="24"/>
        </w:rPr>
        <w:t>, veçanërisht subjektet e licencuara dhe aplikuesit, të cilët preken nga paqartësitë procedurale dhe kërkesat për dokumentim, raportim dhe gjurmueshmëri;</w:t>
      </w:r>
    </w:p>
    <w:p w14:paraId="3360BC25" w14:textId="5009D69D" w:rsidR="00F93BD9" w:rsidRPr="00E57A74" w:rsidRDefault="00F93BD9" w:rsidP="00EE0F6E">
      <w:pPr>
        <w:pStyle w:val="ListParagraph"/>
        <w:numPr>
          <w:ilvl w:val="0"/>
          <w:numId w:val="8"/>
        </w:numPr>
        <w:tabs>
          <w:tab w:val="left" w:pos="540"/>
        </w:tabs>
        <w:spacing w:after="0"/>
        <w:ind w:left="540"/>
        <w:jc w:val="both"/>
        <w:rPr>
          <w:rFonts w:ascii="Times New Roman" w:hAnsi="Times New Roman"/>
          <w:sz w:val="24"/>
          <w:szCs w:val="24"/>
        </w:rPr>
      </w:pPr>
      <w:r w:rsidRPr="00E57A74">
        <w:rPr>
          <w:rFonts w:ascii="Times New Roman" w:hAnsi="Times New Roman"/>
          <w:i/>
          <w:iCs/>
          <w:sz w:val="24"/>
          <w:szCs w:val="24"/>
        </w:rPr>
        <w:t>Q</w:t>
      </w:r>
      <w:r w:rsidR="00B6503E" w:rsidRPr="00E57A74">
        <w:rPr>
          <w:rFonts w:ascii="Times New Roman" w:hAnsi="Times New Roman"/>
          <w:i/>
          <w:iCs/>
          <w:sz w:val="24"/>
          <w:szCs w:val="24"/>
        </w:rPr>
        <w:t>ytetarët</w:t>
      </w:r>
      <w:r w:rsidR="00B6503E" w:rsidRPr="00E57A74">
        <w:rPr>
          <w:rFonts w:ascii="Times New Roman" w:hAnsi="Times New Roman"/>
          <w:sz w:val="24"/>
          <w:szCs w:val="24"/>
        </w:rPr>
        <w:t>, në mënyrë të tërthortë, përmes ndikimit që kontrolli i këtij sektori ka mbi sigurinë kombëtare;</w:t>
      </w:r>
    </w:p>
    <w:p w14:paraId="7329E90E" w14:textId="5CDCE771" w:rsidR="00F166D2" w:rsidRPr="00E57A74" w:rsidRDefault="00F93BD9" w:rsidP="006D4B4D">
      <w:pPr>
        <w:pStyle w:val="ListParagraph"/>
        <w:numPr>
          <w:ilvl w:val="0"/>
          <w:numId w:val="8"/>
        </w:numPr>
        <w:tabs>
          <w:tab w:val="left" w:pos="540"/>
        </w:tabs>
        <w:spacing w:after="0"/>
        <w:ind w:left="540"/>
        <w:jc w:val="both"/>
        <w:rPr>
          <w:rFonts w:ascii="Times New Roman" w:hAnsi="Times New Roman"/>
          <w:sz w:val="24"/>
          <w:szCs w:val="24"/>
        </w:rPr>
      </w:pPr>
      <w:r w:rsidRPr="00E57A74">
        <w:rPr>
          <w:rFonts w:ascii="Times New Roman" w:hAnsi="Times New Roman"/>
          <w:i/>
          <w:iCs/>
          <w:sz w:val="24"/>
          <w:szCs w:val="24"/>
        </w:rPr>
        <w:t>S</w:t>
      </w:r>
      <w:r w:rsidR="00B6503E" w:rsidRPr="00E57A74">
        <w:rPr>
          <w:rFonts w:ascii="Times New Roman" w:hAnsi="Times New Roman"/>
          <w:i/>
          <w:iCs/>
          <w:sz w:val="24"/>
          <w:szCs w:val="24"/>
        </w:rPr>
        <w:t>hoqëria civile</w:t>
      </w:r>
      <w:r w:rsidR="00B6503E" w:rsidRPr="00E57A74">
        <w:rPr>
          <w:rFonts w:ascii="Times New Roman" w:hAnsi="Times New Roman"/>
          <w:sz w:val="24"/>
          <w:szCs w:val="24"/>
        </w:rPr>
        <w:t>, pa ndikim të drejtpërdrejtë, por me interes në transparencën, ligjshmërinë dhe përgjegjshmërinë e veprimtarive në këtë sektor.</w:t>
      </w:r>
    </w:p>
    <w:p w14:paraId="4E16313D" w14:textId="77777777" w:rsidR="00B6503E" w:rsidRPr="00E57A74" w:rsidRDefault="00B6503E" w:rsidP="00EE0F6E">
      <w:pPr>
        <w:pStyle w:val="ListParagraph"/>
        <w:numPr>
          <w:ilvl w:val="0"/>
          <w:numId w:val="7"/>
        </w:numPr>
        <w:spacing w:after="0"/>
        <w:jc w:val="both"/>
        <w:rPr>
          <w:rFonts w:ascii="Times New Roman" w:hAnsi="Times New Roman"/>
          <w:b/>
          <w:bCs/>
          <w:i/>
          <w:iCs/>
          <w:sz w:val="24"/>
          <w:szCs w:val="24"/>
        </w:rPr>
      </w:pPr>
      <w:r w:rsidRPr="00E57A74">
        <w:rPr>
          <w:rFonts w:ascii="Times New Roman" w:hAnsi="Times New Roman"/>
          <w:b/>
          <w:bCs/>
          <w:i/>
          <w:iCs/>
          <w:sz w:val="24"/>
          <w:szCs w:val="24"/>
        </w:rPr>
        <w:t>Mundësia e trajtimit përmes ndryshimit të politikës</w:t>
      </w:r>
    </w:p>
    <w:p w14:paraId="40769A53" w14:textId="2EC92E00" w:rsidR="00B6503E" w:rsidRPr="00E57A74" w:rsidRDefault="00B6503E" w:rsidP="007135D3">
      <w:pPr>
        <w:jc w:val="both"/>
        <w:rPr>
          <w:sz w:val="24"/>
          <w:szCs w:val="24"/>
        </w:rPr>
      </w:pPr>
      <w:r w:rsidRPr="00E57A74">
        <w:rPr>
          <w:sz w:val="24"/>
          <w:szCs w:val="24"/>
        </w:rPr>
        <w:t>Problemi mund të trajtohet përmes ndryshimit të politikës dhe ndërhyrjes në ligjin nr. 87/2024. Meqenëse një pjesë e problematikave lidhet me mungesën ose paqartësinë e dispozitave ligjore, masat administrative nuk janë të mjaftueshme për zgjidhjen e tyre. Ndryshimet ligjore duhet të shoqërohen me akte nënligjore, udhëzime praktike, informim të subjekteve dhe monitorim periodik të zbatimit.</w:t>
      </w:r>
    </w:p>
    <w:p w14:paraId="4C00E9BC" w14:textId="77777777" w:rsidR="00B6503E" w:rsidRPr="00E57A74" w:rsidRDefault="00B6503E" w:rsidP="005A7A7D">
      <w:pPr>
        <w:jc w:val="both"/>
        <w:rPr>
          <w:sz w:val="24"/>
          <w:szCs w:val="24"/>
        </w:rPr>
      </w:pPr>
    </w:p>
    <w:p w14:paraId="62237F8E" w14:textId="21A7C846" w:rsidR="005A7A7D" w:rsidRPr="00E57A74" w:rsidRDefault="005A7A7D" w:rsidP="005A7A7D">
      <w:pPr>
        <w:jc w:val="both"/>
        <w:rPr>
          <w:b/>
          <w:bCs/>
          <w:sz w:val="24"/>
          <w:szCs w:val="24"/>
        </w:rPr>
      </w:pPr>
      <w:r w:rsidRPr="00E57A74">
        <w:rPr>
          <w:b/>
          <w:bCs/>
          <w:sz w:val="24"/>
          <w:szCs w:val="24"/>
        </w:rPr>
        <w:t>Arsyeja e ndërhyrjes</w:t>
      </w:r>
    </w:p>
    <w:p w14:paraId="06E15656" w14:textId="77777777" w:rsidR="005A7A7D" w:rsidRPr="00E57A74" w:rsidRDefault="005A7A7D" w:rsidP="00EE0F6E">
      <w:pPr>
        <w:pStyle w:val="ListParagraph"/>
        <w:numPr>
          <w:ilvl w:val="0"/>
          <w:numId w:val="9"/>
        </w:numPr>
        <w:spacing w:after="0"/>
        <w:jc w:val="both"/>
        <w:rPr>
          <w:rFonts w:ascii="Times New Roman" w:hAnsi="Times New Roman"/>
          <w:b/>
          <w:bCs/>
          <w:i/>
          <w:iCs/>
          <w:sz w:val="24"/>
          <w:szCs w:val="24"/>
        </w:rPr>
      </w:pPr>
      <w:r w:rsidRPr="00E57A74">
        <w:rPr>
          <w:rFonts w:ascii="Times New Roman" w:hAnsi="Times New Roman"/>
          <w:b/>
          <w:bCs/>
          <w:i/>
          <w:iCs/>
          <w:sz w:val="24"/>
          <w:szCs w:val="24"/>
        </w:rPr>
        <w:t>Nevoja për ndërhyrje</w:t>
      </w:r>
    </w:p>
    <w:p w14:paraId="0C1E9A32" w14:textId="3CBAE053" w:rsidR="005A7A7D" w:rsidRPr="00E57A74" w:rsidRDefault="005A7A7D" w:rsidP="005A7A7D">
      <w:pPr>
        <w:jc w:val="both"/>
        <w:rPr>
          <w:sz w:val="24"/>
          <w:szCs w:val="24"/>
        </w:rPr>
      </w:pPr>
      <w:r w:rsidRPr="00E57A74">
        <w:rPr>
          <w:sz w:val="24"/>
          <w:szCs w:val="24"/>
        </w:rPr>
        <w:t>Ndërhyrja është e nevojshme për të adresuar paqartësitë dhe mangësitë e evidentuara gjatë zbatimit të ligjit nr. 87/2024. Në mungesë të ndryshimeve, do të vijonin vështirësitë në zbatimin e njëtrajtshëm të dispozitave, gjurmueshmërinë e armatimit ushtarak, monitorimin e subjekteve të licencuara, shkëmbimin e informacionit dhe kontrollin e lehtësive të përfituara. Për shkak se këto çështje lidhen me të drejta, detyrime dhe përgjegjësi të përcaktuara në ligj, ato nuk mund të zgjidhen vetëm me masa administrative.</w:t>
      </w:r>
    </w:p>
    <w:p w14:paraId="70B6D08D" w14:textId="2B3E8F48" w:rsidR="005A7A7D" w:rsidRPr="00E57A74" w:rsidRDefault="005A7A7D" w:rsidP="00EE0F6E">
      <w:pPr>
        <w:pStyle w:val="ListParagraph"/>
        <w:numPr>
          <w:ilvl w:val="0"/>
          <w:numId w:val="9"/>
        </w:numPr>
        <w:spacing w:after="0"/>
        <w:jc w:val="both"/>
        <w:rPr>
          <w:rFonts w:ascii="Times New Roman" w:hAnsi="Times New Roman"/>
          <w:b/>
          <w:bCs/>
          <w:i/>
          <w:iCs/>
          <w:sz w:val="24"/>
          <w:szCs w:val="24"/>
        </w:rPr>
      </w:pPr>
      <w:r w:rsidRPr="00E57A74">
        <w:rPr>
          <w:rFonts w:ascii="Times New Roman" w:hAnsi="Times New Roman"/>
          <w:b/>
          <w:bCs/>
          <w:i/>
          <w:iCs/>
          <w:sz w:val="24"/>
          <w:szCs w:val="24"/>
        </w:rPr>
        <w:t>Çfarë synon të trajtojë ndërhyrja</w:t>
      </w:r>
    </w:p>
    <w:p w14:paraId="2DAADDF8" w14:textId="2478E616" w:rsidR="005A7A7D" w:rsidRPr="00E57A74" w:rsidRDefault="005A7A7D" w:rsidP="005A7A7D">
      <w:pPr>
        <w:jc w:val="both"/>
        <w:rPr>
          <w:sz w:val="24"/>
          <w:szCs w:val="24"/>
        </w:rPr>
      </w:pPr>
      <w:r w:rsidRPr="00E57A74">
        <w:rPr>
          <w:sz w:val="24"/>
          <w:szCs w:val="24"/>
        </w:rPr>
        <w:t>Nëpërmjet ndërhyrjes synohet:</w:t>
      </w:r>
    </w:p>
    <w:p w14:paraId="0F124EA9" w14:textId="77777777" w:rsidR="005A7A7D" w:rsidRPr="00E57A74" w:rsidRDefault="005A7A7D" w:rsidP="00EE0F6E">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t>qartësimi i përgjegjësive dhe procedurave të zbatimit;</w:t>
      </w:r>
    </w:p>
    <w:p w14:paraId="4C605B85" w14:textId="77777777" w:rsidR="005A7A7D" w:rsidRPr="00E57A74" w:rsidRDefault="005A7A7D" w:rsidP="00EE0F6E">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t>përmirësimi i administrimit të regjistrave dhe gjurmueshmërisë;</w:t>
      </w:r>
    </w:p>
    <w:p w14:paraId="27A3EB03" w14:textId="77777777" w:rsidR="005A7A7D" w:rsidRPr="00E57A74" w:rsidRDefault="005A7A7D" w:rsidP="00EE0F6E">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t>forcimi i kërkesave për dokumentimin e zinxhirit të furnizimit;</w:t>
      </w:r>
    </w:p>
    <w:p w14:paraId="567BA8EE" w14:textId="77777777" w:rsidR="005A7A7D" w:rsidRPr="00E57A74" w:rsidRDefault="005A7A7D" w:rsidP="00EE0F6E">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t>përmirësimi i raportimit, monitorimit dhe shkëmbimit të informacionit;</w:t>
      </w:r>
    </w:p>
    <w:p w14:paraId="610CA04E" w14:textId="77777777" w:rsidR="005A7A7D" w:rsidRPr="00E57A74" w:rsidRDefault="005A7A7D" w:rsidP="00EE0F6E">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t>përcaktimi më i qartë i kushteve për përfitimin, kontrollin dhe kthimin e lehtësive;</w:t>
      </w:r>
    </w:p>
    <w:p w14:paraId="7E26FF22" w14:textId="14E0A7E0" w:rsidR="005A7A7D" w:rsidRPr="00E57A74" w:rsidRDefault="005A7A7D" w:rsidP="005A7A7D">
      <w:pPr>
        <w:pStyle w:val="ListParagraph"/>
        <w:numPr>
          <w:ilvl w:val="0"/>
          <w:numId w:val="10"/>
        </w:numPr>
        <w:spacing w:after="0"/>
        <w:jc w:val="both"/>
        <w:rPr>
          <w:rFonts w:ascii="Times New Roman" w:hAnsi="Times New Roman"/>
          <w:sz w:val="24"/>
          <w:szCs w:val="24"/>
        </w:rPr>
      </w:pPr>
      <w:r w:rsidRPr="00E57A74">
        <w:rPr>
          <w:rFonts w:ascii="Times New Roman" w:hAnsi="Times New Roman"/>
          <w:sz w:val="24"/>
          <w:szCs w:val="24"/>
        </w:rPr>
        <w:lastRenderedPageBreak/>
        <w:t>rritja e sigurisë juridike dhe parashikueshmërisë për subjektet e licencuara.</w:t>
      </w:r>
    </w:p>
    <w:p w14:paraId="3916C73E" w14:textId="77777777" w:rsidR="005A7A7D" w:rsidRPr="00E57A74" w:rsidRDefault="005A7A7D" w:rsidP="00EE0F6E">
      <w:pPr>
        <w:pStyle w:val="ListParagraph"/>
        <w:numPr>
          <w:ilvl w:val="0"/>
          <w:numId w:val="11"/>
        </w:numPr>
        <w:spacing w:after="0"/>
        <w:jc w:val="both"/>
        <w:rPr>
          <w:rFonts w:ascii="Times New Roman" w:hAnsi="Times New Roman"/>
          <w:b/>
          <w:bCs/>
          <w:i/>
          <w:iCs/>
          <w:sz w:val="24"/>
          <w:szCs w:val="24"/>
        </w:rPr>
      </w:pPr>
      <w:r w:rsidRPr="00E57A74">
        <w:rPr>
          <w:rFonts w:ascii="Times New Roman" w:hAnsi="Times New Roman"/>
          <w:b/>
          <w:bCs/>
          <w:i/>
          <w:iCs/>
          <w:sz w:val="24"/>
          <w:szCs w:val="24"/>
        </w:rPr>
        <w:t>Shkalla e ndërhyrjes</w:t>
      </w:r>
    </w:p>
    <w:p w14:paraId="64F71EE5" w14:textId="0995000A" w:rsidR="005A7A7D" w:rsidRPr="00E57A74" w:rsidRDefault="005A7A7D" w:rsidP="005A7A7D">
      <w:pPr>
        <w:jc w:val="both"/>
        <w:rPr>
          <w:sz w:val="24"/>
          <w:szCs w:val="24"/>
        </w:rPr>
      </w:pPr>
      <w:r w:rsidRPr="00E57A74">
        <w:rPr>
          <w:sz w:val="24"/>
          <w:szCs w:val="24"/>
        </w:rPr>
        <w:t>Ndërhyrja e nevojshme është e kufizuar dhe proporcionale me problematikat e evidentuara. Ajo konsiston në ndryshime të synuara në ligjin ekzistues, të shoqëruara me aktet nënligjore, udhëzimet dhe masat administrative të nevojshme për zbatim. Nuk parashikohet krijimi i strukturave të reja ose përdorimi i burimeve financiare shtesë nga buxheti i shtetit.</w:t>
      </w:r>
    </w:p>
    <w:p w14:paraId="77691D64" w14:textId="77777777" w:rsidR="005A7A7D" w:rsidRPr="00E57A74" w:rsidRDefault="005A7A7D" w:rsidP="00EE0F6E">
      <w:pPr>
        <w:pStyle w:val="ListParagraph"/>
        <w:numPr>
          <w:ilvl w:val="0"/>
          <w:numId w:val="11"/>
        </w:numPr>
        <w:spacing w:after="0"/>
        <w:jc w:val="both"/>
        <w:rPr>
          <w:rFonts w:ascii="Times New Roman" w:hAnsi="Times New Roman"/>
          <w:b/>
          <w:bCs/>
          <w:i/>
          <w:iCs/>
          <w:sz w:val="24"/>
          <w:szCs w:val="24"/>
        </w:rPr>
      </w:pPr>
      <w:r w:rsidRPr="00E57A74">
        <w:rPr>
          <w:rFonts w:ascii="Times New Roman" w:hAnsi="Times New Roman"/>
          <w:b/>
          <w:bCs/>
          <w:i/>
          <w:iCs/>
          <w:sz w:val="24"/>
          <w:szCs w:val="24"/>
        </w:rPr>
        <w:t>Lidhja me objektivat e nivelit të lartë të qeverisë</w:t>
      </w:r>
    </w:p>
    <w:p w14:paraId="751FCA3C" w14:textId="342F33EF" w:rsidR="007749BC" w:rsidRPr="00E57A74" w:rsidRDefault="005A7A7D" w:rsidP="005A7A7D">
      <w:pPr>
        <w:jc w:val="both"/>
        <w:rPr>
          <w:sz w:val="24"/>
          <w:szCs w:val="24"/>
        </w:rPr>
      </w:pPr>
      <w:r w:rsidRPr="00E57A74">
        <w:rPr>
          <w:sz w:val="24"/>
          <w:szCs w:val="24"/>
        </w:rPr>
        <w:t>Ndërhyrja mbështet objektivat për forcimin e sigurisë kombëtare, zhvillimin e qëndrueshëm të industrisë së mbrojtjes, rritjen e kapaciteteve kombëtare dhe përmirësimin e kontrollit mbi veprimtaritë në këtë sektor. Gjithashtu, ajo kontribuon në rritjen e sigurisë juridike, transparencës, digjitalizimit të proceseve dhe efikasitetit të administratës publike.</w:t>
      </w:r>
    </w:p>
    <w:p w14:paraId="5AC8092D" w14:textId="4698745D" w:rsidR="005A7A7D" w:rsidRPr="00E57A74" w:rsidRDefault="005A7A7D" w:rsidP="00EE0F6E">
      <w:pPr>
        <w:pStyle w:val="ListParagraph"/>
        <w:numPr>
          <w:ilvl w:val="0"/>
          <w:numId w:val="11"/>
        </w:numPr>
        <w:spacing w:after="0"/>
        <w:jc w:val="both"/>
        <w:rPr>
          <w:rFonts w:ascii="Times New Roman" w:hAnsi="Times New Roman"/>
          <w:b/>
          <w:bCs/>
          <w:i/>
          <w:iCs/>
          <w:sz w:val="24"/>
          <w:szCs w:val="24"/>
        </w:rPr>
      </w:pPr>
      <w:r w:rsidRPr="00E57A74">
        <w:rPr>
          <w:rFonts w:ascii="Times New Roman" w:hAnsi="Times New Roman"/>
          <w:b/>
          <w:bCs/>
          <w:i/>
          <w:iCs/>
          <w:sz w:val="24"/>
          <w:szCs w:val="24"/>
        </w:rPr>
        <w:t>Puna e realizuar</w:t>
      </w:r>
    </w:p>
    <w:p w14:paraId="0750C249" w14:textId="6FFEAC30" w:rsidR="005A7A7D" w:rsidRPr="00E57A74" w:rsidRDefault="005A7A7D" w:rsidP="005A7A7D">
      <w:pPr>
        <w:jc w:val="both"/>
        <w:rPr>
          <w:sz w:val="24"/>
          <w:szCs w:val="24"/>
        </w:rPr>
      </w:pPr>
      <w:r w:rsidRPr="00E57A74">
        <w:rPr>
          <w:sz w:val="24"/>
          <w:szCs w:val="24"/>
        </w:rPr>
        <w:t>Deri në këtë fazë janë realizuar:</w:t>
      </w:r>
    </w:p>
    <w:p w14:paraId="0F9ADCF3" w14:textId="77777777" w:rsidR="005A7A7D" w:rsidRPr="00E57A74" w:rsidRDefault="005A7A7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rPr>
        <w:t>analiza e problematikave të evidentuara gjatë zbatimit të tij;</w:t>
      </w:r>
    </w:p>
    <w:p w14:paraId="431B22EE" w14:textId="77777777" w:rsidR="005A7A7D" w:rsidRPr="00E57A74" w:rsidRDefault="005A7A7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rPr>
        <w:t>ngritja dhe puna e grupeve teknike;</w:t>
      </w:r>
    </w:p>
    <w:p w14:paraId="0317D756" w14:textId="77777777" w:rsidR="005A7A7D" w:rsidRPr="00E57A74" w:rsidRDefault="005A7A7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rPr>
        <w:t>konsultimi i brendshëm me strukturat përgjegjëse dhe ekspertët e fushës;</w:t>
      </w:r>
    </w:p>
    <w:p w14:paraId="44ACADAC" w14:textId="77777777" w:rsidR="005A7A7D" w:rsidRPr="00E57A74" w:rsidRDefault="005A7A7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rPr>
        <w:t>hartimi dhe konsolidimi i propozimeve për ndryshimet ligjore;</w:t>
      </w:r>
    </w:p>
    <w:p w14:paraId="1A53CE09" w14:textId="77777777" w:rsidR="006D4B4D" w:rsidRPr="00E57A74" w:rsidRDefault="005A7A7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rPr>
        <w:t>përgatitja e projektligjit dhe e dokumenteve shoqëruese</w:t>
      </w:r>
      <w:r w:rsidR="006D4B4D" w:rsidRPr="00E57A74">
        <w:rPr>
          <w:rFonts w:ascii="Times New Roman" w:hAnsi="Times New Roman"/>
          <w:sz w:val="24"/>
          <w:szCs w:val="24"/>
          <w:lang w:val="en-US"/>
        </w:rPr>
        <w:t>;</w:t>
      </w:r>
    </w:p>
    <w:p w14:paraId="427ECE05" w14:textId="505CDA3D" w:rsidR="00B6503E" w:rsidRPr="00E57A74" w:rsidRDefault="006D4B4D" w:rsidP="00EE0F6E">
      <w:pPr>
        <w:pStyle w:val="ListParagraph"/>
        <w:numPr>
          <w:ilvl w:val="0"/>
          <w:numId w:val="12"/>
        </w:numPr>
        <w:spacing w:after="0"/>
        <w:jc w:val="both"/>
        <w:rPr>
          <w:rFonts w:ascii="Times New Roman" w:hAnsi="Times New Roman"/>
          <w:sz w:val="24"/>
          <w:szCs w:val="24"/>
        </w:rPr>
      </w:pPr>
      <w:r w:rsidRPr="00E57A74">
        <w:rPr>
          <w:rFonts w:ascii="Times New Roman" w:hAnsi="Times New Roman"/>
          <w:sz w:val="24"/>
          <w:szCs w:val="24"/>
          <w:lang w:val="en-US"/>
        </w:rPr>
        <w:t>marrja e mendimeve subjekteve të licencuara</w:t>
      </w:r>
      <w:r w:rsidR="005A7A7D" w:rsidRPr="00E57A74">
        <w:rPr>
          <w:rFonts w:ascii="Times New Roman" w:hAnsi="Times New Roman"/>
          <w:sz w:val="24"/>
          <w:szCs w:val="24"/>
        </w:rPr>
        <w:t>.</w:t>
      </w:r>
    </w:p>
    <w:p w14:paraId="7B04BF98" w14:textId="072009C4" w:rsidR="00B6503E" w:rsidRPr="00E57A74" w:rsidRDefault="00B6503E" w:rsidP="005C0524">
      <w:pPr>
        <w:jc w:val="both"/>
        <w:rPr>
          <w:sz w:val="24"/>
          <w:szCs w:val="24"/>
        </w:rPr>
      </w:pPr>
    </w:p>
    <w:p w14:paraId="25C57AA8" w14:textId="23FF38BA" w:rsidR="00C40DCE" w:rsidRPr="00E57A74" w:rsidRDefault="005C0524" w:rsidP="005C0524">
      <w:pPr>
        <w:jc w:val="both"/>
        <w:rPr>
          <w:b/>
          <w:bCs/>
          <w:sz w:val="24"/>
          <w:szCs w:val="24"/>
        </w:rPr>
      </w:pPr>
      <w:r w:rsidRPr="00E57A74">
        <w:rPr>
          <w:b/>
          <w:bCs/>
          <w:sz w:val="24"/>
          <w:szCs w:val="24"/>
        </w:rPr>
        <w:t>Objektivi i politikës</w:t>
      </w:r>
    </w:p>
    <w:p w14:paraId="353351D7" w14:textId="77777777" w:rsidR="005C0524" w:rsidRPr="00E57A74" w:rsidRDefault="005C0524" w:rsidP="005C0524">
      <w:pPr>
        <w:jc w:val="both"/>
        <w:rPr>
          <w:sz w:val="24"/>
          <w:szCs w:val="24"/>
        </w:rPr>
      </w:pPr>
      <w:r w:rsidRPr="00E57A74">
        <w:rPr>
          <w:sz w:val="24"/>
          <w:szCs w:val="24"/>
        </w:rPr>
        <w:t>Objektivi i përgjithshëm i politikës është përmirësimi i zbatimit të ligjit nr. 87/2024, nëpërmjet qartësimit të përgjegjësive dhe procedurave, forcimit të gjurmueshmërisë dhe rritjes së efektivitetit të monitorimit dhe kontrollit. Brenda gjashtë muajve nga hyrja në fuqi e ndryshimeve synohet miratimi i akteve nënligjore, udhëzimeve dhe formateve standarde të nevojshme për zbatimin e tyre.</w:t>
      </w:r>
    </w:p>
    <w:p w14:paraId="0CD7720F" w14:textId="77777777" w:rsidR="005C0524" w:rsidRPr="00E57A74" w:rsidRDefault="005C0524" w:rsidP="005C0524">
      <w:pPr>
        <w:jc w:val="both"/>
        <w:rPr>
          <w:sz w:val="24"/>
          <w:szCs w:val="24"/>
        </w:rPr>
      </w:pPr>
      <w:r w:rsidRPr="00E57A74">
        <w:rPr>
          <w:sz w:val="24"/>
          <w:szCs w:val="24"/>
        </w:rPr>
        <w:t>Brenda dymbëdhjetë muajve synohet regjistrimi dhe përditësimi i të dhënave për të gjitha subjektet që kanë detyrim ligjor për raportim. Duke filluar nga viti i parë i plotë i zbatimit, synohet që subjektet e detyruara të paraqesin raportet dhe të përditësojnë të dhënat brenda afateve ligjore. Respektimi i kushteve për përfitimin e lehtësive do të verifikohet periodikisht, ndërsa efektiviteti i ndryshimeve do të vlerësohet përmes një raporti vjetor mbi rezultatet, problematikat dhe masat e nevojshme për përmirësim. Këto objektiva do të realizohen me strukturat dhe burimet ekzistuese, pa krijuar kosto shtesë për buxhetin e shtetit.</w:t>
      </w:r>
    </w:p>
    <w:p w14:paraId="7323585A" w14:textId="77777777" w:rsidR="005C0524" w:rsidRPr="00E57A74" w:rsidRDefault="005C0524" w:rsidP="006108CA">
      <w:pPr>
        <w:jc w:val="both"/>
        <w:rPr>
          <w:b/>
          <w:bCs/>
          <w:sz w:val="24"/>
          <w:szCs w:val="24"/>
        </w:rPr>
      </w:pPr>
    </w:p>
    <w:p w14:paraId="03CCDC7B" w14:textId="77777777" w:rsidR="00C40DCE" w:rsidRPr="00E57A74" w:rsidRDefault="00C40DCE" w:rsidP="006108CA">
      <w:pPr>
        <w:jc w:val="both"/>
        <w:rPr>
          <w:b/>
          <w:bCs/>
          <w:sz w:val="24"/>
          <w:szCs w:val="24"/>
        </w:rPr>
      </w:pPr>
      <w:r w:rsidRPr="00E57A74">
        <w:rPr>
          <w:b/>
          <w:bCs/>
          <w:sz w:val="24"/>
          <w:szCs w:val="24"/>
        </w:rPr>
        <w:t>Përshkrimi i opsioneve të shqyrtuara</w:t>
      </w:r>
    </w:p>
    <w:p w14:paraId="06EB909B" w14:textId="1289E6A9" w:rsidR="00C40DCE" w:rsidRPr="00E57A74" w:rsidRDefault="00C40DCE" w:rsidP="006108CA">
      <w:pPr>
        <w:jc w:val="both"/>
        <w:rPr>
          <w:sz w:val="24"/>
          <w:szCs w:val="24"/>
        </w:rPr>
      </w:pPr>
      <w:r w:rsidRPr="00E57A74">
        <w:rPr>
          <w:sz w:val="24"/>
          <w:szCs w:val="24"/>
        </w:rPr>
        <w:t>Në kuadër të vlerësimit janë shqyrtuar tri opsione kryesore të politikës.</w:t>
      </w:r>
    </w:p>
    <w:p w14:paraId="4F628D60" w14:textId="77777777" w:rsidR="00E57A74" w:rsidRPr="00E57A74" w:rsidRDefault="00E57A74" w:rsidP="006108CA">
      <w:pPr>
        <w:jc w:val="both"/>
        <w:rPr>
          <w:sz w:val="24"/>
          <w:szCs w:val="24"/>
        </w:rPr>
      </w:pPr>
    </w:p>
    <w:p w14:paraId="16174E92" w14:textId="77777777" w:rsidR="00C40DCE" w:rsidRPr="00E57A74" w:rsidRDefault="00C40DCE" w:rsidP="006108CA">
      <w:pPr>
        <w:jc w:val="both"/>
        <w:rPr>
          <w:b/>
          <w:bCs/>
          <w:i/>
          <w:iCs/>
          <w:sz w:val="24"/>
          <w:szCs w:val="24"/>
        </w:rPr>
      </w:pPr>
      <w:r w:rsidRPr="00E57A74">
        <w:rPr>
          <w:b/>
          <w:bCs/>
          <w:i/>
          <w:iCs/>
          <w:sz w:val="24"/>
          <w:szCs w:val="24"/>
        </w:rPr>
        <w:t>Opsioni 0 – Ruajtja e status quo-së</w:t>
      </w:r>
    </w:p>
    <w:p w14:paraId="5A451C33" w14:textId="77777777" w:rsidR="00C40DCE" w:rsidRPr="00E57A74" w:rsidRDefault="00C40DCE" w:rsidP="006108CA">
      <w:pPr>
        <w:jc w:val="both"/>
        <w:rPr>
          <w:sz w:val="24"/>
          <w:szCs w:val="24"/>
        </w:rPr>
      </w:pPr>
      <w:r w:rsidRPr="00E57A74">
        <w:rPr>
          <w:sz w:val="24"/>
          <w:szCs w:val="24"/>
        </w:rPr>
        <w:t>Ky opsion parashikon vijimin e zbatimit të ligjit nr. 87/2024 pa ndërhyrje ligjore. Strukturat përgjegjëse dhe subjektet e licencuara do të vazhdonin të vepronin sipas dispozitave ekzistuese. Ky opsion nuk krijon kosto të reja të menjëhershme, por nuk trajton paqartësitë dhe mangësitë e evidentuara në lidhje me regjistrat elektronikë, gjurmueshmërinë, zinxhirin e furnizimit, raportimin, monitorimin dhe kontrollin e lehtësive.</w:t>
      </w:r>
    </w:p>
    <w:p w14:paraId="2857A5F3" w14:textId="77777777" w:rsidR="00C40DCE" w:rsidRPr="00E57A74" w:rsidRDefault="00C40DCE" w:rsidP="006108CA">
      <w:pPr>
        <w:jc w:val="both"/>
        <w:rPr>
          <w:sz w:val="24"/>
          <w:szCs w:val="24"/>
        </w:rPr>
      </w:pPr>
    </w:p>
    <w:p w14:paraId="45861173" w14:textId="77777777" w:rsidR="00C40DCE" w:rsidRPr="00E57A74" w:rsidRDefault="00C40DCE" w:rsidP="006108CA">
      <w:pPr>
        <w:jc w:val="both"/>
        <w:rPr>
          <w:b/>
          <w:bCs/>
          <w:i/>
          <w:iCs/>
          <w:sz w:val="24"/>
          <w:szCs w:val="24"/>
        </w:rPr>
      </w:pPr>
      <w:r w:rsidRPr="00E57A74">
        <w:rPr>
          <w:b/>
          <w:bCs/>
          <w:i/>
          <w:iCs/>
          <w:sz w:val="24"/>
          <w:szCs w:val="24"/>
        </w:rPr>
        <w:t>Opsioni 1 – Marrja e masave administrative dhe procedurale, pa ndryshuar ligjin</w:t>
      </w:r>
    </w:p>
    <w:p w14:paraId="2DE08379" w14:textId="77777777" w:rsidR="00C40DCE" w:rsidRPr="00E57A74" w:rsidRDefault="00C40DCE" w:rsidP="006108CA">
      <w:pPr>
        <w:jc w:val="both"/>
        <w:rPr>
          <w:sz w:val="24"/>
          <w:szCs w:val="24"/>
        </w:rPr>
      </w:pPr>
      <w:r w:rsidRPr="00E57A74">
        <w:rPr>
          <w:sz w:val="24"/>
          <w:szCs w:val="24"/>
        </w:rPr>
        <w:t>Ky opsion parashikon hartimin e udhëzimeve, formateve standarde, procedurave të brendshme dhe masave për përmirësimin e koordinimit dhe shkëmbimit të informacionit. Ai mund të lehtësojë zbatimin e disa dispozitave, por nuk mund të krijojë ose ndryshojë të drejta, detyrime, përgjegjësi dhe mekanizma kontrolli që kërkojnë bazë të qartë ligjore. Për rrjedhojë, ky opsion e trajton problemin vetëm pjesërisht.</w:t>
      </w:r>
    </w:p>
    <w:p w14:paraId="192094AC" w14:textId="77777777" w:rsidR="00C40DCE" w:rsidRPr="00E57A74" w:rsidRDefault="00C40DCE" w:rsidP="006108CA">
      <w:pPr>
        <w:jc w:val="both"/>
        <w:rPr>
          <w:sz w:val="24"/>
          <w:szCs w:val="24"/>
        </w:rPr>
      </w:pPr>
    </w:p>
    <w:p w14:paraId="11F44A8D" w14:textId="77777777" w:rsidR="00C40DCE" w:rsidRPr="00E57A74" w:rsidRDefault="00C40DCE" w:rsidP="006108CA">
      <w:pPr>
        <w:jc w:val="both"/>
        <w:rPr>
          <w:b/>
          <w:bCs/>
          <w:i/>
          <w:iCs/>
          <w:sz w:val="24"/>
          <w:szCs w:val="24"/>
        </w:rPr>
      </w:pPr>
      <w:r w:rsidRPr="00E57A74">
        <w:rPr>
          <w:b/>
          <w:bCs/>
          <w:i/>
          <w:iCs/>
          <w:sz w:val="24"/>
          <w:szCs w:val="24"/>
        </w:rPr>
        <w:t>Opsioni 2 – Ndryshimi i ligjit, i shoqëruar me masa zbatuese</w:t>
      </w:r>
    </w:p>
    <w:p w14:paraId="27174EA8" w14:textId="77777777" w:rsidR="00C40DCE" w:rsidRPr="00E57A74" w:rsidRDefault="00C40DCE" w:rsidP="006108CA">
      <w:pPr>
        <w:jc w:val="both"/>
        <w:rPr>
          <w:sz w:val="24"/>
          <w:szCs w:val="24"/>
        </w:rPr>
      </w:pPr>
      <w:r w:rsidRPr="00E57A74">
        <w:rPr>
          <w:sz w:val="24"/>
          <w:szCs w:val="24"/>
        </w:rPr>
        <w:t xml:space="preserve">Ky opsion parashikon ndryshime të synuara në ligjin nr. 87/2024, të shoqëruara me akte nënligjore, udhëzime praktike, informim dhe monitorim periodik. Ndryshimet synojnë qartësimin e përgjegjësive dhe procedurave, përmirësimin e administrimit të regjistrave dhe gjurmueshmërisë, </w:t>
      </w:r>
      <w:r w:rsidRPr="00E57A74">
        <w:rPr>
          <w:sz w:val="24"/>
          <w:szCs w:val="24"/>
        </w:rPr>
        <w:lastRenderedPageBreak/>
        <w:t>forcimin e raportimit dhe kontrollit, si dhe përcaktimin më të qartë të kushteve për përfitimin dhe kthimin e lehtësive. Ky është opsioni i preferuar.</w:t>
      </w:r>
    </w:p>
    <w:p w14:paraId="44314378" w14:textId="77777777" w:rsidR="00C40DCE" w:rsidRPr="00E57A74" w:rsidRDefault="00C40DCE" w:rsidP="006108CA">
      <w:pPr>
        <w:jc w:val="both"/>
        <w:rPr>
          <w:sz w:val="24"/>
          <w:szCs w:val="24"/>
        </w:rPr>
      </w:pPr>
    </w:p>
    <w:p w14:paraId="5F188658" w14:textId="7F363287" w:rsidR="00B6503E" w:rsidRPr="00E57A74" w:rsidRDefault="00C40DCE" w:rsidP="006108CA">
      <w:pPr>
        <w:jc w:val="both"/>
        <w:rPr>
          <w:sz w:val="24"/>
          <w:szCs w:val="24"/>
        </w:rPr>
      </w:pPr>
      <w:r w:rsidRPr="00E57A74">
        <w:rPr>
          <w:sz w:val="24"/>
          <w:szCs w:val="24"/>
        </w:rPr>
        <w:t>Opsionet janë përzgjedhur duke vlerësuar natyrën dhe shkaqet e problemit, efektivitetin e pritshëm, proporcionalitetin e ndërhyrjes, zbatueshmërinë, sigurinë juridike dhe ndikimin financiar. Opsioni i status quo-së është përfshirë si bazë krahasimi, ndërsa opsioni administrativ është shqyrtuar si një alternativë më pak ndërhyrëse. Opsioni i ndryshimit ligjor është zgjedhur si i preferuar, pasi trajton drejtpërdrejt shkaqet e problemit dhe siguron një bazë të detyrueshme dhe të qëndrueshme për zbatim, pa krijuar kosto shtesë për buxhetin e shtetit.</w:t>
      </w:r>
    </w:p>
    <w:p w14:paraId="2F57C392" w14:textId="36C6FB8C" w:rsidR="006108CA" w:rsidRPr="00E57A74" w:rsidRDefault="006108CA" w:rsidP="006108CA">
      <w:pPr>
        <w:jc w:val="both"/>
        <w:rPr>
          <w:sz w:val="24"/>
          <w:szCs w:val="24"/>
        </w:rPr>
      </w:pPr>
    </w:p>
    <w:p w14:paraId="55FCF47C" w14:textId="12D68D9F" w:rsidR="006108CA" w:rsidRPr="00E57A74" w:rsidRDefault="006108CA" w:rsidP="006108CA">
      <w:pPr>
        <w:jc w:val="both"/>
        <w:rPr>
          <w:b/>
          <w:bCs/>
          <w:sz w:val="24"/>
          <w:szCs w:val="24"/>
          <w:lang w:val="en-US" w:eastAsia="en-US"/>
        </w:rPr>
      </w:pPr>
      <w:r w:rsidRPr="00E57A74">
        <w:rPr>
          <w:b/>
          <w:bCs/>
          <w:sz w:val="24"/>
          <w:szCs w:val="24"/>
          <w:lang w:val="en-US" w:eastAsia="en-US"/>
        </w:rPr>
        <w:t>Vlerësimi i opsioneve/analizimi i ndikimeve</w:t>
      </w:r>
    </w:p>
    <w:p w14:paraId="1096BB36" w14:textId="77777777" w:rsidR="006108CA" w:rsidRPr="00E57A74" w:rsidRDefault="006108CA" w:rsidP="00EE0F6E">
      <w:pPr>
        <w:pStyle w:val="ListParagraph"/>
        <w:numPr>
          <w:ilvl w:val="0"/>
          <w:numId w:val="14"/>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Grupet e prekura</w:t>
      </w:r>
    </w:p>
    <w:p w14:paraId="59C3BC1B" w14:textId="4C03B5E6" w:rsidR="006108CA" w:rsidRPr="00E57A74" w:rsidRDefault="006108CA" w:rsidP="006108CA">
      <w:pPr>
        <w:jc w:val="both"/>
        <w:rPr>
          <w:sz w:val="24"/>
          <w:szCs w:val="24"/>
          <w:lang w:val="en-US" w:eastAsia="en-US"/>
        </w:rPr>
      </w:pPr>
      <w:r w:rsidRPr="00E57A74">
        <w:rPr>
          <w:sz w:val="24"/>
          <w:szCs w:val="24"/>
          <w:lang w:val="en-US" w:eastAsia="en-US"/>
        </w:rPr>
        <w:t>Grupet që preken drejtpërdrejt janë strukturat publike përgjegjëse për zbatimin e ligjit, subjektet e licencuara, aplikuesit dhe subjektet që përfitojnë lehtësi. Qytetarët dhe shoqëria në përgjithësi preken në mënyrë të tërthortë, nëpërmjet ndikimit të ndryshimeve mbi sigurinë kombëtare, ligjshmërinë dhe kontrollin e veprimtarive në industrinë e mbrojtjes.</w:t>
      </w:r>
    </w:p>
    <w:p w14:paraId="5EF9506B" w14:textId="1D3A1EFE" w:rsidR="006108CA" w:rsidRPr="00E57A74" w:rsidRDefault="006108CA" w:rsidP="00EE0F6E">
      <w:pPr>
        <w:pStyle w:val="ListParagraph"/>
        <w:numPr>
          <w:ilvl w:val="0"/>
          <w:numId w:val="13"/>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Ndikimet e drejtpërdrejta</w:t>
      </w:r>
    </w:p>
    <w:p w14:paraId="1D8F048C" w14:textId="77777777" w:rsidR="006108CA" w:rsidRPr="00E57A74" w:rsidRDefault="006108CA" w:rsidP="006108CA">
      <w:pPr>
        <w:jc w:val="both"/>
        <w:rPr>
          <w:sz w:val="24"/>
          <w:szCs w:val="24"/>
          <w:lang w:val="en-US" w:eastAsia="en-US"/>
        </w:rPr>
      </w:pPr>
      <w:r w:rsidRPr="00E57A74">
        <w:rPr>
          <w:sz w:val="24"/>
          <w:szCs w:val="24"/>
          <w:lang w:val="en-US" w:eastAsia="en-US"/>
        </w:rPr>
        <w:t>Për strukturat publike, opsioni i preferuar sjell qartësimin e përgjegjësive, përmirësimin e administrimit të regjistrave, shkëmbim më të strukturuar të informacionit dhe forcimin e monitorimit dhe kontrollit. Zbatimi do të realizohet me strukturat, personelin dhe burimet ekzistuese. Nuk parashikohet krijimi i strukturave të reja ose shtimi i personelit dhe, për rrjedhojë, ndikimi financiar shtesë mbi buxhetin e shtetit është 0 lekë për periudhën trevjeçare pas hyrjes në fuqi.</w:t>
      </w:r>
    </w:p>
    <w:p w14:paraId="12AE2E7A" w14:textId="77777777" w:rsidR="006108CA" w:rsidRPr="00E57A74" w:rsidRDefault="006108CA" w:rsidP="006108CA">
      <w:pPr>
        <w:jc w:val="both"/>
        <w:rPr>
          <w:sz w:val="24"/>
          <w:szCs w:val="24"/>
          <w:lang w:val="en-US" w:eastAsia="en-US"/>
        </w:rPr>
      </w:pPr>
      <w:r w:rsidRPr="00E57A74">
        <w:rPr>
          <w:sz w:val="24"/>
          <w:szCs w:val="24"/>
          <w:lang w:val="en-US" w:eastAsia="en-US"/>
        </w:rPr>
        <w:t>Për bizneset, ndikimet pozitive lidhen me rritjen e sigurisë juridike, qartësimin e procedurave të licencimit dhe autorizimit, rritjen e parashikueshmërisë dhe trajtimin më të barabartë të subjekteve. Projektligji nuk vendos tarifa të reja aplikimi, detyrime të reja tatimore ose pagesa të tjera të drejtpërdrejta.</w:t>
      </w:r>
    </w:p>
    <w:p w14:paraId="2669B1BB" w14:textId="77777777" w:rsidR="00F166D2" w:rsidRPr="00E57A74" w:rsidRDefault="00F166D2" w:rsidP="006108CA">
      <w:pPr>
        <w:jc w:val="both"/>
        <w:rPr>
          <w:sz w:val="24"/>
          <w:szCs w:val="24"/>
          <w:lang w:val="en-US" w:eastAsia="en-US"/>
        </w:rPr>
      </w:pPr>
    </w:p>
    <w:p w14:paraId="3F39B9F7" w14:textId="7CB226A3" w:rsidR="006108CA" w:rsidRPr="00E57A74" w:rsidRDefault="006108CA" w:rsidP="006108CA">
      <w:pPr>
        <w:jc w:val="both"/>
        <w:rPr>
          <w:sz w:val="24"/>
          <w:szCs w:val="24"/>
          <w:lang w:val="en-US" w:eastAsia="en-US"/>
        </w:rPr>
      </w:pPr>
      <w:r w:rsidRPr="00E57A74">
        <w:rPr>
          <w:sz w:val="24"/>
          <w:szCs w:val="24"/>
          <w:lang w:val="en-US" w:eastAsia="en-US"/>
        </w:rPr>
        <w:t xml:space="preserve">Subjektet mund të përballen me kosto administrative të kufizuara për dokumentimin e origjinës së lëndëve të para dhe të zinxhirit të furnizimit, ndërlidhjen e sistemeve të gjurmimit, raportimin periodik dhe përditësimin e të dhënave. Për shkak të mungesës së të dhënave mbi numrin e operatorëve, madhësinë e tyre, sistemet që përdorin dhe nivelin aktual të dokumentimit, këto kosto nuk mund të përcaktohen në </w:t>
      </w:r>
      <w:r w:rsidR="006D4B4D" w:rsidRPr="00E57A74">
        <w:rPr>
          <w:sz w:val="24"/>
          <w:szCs w:val="24"/>
          <w:lang w:val="en-US" w:eastAsia="en-US"/>
        </w:rPr>
        <w:t xml:space="preserve">këtë faze </w:t>
      </w:r>
      <w:r w:rsidRPr="00E57A74">
        <w:rPr>
          <w:sz w:val="24"/>
          <w:szCs w:val="24"/>
          <w:lang w:val="en-US" w:eastAsia="en-US"/>
        </w:rPr>
        <w:t>në vlerë monetare.</w:t>
      </w:r>
    </w:p>
    <w:p w14:paraId="4698FE33" w14:textId="77777777" w:rsidR="00F166D2" w:rsidRPr="00E57A74" w:rsidRDefault="00F166D2" w:rsidP="006108CA">
      <w:pPr>
        <w:jc w:val="both"/>
        <w:rPr>
          <w:sz w:val="24"/>
          <w:szCs w:val="24"/>
          <w:lang w:val="en-US" w:eastAsia="en-US"/>
        </w:rPr>
      </w:pPr>
    </w:p>
    <w:p w14:paraId="7D28B2B9" w14:textId="1D5D6822" w:rsidR="00E57A74" w:rsidRPr="00E57A74" w:rsidRDefault="006108CA" w:rsidP="006108CA">
      <w:pPr>
        <w:jc w:val="both"/>
        <w:rPr>
          <w:sz w:val="24"/>
          <w:szCs w:val="24"/>
          <w:lang w:val="en-US" w:eastAsia="en-US"/>
        </w:rPr>
      </w:pPr>
      <w:r w:rsidRPr="00E57A74">
        <w:rPr>
          <w:sz w:val="24"/>
          <w:szCs w:val="24"/>
          <w:lang w:val="en-US" w:eastAsia="en-US"/>
        </w:rPr>
        <w:t>Përfitimet e mundshme financiare për bizneset lidhen me përmirësimin e trajtimit të inputeve dhe produkteve përfundimtare, pakësimin e procedurave të mëvonshme të rimbursimit dhe përmirësimin e likuiditetit. Edhe këto përfitime nuk mund të monetarizohen pa të dhëna të plota mbi aktivitetin ekonomik të subjekteve përfituese.</w:t>
      </w:r>
    </w:p>
    <w:p w14:paraId="2993D821" w14:textId="643C107C" w:rsidR="006108CA" w:rsidRPr="00E57A74" w:rsidRDefault="006108CA" w:rsidP="00E57A74">
      <w:pPr>
        <w:pStyle w:val="ListParagraph"/>
        <w:numPr>
          <w:ilvl w:val="0"/>
          <w:numId w:val="13"/>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Ndikimi mbi ndërmarrjet e vogla dhe të mesme</w:t>
      </w:r>
    </w:p>
    <w:p w14:paraId="24E9FD48" w14:textId="764170DB" w:rsidR="00BB54FC" w:rsidRPr="00E57A74" w:rsidRDefault="006108CA" w:rsidP="00E57A74">
      <w:pPr>
        <w:jc w:val="both"/>
        <w:rPr>
          <w:sz w:val="24"/>
          <w:szCs w:val="24"/>
          <w:lang w:val="en-US" w:eastAsia="en-US"/>
        </w:rPr>
      </w:pPr>
      <w:r w:rsidRPr="00E57A74">
        <w:rPr>
          <w:sz w:val="24"/>
          <w:szCs w:val="24"/>
          <w:lang w:val="en-US" w:eastAsia="en-US"/>
        </w:rPr>
        <w:t>Kostot fikse për dokumentimin, raportimin dhe përshtatjen e sistemeve mund të jenë proporcionalisht më të ndjeshme për operatorët e vegjël. Për kufizimin e kësaj barre, kërkesat duhet të zbatohen në mënyrë proporcionale me përmasat, natyrën dhe nivelin e rrezikut të veprimtarisë. Përdorimi i formateve standarde, udhëzimeve të qarta dhe sesioneve informuese pritet të lehtësojë zbatimin nga subjektet me kapacitete më të kufizuara.</w:t>
      </w:r>
    </w:p>
    <w:p w14:paraId="06F33D78" w14:textId="7D078799" w:rsidR="006108CA" w:rsidRPr="00E57A74" w:rsidRDefault="006108CA" w:rsidP="00E57A74">
      <w:pPr>
        <w:pStyle w:val="ListParagraph"/>
        <w:numPr>
          <w:ilvl w:val="0"/>
          <w:numId w:val="13"/>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Ndikimet jo të drejtpërdrejta</w:t>
      </w:r>
    </w:p>
    <w:p w14:paraId="7AF3EAED" w14:textId="23709CD2" w:rsidR="00BB54FC" w:rsidRPr="00E57A74" w:rsidRDefault="006108CA" w:rsidP="006108CA">
      <w:pPr>
        <w:jc w:val="both"/>
        <w:rPr>
          <w:sz w:val="24"/>
          <w:szCs w:val="24"/>
          <w:lang w:val="en-US" w:eastAsia="en-US"/>
        </w:rPr>
      </w:pPr>
      <w:r w:rsidRPr="00E57A74">
        <w:rPr>
          <w:sz w:val="24"/>
          <w:szCs w:val="24"/>
          <w:lang w:val="en-US" w:eastAsia="en-US"/>
        </w:rPr>
        <w:t>Ndikimet jo të drejtpërdrejta lidhen me rritjen e gjurmueshmërisë së armatimit ushtarak, përmirësimin e kontrollit mbi veprimtaritë e licencuara, identifikimin më të hershëm të rreziqeve në zinxhirin e furnizimit dhe forcimin e sigurisë kombëtare. Qytetarët nuk përballen me detyrime të reja, por përfitojnë në mënyrë të tërthortë nga një kuadër më i kontrolluar, transparent dhe i zbatueshëm.</w:t>
      </w:r>
    </w:p>
    <w:p w14:paraId="0FBCF602" w14:textId="61FB2629" w:rsidR="006108CA" w:rsidRPr="00E57A74" w:rsidRDefault="006108CA" w:rsidP="00E57A74">
      <w:pPr>
        <w:pStyle w:val="ListParagraph"/>
        <w:numPr>
          <w:ilvl w:val="0"/>
          <w:numId w:val="13"/>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Ndikimi mbi konkurrencën</w:t>
      </w:r>
    </w:p>
    <w:p w14:paraId="3EBA10F8" w14:textId="323CEE2B" w:rsidR="00BB54FC" w:rsidRPr="00E57A74" w:rsidRDefault="006108CA" w:rsidP="00E57A74">
      <w:pPr>
        <w:jc w:val="both"/>
        <w:rPr>
          <w:sz w:val="24"/>
          <w:szCs w:val="24"/>
          <w:lang w:val="en-US" w:eastAsia="en-US"/>
        </w:rPr>
      </w:pPr>
      <w:r w:rsidRPr="00E57A74">
        <w:rPr>
          <w:sz w:val="24"/>
          <w:szCs w:val="24"/>
          <w:lang w:val="en-US" w:eastAsia="en-US"/>
        </w:rPr>
        <w:t xml:space="preserve">Opsioni i preferuar nuk vendos kufizime të reja për hyrjen në treg dhe nuk ndryshon kriteret bazë të licencimit. Qartësimi i kushteve të përfitimit, monitorimi i vazhdueshëm dhe kontrolli i përdorimit të lehtësive pritet të sigurojnë trajtim më të barabartë të operatorëve dhe të mbrojnë subjektet e </w:t>
      </w:r>
      <w:r w:rsidRPr="00E57A74">
        <w:rPr>
          <w:sz w:val="24"/>
          <w:szCs w:val="24"/>
          <w:lang w:val="en-US" w:eastAsia="en-US"/>
        </w:rPr>
        <w:lastRenderedPageBreak/>
        <w:t>rregullta nga konkurrenca e pandershme. Për të shmangur shtrembërimin e konkurrencës, kriteret duhet të jenë objektive, transparente dhe të zbatohen njësoj për subjektet që ndodhen në kushte të barabarta.</w:t>
      </w:r>
    </w:p>
    <w:p w14:paraId="42D18DAF" w14:textId="32A6A94F" w:rsidR="006108CA" w:rsidRPr="00E57A74" w:rsidRDefault="006108CA" w:rsidP="00E57A74">
      <w:pPr>
        <w:pStyle w:val="ListParagraph"/>
        <w:numPr>
          <w:ilvl w:val="0"/>
          <w:numId w:val="13"/>
        </w:numPr>
        <w:spacing w:after="0"/>
        <w:jc w:val="both"/>
        <w:rPr>
          <w:rFonts w:ascii="Times New Roman" w:hAnsi="Times New Roman"/>
          <w:b/>
          <w:bCs/>
          <w:i/>
          <w:iCs/>
          <w:sz w:val="24"/>
          <w:szCs w:val="24"/>
          <w:lang w:val="en-US"/>
        </w:rPr>
      </w:pPr>
      <w:r w:rsidRPr="00E57A74">
        <w:rPr>
          <w:rFonts w:ascii="Times New Roman" w:hAnsi="Times New Roman"/>
          <w:b/>
          <w:bCs/>
          <w:i/>
          <w:iCs/>
          <w:sz w:val="24"/>
          <w:szCs w:val="24"/>
          <w:lang w:val="en-US"/>
        </w:rPr>
        <w:t>Kufizimet e analizës dhe risqet</w:t>
      </w:r>
    </w:p>
    <w:p w14:paraId="7C35551A" w14:textId="77777777" w:rsidR="006108CA" w:rsidRPr="00E57A74" w:rsidRDefault="006108CA" w:rsidP="00E57A74">
      <w:pPr>
        <w:jc w:val="both"/>
        <w:rPr>
          <w:sz w:val="24"/>
          <w:szCs w:val="24"/>
          <w:lang w:val="en-US" w:eastAsia="en-US"/>
        </w:rPr>
      </w:pPr>
      <w:r w:rsidRPr="00E57A74">
        <w:rPr>
          <w:sz w:val="24"/>
          <w:szCs w:val="24"/>
          <w:lang w:val="en-US" w:eastAsia="en-US"/>
        </w:rPr>
        <w:t>Analiza mbështetet kryesisht në përvojën e zbatimit të ligjit, problematikat e evidentuara nga strukturat përgjegjëse dhe konsultimet teknike të zhvilluara gjatë hartimit të ndryshimeve. Këto prova janë të drejtpërdrejta dhe të rëndësishme për identifikimin e problematikave, por janë kryesisht cilësore. Mungojnë të dhëna të plota statistikore dhe financiare mbi numrin dhe madhësinë e operatorëve, kostot e sistemeve elektronike, volumin e raportimit dhe vlerën e lehtësive.</w:t>
      </w:r>
    </w:p>
    <w:p w14:paraId="3540A963" w14:textId="30D2547E" w:rsidR="006D4B4D" w:rsidRPr="00E57A74" w:rsidRDefault="006108CA" w:rsidP="006108CA">
      <w:pPr>
        <w:jc w:val="both"/>
        <w:rPr>
          <w:sz w:val="24"/>
          <w:szCs w:val="24"/>
          <w:lang w:val="en-US" w:eastAsia="en-US"/>
        </w:rPr>
      </w:pPr>
      <w:r w:rsidRPr="00E57A74">
        <w:rPr>
          <w:sz w:val="24"/>
          <w:szCs w:val="24"/>
          <w:lang w:val="en-US" w:eastAsia="en-US"/>
        </w:rPr>
        <w:t>Vlerësimi bazohet në supozimin se ndryshimet do të zbatohen me burimet ekzistuese, aktet nënligjore do të miratohen në kohë dhe subjektet do të respektojnë kërkesat për raportim dhe përditësim të të dhënave. Realizimi i përfitimeve mund të pengohet nga vonesat në miratimin e rregullave zbatuese, mungesa e standardeve teknike, ndërlidhja joefektive e sistemeve, cilësia e pamjaftueshme e të dhënave ose mosrespektimi i kërkesave nga operatorët.</w:t>
      </w:r>
    </w:p>
    <w:p w14:paraId="10003C3E" w14:textId="77777777" w:rsidR="00E57A74" w:rsidRPr="00E57A74" w:rsidRDefault="00E57A74" w:rsidP="006108CA">
      <w:pPr>
        <w:jc w:val="both"/>
        <w:rPr>
          <w:sz w:val="24"/>
          <w:szCs w:val="24"/>
          <w:lang w:val="en-US" w:eastAsia="en-US"/>
        </w:rPr>
      </w:pPr>
    </w:p>
    <w:p w14:paraId="4215C991" w14:textId="77777777" w:rsidR="006108CA" w:rsidRPr="00E57A74" w:rsidRDefault="006108CA" w:rsidP="00EE0F6E">
      <w:pPr>
        <w:pStyle w:val="ListParagraph"/>
        <w:numPr>
          <w:ilvl w:val="0"/>
          <w:numId w:val="13"/>
        </w:numPr>
        <w:jc w:val="both"/>
        <w:rPr>
          <w:rFonts w:ascii="Times New Roman" w:hAnsi="Times New Roman"/>
          <w:b/>
          <w:bCs/>
          <w:i/>
          <w:iCs/>
          <w:sz w:val="24"/>
          <w:szCs w:val="24"/>
          <w:lang w:val="en-US"/>
        </w:rPr>
      </w:pPr>
      <w:r w:rsidRPr="00E57A74">
        <w:rPr>
          <w:rFonts w:ascii="Times New Roman" w:hAnsi="Times New Roman"/>
          <w:b/>
          <w:bCs/>
          <w:i/>
          <w:iCs/>
          <w:sz w:val="24"/>
          <w:szCs w:val="24"/>
          <w:lang w:val="en-US"/>
        </w:rPr>
        <w:t>Përmbledhja e vlerësimit të opsioneve</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9"/>
        <w:gridCol w:w="1945"/>
        <w:gridCol w:w="2606"/>
        <w:gridCol w:w="2132"/>
        <w:gridCol w:w="1383"/>
      </w:tblGrid>
      <w:tr w:rsidR="00BB54FC" w:rsidRPr="00E57A74" w14:paraId="6B24E3F1" w14:textId="77777777" w:rsidTr="007749BC">
        <w:trPr>
          <w:tblHeader/>
          <w:tblCellSpacing w:w="15" w:type="dxa"/>
        </w:trPr>
        <w:tc>
          <w:tcPr>
            <w:tcW w:w="1305" w:type="dxa"/>
            <w:vAlign w:val="center"/>
            <w:hideMark/>
          </w:tcPr>
          <w:p w14:paraId="58E2A0EE" w14:textId="77777777" w:rsidR="006108CA" w:rsidRPr="00E57A74" w:rsidRDefault="006108CA" w:rsidP="00BB54FC">
            <w:pPr>
              <w:jc w:val="center"/>
              <w:rPr>
                <w:b/>
                <w:bCs/>
                <w:sz w:val="24"/>
                <w:szCs w:val="24"/>
                <w:lang w:val="en-US" w:eastAsia="en-US"/>
              </w:rPr>
            </w:pPr>
            <w:r w:rsidRPr="00E57A74">
              <w:rPr>
                <w:b/>
                <w:bCs/>
                <w:sz w:val="24"/>
                <w:szCs w:val="24"/>
                <w:lang w:val="en-US" w:eastAsia="en-US"/>
              </w:rPr>
              <w:t>Opsioni</w:t>
            </w:r>
          </w:p>
        </w:tc>
        <w:tc>
          <w:tcPr>
            <w:tcW w:w="2107" w:type="dxa"/>
            <w:vAlign w:val="center"/>
            <w:hideMark/>
          </w:tcPr>
          <w:p w14:paraId="0944C1D3" w14:textId="77777777" w:rsidR="006108CA" w:rsidRPr="00E57A74" w:rsidRDefault="006108CA" w:rsidP="00BB54FC">
            <w:pPr>
              <w:jc w:val="center"/>
              <w:rPr>
                <w:b/>
                <w:bCs/>
                <w:sz w:val="24"/>
                <w:szCs w:val="24"/>
                <w:lang w:val="en-US" w:eastAsia="en-US"/>
              </w:rPr>
            </w:pPr>
            <w:r w:rsidRPr="00E57A74">
              <w:rPr>
                <w:b/>
                <w:bCs/>
                <w:sz w:val="24"/>
                <w:szCs w:val="24"/>
                <w:lang w:val="en-US" w:eastAsia="en-US"/>
              </w:rPr>
              <w:t>Ndikimi mbi buxhetin</w:t>
            </w:r>
          </w:p>
        </w:tc>
        <w:tc>
          <w:tcPr>
            <w:tcW w:w="2873" w:type="dxa"/>
            <w:vAlign w:val="center"/>
            <w:hideMark/>
          </w:tcPr>
          <w:p w14:paraId="2DCC7CB1" w14:textId="77777777" w:rsidR="006108CA" w:rsidRPr="00E57A74" w:rsidRDefault="006108CA" w:rsidP="00BB54FC">
            <w:pPr>
              <w:jc w:val="center"/>
              <w:rPr>
                <w:b/>
                <w:bCs/>
                <w:sz w:val="24"/>
                <w:szCs w:val="24"/>
                <w:lang w:val="en-US" w:eastAsia="en-US"/>
              </w:rPr>
            </w:pPr>
            <w:r w:rsidRPr="00E57A74">
              <w:rPr>
                <w:b/>
                <w:bCs/>
                <w:sz w:val="24"/>
                <w:szCs w:val="24"/>
                <w:lang w:val="en-US" w:eastAsia="en-US"/>
              </w:rPr>
              <w:t>Ndikimi mbi bizneset</w:t>
            </w:r>
          </w:p>
        </w:tc>
        <w:tc>
          <w:tcPr>
            <w:tcW w:w="2194" w:type="dxa"/>
            <w:vAlign w:val="center"/>
            <w:hideMark/>
          </w:tcPr>
          <w:p w14:paraId="18D85F41" w14:textId="77777777" w:rsidR="006108CA" w:rsidRPr="00E57A74" w:rsidRDefault="006108CA" w:rsidP="00BB54FC">
            <w:pPr>
              <w:jc w:val="center"/>
              <w:rPr>
                <w:b/>
                <w:bCs/>
                <w:sz w:val="24"/>
                <w:szCs w:val="24"/>
                <w:lang w:val="en-US" w:eastAsia="en-US"/>
              </w:rPr>
            </w:pPr>
            <w:r w:rsidRPr="00E57A74">
              <w:rPr>
                <w:b/>
                <w:bCs/>
                <w:sz w:val="24"/>
                <w:szCs w:val="24"/>
                <w:lang w:val="en-US" w:eastAsia="en-US"/>
              </w:rPr>
              <w:t>Përfitimet kryesore</w:t>
            </w:r>
          </w:p>
        </w:tc>
        <w:tc>
          <w:tcPr>
            <w:tcW w:w="1416" w:type="dxa"/>
            <w:vAlign w:val="center"/>
            <w:hideMark/>
          </w:tcPr>
          <w:p w14:paraId="3FCB08FF" w14:textId="77777777" w:rsidR="006108CA" w:rsidRPr="00E57A74" w:rsidRDefault="006108CA" w:rsidP="00BB54FC">
            <w:pPr>
              <w:jc w:val="center"/>
              <w:rPr>
                <w:b/>
                <w:bCs/>
                <w:sz w:val="24"/>
                <w:szCs w:val="24"/>
                <w:lang w:val="en-US" w:eastAsia="en-US"/>
              </w:rPr>
            </w:pPr>
            <w:r w:rsidRPr="00E57A74">
              <w:rPr>
                <w:b/>
                <w:bCs/>
                <w:sz w:val="24"/>
                <w:szCs w:val="24"/>
                <w:lang w:val="en-US" w:eastAsia="en-US"/>
              </w:rPr>
              <w:t>Vlerësimi</w:t>
            </w:r>
          </w:p>
        </w:tc>
      </w:tr>
      <w:tr w:rsidR="00BB54FC" w:rsidRPr="00E57A74" w14:paraId="15DA7501" w14:textId="77777777" w:rsidTr="007749BC">
        <w:trPr>
          <w:trHeight w:val="1182"/>
          <w:tblCellSpacing w:w="15" w:type="dxa"/>
        </w:trPr>
        <w:tc>
          <w:tcPr>
            <w:tcW w:w="1305" w:type="dxa"/>
            <w:vAlign w:val="center"/>
            <w:hideMark/>
          </w:tcPr>
          <w:p w14:paraId="0149956E" w14:textId="77777777" w:rsidR="006108CA" w:rsidRPr="00E57A74" w:rsidRDefault="006108CA" w:rsidP="006D4B4D">
            <w:pPr>
              <w:jc w:val="center"/>
              <w:rPr>
                <w:sz w:val="24"/>
                <w:szCs w:val="24"/>
                <w:lang w:val="en-US" w:eastAsia="en-US"/>
              </w:rPr>
            </w:pPr>
            <w:r w:rsidRPr="00E57A74">
              <w:rPr>
                <w:sz w:val="24"/>
                <w:szCs w:val="24"/>
                <w:lang w:val="en-US" w:eastAsia="en-US"/>
              </w:rPr>
              <w:t>Opsioni 0 – Status quo</w:t>
            </w:r>
          </w:p>
        </w:tc>
        <w:tc>
          <w:tcPr>
            <w:tcW w:w="2107" w:type="dxa"/>
            <w:vAlign w:val="center"/>
            <w:hideMark/>
          </w:tcPr>
          <w:p w14:paraId="7EF6609E" w14:textId="77777777" w:rsidR="006108CA" w:rsidRPr="00E57A74" w:rsidRDefault="006108CA" w:rsidP="006D4B4D">
            <w:pPr>
              <w:jc w:val="center"/>
              <w:rPr>
                <w:sz w:val="24"/>
                <w:szCs w:val="24"/>
                <w:lang w:val="en-US" w:eastAsia="en-US"/>
              </w:rPr>
            </w:pPr>
            <w:r w:rsidRPr="00E57A74">
              <w:rPr>
                <w:sz w:val="24"/>
                <w:szCs w:val="24"/>
                <w:lang w:val="en-US" w:eastAsia="en-US"/>
              </w:rPr>
              <w:t>0 lekë kosto e re</w:t>
            </w:r>
          </w:p>
        </w:tc>
        <w:tc>
          <w:tcPr>
            <w:tcW w:w="2873" w:type="dxa"/>
            <w:vAlign w:val="center"/>
            <w:hideMark/>
          </w:tcPr>
          <w:p w14:paraId="4CE58E6D" w14:textId="77777777" w:rsidR="006108CA" w:rsidRPr="00E57A74" w:rsidRDefault="006108CA" w:rsidP="006D4B4D">
            <w:pPr>
              <w:jc w:val="center"/>
              <w:rPr>
                <w:sz w:val="24"/>
                <w:szCs w:val="24"/>
                <w:lang w:val="en-US" w:eastAsia="en-US"/>
              </w:rPr>
            </w:pPr>
            <w:r w:rsidRPr="00E57A74">
              <w:rPr>
                <w:sz w:val="24"/>
                <w:szCs w:val="24"/>
                <w:lang w:val="en-US" w:eastAsia="en-US"/>
              </w:rPr>
              <w:t>Nuk krijon kërkesa të reja, por vijojnë paqartësitë dhe kostot e tërthorta</w:t>
            </w:r>
          </w:p>
        </w:tc>
        <w:tc>
          <w:tcPr>
            <w:tcW w:w="2194" w:type="dxa"/>
            <w:vAlign w:val="center"/>
            <w:hideMark/>
          </w:tcPr>
          <w:p w14:paraId="1D95C8BC" w14:textId="77777777" w:rsidR="006108CA" w:rsidRPr="00E57A74" w:rsidRDefault="006108CA" w:rsidP="006D4B4D">
            <w:pPr>
              <w:jc w:val="center"/>
              <w:rPr>
                <w:sz w:val="24"/>
                <w:szCs w:val="24"/>
                <w:lang w:val="en-US" w:eastAsia="en-US"/>
              </w:rPr>
            </w:pPr>
            <w:r w:rsidRPr="00E57A74">
              <w:rPr>
                <w:sz w:val="24"/>
                <w:szCs w:val="24"/>
                <w:lang w:val="en-US" w:eastAsia="en-US"/>
              </w:rPr>
              <w:t>Nuk sjell përmirësime të rëndësishme</w:t>
            </w:r>
          </w:p>
        </w:tc>
        <w:tc>
          <w:tcPr>
            <w:tcW w:w="1416" w:type="dxa"/>
            <w:vAlign w:val="center"/>
            <w:hideMark/>
          </w:tcPr>
          <w:p w14:paraId="1642A5AC" w14:textId="77777777" w:rsidR="006108CA" w:rsidRPr="00E57A74" w:rsidRDefault="006108CA" w:rsidP="006D4B4D">
            <w:pPr>
              <w:jc w:val="center"/>
              <w:rPr>
                <w:sz w:val="24"/>
                <w:szCs w:val="24"/>
                <w:lang w:val="en-US" w:eastAsia="en-US"/>
              </w:rPr>
            </w:pPr>
            <w:r w:rsidRPr="00E57A74">
              <w:rPr>
                <w:sz w:val="24"/>
                <w:szCs w:val="24"/>
                <w:lang w:val="en-US" w:eastAsia="en-US"/>
              </w:rPr>
              <w:t>Nuk e trajton problemin</w:t>
            </w:r>
          </w:p>
        </w:tc>
      </w:tr>
      <w:tr w:rsidR="00BB54FC" w:rsidRPr="00E57A74" w14:paraId="4F063F2B" w14:textId="77777777" w:rsidTr="007749BC">
        <w:trPr>
          <w:trHeight w:val="1362"/>
          <w:tblCellSpacing w:w="15" w:type="dxa"/>
        </w:trPr>
        <w:tc>
          <w:tcPr>
            <w:tcW w:w="1305" w:type="dxa"/>
            <w:vAlign w:val="center"/>
            <w:hideMark/>
          </w:tcPr>
          <w:p w14:paraId="78C75FB5" w14:textId="77777777" w:rsidR="006108CA" w:rsidRPr="00E57A74" w:rsidRDefault="006108CA" w:rsidP="006D4B4D">
            <w:pPr>
              <w:jc w:val="center"/>
              <w:rPr>
                <w:sz w:val="24"/>
                <w:szCs w:val="24"/>
                <w:lang w:val="en-US" w:eastAsia="en-US"/>
              </w:rPr>
            </w:pPr>
            <w:r w:rsidRPr="00E57A74">
              <w:rPr>
                <w:sz w:val="24"/>
                <w:szCs w:val="24"/>
                <w:lang w:val="en-US" w:eastAsia="en-US"/>
              </w:rPr>
              <w:t>Opsioni 1 – Masa administrative</w:t>
            </w:r>
          </w:p>
        </w:tc>
        <w:tc>
          <w:tcPr>
            <w:tcW w:w="2107" w:type="dxa"/>
            <w:vAlign w:val="center"/>
            <w:hideMark/>
          </w:tcPr>
          <w:p w14:paraId="13AF9360" w14:textId="77777777" w:rsidR="006108CA" w:rsidRPr="00E57A74" w:rsidRDefault="006108CA" w:rsidP="006D4B4D">
            <w:pPr>
              <w:jc w:val="center"/>
              <w:rPr>
                <w:sz w:val="24"/>
                <w:szCs w:val="24"/>
                <w:lang w:val="en-US" w:eastAsia="en-US"/>
              </w:rPr>
            </w:pPr>
            <w:r w:rsidRPr="00E57A74">
              <w:rPr>
                <w:sz w:val="24"/>
                <w:szCs w:val="24"/>
                <w:lang w:val="en-US" w:eastAsia="en-US"/>
              </w:rPr>
              <w:t>0 lekë kosto shtesë e identifikuar</w:t>
            </w:r>
          </w:p>
        </w:tc>
        <w:tc>
          <w:tcPr>
            <w:tcW w:w="2873" w:type="dxa"/>
            <w:vAlign w:val="center"/>
            <w:hideMark/>
          </w:tcPr>
          <w:p w14:paraId="51B57DA6" w14:textId="77777777" w:rsidR="006108CA" w:rsidRPr="00E57A74" w:rsidRDefault="006108CA" w:rsidP="006D4B4D">
            <w:pPr>
              <w:jc w:val="center"/>
              <w:rPr>
                <w:sz w:val="24"/>
                <w:szCs w:val="24"/>
                <w:lang w:val="en-US" w:eastAsia="en-US"/>
              </w:rPr>
            </w:pPr>
            <w:r w:rsidRPr="00E57A74">
              <w:rPr>
                <w:sz w:val="24"/>
                <w:szCs w:val="24"/>
                <w:lang w:val="en-US" w:eastAsia="en-US"/>
              </w:rPr>
              <w:t>Ngarkesë e kufizuar administrative</w:t>
            </w:r>
          </w:p>
        </w:tc>
        <w:tc>
          <w:tcPr>
            <w:tcW w:w="2194" w:type="dxa"/>
            <w:vAlign w:val="center"/>
            <w:hideMark/>
          </w:tcPr>
          <w:p w14:paraId="3AA236DA" w14:textId="77777777" w:rsidR="006108CA" w:rsidRPr="00E57A74" w:rsidRDefault="006108CA" w:rsidP="006D4B4D">
            <w:pPr>
              <w:jc w:val="center"/>
              <w:rPr>
                <w:sz w:val="24"/>
                <w:szCs w:val="24"/>
                <w:lang w:val="en-US" w:eastAsia="en-US"/>
              </w:rPr>
            </w:pPr>
            <w:r w:rsidRPr="00E57A74">
              <w:rPr>
                <w:sz w:val="24"/>
                <w:szCs w:val="24"/>
                <w:lang w:val="en-US" w:eastAsia="en-US"/>
              </w:rPr>
              <w:t>Përmirëson pjesërisht procedurat dhe koordinimin</w:t>
            </w:r>
          </w:p>
        </w:tc>
        <w:tc>
          <w:tcPr>
            <w:tcW w:w="1416" w:type="dxa"/>
            <w:vAlign w:val="center"/>
            <w:hideMark/>
          </w:tcPr>
          <w:p w14:paraId="7C1F1219" w14:textId="77777777" w:rsidR="006108CA" w:rsidRPr="00E57A74" w:rsidRDefault="006108CA" w:rsidP="006D4B4D">
            <w:pPr>
              <w:jc w:val="center"/>
              <w:rPr>
                <w:sz w:val="24"/>
                <w:szCs w:val="24"/>
                <w:lang w:val="en-US" w:eastAsia="en-US"/>
              </w:rPr>
            </w:pPr>
            <w:r w:rsidRPr="00E57A74">
              <w:rPr>
                <w:sz w:val="24"/>
                <w:szCs w:val="24"/>
                <w:lang w:val="en-US" w:eastAsia="en-US"/>
              </w:rPr>
              <w:t>E trajton problemin vetëm pjesërisht</w:t>
            </w:r>
          </w:p>
        </w:tc>
      </w:tr>
      <w:tr w:rsidR="00BB54FC" w:rsidRPr="00E57A74" w14:paraId="443D956A" w14:textId="77777777" w:rsidTr="007749BC">
        <w:trPr>
          <w:trHeight w:val="1803"/>
          <w:tblCellSpacing w:w="15" w:type="dxa"/>
        </w:trPr>
        <w:tc>
          <w:tcPr>
            <w:tcW w:w="1305" w:type="dxa"/>
            <w:vAlign w:val="center"/>
            <w:hideMark/>
          </w:tcPr>
          <w:p w14:paraId="3DB238A7" w14:textId="77777777" w:rsidR="006108CA" w:rsidRPr="00E57A74" w:rsidRDefault="006108CA" w:rsidP="006D4B4D">
            <w:pPr>
              <w:jc w:val="center"/>
              <w:rPr>
                <w:sz w:val="24"/>
                <w:szCs w:val="24"/>
                <w:lang w:val="en-US" w:eastAsia="en-US"/>
              </w:rPr>
            </w:pPr>
            <w:r w:rsidRPr="00E57A74">
              <w:rPr>
                <w:sz w:val="24"/>
                <w:szCs w:val="24"/>
                <w:lang w:val="en-US" w:eastAsia="en-US"/>
              </w:rPr>
              <w:t>Opsioni 2 – Ndryshimi i ligjit dhe masat zbatuese</w:t>
            </w:r>
          </w:p>
        </w:tc>
        <w:tc>
          <w:tcPr>
            <w:tcW w:w="2107" w:type="dxa"/>
            <w:vAlign w:val="center"/>
            <w:hideMark/>
          </w:tcPr>
          <w:p w14:paraId="793424F3" w14:textId="77777777" w:rsidR="006108CA" w:rsidRPr="00E57A74" w:rsidRDefault="006108CA" w:rsidP="006D4B4D">
            <w:pPr>
              <w:jc w:val="center"/>
              <w:rPr>
                <w:sz w:val="24"/>
                <w:szCs w:val="24"/>
                <w:lang w:val="en-US" w:eastAsia="en-US"/>
              </w:rPr>
            </w:pPr>
            <w:r w:rsidRPr="00E57A74">
              <w:rPr>
                <w:sz w:val="24"/>
                <w:szCs w:val="24"/>
                <w:lang w:val="en-US" w:eastAsia="en-US"/>
              </w:rPr>
              <w:t>0 lekë për periudhën trevjeçare</w:t>
            </w:r>
          </w:p>
        </w:tc>
        <w:tc>
          <w:tcPr>
            <w:tcW w:w="2873" w:type="dxa"/>
            <w:vAlign w:val="center"/>
            <w:hideMark/>
          </w:tcPr>
          <w:p w14:paraId="607A66A7" w14:textId="77777777" w:rsidR="006108CA" w:rsidRPr="00E57A74" w:rsidRDefault="006108CA" w:rsidP="006D4B4D">
            <w:pPr>
              <w:jc w:val="center"/>
              <w:rPr>
                <w:sz w:val="24"/>
                <w:szCs w:val="24"/>
                <w:lang w:val="en-US" w:eastAsia="en-US"/>
              </w:rPr>
            </w:pPr>
            <w:r w:rsidRPr="00E57A74">
              <w:rPr>
                <w:sz w:val="24"/>
                <w:szCs w:val="24"/>
                <w:lang w:val="en-US" w:eastAsia="en-US"/>
              </w:rPr>
              <w:t>Kosto administrative të kufizuara, të pamundura për t’u monetarizuar me të dhënat aktuale</w:t>
            </w:r>
          </w:p>
        </w:tc>
        <w:tc>
          <w:tcPr>
            <w:tcW w:w="2194" w:type="dxa"/>
            <w:vAlign w:val="center"/>
            <w:hideMark/>
          </w:tcPr>
          <w:p w14:paraId="52C0EF8E" w14:textId="77777777" w:rsidR="006108CA" w:rsidRPr="00E57A74" w:rsidRDefault="006108CA" w:rsidP="006D4B4D">
            <w:pPr>
              <w:jc w:val="center"/>
              <w:rPr>
                <w:sz w:val="24"/>
                <w:szCs w:val="24"/>
                <w:lang w:val="en-US" w:eastAsia="en-US"/>
              </w:rPr>
            </w:pPr>
            <w:r w:rsidRPr="00E57A74">
              <w:rPr>
                <w:sz w:val="24"/>
                <w:szCs w:val="24"/>
                <w:lang w:val="en-US" w:eastAsia="en-US"/>
              </w:rPr>
              <w:t>Siguri juridike, gjurmueshmëri, kontroll dhe parashikueshmëri më e lartë</w:t>
            </w:r>
          </w:p>
        </w:tc>
        <w:tc>
          <w:tcPr>
            <w:tcW w:w="1416" w:type="dxa"/>
            <w:vAlign w:val="center"/>
            <w:hideMark/>
          </w:tcPr>
          <w:p w14:paraId="4EB30116" w14:textId="77777777" w:rsidR="006108CA" w:rsidRPr="00E57A74" w:rsidRDefault="006108CA" w:rsidP="006D4B4D">
            <w:pPr>
              <w:jc w:val="center"/>
              <w:rPr>
                <w:sz w:val="24"/>
                <w:szCs w:val="24"/>
                <w:lang w:val="en-US" w:eastAsia="en-US"/>
              </w:rPr>
            </w:pPr>
            <w:r w:rsidRPr="00E57A74">
              <w:rPr>
                <w:sz w:val="24"/>
                <w:szCs w:val="24"/>
                <w:lang w:val="en-US" w:eastAsia="en-US"/>
              </w:rPr>
              <w:t>Opsioni i preferuar</w:t>
            </w:r>
          </w:p>
        </w:tc>
      </w:tr>
    </w:tbl>
    <w:p w14:paraId="6383DFEA" w14:textId="77777777" w:rsidR="007749BC" w:rsidRPr="00E57A74" w:rsidRDefault="007749BC" w:rsidP="006108CA">
      <w:pPr>
        <w:jc w:val="both"/>
        <w:rPr>
          <w:sz w:val="24"/>
          <w:szCs w:val="24"/>
          <w:lang w:val="en-US" w:eastAsia="en-US"/>
        </w:rPr>
      </w:pPr>
    </w:p>
    <w:p w14:paraId="71A14E4E" w14:textId="39BFCB10" w:rsidR="007749BC" w:rsidRPr="00E57A74" w:rsidRDefault="006108CA" w:rsidP="008171D8">
      <w:pPr>
        <w:jc w:val="both"/>
        <w:rPr>
          <w:sz w:val="24"/>
          <w:szCs w:val="24"/>
          <w:lang w:val="en-US" w:eastAsia="en-US"/>
        </w:rPr>
      </w:pPr>
      <w:r w:rsidRPr="00E57A74">
        <w:rPr>
          <w:sz w:val="24"/>
          <w:szCs w:val="24"/>
          <w:lang w:val="en-US" w:eastAsia="en-US"/>
        </w:rPr>
        <w:t xml:space="preserve">Për të tria opsionet, ndikimi i drejtpërdrejtë i përllogaritur mbi buxhetin e shtetit është 0 lekë. Ndikimi i përgjithshëm neto për bizneset nuk mund të përcaktohet në vlerë monetare për shkak të mungesës së të dhënave sasiore. Megjithatë, vlerësimi cilësor tregon se përfitimet rregullatore, ekonomike dhe të sigurisë nga opsioni i preferuar tejkalojnë ngarkesat administrative të kufizuara që mund të </w:t>
      </w:r>
      <w:r w:rsidR="007749BC" w:rsidRPr="00E57A74">
        <w:rPr>
          <w:sz w:val="24"/>
          <w:szCs w:val="24"/>
          <w:lang w:val="en-US"/>
        </w:rPr>
        <w:t>ose ndryshojnë të drejta, detyrime dhe mekanizma kontrolli që kërkojnë bazë ligjore. Për këtë arsye, ndryshimi i ligjit vlerësohet si ndërhyrja më efektive, proporcionale dhe e qëndrueshme.</w:t>
      </w:r>
    </w:p>
    <w:p w14:paraId="20D9F889" w14:textId="67856268" w:rsidR="006108CA" w:rsidRPr="00E57A74" w:rsidRDefault="007749BC" w:rsidP="006108CA">
      <w:pPr>
        <w:jc w:val="both"/>
        <w:rPr>
          <w:sz w:val="24"/>
          <w:szCs w:val="24"/>
          <w:lang w:val="en-US"/>
        </w:rPr>
      </w:pPr>
      <w:r w:rsidRPr="00E57A74">
        <w:rPr>
          <w:sz w:val="24"/>
          <w:szCs w:val="24"/>
          <w:lang w:val="en-US"/>
        </w:rPr>
        <w:t>Opsioni i preferuar sjell përfitime në drejtim të sigurisë juridike, transparencës, gjurmueshmërisë, parashikueshmërisë së procedurave dhe forcimit të kontrollit. Ai nuk krijon kosto financiare shtesë për buxhetin e shtetit, ndërsa ngarkesat administrative për bizneset vlerësohen si të kufizuara dhe proporcionale me përfitimet e pritshme.</w:t>
      </w:r>
    </w:p>
    <w:p w14:paraId="27E67E5E" w14:textId="508A93D2" w:rsidR="006108CA" w:rsidRPr="00E57A74" w:rsidRDefault="006108CA" w:rsidP="006108CA">
      <w:pPr>
        <w:jc w:val="both"/>
        <w:rPr>
          <w:sz w:val="24"/>
          <w:szCs w:val="24"/>
        </w:rPr>
      </w:pPr>
    </w:p>
    <w:p w14:paraId="6C28CF38" w14:textId="74A2808B" w:rsidR="00FA1FA4" w:rsidRPr="00E57A74" w:rsidRDefault="007749BC" w:rsidP="007749BC">
      <w:pPr>
        <w:jc w:val="both"/>
        <w:rPr>
          <w:b/>
          <w:bCs/>
          <w:sz w:val="24"/>
          <w:szCs w:val="24"/>
          <w:lang w:val="en-US"/>
        </w:rPr>
      </w:pPr>
      <w:r w:rsidRPr="00E57A74">
        <w:rPr>
          <w:b/>
          <w:bCs/>
          <w:sz w:val="24"/>
          <w:szCs w:val="24"/>
          <w:lang w:val="en-US"/>
        </w:rPr>
        <w:t>Çështje të zbatimit</w:t>
      </w:r>
    </w:p>
    <w:p w14:paraId="018A6DE7" w14:textId="77777777" w:rsidR="007749BC" w:rsidRPr="00E57A74" w:rsidRDefault="007749BC" w:rsidP="00EE0F6E">
      <w:pPr>
        <w:pStyle w:val="ListParagraph"/>
        <w:numPr>
          <w:ilvl w:val="0"/>
          <w:numId w:val="13"/>
        </w:numPr>
        <w:spacing w:after="0"/>
        <w:jc w:val="both"/>
        <w:rPr>
          <w:rFonts w:ascii="Times New Roman" w:hAnsi="Times New Roman"/>
          <w:i/>
          <w:iCs/>
          <w:sz w:val="24"/>
          <w:szCs w:val="24"/>
          <w:lang w:val="en-US"/>
        </w:rPr>
      </w:pPr>
      <w:r w:rsidRPr="00E57A74">
        <w:rPr>
          <w:rFonts w:ascii="Times New Roman" w:hAnsi="Times New Roman"/>
          <w:b/>
          <w:bCs/>
          <w:i/>
          <w:iCs/>
          <w:sz w:val="24"/>
          <w:szCs w:val="24"/>
          <w:lang w:val="en-US"/>
        </w:rPr>
        <w:t>Përgjegjësia për zbatimin</w:t>
      </w:r>
    </w:p>
    <w:p w14:paraId="2EADB2BE" w14:textId="0DDE088C" w:rsidR="007749BC" w:rsidRPr="00E57A74" w:rsidRDefault="007749BC" w:rsidP="00E57A74">
      <w:pPr>
        <w:ind w:left="90"/>
        <w:jc w:val="both"/>
        <w:rPr>
          <w:i/>
          <w:iCs/>
          <w:sz w:val="24"/>
          <w:szCs w:val="24"/>
          <w:lang w:val="en-US"/>
        </w:rPr>
      </w:pPr>
      <w:r w:rsidRPr="00E57A74">
        <w:rPr>
          <w:sz w:val="24"/>
          <w:szCs w:val="24"/>
          <w:lang w:val="en-US"/>
        </w:rPr>
        <w:t xml:space="preserve">Agjencia e Industrisë së Mbrojtjes do të jetë institucioni përgjegjës për drejtimin dhe koordinimin e zbatimit të ndryshimeve ligjore. Ajo do të administrojë regjistrat përkatës, do të monitorojë subjektet e licencuara dhe do të bashkëpunojë me strukturat e tjera kompetente për shkëmbimin e </w:t>
      </w:r>
      <w:r w:rsidRPr="00E57A74">
        <w:rPr>
          <w:sz w:val="24"/>
          <w:szCs w:val="24"/>
          <w:lang w:val="en-US"/>
        </w:rPr>
        <w:lastRenderedPageBreak/>
        <w:t>informacionit dhe kryerjen e kontrolleve. Zbatimi do të realizohet me strukturat, personelin dhe burimet ekzistuese.</w:t>
      </w:r>
    </w:p>
    <w:p w14:paraId="442394FA" w14:textId="149EE46C" w:rsidR="007749BC" w:rsidRPr="00E57A74" w:rsidRDefault="007749BC" w:rsidP="00EE0F6E">
      <w:pPr>
        <w:pStyle w:val="ListParagraph"/>
        <w:numPr>
          <w:ilvl w:val="0"/>
          <w:numId w:val="13"/>
        </w:numPr>
        <w:spacing w:after="0"/>
        <w:jc w:val="both"/>
        <w:rPr>
          <w:rFonts w:ascii="Times New Roman" w:hAnsi="Times New Roman"/>
          <w:i/>
          <w:iCs/>
          <w:sz w:val="24"/>
          <w:szCs w:val="24"/>
          <w:lang w:val="en-US"/>
        </w:rPr>
      </w:pPr>
      <w:r w:rsidRPr="00E57A74">
        <w:rPr>
          <w:rFonts w:ascii="Times New Roman" w:hAnsi="Times New Roman"/>
          <w:b/>
          <w:bCs/>
          <w:i/>
          <w:iCs/>
          <w:sz w:val="24"/>
          <w:szCs w:val="24"/>
          <w:lang w:val="en-US"/>
        </w:rPr>
        <w:t>Pengesat e mundshme</w:t>
      </w:r>
    </w:p>
    <w:p w14:paraId="0F65D5C2" w14:textId="19FA8D45" w:rsidR="007749BC" w:rsidRPr="00E57A74" w:rsidRDefault="007749BC" w:rsidP="007749BC">
      <w:pPr>
        <w:jc w:val="both"/>
        <w:rPr>
          <w:sz w:val="24"/>
          <w:szCs w:val="24"/>
          <w:lang w:val="en-US"/>
        </w:rPr>
      </w:pPr>
      <w:r w:rsidRPr="00E57A74">
        <w:rPr>
          <w:sz w:val="24"/>
          <w:szCs w:val="24"/>
          <w:lang w:val="en-US"/>
        </w:rPr>
        <w:t>Pengesat kryesore mund të lidhen me vonesat në miratimin e akteve nënligjore, mungesën e standardeve të unifikuara teknike, vështirësitë në ndërlidhjen e sistemeve elektronike, cilësinë ose përditësimin e pamjaftueshëm të të dhënave dhe nivelin e ndryshëm të kapaciteteve të subjekteve të licencuara. Gjithashtu, mosrespektimi i afateve të raportimit dhe bashkëpunimi joefektiv ndërmjet strukturave përgjegjëse mund të kufizojnë rezultatet e pritshme.</w:t>
      </w:r>
    </w:p>
    <w:p w14:paraId="21BA6903" w14:textId="3644FB34" w:rsidR="007749BC" w:rsidRPr="00E57A74" w:rsidRDefault="007749BC" w:rsidP="00EE0F6E">
      <w:pPr>
        <w:pStyle w:val="ListParagraph"/>
        <w:numPr>
          <w:ilvl w:val="0"/>
          <w:numId w:val="13"/>
        </w:numPr>
        <w:spacing w:after="0"/>
        <w:jc w:val="both"/>
        <w:rPr>
          <w:rFonts w:ascii="Times New Roman" w:hAnsi="Times New Roman"/>
          <w:i/>
          <w:iCs/>
          <w:sz w:val="24"/>
          <w:szCs w:val="24"/>
          <w:lang w:val="en-US"/>
        </w:rPr>
      </w:pPr>
      <w:r w:rsidRPr="00E57A74">
        <w:rPr>
          <w:rFonts w:ascii="Times New Roman" w:hAnsi="Times New Roman"/>
          <w:b/>
          <w:bCs/>
          <w:i/>
          <w:iCs/>
          <w:sz w:val="24"/>
          <w:szCs w:val="24"/>
          <w:lang w:val="en-US"/>
        </w:rPr>
        <w:t>Masat për zbatimin</w:t>
      </w:r>
    </w:p>
    <w:p w14:paraId="041D9586" w14:textId="3C0A6290" w:rsidR="00FA1FA4" w:rsidRPr="00E57A74" w:rsidRDefault="007749BC" w:rsidP="007749BC">
      <w:pPr>
        <w:jc w:val="both"/>
        <w:rPr>
          <w:sz w:val="24"/>
          <w:szCs w:val="24"/>
          <w:lang w:val="en-US"/>
        </w:rPr>
      </w:pPr>
      <w:r w:rsidRPr="00E57A74">
        <w:rPr>
          <w:sz w:val="24"/>
          <w:szCs w:val="24"/>
          <w:lang w:val="en-US"/>
        </w:rPr>
        <w:t>Për arritjen e objektivave do të miratohen aktet nënligjore dhe udhëzimet e nevojshme, do të hartohen formate standarde raportimi dhe do të përcaktohen kërkesat teknike për regjistrimin dhe shkëmbimin e të dhënave. Për subjektet e licencuara do të organizohen sesione informuese dhe do të vihen në dispozicion materiale praktike. Zbatimi do të shoqërohet me monitorim periodik, verifikim të të dhënave dhe vlerësim vjetor të rezultateve dhe problematikave të evidentuara.</w:t>
      </w:r>
    </w:p>
    <w:p w14:paraId="576E48D1" w14:textId="77777777" w:rsidR="007749BC" w:rsidRPr="00E57A74" w:rsidRDefault="007749BC" w:rsidP="00EE0F6E">
      <w:pPr>
        <w:pStyle w:val="ListParagraph"/>
        <w:numPr>
          <w:ilvl w:val="0"/>
          <w:numId w:val="13"/>
        </w:numPr>
        <w:spacing w:after="0"/>
        <w:jc w:val="both"/>
        <w:rPr>
          <w:rFonts w:ascii="Times New Roman" w:hAnsi="Times New Roman"/>
          <w:i/>
          <w:iCs/>
          <w:sz w:val="24"/>
          <w:szCs w:val="24"/>
          <w:lang w:val="en-US"/>
        </w:rPr>
      </w:pPr>
      <w:r w:rsidRPr="00E57A74">
        <w:rPr>
          <w:rFonts w:ascii="Times New Roman" w:hAnsi="Times New Roman"/>
          <w:b/>
          <w:bCs/>
          <w:i/>
          <w:iCs/>
          <w:sz w:val="24"/>
          <w:szCs w:val="24"/>
          <w:lang w:val="en-US"/>
        </w:rPr>
        <w:t>Kërkesat e përputhshmërisë dhe zbatimit</w:t>
      </w:r>
    </w:p>
    <w:p w14:paraId="3CEC5F87" w14:textId="77777777" w:rsidR="007749BC" w:rsidRPr="00E57A74" w:rsidRDefault="007749BC" w:rsidP="00FA1FA4">
      <w:pPr>
        <w:jc w:val="both"/>
        <w:rPr>
          <w:sz w:val="24"/>
          <w:szCs w:val="24"/>
          <w:lang w:val="en-US"/>
        </w:rPr>
      </w:pPr>
      <w:r w:rsidRPr="00E57A74">
        <w:rPr>
          <w:sz w:val="24"/>
          <w:szCs w:val="24"/>
          <w:lang w:val="en-US"/>
        </w:rPr>
        <w:t>Subjektet e licencuara do të duhet:</w:t>
      </w:r>
    </w:p>
    <w:p w14:paraId="5319A392" w14:textId="77777777" w:rsidR="007749BC" w:rsidRPr="00E57A74" w:rsidRDefault="007749BC" w:rsidP="00EE0F6E">
      <w:pPr>
        <w:numPr>
          <w:ilvl w:val="0"/>
          <w:numId w:val="15"/>
        </w:numPr>
        <w:jc w:val="both"/>
        <w:rPr>
          <w:sz w:val="24"/>
          <w:szCs w:val="24"/>
          <w:lang w:val="en-US"/>
        </w:rPr>
      </w:pPr>
      <w:r w:rsidRPr="00E57A74">
        <w:rPr>
          <w:sz w:val="24"/>
          <w:szCs w:val="24"/>
          <w:lang w:val="en-US"/>
        </w:rPr>
        <w:t>të regjistrojnë dhe të përditësojnë të dhënat e kërkuara;</w:t>
      </w:r>
    </w:p>
    <w:p w14:paraId="19A4F69A" w14:textId="5CB9FF2B" w:rsidR="007749BC" w:rsidRPr="00E57A74" w:rsidRDefault="007749BC" w:rsidP="00EE0F6E">
      <w:pPr>
        <w:numPr>
          <w:ilvl w:val="0"/>
          <w:numId w:val="15"/>
        </w:numPr>
        <w:jc w:val="both"/>
        <w:rPr>
          <w:sz w:val="24"/>
          <w:szCs w:val="24"/>
          <w:lang w:val="en-US"/>
        </w:rPr>
      </w:pPr>
      <w:r w:rsidRPr="00E57A74">
        <w:rPr>
          <w:sz w:val="24"/>
          <w:szCs w:val="24"/>
          <w:lang w:val="en-US"/>
        </w:rPr>
        <w:t>të sigurojnë gjurmueshmërinë;</w:t>
      </w:r>
    </w:p>
    <w:p w14:paraId="68952E43" w14:textId="77777777" w:rsidR="007749BC" w:rsidRPr="00E57A74" w:rsidRDefault="007749BC" w:rsidP="00EE0F6E">
      <w:pPr>
        <w:numPr>
          <w:ilvl w:val="0"/>
          <w:numId w:val="15"/>
        </w:numPr>
        <w:jc w:val="both"/>
        <w:rPr>
          <w:sz w:val="24"/>
          <w:szCs w:val="24"/>
          <w:lang w:val="en-US"/>
        </w:rPr>
      </w:pPr>
      <w:r w:rsidRPr="00E57A74">
        <w:rPr>
          <w:sz w:val="24"/>
          <w:szCs w:val="24"/>
          <w:lang w:val="en-US"/>
        </w:rPr>
        <w:t>të dokumentojnë origjinën e lëndëve të para dhe zinxhirin e furnizimit;</w:t>
      </w:r>
    </w:p>
    <w:p w14:paraId="3E1CA2A5" w14:textId="77777777" w:rsidR="007749BC" w:rsidRPr="00E57A74" w:rsidRDefault="007749BC" w:rsidP="00EE0F6E">
      <w:pPr>
        <w:numPr>
          <w:ilvl w:val="0"/>
          <w:numId w:val="15"/>
        </w:numPr>
        <w:jc w:val="both"/>
        <w:rPr>
          <w:sz w:val="24"/>
          <w:szCs w:val="24"/>
          <w:lang w:val="en-US"/>
        </w:rPr>
      </w:pPr>
      <w:r w:rsidRPr="00E57A74">
        <w:rPr>
          <w:sz w:val="24"/>
          <w:szCs w:val="24"/>
          <w:lang w:val="en-US"/>
        </w:rPr>
        <w:t>të paraqesin raportet periodike dhe njoftimet e kërkuara brenda afateve;</w:t>
      </w:r>
    </w:p>
    <w:p w14:paraId="6B9879C4" w14:textId="77777777" w:rsidR="007749BC" w:rsidRPr="00E57A74" w:rsidRDefault="007749BC" w:rsidP="00EE0F6E">
      <w:pPr>
        <w:numPr>
          <w:ilvl w:val="0"/>
          <w:numId w:val="15"/>
        </w:numPr>
        <w:jc w:val="both"/>
        <w:rPr>
          <w:sz w:val="24"/>
          <w:szCs w:val="24"/>
          <w:lang w:val="en-US"/>
        </w:rPr>
      </w:pPr>
      <w:r w:rsidRPr="00E57A74">
        <w:rPr>
          <w:sz w:val="24"/>
          <w:szCs w:val="24"/>
          <w:lang w:val="en-US"/>
        </w:rPr>
        <w:t>të ruajnë dokumentacionin që provon përmbushjen e kushteve ligjore;</w:t>
      </w:r>
    </w:p>
    <w:p w14:paraId="53844EA3" w14:textId="77777777" w:rsidR="007749BC" w:rsidRPr="00E57A74" w:rsidRDefault="007749BC" w:rsidP="00EE0F6E">
      <w:pPr>
        <w:numPr>
          <w:ilvl w:val="0"/>
          <w:numId w:val="15"/>
        </w:numPr>
        <w:jc w:val="both"/>
        <w:rPr>
          <w:sz w:val="24"/>
          <w:szCs w:val="24"/>
          <w:lang w:val="en-US"/>
        </w:rPr>
      </w:pPr>
      <w:r w:rsidRPr="00E57A74">
        <w:rPr>
          <w:sz w:val="24"/>
          <w:szCs w:val="24"/>
          <w:lang w:val="en-US"/>
        </w:rPr>
        <w:t>të bashkëpunojnë gjatë verifikimeve dhe kontrolleve;</w:t>
      </w:r>
    </w:p>
    <w:p w14:paraId="15C99590" w14:textId="77777777" w:rsidR="007749BC" w:rsidRPr="00E57A74" w:rsidRDefault="007749BC" w:rsidP="00EE0F6E">
      <w:pPr>
        <w:numPr>
          <w:ilvl w:val="0"/>
          <w:numId w:val="15"/>
        </w:numPr>
        <w:jc w:val="both"/>
        <w:rPr>
          <w:sz w:val="24"/>
          <w:szCs w:val="24"/>
          <w:lang w:val="en-US"/>
        </w:rPr>
      </w:pPr>
      <w:r w:rsidRPr="00E57A74">
        <w:rPr>
          <w:sz w:val="24"/>
          <w:szCs w:val="24"/>
          <w:lang w:val="en-US"/>
        </w:rPr>
        <w:t>të respektojnë kushtet për përfitimin dhe përdorimin e lehtësive.</w:t>
      </w:r>
    </w:p>
    <w:p w14:paraId="7A6A57DF" w14:textId="77777777" w:rsidR="00FA1FA4" w:rsidRPr="00E57A74" w:rsidRDefault="00FA1FA4" w:rsidP="007749BC">
      <w:pPr>
        <w:jc w:val="both"/>
        <w:rPr>
          <w:sz w:val="24"/>
          <w:szCs w:val="24"/>
          <w:lang w:val="en-US"/>
        </w:rPr>
      </w:pPr>
    </w:p>
    <w:p w14:paraId="717B80B0" w14:textId="3AA5819E" w:rsidR="007749BC" w:rsidRPr="00E57A74" w:rsidRDefault="007749BC" w:rsidP="007749BC">
      <w:pPr>
        <w:jc w:val="both"/>
        <w:rPr>
          <w:sz w:val="24"/>
          <w:szCs w:val="24"/>
          <w:lang w:val="en-US"/>
        </w:rPr>
      </w:pPr>
      <w:r w:rsidRPr="00E57A74">
        <w:rPr>
          <w:sz w:val="24"/>
          <w:szCs w:val="24"/>
          <w:lang w:val="en-US"/>
        </w:rPr>
        <w:t>Përputhshmëria do të verifikohet nëpërmjet regjistrave, raportimit, shkëmbimit të informacionit dhe kontrolleve. Në rast të konstatimit të shkeljeve, do të zbatohen masat administrative, kthimi i përfitimeve të marra në kundërshtim me ligjin dhe sanksionet e parashikuara nga legjislacioni në fuqi.</w:t>
      </w:r>
    </w:p>
    <w:p w14:paraId="6F55B78D" w14:textId="77777777" w:rsidR="006108CA" w:rsidRPr="00E57A74" w:rsidRDefault="006108CA" w:rsidP="00FA1FA4">
      <w:pPr>
        <w:jc w:val="both"/>
        <w:rPr>
          <w:sz w:val="24"/>
          <w:szCs w:val="24"/>
        </w:rPr>
      </w:pPr>
    </w:p>
    <w:p w14:paraId="27C2F657" w14:textId="77777777" w:rsidR="00FA1FA4" w:rsidRPr="00E57A74" w:rsidRDefault="00FA1FA4" w:rsidP="00FA1FA4">
      <w:pPr>
        <w:jc w:val="both"/>
        <w:rPr>
          <w:b/>
          <w:bCs/>
          <w:color w:val="auto"/>
          <w:kern w:val="36"/>
          <w:sz w:val="24"/>
          <w:szCs w:val="24"/>
          <w:lang w:val="en-US" w:eastAsia="en-US"/>
        </w:rPr>
      </w:pPr>
      <w:r w:rsidRPr="00E57A74">
        <w:rPr>
          <w:b/>
          <w:bCs/>
          <w:color w:val="auto"/>
          <w:kern w:val="36"/>
          <w:sz w:val="24"/>
          <w:szCs w:val="24"/>
          <w:lang w:val="en-US" w:eastAsia="en-US"/>
        </w:rPr>
        <w:t>Faza e shqyrtimit/vlerësimit</w:t>
      </w:r>
    </w:p>
    <w:p w14:paraId="747B4F5F" w14:textId="7F5572BE" w:rsidR="00FA1FA4" w:rsidRPr="00E57A74" w:rsidRDefault="00FA1FA4" w:rsidP="00FA1FA4">
      <w:pPr>
        <w:jc w:val="both"/>
        <w:rPr>
          <w:color w:val="auto"/>
          <w:sz w:val="24"/>
          <w:szCs w:val="24"/>
          <w:lang w:val="en-US" w:eastAsia="en-US"/>
        </w:rPr>
      </w:pPr>
      <w:r w:rsidRPr="00E57A74">
        <w:rPr>
          <w:color w:val="auto"/>
          <w:sz w:val="24"/>
          <w:szCs w:val="24"/>
          <w:lang w:val="en-US" w:eastAsia="en-US"/>
        </w:rPr>
        <w:t>Monitorimi i zbatimit do të kryhet në mënyrë të vazhdueshme nga Agjencia e Industrisë së Mbrojtjes, nëpërmjet të dhënave të regjistrave elektronikë, raporteve të subjekteve të licencuara, shkëmbimit të informacionit dhe kontrolleve të kryera në bashkëpunim me strukturat përgjegjëse. Rezultatet do të analizohen periodikisht për të evidentuar problematikat, nivelin e përputhshmërisë dhe nevojën për masa përmirësuese. Vlerësimi i përgjithshëm i efektivitetit të ndryshimeve do të pasqyrohet në një raport vjetor.</w:t>
      </w:r>
    </w:p>
    <w:p w14:paraId="0C1FD957" w14:textId="77777777" w:rsidR="00E57A74" w:rsidRPr="00E57A74" w:rsidRDefault="00E57A74" w:rsidP="00FA1FA4">
      <w:pPr>
        <w:jc w:val="both"/>
        <w:rPr>
          <w:color w:val="auto"/>
          <w:sz w:val="24"/>
          <w:szCs w:val="24"/>
          <w:lang w:val="en-US" w:eastAsia="en-US"/>
        </w:rPr>
      </w:pPr>
    </w:p>
    <w:p w14:paraId="7A4AC237" w14:textId="2A680B04" w:rsidR="00FA1FA4" w:rsidRPr="00E57A74" w:rsidRDefault="00FA1FA4" w:rsidP="00FA1FA4">
      <w:pPr>
        <w:jc w:val="both"/>
        <w:rPr>
          <w:color w:val="auto"/>
          <w:sz w:val="24"/>
          <w:szCs w:val="24"/>
          <w:lang w:val="en-US" w:eastAsia="en-US"/>
        </w:rPr>
      </w:pPr>
      <w:r w:rsidRPr="00E57A74">
        <w:rPr>
          <w:color w:val="auto"/>
          <w:sz w:val="24"/>
          <w:szCs w:val="24"/>
          <w:lang w:val="en-US" w:eastAsia="en-US"/>
        </w:rPr>
        <w:t>Treguesit kryesorë për matjen e progresit do të jenë:</w:t>
      </w:r>
    </w:p>
    <w:p w14:paraId="2109B8EF"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miratimi brenda afatit i akteve nënligjore dhe udhëzimeve zbatuese;</w:t>
      </w:r>
    </w:p>
    <w:p w14:paraId="0D087388"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përqindja e subjekteve të regjistruara dhe me të dhëna të përditësuara;</w:t>
      </w:r>
    </w:p>
    <w:p w14:paraId="1844DF8E"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përqindja e raporteve të dorëzuara brenda afateve ligjore;</w:t>
      </w:r>
    </w:p>
    <w:p w14:paraId="25411870"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niveli i ndërlidhjes dhe funksionimit të sistemeve të gjurmimit;</w:t>
      </w:r>
    </w:p>
    <w:p w14:paraId="4D534FF6"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numri i kontrolleve dhe verifikimeve të kryera;</w:t>
      </w:r>
    </w:p>
    <w:p w14:paraId="102F70F4"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numri dhe lloji i shkeljeve ose parregullsive të konstatuara;</w:t>
      </w:r>
    </w:p>
    <w:p w14:paraId="070CF94A"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masat e marra dhe përfitimet e kthyera në rastet e shkeljeve;</w:t>
      </w:r>
    </w:p>
    <w:p w14:paraId="17C44BA6" w14:textId="77777777" w:rsidR="00FA1FA4" w:rsidRPr="00E57A74" w:rsidRDefault="00FA1FA4" w:rsidP="00EE0F6E">
      <w:pPr>
        <w:pStyle w:val="ListParagraph"/>
        <w:numPr>
          <w:ilvl w:val="0"/>
          <w:numId w:val="16"/>
        </w:numPr>
        <w:spacing w:after="0"/>
        <w:jc w:val="both"/>
        <w:rPr>
          <w:rFonts w:ascii="Times New Roman" w:hAnsi="Times New Roman"/>
          <w:color w:val="auto"/>
          <w:sz w:val="24"/>
          <w:szCs w:val="24"/>
          <w:lang w:val="en-US"/>
        </w:rPr>
      </w:pPr>
      <w:r w:rsidRPr="00E57A74">
        <w:rPr>
          <w:rFonts w:ascii="Times New Roman" w:hAnsi="Times New Roman"/>
          <w:color w:val="auto"/>
          <w:sz w:val="24"/>
          <w:szCs w:val="24"/>
          <w:lang w:val="en-US"/>
        </w:rPr>
        <w:t>numri i problematikave procedurale ose kërkesave për sqarim të paraqitura nga subjektet.</w:t>
      </w:r>
    </w:p>
    <w:p w14:paraId="5E42716C" w14:textId="77777777" w:rsidR="00FA1FA4" w:rsidRPr="00E57A74" w:rsidRDefault="00FA1FA4" w:rsidP="00FA1FA4">
      <w:pPr>
        <w:jc w:val="both"/>
        <w:rPr>
          <w:color w:val="auto"/>
          <w:sz w:val="24"/>
          <w:szCs w:val="24"/>
          <w:lang w:val="en-US" w:eastAsia="en-US"/>
        </w:rPr>
      </w:pPr>
    </w:p>
    <w:p w14:paraId="75740FE4" w14:textId="32211AB0" w:rsidR="000F3A07" w:rsidRPr="00E57A74" w:rsidRDefault="00FA1FA4" w:rsidP="00F166D2">
      <w:pPr>
        <w:jc w:val="both"/>
        <w:rPr>
          <w:color w:val="auto"/>
          <w:sz w:val="24"/>
          <w:szCs w:val="24"/>
          <w:lang w:val="en-US" w:eastAsia="en-US"/>
        </w:rPr>
      </w:pPr>
      <w:r w:rsidRPr="00E57A74">
        <w:rPr>
          <w:color w:val="auto"/>
          <w:sz w:val="24"/>
          <w:szCs w:val="24"/>
          <w:lang w:val="en-US" w:eastAsia="en-US"/>
        </w:rPr>
        <w:t>Krahasimi i këtyre treguesve ndër vite do të mundësojë vlerësimin e shkallës së arritjes së objektivave dhe përcaktimin e masave të mëtejshme për përmirësimin e zbatimit.</w:t>
      </w:r>
    </w:p>
    <w:p w14:paraId="4ED813CB" w14:textId="77777777" w:rsidR="008171D8" w:rsidRPr="00E57A74" w:rsidRDefault="008171D8" w:rsidP="000F3A07">
      <w:pPr>
        <w:jc w:val="both"/>
        <w:rPr>
          <w:b/>
          <w:bCs/>
          <w:color w:val="auto"/>
          <w:sz w:val="24"/>
          <w:szCs w:val="24"/>
          <w:lang w:val="en-US" w:eastAsia="en-US"/>
        </w:rPr>
      </w:pPr>
    </w:p>
    <w:p w14:paraId="7DC5E1A1" w14:textId="403BBD40" w:rsidR="000F3A07" w:rsidRPr="00E57A74" w:rsidRDefault="000F3A07" w:rsidP="000F3A07">
      <w:pPr>
        <w:jc w:val="both"/>
        <w:rPr>
          <w:b/>
          <w:bCs/>
          <w:color w:val="auto"/>
          <w:sz w:val="24"/>
          <w:szCs w:val="24"/>
          <w:lang w:val="en-US" w:eastAsia="en-US"/>
        </w:rPr>
      </w:pPr>
      <w:r w:rsidRPr="00E57A74">
        <w:rPr>
          <w:b/>
          <w:bCs/>
          <w:color w:val="auto"/>
          <w:sz w:val="24"/>
          <w:szCs w:val="24"/>
          <w:lang w:val="en-US" w:eastAsia="en-US"/>
        </w:rPr>
        <w:t>Raporti i vlerësimit të ndikimit - Shtojca 2/a</w:t>
      </w:r>
    </w:p>
    <w:p w14:paraId="12191E00" w14:textId="2B6DE08A" w:rsidR="000F3A07" w:rsidRPr="00E57A74" w:rsidRDefault="000F3A07" w:rsidP="000F3A07">
      <w:pPr>
        <w:jc w:val="both"/>
        <w:rPr>
          <w:i/>
          <w:iCs/>
          <w:color w:val="auto"/>
          <w:sz w:val="24"/>
          <w:szCs w:val="24"/>
          <w:lang w:val="en-US" w:eastAsia="en-US"/>
        </w:rPr>
      </w:pPr>
      <w:r w:rsidRPr="00E57A74">
        <w:rPr>
          <w:i/>
          <w:iCs/>
          <w:color w:val="auto"/>
          <w:sz w:val="24"/>
          <w:szCs w:val="24"/>
          <w:lang w:val="en-US" w:eastAsia="en-US"/>
        </w:rPr>
        <w:t>Tabela. Vlera aktuale neto në total (VAN) - kostot dhe përfitimet me vlerë monetare të përcaktuar në milionë lekë e zbritur për 10 vjet (vlera aktuale e kostos dhe vlera aktuale e përfitimit); krahasuar me status quo-në.</w:t>
      </w:r>
    </w:p>
    <w:p w14:paraId="45FDBEB2" w14:textId="77777777" w:rsidR="000F3A07" w:rsidRPr="00E57A74" w:rsidRDefault="000F3A07" w:rsidP="000F3A07">
      <w:pPr>
        <w:jc w:val="both"/>
        <w:rPr>
          <w:color w:val="auto"/>
          <w:sz w:val="24"/>
          <w:szCs w:val="24"/>
          <w:lang w:val="en-US" w:eastAsia="en-US"/>
        </w:rPr>
      </w:pPr>
    </w:p>
    <w:p w14:paraId="369BE480" w14:textId="064CA90B" w:rsidR="000F3A07" w:rsidRPr="00E57A74" w:rsidRDefault="000F3A07" w:rsidP="000F3A07">
      <w:pPr>
        <w:jc w:val="both"/>
        <w:rPr>
          <w:color w:val="auto"/>
          <w:sz w:val="24"/>
          <w:szCs w:val="24"/>
          <w:lang w:val="en-US" w:eastAsia="en-US"/>
        </w:rPr>
      </w:pPr>
      <w:r w:rsidRPr="00E57A74">
        <w:rPr>
          <w:color w:val="auto"/>
          <w:sz w:val="24"/>
          <w:szCs w:val="24"/>
          <w:lang w:val="en-US" w:eastAsia="en-US"/>
        </w:rPr>
        <w:t xml:space="preserve">Për shkak se ndryshimet e propozuara nuk sjellin kosto financiare shtesë për buxhetin e shtetit, nuk është kryer përllogaritja e vlerës aktuale neto për periudhën dhjetëvjeçare. Zbatimi i tyre do të realizohet me strukturat, personelin dhe burimet ekzistuese, ndaj kostoja shtesë buxhetore vlerësohet në </w:t>
      </w:r>
      <w:r w:rsidRPr="00E57A74">
        <w:rPr>
          <w:b/>
          <w:bCs/>
          <w:color w:val="auto"/>
          <w:sz w:val="24"/>
          <w:szCs w:val="24"/>
          <w:lang w:val="en-US" w:eastAsia="en-US"/>
        </w:rPr>
        <w:t>0 lekë</w:t>
      </w:r>
      <w:r w:rsidRPr="00E57A74">
        <w:rPr>
          <w:color w:val="auto"/>
          <w:sz w:val="24"/>
          <w:szCs w:val="24"/>
          <w:lang w:val="en-US" w:eastAsia="en-US"/>
        </w:rPr>
        <w:t>.</w:t>
      </w:r>
    </w:p>
    <w:p w14:paraId="1599E3D6" w14:textId="7D01639C" w:rsidR="000F3A07" w:rsidRPr="00E57A74" w:rsidRDefault="000F3A07" w:rsidP="000F3A07">
      <w:pPr>
        <w:jc w:val="both"/>
        <w:rPr>
          <w:color w:val="auto"/>
          <w:sz w:val="24"/>
          <w:szCs w:val="24"/>
          <w:lang w:val="en-US" w:eastAsia="en-US"/>
        </w:rPr>
      </w:pPr>
      <w:r w:rsidRPr="00E57A74">
        <w:rPr>
          <w:color w:val="auto"/>
          <w:sz w:val="24"/>
          <w:szCs w:val="24"/>
          <w:lang w:val="en-US" w:eastAsia="en-US"/>
        </w:rPr>
        <w:t>Për bizneset mund të krijohen kosto administrative të kufizuara, ndërsa priten edhe përfitime nga qartësimi i procedurave, përmirësimi i trajtimit të inputeve dhe pakësimi i procedurave të rimbursimit. Megjithatë, për shkak të mungesës së të dhënave mbi numrin dhe madhësinë e operatorëve, sistemet e përdorura dhe volumin e veprimtarisë së tyre, këto ndikime nuk mund të përcaktohen në mënyrë të besueshme në vlerë monetare. Për rrjedhojë, Shtojca 2/a nuk plotësohet me vlera numerike dhe ndikimet përkatëse janë trajtuar në mënyrë cilësore në raportin e vlerësimit të ndikimit.</w:t>
      </w:r>
    </w:p>
    <w:p w14:paraId="5812FA30" w14:textId="77777777" w:rsidR="008171D8" w:rsidRPr="00E57A74" w:rsidRDefault="008171D8" w:rsidP="000F3A07">
      <w:pPr>
        <w:jc w:val="both"/>
        <w:rPr>
          <w:b/>
          <w:bCs/>
          <w:sz w:val="24"/>
          <w:szCs w:val="24"/>
        </w:rPr>
      </w:pPr>
    </w:p>
    <w:p w14:paraId="601A07CD" w14:textId="06647CC3" w:rsidR="000F3A07" w:rsidRPr="00E57A74" w:rsidRDefault="000F3A07" w:rsidP="000F3A07">
      <w:pPr>
        <w:jc w:val="both"/>
        <w:rPr>
          <w:b/>
          <w:bCs/>
          <w:sz w:val="24"/>
          <w:szCs w:val="24"/>
        </w:rPr>
      </w:pPr>
      <w:r w:rsidRPr="00E57A74">
        <w:rPr>
          <w:b/>
          <w:bCs/>
          <w:sz w:val="24"/>
          <w:szCs w:val="24"/>
        </w:rPr>
        <w:t>Raporti i vlerësimit të ndikimit – Shtojca 2/b</w:t>
      </w:r>
    </w:p>
    <w:p w14:paraId="592FF555" w14:textId="6992CFD3" w:rsidR="000F3A07" w:rsidRPr="00E57A74" w:rsidRDefault="000F3A07" w:rsidP="000F3A07">
      <w:pPr>
        <w:jc w:val="both"/>
        <w:rPr>
          <w:sz w:val="24"/>
          <w:szCs w:val="24"/>
        </w:rPr>
      </w:pPr>
      <w:r w:rsidRPr="00E57A74">
        <w:rPr>
          <w:sz w:val="24"/>
          <w:szCs w:val="24"/>
        </w:rPr>
        <w:t xml:space="preserve">Për opsionet e shqyrtuara nuk është përllogaritur vlera aktuale neto, pasi nuk janë identifikuar kosto ose përfitime që mund të </w:t>
      </w:r>
      <w:r w:rsidR="008171D8" w:rsidRPr="00E57A74">
        <w:rPr>
          <w:sz w:val="24"/>
          <w:szCs w:val="24"/>
        </w:rPr>
        <w:t xml:space="preserve">përllogariten </w:t>
      </w:r>
      <w:r w:rsidRPr="00E57A74">
        <w:rPr>
          <w:sz w:val="24"/>
          <w:szCs w:val="24"/>
        </w:rPr>
        <w:t>në vlerë monetare. Të dyja opsionet parashikohet të zbatohen me strukturat dhe burimet ekzistuese dhe nuk krijojnë kosto financiare shtesë për buxhetin e shtetit.</w:t>
      </w:r>
    </w:p>
    <w:p w14:paraId="757A6EFF" w14:textId="77777777" w:rsidR="000F3A07" w:rsidRPr="00E57A74" w:rsidRDefault="000F3A07" w:rsidP="000F3A07">
      <w:pPr>
        <w:jc w:val="both"/>
        <w:rPr>
          <w:sz w:val="24"/>
          <w:szCs w:val="24"/>
        </w:rPr>
      </w:pPr>
    </w:p>
    <w:p w14:paraId="7BA1A418" w14:textId="1AD84276" w:rsidR="000F3A07" w:rsidRPr="00E57A74" w:rsidRDefault="000F3A07" w:rsidP="000F3A07">
      <w:pPr>
        <w:jc w:val="both"/>
        <w:rPr>
          <w:sz w:val="24"/>
          <w:szCs w:val="24"/>
        </w:rPr>
      </w:pPr>
      <w:r w:rsidRPr="00E57A74">
        <w:rPr>
          <w:sz w:val="24"/>
          <w:szCs w:val="24"/>
        </w:rPr>
        <w:t>Opsioni 1, që parashikon vetëm masa administrative dhe procedurale, sjell përmirësime të kufizuara dhe nuk i zgjidh plotësisht problematikat që kërkojnë ndërhyrje ligjore. Opsioni 2, që parashikon ndryshimin e ligjit të shoqëruar me masa zbatuese, sjell përfitime më të mëdha në drejtim të qartësisë juridike, gjurmueshmërisë, monitorimit dhe kontrollit.</w:t>
      </w:r>
    </w:p>
    <w:p w14:paraId="40807368" w14:textId="77777777" w:rsidR="000F3A07" w:rsidRPr="00E57A74" w:rsidRDefault="000F3A07" w:rsidP="000F3A07">
      <w:pPr>
        <w:jc w:val="both"/>
        <w:rPr>
          <w:sz w:val="24"/>
          <w:szCs w:val="24"/>
        </w:rPr>
      </w:pPr>
    </w:p>
    <w:p w14:paraId="4712F538" w14:textId="75012D6F" w:rsidR="000F3A07" w:rsidRPr="00E57A74" w:rsidRDefault="000F3A07" w:rsidP="000F3A07">
      <w:pPr>
        <w:jc w:val="both"/>
        <w:rPr>
          <w:sz w:val="24"/>
          <w:szCs w:val="24"/>
        </w:rPr>
      </w:pPr>
      <w:r w:rsidRPr="00E57A74">
        <w:rPr>
          <w:sz w:val="24"/>
          <w:szCs w:val="24"/>
        </w:rPr>
        <w:t>Kostot e mundshme administrative dhe përfitimet për bizneset janë vlerësuar në mënyrë cilësore, pasi mungojnë të dhënat e nevojshme për monetarizimin e tyre. Për rrjedhojë, krahasimi i opsioneve është mbështetur në efektivitetin, proporcionalitetin dhe zbatueshmërinë e tyre, duke vlerësuar Opsionin 2 si opsionin e preferuar.</w:t>
      </w:r>
    </w:p>
    <w:p w14:paraId="493904D1" w14:textId="2B7AABC1" w:rsidR="000F3A07" w:rsidRPr="00E57A74" w:rsidRDefault="000F3A07" w:rsidP="000F3A07">
      <w:pPr>
        <w:jc w:val="both"/>
        <w:rPr>
          <w:sz w:val="24"/>
          <w:szCs w:val="24"/>
        </w:rPr>
      </w:pPr>
    </w:p>
    <w:p w14:paraId="46579E7D" w14:textId="2A67FB1A" w:rsidR="000F3A07" w:rsidRPr="00E57A74" w:rsidRDefault="000F3A07" w:rsidP="000F3A07">
      <w:pPr>
        <w:jc w:val="both"/>
        <w:rPr>
          <w:sz w:val="24"/>
          <w:szCs w:val="24"/>
        </w:rPr>
      </w:pPr>
    </w:p>
    <w:p w14:paraId="7218D82E" w14:textId="77777777" w:rsidR="000F3A07" w:rsidRPr="00E57A74" w:rsidRDefault="000F3A07" w:rsidP="000F3A07">
      <w:pPr>
        <w:jc w:val="both"/>
        <w:rPr>
          <w:sz w:val="24"/>
          <w:szCs w:val="24"/>
        </w:rPr>
      </w:pPr>
    </w:p>
    <w:p w14:paraId="4A74786F" w14:textId="77777777" w:rsidR="00651AB1" w:rsidRPr="00E57A74" w:rsidRDefault="00651AB1" w:rsidP="00651AB1">
      <w:pPr>
        <w:spacing w:line="276" w:lineRule="auto"/>
        <w:jc w:val="center"/>
        <w:rPr>
          <w:b/>
          <w:sz w:val="24"/>
          <w:szCs w:val="24"/>
          <w:lang w:val="sq-AL"/>
        </w:rPr>
      </w:pPr>
      <w:r w:rsidRPr="00E57A74">
        <w:rPr>
          <w:b/>
          <w:sz w:val="24"/>
          <w:szCs w:val="24"/>
          <w:lang w:val="sq-AL"/>
        </w:rPr>
        <w:t>MINISTËR</w:t>
      </w:r>
    </w:p>
    <w:p w14:paraId="713D1FC6" w14:textId="77777777" w:rsidR="00651AB1" w:rsidRPr="00E57A74" w:rsidRDefault="00651AB1" w:rsidP="00651AB1">
      <w:pPr>
        <w:spacing w:line="276" w:lineRule="auto"/>
        <w:jc w:val="center"/>
        <w:rPr>
          <w:b/>
          <w:sz w:val="24"/>
          <w:szCs w:val="24"/>
          <w:highlight w:val="yellow"/>
          <w:lang w:val="sq-AL"/>
        </w:rPr>
      </w:pPr>
    </w:p>
    <w:p w14:paraId="50F8ECE2" w14:textId="77777777" w:rsidR="00651AB1" w:rsidRPr="00E57A74" w:rsidRDefault="00651AB1" w:rsidP="00651AB1">
      <w:pPr>
        <w:spacing w:line="276" w:lineRule="auto"/>
        <w:jc w:val="center"/>
        <w:rPr>
          <w:rFonts w:eastAsia="SimSun"/>
          <w:sz w:val="24"/>
          <w:szCs w:val="24"/>
          <w:lang w:val="sq-AL" w:eastAsia="zh-CN"/>
        </w:rPr>
      </w:pPr>
      <w:r w:rsidRPr="00E57A74">
        <w:rPr>
          <w:b/>
          <w:sz w:val="24"/>
          <w:szCs w:val="24"/>
          <w:lang w:val="sq-AL"/>
        </w:rPr>
        <w:t>Ermal NUFI</w:t>
      </w:r>
    </w:p>
    <w:p w14:paraId="10E31156" w14:textId="77777777" w:rsidR="002E46F4" w:rsidRPr="00E57A74" w:rsidRDefault="002E46F4" w:rsidP="00573D27">
      <w:pPr>
        <w:rPr>
          <w:sz w:val="24"/>
          <w:szCs w:val="24"/>
          <w:lang w:val="sq-AL"/>
        </w:rPr>
      </w:pPr>
    </w:p>
    <w:p w14:paraId="721CC297" w14:textId="77777777" w:rsidR="002E46F4" w:rsidRPr="00E57A74" w:rsidRDefault="002E46F4" w:rsidP="00573D27">
      <w:pPr>
        <w:rPr>
          <w:sz w:val="24"/>
          <w:szCs w:val="24"/>
          <w:lang w:val="sq-AL"/>
        </w:rPr>
      </w:pPr>
    </w:p>
    <w:p w14:paraId="54621D74" w14:textId="77777777" w:rsidR="0060281F" w:rsidRPr="00E57A74" w:rsidRDefault="0060281F" w:rsidP="00573D27">
      <w:pPr>
        <w:rPr>
          <w:sz w:val="24"/>
          <w:szCs w:val="24"/>
        </w:rPr>
      </w:pPr>
    </w:p>
    <w:sectPr w:rsidR="0060281F" w:rsidRPr="00E57A74" w:rsidSect="00E57A74">
      <w:headerReference w:type="even" r:id="rId8"/>
      <w:footerReference w:type="default" r:id="rId9"/>
      <w:footnotePr>
        <w:numRestart w:val="eachSect"/>
      </w:footnotePr>
      <w:pgSz w:w="11907" w:h="16840" w:code="9"/>
      <w:pgMar w:top="877" w:right="1287" w:bottom="677" w:left="1080" w:header="540"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F5DEB" w14:textId="77777777" w:rsidR="00CB3B99" w:rsidRDefault="00CB3B99" w:rsidP="002E46F4">
      <w:r>
        <w:separator/>
      </w:r>
    </w:p>
  </w:endnote>
  <w:endnote w:type="continuationSeparator" w:id="0">
    <w:p w14:paraId="1FFC78A2" w14:textId="77777777" w:rsidR="00CB3B99" w:rsidRDefault="00CB3B99" w:rsidP="002E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2959" w14:textId="58811341" w:rsidR="00CF1ECE" w:rsidRPr="00EB43FD" w:rsidRDefault="00CF1ECE" w:rsidP="001752B7">
    <w:pPr>
      <w:pStyle w:val="Footer"/>
    </w:pPr>
    <w:r w:rsidRPr="00EB43FD">
      <w:rPr>
        <w:rStyle w:val="PageNumber"/>
        <w:b w:val="0"/>
        <w:szCs w:val="18"/>
      </w:rPr>
      <w:fldChar w:fldCharType="begin"/>
    </w:r>
    <w:r w:rsidRPr="00EB43FD">
      <w:rPr>
        <w:rStyle w:val="PageNumber"/>
        <w:b w:val="0"/>
        <w:szCs w:val="18"/>
      </w:rPr>
      <w:instrText xml:space="preserve"> PAGE </w:instrText>
    </w:r>
    <w:r w:rsidRPr="00EB43FD">
      <w:rPr>
        <w:rStyle w:val="PageNumber"/>
        <w:b w:val="0"/>
        <w:szCs w:val="18"/>
      </w:rPr>
      <w:fldChar w:fldCharType="separate"/>
    </w:r>
    <w:r w:rsidR="00533AF1">
      <w:rPr>
        <w:rStyle w:val="PageNumber"/>
        <w:b w:val="0"/>
        <w:noProof/>
        <w:szCs w:val="18"/>
      </w:rPr>
      <w:t>12</w:t>
    </w:r>
    <w:r w:rsidRPr="00EB43FD">
      <w:rPr>
        <w:rStyle w:val="PageNumber"/>
        <w:b w:val="0"/>
        <w:szCs w:val="18"/>
      </w:rPr>
      <w:fldChar w:fldCharType="end"/>
    </w:r>
  </w:p>
  <w:p w14:paraId="05F228E2" w14:textId="77777777" w:rsidR="00CF1ECE" w:rsidRDefault="00CF1ECE"/>
  <w:p w14:paraId="361708A5" w14:textId="77777777" w:rsidR="00CF1ECE" w:rsidRDefault="00CF1EC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88398" w14:textId="77777777" w:rsidR="00CB3B99" w:rsidRDefault="00CB3B99" w:rsidP="002E46F4">
      <w:r>
        <w:separator/>
      </w:r>
    </w:p>
  </w:footnote>
  <w:footnote w:type="continuationSeparator" w:id="0">
    <w:p w14:paraId="344FB091" w14:textId="77777777" w:rsidR="00CB3B99" w:rsidRDefault="00CB3B99" w:rsidP="002E46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1E804" w14:textId="77777777" w:rsidR="00CF1ECE" w:rsidRDefault="00CF1ECE"/>
  <w:p w14:paraId="6CBE8DA9" w14:textId="77777777" w:rsidR="00CF1ECE" w:rsidRDefault="00CF1EC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741FF"/>
    <w:multiLevelType w:val="hybridMultilevel"/>
    <w:tmpl w:val="1A383BA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812782F"/>
    <w:multiLevelType w:val="hybridMultilevel"/>
    <w:tmpl w:val="730E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6C3095F"/>
    <w:multiLevelType w:val="hybridMultilevel"/>
    <w:tmpl w:val="7D5EDB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2ACF"/>
    <w:multiLevelType w:val="hybridMultilevel"/>
    <w:tmpl w:val="BA9214C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430B44"/>
    <w:multiLevelType w:val="hybridMultilevel"/>
    <w:tmpl w:val="B17C8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EB69A1"/>
    <w:multiLevelType w:val="hybridMultilevel"/>
    <w:tmpl w:val="7B18B818"/>
    <w:lvl w:ilvl="0" w:tplc="08F2872E">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CB5900"/>
    <w:multiLevelType w:val="hybridMultilevel"/>
    <w:tmpl w:val="4D68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F55A3B"/>
    <w:multiLevelType w:val="hybridMultilevel"/>
    <w:tmpl w:val="AC8C02F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9165CE"/>
    <w:multiLevelType w:val="hybridMultilevel"/>
    <w:tmpl w:val="CD6AD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B10153"/>
    <w:multiLevelType w:val="hybridMultilevel"/>
    <w:tmpl w:val="D9005F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AB10A1"/>
    <w:multiLevelType w:val="multilevel"/>
    <w:tmpl w:val="533CA9F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14776A"/>
    <w:multiLevelType w:val="hybridMultilevel"/>
    <w:tmpl w:val="DBFABBE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8851C2"/>
    <w:multiLevelType w:val="multilevel"/>
    <w:tmpl w:val="3626DD9A"/>
    <w:lvl w:ilvl="0">
      <w:start w:val="1"/>
      <w:numFmt w:val="decimal"/>
      <w:pStyle w:val="IARefNumber"/>
      <w:suff w:val="nothing"/>
      <w:lvlText w:val="%1"/>
      <w:lvlJc w:val="left"/>
      <w:pPr>
        <w:ind w:firstLine="113"/>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4" w15:restartNumberingAfterBreak="0">
    <w:nsid w:val="750F1DD6"/>
    <w:multiLevelType w:val="hybridMultilevel"/>
    <w:tmpl w:val="B71A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B75C1D"/>
    <w:multiLevelType w:val="multilevel"/>
    <w:tmpl w:val="E2CC615A"/>
    <w:lvl w:ilvl="0">
      <w:start w:val="1"/>
      <w:numFmt w:val="none"/>
      <w:pStyle w:val="EBNumberRestart"/>
      <w:suff w:val="nothing"/>
      <w:lvlText w:val="%1"/>
      <w:lvlJc w:val="left"/>
      <w:rPr>
        <w:rFonts w:cs="Times New Roman" w:hint="default"/>
      </w:rPr>
    </w:lvl>
    <w:lvl w:ilvl="1">
      <w:start w:val="1"/>
      <w:numFmt w:val="decimal"/>
      <w:pStyle w:val="EBNumber"/>
      <w:lvlText w:val="%1%2."/>
      <w:lvlJc w:val="left"/>
      <w:pPr>
        <w:tabs>
          <w:tab w:val="num" w:pos="425"/>
        </w:tabs>
        <w:ind w:left="425" w:hanging="425"/>
      </w:pPr>
      <w:rPr>
        <w:rFonts w:cs="Times New Roman" w:hint="default"/>
      </w:rPr>
    </w:lvl>
    <w:lvl w:ilvl="2">
      <w:start w:val="1"/>
      <w:numFmt w:val="lowerLetter"/>
      <w:lvlText w:val="%1%3."/>
      <w:lvlJc w:val="left"/>
      <w:pPr>
        <w:tabs>
          <w:tab w:val="num" w:pos="851"/>
        </w:tabs>
        <w:ind w:left="851" w:hanging="426"/>
      </w:pPr>
      <w:rPr>
        <w:rFonts w:cs="Times New Roman" w:hint="default"/>
      </w:rPr>
    </w:lvl>
    <w:lvl w:ilvl="3">
      <w:start w:val="1"/>
      <w:numFmt w:val="none"/>
      <w:lvlText w:val="%1"/>
      <w:lvlJc w:val="left"/>
      <w:pPr>
        <w:tabs>
          <w:tab w:val="num" w:pos="2880"/>
        </w:tabs>
        <w:ind w:left="1728" w:hanging="648"/>
      </w:pPr>
      <w:rPr>
        <w:rFonts w:cs="Times New Roman" w:hint="default"/>
      </w:rPr>
    </w:lvl>
    <w:lvl w:ilvl="4">
      <w:start w:val="1"/>
      <w:numFmt w:val="none"/>
      <w:lvlText w:val="%1"/>
      <w:lvlJc w:val="left"/>
      <w:pPr>
        <w:tabs>
          <w:tab w:val="num" w:pos="3600"/>
        </w:tabs>
        <w:ind w:left="2232" w:hanging="792"/>
      </w:pPr>
      <w:rPr>
        <w:rFonts w:cs="Times New Roman" w:hint="default"/>
      </w:rPr>
    </w:lvl>
    <w:lvl w:ilvl="5">
      <w:start w:val="1"/>
      <w:numFmt w:val="none"/>
      <w:lvlText w:val="%1"/>
      <w:lvlJc w:val="left"/>
      <w:pPr>
        <w:tabs>
          <w:tab w:val="num" w:pos="4320"/>
        </w:tabs>
        <w:ind w:left="2736" w:hanging="936"/>
      </w:pPr>
      <w:rPr>
        <w:rFonts w:cs="Times New Roman" w:hint="default"/>
      </w:rPr>
    </w:lvl>
    <w:lvl w:ilvl="6">
      <w:start w:val="1"/>
      <w:numFmt w:val="none"/>
      <w:lvlText w:val="%1"/>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num w:numId="1">
    <w:abstractNumId w:val="13"/>
  </w:num>
  <w:num w:numId="2">
    <w:abstractNumId w:val="2"/>
  </w:num>
  <w:num w:numId="3">
    <w:abstractNumId w:val="15"/>
  </w:num>
  <w:num w:numId="4">
    <w:abstractNumId w:val="6"/>
  </w:num>
  <w:num w:numId="5">
    <w:abstractNumId w:val="9"/>
  </w:num>
  <w:num w:numId="6">
    <w:abstractNumId w:val="7"/>
  </w:num>
  <w:num w:numId="7">
    <w:abstractNumId w:val="0"/>
  </w:num>
  <w:num w:numId="8">
    <w:abstractNumId w:val="8"/>
  </w:num>
  <w:num w:numId="9">
    <w:abstractNumId w:val="14"/>
  </w:num>
  <w:num w:numId="10">
    <w:abstractNumId w:val="12"/>
  </w:num>
  <w:num w:numId="11">
    <w:abstractNumId w:val="1"/>
  </w:num>
  <w:num w:numId="12">
    <w:abstractNumId w:val="3"/>
  </w:num>
  <w:num w:numId="13">
    <w:abstractNumId w:val="4"/>
  </w:num>
  <w:num w:numId="14">
    <w:abstractNumId w:val="5"/>
  </w:num>
  <w:num w:numId="15">
    <w:abstractNumId w:val="11"/>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F4"/>
    <w:rsid w:val="000542F8"/>
    <w:rsid w:val="0005677D"/>
    <w:rsid w:val="00061BAF"/>
    <w:rsid w:val="000723E6"/>
    <w:rsid w:val="00076C1F"/>
    <w:rsid w:val="00095BE5"/>
    <w:rsid w:val="000A331C"/>
    <w:rsid w:val="000A4693"/>
    <w:rsid w:val="000F3A07"/>
    <w:rsid w:val="00172A30"/>
    <w:rsid w:val="001752B7"/>
    <w:rsid w:val="00195ADE"/>
    <w:rsid w:val="00231244"/>
    <w:rsid w:val="00264B20"/>
    <w:rsid w:val="00265E62"/>
    <w:rsid w:val="00271B8C"/>
    <w:rsid w:val="002942F7"/>
    <w:rsid w:val="002A1E39"/>
    <w:rsid w:val="002A456D"/>
    <w:rsid w:val="002E12BC"/>
    <w:rsid w:val="002E46F4"/>
    <w:rsid w:val="00316644"/>
    <w:rsid w:val="00351157"/>
    <w:rsid w:val="00375520"/>
    <w:rsid w:val="00384875"/>
    <w:rsid w:val="003909B0"/>
    <w:rsid w:val="003A321F"/>
    <w:rsid w:val="00427E33"/>
    <w:rsid w:val="00477BE9"/>
    <w:rsid w:val="00492F13"/>
    <w:rsid w:val="004A11F7"/>
    <w:rsid w:val="004B151A"/>
    <w:rsid w:val="004B4418"/>
    <w:rsid w:val="004E301F"/>
    <w:rsid w:val="004E4018"/>
    <w:rsid w:val="00533AF1"/>
    <w:rsid w:val="005433B3"/>
    <w:rsid w:val="005509A6"/>
    <w:rsid w:val="00573D27"/>
    <w:rsid w:val="005A7A7D"/>
    <w:rsid w:val="005C0524"/>
    <w:rsid w:val="0060281F"/>
    <w:rsid w:val="00607736"/>
    <w:rsid w:val="006108CA"/>
    <w:rsid w:val="00622159"/>
    <w:rsid w:val="00631283"/>
    <w:rsid w:val="006464D9"/>
    <w:rsid w:val="00651AB1"/>
    <w:rsid w:val="00652EB1"/>
    <w:rsid w:val="0069166F"/>
    <w:rsid w:val="006A5819"/>
    <w:rsid w:val="006A724B"/>
    <w:rsid w:val="006D3A42"/>
    <w:rsid w:val="006D4B4D"/>
    <w:rsid w:val="007135D3"/>
    <w:rsid w:val="007749BC"/>
    <w:rsid w:val="007D2999"/>
    <w:rsid w:val="007D31CA"/>
    <w:rsid w:val="007D3EE6"/>
    <w:rsid w:val="008171D8"/>
    <w:rsid w:val="00902B72"/>
    <w:rsid w:val="009635FC"/>
    <w:rsid w:val="0098473E"/>
    <w:rsid w:val="009854C3"/>
    <w:rsid w:val="009A4A82"/>
    <w:rsid w:val="009E40AB"/>
    <w:rsid w:val="00A00ABD"/>
    <w:rsid w:val="00A65ACD"/>
    <w:rsid w:val="00A702EC"/>
    <w:rsid w:val="00AB3F65"/>
    <w:rsid w:val="00AE1FA8"/>
    <w:rsid w:val="00B33EF4"/>
    <w:rsid w:val="00B467D4"/>
    <w:rsid w:val="00B5167F"/>
    <w:rsid w:val="00B6503E"/>
    <w:rsid w:val="00B709C0"/>
    <w:rsid w:val="00B828B1"/>
    <w:rsid w:val="00BB54FC"/>
    <w:rsid w:val="00C17A45"/>
    <w:rsid w:val="00C40DCE"/>
    <w:rsid w:val="00C96038"/>
    <w:rsid w:val="00CB09D5"/>
    <w:rsid w:val="00CB0E8A"/>
    <w:rsid w:val="00CB3B99"/>
    <w:rsid w:val="00CE1D03"/>
    <w:rsid w:val="00CF1ECE"/>
    <w:rsid w:val="00D15A72"/>
    <w:rsid w:val="00D35D13"/>
    <w:rsid w:val="00D602BE"/>
    <w:rsid w:val="00DE509E"/>
    <w:rsid w:val="00E1233B"/>
    <w:rsid w:val="00E22904"/>
    <w:rsid w:val="00E34ED8"/>
    <w:rsid w:val="00E57A74"/>
    <w:rsid w:val="00E8215E"/>
    <w:rsid w:val="00E90808"/>
    <w:rsid w:val="00EB5D65"/>
    <w:rsid w:val="00EC5029"/>
    <w:rsid w:val="00EE0F6E"/>
    <w:rsid w:val="00EE5183"/>
    <w:rsid w:val="00F166D2"/>
    <w:rsid w:val="00F20AE6"/>
    <w:rsid w:val="00F534C5"/>
    <w:rsid w:val="00F74A04"/>
    <w:rsid w:val="00F93BD9"/>
    <w:rsid w:val="00FA1FA4"/>
    <w:rsid w:val="00FC692B"/>
    <w:rsid w:val="00FD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9B49"/>
  <w15:chartTrackingRefBased/>
  <w15:docId w15:val="{97F792DD-FE61-41E7-A527-1BE5C850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6F4"/>
    <w:pPr>
      <w:spacing w:after="0" w:line="240" w:lineRule="auto"/>
    </w:pPr>
    <w:rPr>
      <w:rFonts w:ascii="Times New Roman" w:eastAsia="Times New Roman" w:hAnsi="Times New Roman" w:cs="Times New Roman"/>
      <w:color w:val="000000"/>
      <w:sz w:val="21"/>
      <w:szCs w:val="20"/>
      <w:lang w:val="en-GB" w:eastAsia="en-GB"/>
    </w:rPr>
  </w:style>
  <w:style w:type="paragraph" w:styleId="Heading1">
    <w:name w:val="heading 1"/>
    <w:basedOn w:val="Normal"/>
    <w:next w:val="Normal"/>
    <w:link w:val="Heading1Char"/>
    <w:uiPriority w:val="9"/>
    <w:qFormat/>
    <w:rsid w:val="002E46F4"/>
    <w:pPr>
      <w:keepNext/>
      <w:tabs>
        <w:tab w:val="right" w:pos="10206"/>
      </w:tabs>
      <w:spacing w:before="240" w:after="60"/>
      <w:outlineLvl w:val="0"/>
    </w:pPr>
    <w:rPr>
      <w:rFonts w:ascii="Arial Bold" w:hAnsi="Arial Bold" w:cs="Arial"/>
      <w:b/>
      <w:bCs/>
      <w:spacing w:val="-4"/>
      <w:kern w:val="32"/>
      <w:sz w:val="32"/>
      <w:szCs w:val="32"/>
    </w:rPr>
  </w:style>
  <w:style w:type="paragraph" w:styleId="Heading2">
    <w:name w:val="heading 2"/>
    <w:aliases w:val="EBHeading1"/>
    <w:basedOn w:val="Normal"/>
    <w:next w:val="EBBodyPara"/>
    <w:link w:val="Heading2Char"/>
    <w:uiPriority w:val="9"/>
    <w:qFormat/>
    <w:rsid w:val="002E46F4"/>
    <w:pPr>
      <w:keepNext/>
      <w:keepLines/>
      <w:spacing w:before="480" w:after="240"/>
      <w:outlineLvl w:val="1"/>
    </w:pPr>
    <w:rPr>
      <w:rFonts w:cs="Arial"/>
      <w:bCs/>
      <w:sz w:val="32"/>
      <w:szCs w:val="22"/>
    </w:rPr>
  </w:style>
  <w:style w:type="paragraph" w:styleId="Heading3">
    <w:name w:val="heading 3"/>
    <w:aliases w:val="EBHeading2"/>
    <w:basedOn w:val="Normal"/>
    <w:next w:val="EBBodyPara"/>
    <w:link w:val="Heading3Char"/>
    <w:uiPriority w:val="9"/>
    <w:qFormat/>
    <w:rsid w:val="002E46F4"/>
    <w:pPr>
      <w:keepNext/>
      <w:keepLines/>
      <w:spacing w:before="360" w:after="240"/>
      <w:outlineLvl w:val="2"/>
    </w:pPr>
    <w:rPr>
      <w:rFonts w:cs="Arial"/>
      <w:b/>
      <w:bCs/>
      <w:szCs w:val="22"/>
    </w:rPr>
  </w:style>
  <w:style w:type="paragraph" w:styleId="Heading4">
    <w:name w:val="heading 4"/>
    <w:aliases w:val="EBHeading3"/>
    <w:basedOn w:val="EBBodyPara"/>
    <w:next w:val="Normal"/>
    <w:link w:val="Heading4Char"/>
    <w:uiPriority w:val="9"/>
    <w:qFormat/>
    <w:rsid w:val="002E46F4"/>
    <w:pPr>
      <w:spacing w:before="240"/>
      <w:outlineLvl w:val="3"/>
    </w:pPr>
    <w:rPr>
      <w:b/>
    </w:rPr>
  </w:style>
  <w:style w:type="paragraph" w:styleId="Heading5">
    <w:name w:val="heading 5"/>
    <w:aliases w:val="EBHeading4"/>
    <w:basedOn w:val="Normal"/>
    <w:next w:val="Normal"/>
    <w:link w:val="Heading5Char"/>
    <w:uiPriority w:val="9"/>
    <w:qFormat/>
    <w:rsid w:val="002E46F4"/>
    <w:pPr>
      <w:spacing w:before="240" w:after="120"/>
      <w:outlineLvl w:val="4"/>
    </w:pPr>
    <w:rPr>
      <w:bCs/>
      <w:i/>
      <w:i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F4"/>
    <w:rPr>
      <w:rFonts w:ascii="Arial Bold" w:eastAsia="Times New Roman" w:hAnsi="Arial Bold" w:cs="Arial"/>
      <w:b/>
      <w:bCs/>
      <w:spacing w:val="-4"/>
      <w:kern w:val="32"/>
      <w:sz w:val="32"/>
      <w:szCs w:val="32"/>
      <w:lang w:val="en-GB" w:eastAsia="en-GB"/>
    </w:rPr>
  </w:style>
  <w:style w:type="character" w:customStyle="1" w:styleId="Heading2Char">
    <w:name w:val="Heading 2 Char"/>
    <w:aliases w:val="EBHeading1 Char"/>
    <w:basedOn w:val="DefaultParagraphFont"/>
    <w:link w:val="Heading2"/>
    <w:uiPriority w:val="9"/>
    <w:rsid w:val="002E46F4"/>
    <w:rPr>
      <w:rFonts w:ascii="Times New Roman" w:eastAsia="Times New Roman" w:hAnsi="Times New Roman" w:cs="Arial"/>
      <w:bCs/>
      <w:color w:val="000000"/>
      <w:sz w:val="32"/>
      <w:lang w:val="en-GB" w:eastAsia="en-GB"/>
    </w:rPr>
  </w:style>
  <w:style w:type="character" w:customStyle="1" w:styleId="Heading3Char">
    <w:name w:val="Heading 3 Char"/>
    <w:aliases w:val="EBHeading2 Char"/>
    <w:basedOn w:val="DefaultParagraphFont"/>
    <w:link w:val="Heading3"/>
    <w:uiPriority w:val="9"/>
    <w:rsid w:val="002E46F4"/>
    <w:rPr>
      <w:rFonts w:ascii="Times New Roman" w:eastAsia="Times New Roman" w:hAnsi="Times New Roman" w:cs="Arial"/>
      <w:b/>
      <w:bCs/>
      <w:color w:val="000000"/>
      <w:sz w:val="24"/>
      <w:lang w:val="en-GB" w:eastAsia="en-GB"/>
    </w:rPr>
  </w:style>
  <w:style w:type="character" w:customStyle="1" w:styleId="Heading4Char">
    <w:name w:val="Heading 4 Char"/>
    <w:aliases w:val="EBHeading3 Char"/>
    <w:basedOn w:val="DefaultParagraphFont"/>
    <w:link w:val="Heading4"/>
    <w:uiPriority w:val="9"/>
    <w:rsid w:val="002E46F4"/>
    <w:rPr>
      <w:rFonts w:ascii="Times New Roman" w:eastAsia="Times New Roman" w:hAnsi="Times New Roman" w:cs="Arial"/>
      <w:b/>
      <w:bCs/>
      <w:color w:val="000000"/>
      <w:lang w:val="en-GB" w:eastAsia="en-GB"/>
    </w:rPr>
  </w:style>
  <w:style w:type="character" w:customStyle="1" w:styleId="Heading5Char">
    <w:name w:val="Heading 5 Char"/>
    <w:aliases w:val="EBHeading4 Char"/>
    <w:basedOn w:val="DefaultParagraphFont"/>
    <w:link w:val="Heading5"/>
    <w:uiPriority w:val="9"/>
    <w:rsid w:val="002E46F4"/>
    <w:rPr>
      <w:rFonts w:ascii="Times New Roman" w:eastAsia="Times New Roman" w:hAnsi="Times New Roman" w:cs="Times New Roman"/>
      <w:bCs/>
      <w:i/>
      <w:iCs/>
      <w:szCs w:val="26"/>
      <w:lang w:val="en-GB" w:eastAsia="en-GB"/>
    </w:rPr>
  </w:style>
  <w:style w:type="paragraph" w:customStyle="1" w:styleId="IATableLabel">
    <w:name w:val="IATableLabel"/>
    <w:basedOn w:val="Normal"/>
    <w:link w:val="IATableLabelCharChar"/>
    <w:rsid w:val="002E46F4"/>
    <w:pPr>
      <w:spacing w:before="50" w:after="50"/>
      <w:ind w:left="113" w:right="113"/>
    </w:pPr>
    <w:rPr>
      <w:rFonts w:ascii="Arial" w:eastAsia="SimSun" w:hAnsi="Arial"/>
      <w:b/>
      <w:spacing w:val="-5"/>
      <w:sz w:val="20"/>
      <w:lang w:eastAsia="zh-CN"/>
    </w:rPr>
  </w:style>
  <w:style w:type="character" w:customStyle="1" w:styleId="IATableLabelCharChar">
    <w:name w:val="IATableLabel Char Char"/>
    <w:link w:val="IATableLabel"/>
    <w:locked/>
    <w:rsid w:val="002E46F4"/>
    <w:rPr>
      <w:rFonts w:ascii="Arial" w:eastAsia="SimSun" w:hAnsi="Arial" w:cs="Times New Roman"/>
      <w:b/>
      <w:color w:val="000000"/>
      <w:spacing w:val="-5"/>
      <w:sz w:val="20"/>
      <w:szCs w:val="20"/>
      <w:lang w:val="en-GB" w:eastAsia="zh-CN"/>
    </w:rPr>
  </w:style>
  <w:style w:type="paragraph" w:customStyle="1" w:styleId="IASpacer">
    <w:name w:val="IASpacer"/>
    <w:basedOn w:val="Normal"/>
    <w:rsid w:val="002E46F4"/>
    <w:pPr>
      <w:spacing w:line="80" w:lineRule="exact"/>
    </w:pPr>
    <w:rPr>
      <w:rFonts w:eastAsia="SimSun"/>
      <w:sz w:val="22"/>
      <w:lang w:eastAsia="zh-CN"/>
    </w:rPr>
  </w:style>
  <w:style w:type="paragraph" w:customStyle="1" w:styleId="IATableText">
    <w:name w:val="IATableText"/>
    <w:basedOn w:val="IATableLabel"/>
    <w:link w:val="IATableTextChar"/>
    <w:rsid w:val="002E46F4"/>
    <w:rPr>
      <w:sz w:val="22"/>
    </w:rPr>
  </w:style>
  <w:style w:type="character" w:customStyle="1" w:styleId="IATableTextChar">
    <w:name w:val="IATableText Char"/>
    <w:link w:val="IATableText"/>
    <w:locked/>
    <w:rsid w:val="002E46F4"/>
    <w:rPr>
      <w:rFonts w:ascii="Arial" w:eastAsia="SimSun" w:hAnsi="Arial" w:cs="Times New Roman"/>
      <w:b/>
      <w:color w:val="000000"/>
      <w:spacing w:val="-5"/>
      <w:szCs w:val="20"/>
      <w:lang w:val="en-GB" w:eastAsia="zh-CN"/>
    </w:rPr>
  </w:style>
  <w:style w:type="paragraph" w:styleId="BodyText">
    <w:name w:val="Body Text"/>
    <w:basedOn w:val="Normal"/>
    <w:link w:val="BodyTextChar"/>
    <w:uiPriority w:val="99"/>
    <w:rsid w:val="002E46F4"/>
    <w:pPr>
      <w:spacing w:after="120"/>
    </w:pPr>
    <w:rPr>
      <w:rFonts w:cs="Arial"/>
      <w:bCs/>
      <w:szCs w:val="22"/>
    </w:rPr>
  </w:style>
  <w:style w:type="character" w:customStyle="1" w:styleId="BodyTextChar">
    <w:name w:val="Body Text Char"/>
    <w:basedOn w:val="DefaultParagraphFont"/>
    <w:link w:val="BodyText"/>
    <w:uiPriority w:val="99"/>
    <w:rsid w:val="002E46F4"/>
    <w:rPr>
      <w:rFonts w:ascii="Times New Roman" w:eastAsia="Times New Roman" w:hAnsi="Times New Roman" w:cs="Arial"/>
      <w:bCs/>
      <w:color w:val="000000"/>
      <w:lang w:val="en-GB" w:eastAsia="en-GB"/>
    </w:rPr>
  </w:style>
  <w:style w:type="table" w:styleId="TableGrid">
    <w:name w:val="Table Grid"/>
    <w:basedOn w:val="TableNormal"/>
    <w:uiPriority w:val="59"/>
    <w:rsid w:val="002E46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2E46F4"/>
    <w:pPr>
      <w:ind w:left="113"/>
      <w:outlineLvl w:val="0"/>
    </w:pPr>
    <w:rPr>
      <w:rFonts w:cs="Arial"/>
      <w:bCs/>
      <w:color w:val="FFFFFF"/>
      <w:kern w:val="28"/>
      <w:sz w:val="32"/>
      <w:szCs w:val="32"/>
    </w:rPr>
  </w:style>
  <w:style w:type="character" w:customStyle="1" w:styleId="TitleChar">
    <w:name w:val="Title Char"/>
    <w:basedOn w:val="DefaultParagraphFont"/>
    <w:link w:val="Title"/>
    <w:uiPriority w:val="10"/>
    <w:rsid w:val="002E46F4"/>
    <w:rPr>
      <w:rFonts w:ascii="Times New Roman" w:eastAsia="Times New Roman" w:hAnsi="Times New Roman" w:cs="Arial"/>
      <w:bCs/>
      <w:color w:val="FFFFFF"/>
      <w:kern w:val="28"/>
      <w:sz w:val="32"/>
      <w:szCs w:val="32"/>
      <w:lang w:val="en-GB" w:eastAsia="en-GB"/>
    </w:rPr>
  </w:style>
  <w:style w:type="paragraph" w:customStyle="1" w:styleId="IAHeadDept">
    <w:name w:val="IAHeadDept"/>
    <w:basedOn w:val="IATableText"/>
    <w:link w:val="IAHeadDeptChar"/>
    <w:rsid w:val="002E46F4"/>
    <w:pPr>
      <w:spacing w:after="120"/>
      <w:ind w:left="0" w:right="57"/>
    </w:pPr>
    <w:rPr>
      <w:spacing w:val="-6"/>
    </w:rPr>
  </w:style>
  <w:style w:type="paragraph" w:customStyle="1" w:styleId="IAHeadLabel">
    <w:name w:val="IAHeadLabel"/>
    <w:basedOn w:val="IATableLabel"/>
    <w:link w:val="IAHeadLabelChar"/>
    <w:rsid w:val="002E46F4"/>
    <w:pPr>
      <w:spacing w:before="110"/>
      <w:ind w:left="0" w:right="0"/>
    </w:pPr>
  </w:style>
  <w:style w:type="character" w:customStyle="1" w:styleId="IAHeadLabelChar">
    <w:name w:val="IAHeadLabel Char"/>
    <w:link w:val="IAHeadLabel"/>
    <w:locked/>
    <w:rsid w:val="002E46F4"/>
    <w:rPr>
      <w:rFonts w:ascii="Arial" w:eastAsia="SimSun" w:hAnsi="Arial" w:cs="Times New Roman"/>
      <w:b/>
      <w:color w:val="000000"/>
      <w:spacing w:val="-5"/>
      <w:sz w:val="20"/>
      <w:szCs w:val="20"/>
      <w:lang w:val="en-GB" w:eastAsia="zh-CN"/>
    </w:rPr>
  </w:style>
  <w:style w:type="table" w:customStyle="1" w:styleId="TableIAHeading">
    <w:name w:val="Table_IAHeading"/>
    <w:basedOn w:val="TableNormal"/>
    <w:semiHidden/>
    <w:rsid w:val="002E46F4"/>
    <w:pPr>
      <w:spacing w:after="0" w:line="240" w:lineRule="auto"/>
    </w:pPr>
    <w:rPr>
      <w:rFonts w:ascii="Times New Roman" w:eastAsia="SimSu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12" w:space="0" w:color="008080"/>
      </w:tblBorders>
      <w:tblCellMar>
        <w:left w:w="0" w:type="dxa"/>
        <w:right w:w="0" w:type="dxa"/>
      </w:tblCellMar>
    </w:tblPr>
    <w:tcPr>
      <w:shd w:val="clear" w:color="auto" w:fill="008080"/>
    </w:tcPr>
  </w:style>
  <w:style w:type="paragraph" w:customStyle="1" w:styleId="IATableNotes">
    <w:name w:val="IATableNotes"/>
    <w:basedOn w:val="Normal"/>
    <w:link w:val="IATableNotesChar"/>
    <w:rsid w:val="002E46F4"/>
    <w:pPr>
      <w:spacing w:before="60" w:after="60"/>
      <w:ind w:left="113" w:right="113"/>
    </w:pPr>
    <w:rPr>
      <w:rFonts w:ascii="Arial" w:eastAsia="SimSun" w:hAnsi="Arial"/>
      <w:sz w:val="18"/>
      <w:lang w:eastAsia="zh-CN"/>
    </w:rPr>
  </w:style>
  <w:style w:type="character" w:customStyle="1" w:styleId="IATableNotesChar">
    <w:name w:val="IATableNotes Char"/>
    <w:link w:val="IATableNotes"/>
    <w:locked/>
    <w:rsid w:val="002E46F4"/>
    <w:rPr>
      <w:rFonts w:ascii="Arial" w:eastAsia="SimSun" w:hAnsi="Arial" w:cs="Times New Roman"/>
      <w:sz w:val="18"/>
      <w:szCs w:val="20"/>
      <w:lang w:val="en-GB" w:eastAsia="zh-CN"/>
    </w:rPr>
  </w:style>
  <w:style w:type="paragraph" w:customStyle="1" w:styleId="IASignOff">
    <w:name w:val="IASignOff"/>
    <w:basedOn w:val="IATableNotes"/>
    <w:next w:val="IATableNotes"/>
    <w:link w:val="IASignOffChar"/>
    <w:semiHidden/>
    <w:rsid w:val="002E46F4"/>
    <w:pPr>
      <w:spacing w:before="120" w:after="120"/>
      <w:ind w:left="567" w:right="567"/>
    </w:pPr>
    <w:rPr>
      <w:b/>
      <w:i/>
    </w:rPr>
  </w:style>
  <w:style w:type="character" w:customStyle="1" w:styleId="IASignOffChar">
    <w:name w:val="IASignOff Char"/>
    <w:link w:val="IASignOff"/>
    <w:semiHidden/>
    <w:locked/>
    <w:rsid w:val="002E46F4"/>
    <w:rPr>
      <w:rFonts w:ascii="Arial" w:eastAsia="SimSun" w:hAnsi="Arial" w:cs="Times New Roman"/>
      <w:b/>
      <w:i/>
      <w:sz w:val="18"/>
      <w:szCs w:val="20"/>
      <w:lang w:val="en-GB" w:eastAsia="zh-CN"/>
    </w:rPr>
  </w:style>
  <w:style w:type="paragraph" w:customStyle="1" w:styleId="IAHeadTitle">
    <w:name w:val="IAHeadTitle"/>
    <w:basedOn w:val="IAHeadDept"/>
    <w:link w:val="IAHeadTitleChar"/>
    <w:rsid w:val="002E46F4"/>
    <w:pPr>
      <w:spacing w:before="0" w:after="0"/>
    </w:pPr>
    <w:rPr>
      <w:b w:val="0"/>
      <w:sz w:val="28"/>
    </w:rPr>
  </w:style>
  <w:style w:type="paragraph" w:customStyle="1" w:styleId="IASignature">
    <w:name w:val="IA Signature"/>
    <w:basedOn w:val="IATableText"/>
    <w:rsid w:val="002E46F4"/>
    <w:pPr>
      <w:tabs>
        <w:tab w:val="left" w:leader="dot" w:pos="6804"/>
        <w:tab w:val="right" w:leader="dot" w:pos="10206"/>
      </w:tabs>
      <w:spacing w:before="0" w:after="0"/>
      <w:ind w:left="0"/>
    </w:pPr>
  </w:style>
  <w:style w:type="paragraph" w:customStyle="1" w:styleId="IASign-offlabel">
    <w:name w:val="IA Sign-off label"/>
    <w:basedOn w:val="IAHeadLabel"/>
    <w:link w:val="IASign-offlabelChar"/>
    <w:rsid w:val="002E46F4"/>
    <w:pPr>
      <w:spacing w:after="120"/>
    </w:pPr>
    <w:rPr>
      <w:sz w:val="22"/>
      <w:u w:val="single"/>
    </w:rPr>
  </w:style>
  <w:style w:type="character" w:customStyle="1" w:styleId="IASign-offlabelChar">
    <w:name w:val="IA Sign-off label Char"/>
    <w:link w:val="IASign-offlabel"/>
    <w:locked/>
    <w:rsid w:val="002E46F4"/>
    <w:rPr>
      <w:rFonts w:ascii="Arial" w:eastAsia="SimSun" w:hAnsi="Arial" w:cs="Times New Roman"/>
      <w:b/>
      <w:color w:val="000000"/>
      <w:spacing w:val="-5"/>
      <w:szCs w:val="20"/>
      <w:u w:val="single"/>
      <w:lang w:val="en-GB" w:eastAsia="zh-CN"/>
    </w:rPr>
  </w:style>
  <w:style w:type="paragraph" w:customStyle="1" w:styleId="IASign-off">
    <w:name w:val="IA Sign-off"/>
    <w:basedOn w:val="IATableText"/>
    <w:rsid w:val="002E46F4"/>
    <w:pPr>
      <w:spacing w:before="0" w:after="0"/>
      <w:ind w:left="0" w:right="284"/>
    </w:pPr>
    <w:rPr>
      <w:i/>
    </w:rPr>
  </w:style>
  <w:style w:type="paragraph" w:customStyle="1" w:styleId="IAHeading2">
    <w:name w:val="IAHeading2"/>
    <w:basedOn w:val="Normal"/>
    <w:semiHidden/>
    <w:rsid w:val="002E46F4"/>
    <w:pPr>
      <w:keepNext/>
      <w:keepLines/>
      <w:spacing w:before="60" w:after="60"/>
      <w:ind w:left="113" w:right="113"/>
    </w:pPr>
    <w:rPr>
      <w:rFonts w:eastAsia="SimSun"/>
      <w:b/>
      <w:sz w:val="20"/>
      <w:lang w:eastAsia="zh-CN"/>
    </w:rPr>
  </w:style>
  <w:style w:type="table" w:customStyle="1" w:styleId="TableIABox">
    <w:name w:val="Table_IABox"/>
    <w:basedOn w:val="TableNormal"/>
    <w:rsid w:val="002E46F4"/>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Header">
    <w:name w:val="header"/>
    <w:basedOn w:val="Normal"/>
    <w:link w:val="HeaderChar"/>
    <w:uiPriority w:val="99"/>
    <w:rsid w:val="002E46F4"/>
    <w:pPr>
      <w:jc w:val="center"/>
    </w:pPr>
    <w:rPr>
      <w:caps/>
    </w:rPr>
  </w:style>
  <w:style w:type="character" w:customStyle="1" w:styleId="HeaderChar">
    <w:name w:val="Header Char"/>
    <w:basedOn w:val="DefaultParagraphFont"/>
    <w:link w:val="Header"/>
    <w:uiPriority w:val="99"/>
    <w:rsid w:val="002E46F4"/>
    <w:rPr>
      <w:rFonts w:ascii="Times New Roman" w:eastAsia="Times New Roman" w:hAnsi="Times New Roman" w:cs="Times New Roman"/>
      <w:caps/>
      <w:sz w:val="24"/>
      <w:szCs w:val="20"/>
      <w:lang w:val="en-GB" w:eastAsia="en-GB"/>
    </w:rPr>
  </w:style>
  <w:style w:type="paragraph" w:styleId="Footer">
    <w:name w:val="footer"/>
    <w:basedOn w:val="Normal"/>
    <w:link w:val="FooterChar"/>
    <w:uiPriority w:val="99"/>
    <w:rsid w:val="002E46F4"/>
    <w:pPr>
      <w:tabs>
        <w:tab w:val="center" w:pos="5132"/>
        <w:tab w:val="right" w:pos="10260"/>
      </w:tabs>
      <w:jc w:val="center"/>
    </w:pPr>
    <w:rPr>
      <w:b/>
      <w:sz w:val="18"/>
    </w:rPr>
  </w:style>
  <w:style w:type="character" w:customStyle="1" w:styleId="FooterChar">
    <w:name w:val="Footer Char"/>
    <w:basedOn w:val="DefaultParagraphFont"/>
    <w:link w:val="Footer"/>
    <w:uiPriority w:val="99"/>
    <w:rsid w:val="002E46F4"/>
    <w:rPr>
      <w:rFonts w:ascii="Times New Roman" w:eastAsia="Times New Roman" w:hAnsi="Times New Roman" w:cs="Times New Roman"/>
      <w:b/>
      <w:sz w:val="18"/>
      <w:szCs w:val="20"/>
      <w:lang w:val="en-GB" w:eastAsia="en-GB"/>
    </w:rPr>
  </w:style>
  <w:style w:type="character" w:styleId="PageNumber">
    <w:name w:val="page number"/>
    <w:uiPriority w:val="99"/>
    <w:rsid w:val="002E46F4"/>
    <w:rPr>
      <w:rFonts w:cs="Times New Roman"/>
    </w:rPr>
  </w:style>
  <w:style w:type="paragraph" w:customStyle="1" w:styleId="IANotes">
    <w:name w:val="IANotes"/>
    <w:basedOn w:val="Normal"/>
    <w:semiHidden/>
    <w:rsid w:val="002E46F4"/>
    <w:rPr>
      <w:rFonts w:eastAsia="SimSun"/>
      <w:color w:val="008080"/>
      <w:sz w:val="22"/>
      <w:lang w:eastAsia="zh-CN"/>
    </w:rPr>
  </w:style>
  <w:style w:type="paragraph" w:customStyle="1" w:styleId="IATableHeading">
    <w:name w:val="IATableHeading"/>
    <w:basedOn w:val="IATableLabel"/>
    <w:rsid w:val="002E46F4"/>
    <w:rPr>
      <w:sz w:val="22"/>
      <w:szCs w:val="24"/>
    </w:rPr>
  </w:style>
  <w:style w:type="paragraph" w:styleId="FootnoteText">
    <w:name w:val="footnote text"/>
    <w:basedOn w:val="Normal"/>
    <w:link w:val="FootnoteTextChar"/>
    <w:uiPriority w:val="99"/>
    <w:semiHidden/>
    <w:rsid w:val="002E46F4"/>
    <w:rPr>
      <w:rFonts w:eastAsia="SimSun"/>
      <w:sz w:val="16"/>
      <w:lang w:eastAsia="zh-CN"/>
    </w:rPr>
  </w:style>
  <w:style w:type="character" w:customStyle="1" w:styleId="FootnoteTextChar">
    <w:name w:val="Footnote Text Char"/>
    <w:basedOn w:val="DefaultParagraphFont"/>
    <w:link w:val="FootnoteText"/>
    <w:uiPriority w:val="99"/>
    <w:semiHidden/>
    <w:rsid w:val="002E46F4"/>
    <w:rPr>
      <w:rFonts w:ascii="Times New Roman" w:eastAsia="SimSun" w:hAnsi="Times New Roman" w:cs="Times New Roman"/>
      <w:sz w:val="16"/>
      <w:szCs w:val="20"/>
      <w:lang w:val="en-GB" w:eastAsia="zh-CN"/>
    </w:rPr>
  </w:style>
  <w:style w:type="character" w:styleId="FootnoteReference">
    <w:name w:val="footnote reference"/>
    <w:uiPriority w:val="99"/>
    <w:rsid w:val="002E46F4"/>
    <w:rPr>
      <w:rFonts w:cs="Times New Roman"/>
      <w:sz w:val="22"/>
      <w:vertAlign w:val="superscript"/>
    </w:rPr>
  </w:style>
  <w:style w:type="paragraph" w:customStyle="1" w:styleId="EBBodyPara">
    <w:name w:val="EBBodyPara"/>
    <w:basedOn w:val="BodyText"/>
    <w:rsid w:val="002E46F4"/>
  </w:style>
  <w:style w:type="paragraph" w:styleId="BalloonText">
    <w:name w:val="Balloon Text"/>
    <w:basedOn w:val="Normal"/>
    <w:link w:val="BalloonTextChar"/>
    <w:uiPriority w:val="99"/>
    <w:semiHidden/>
    <w:rsid w:val="002E46F4"/>
    <w:rPr>
      <w:rFonts w:ascii="Tahoma" w:hAnsi="Tahoma" w:cs="Tahoma"/>
      <w:sz w:val="16"/>
      <w:szCs w:val="16"/>
    </w:rPr>
  </w:style>
  <w:style w:type="character" w:customStyle="1" w:styleId="BalloonTextChar">
    <w:name w:val="Balloon Text Char"/>
    <w:basedOn w:val="DefaultParagraphFont"/>
    <w:link w:val="BalloonText"/>
    <w:uiPriority w:val="99"/>
    <w:semiHidden/>
    <w:rsid w:val="002E46F4"/>
    <w:rPr>
      <w:rFonts w:ascii="Tahoma" w:eastAsia="Times New Roman" w:hAnsi="Tahoma" w:cs="Tahoma"/>
      <w:sz w:val="16"/>
      <w:szCs w:val="16"/>
      <w:lang w:val="en-GB" w:eastAsia="en-GB"/>
    </w:rPr>
  </w:style>
  <w:style w:type="paragraph" w:customStyle="1" w:styleId="EBNumber">
    <w:name w:val="EBNumber"/>
    <w:basedOn w:val="BodyText"/>
    <w:rsid w:val="002E46F4"/>
    <w:pPr>
      <w:numPr>
        <w:ilvl w:val="1"/>
        <w:numId w:val="3"/>
      </w:numPr>
    </w:pPr>
  </w:style>
  <w:style w:type="paragraph" w:customStyle="1" w:styleId="EBNumberRestart">
    <w:name w:val="EBNumberRestart"/>
    <w:basedOn w:val="BodyText"/>
    <w:next w:val="EBNumber"/>
    <w:rsid w:val="002E46F4"/>
    <w:pPr>
      <w:numPr>
        <w:numId w:val="3"/>
      </w:numPr>
    </w:pPr>
  </w:style>
  <w:style w:type="paragraph" w:customStyle="1" w:styleId="StyleIATableText10ptRight">
    <w:name w:val="Style IATableText + 10 pt Right"/>
    <w:basedOn w:val="IATableText"/>
    <w:rsid w:val="002E46F4"/>
    <w:pPr>
      <w:ind w:left="0" w:right="57"/>
      <w:jc w:val="right"/>
    </w:pPr>
    <w:rPr>
      <w:rFonts w:eastAsia="Times New Roman"/>
      <w:sz w:val="20"/>
    </w:rPr>
  </w:style>
  <w:style w:type="paragraph" w:customStyle="1" w:styleId="SecurityClass">
    <w:name w:val="SecurityClass"/>
    <w:basedOn w:val="Header"/>
    <w:rsid w:val="002E46F4"/>
  </w:style>
  <w:style w:type="paragraph" w:customStyle="1" w:styleId="IARefNumber">
    <w:name w:val="IARefNumber"/>
    <w:basedOn w:val="IATableText"/>
    <w:rsid w:val="002E46F4"/>
    <w:pPr>
      <w:numPr>
        <w:numId w:val="1"/>
      </w:numPr>
      <w:ind w:left="0"/>
    </w:pPr>
  </w:style>
  <w:style w:type="character" w:styleId="Hyperlink">
    <w:name w:val="Hyperlink"/>
    <w:uiPriority w:val="99"/>
    <w:rsid w:val="002E46F4"/>
    <w:rPr>
      <w:rFonts w:cs="Times New Roman"/>
      <w:color w:val="auto"/>
      <w:u w:val="single"/>
    </w:rPr>
  </w:style>
  <w:style w:type="paragraph" w:customStyle="1" w:styleId="POPBY">
    <w:name w:val="POPBY"/>
    <w:basedOn w:val="IATableLabel"/>
    <w:rsid w:val="002E46F4"/>
  </w:style>
  <w:style w:type="paragraph" w:customStyle="1" w:styleId="EBBullet">
    <w:name w:val="EBBullet"/>
    <w:basedOn w:val="BodyText"/>
    <w:rsid w:val="002E46F4"/>
    <w:pPr>
      <w:numPr>
        <w:numId w:val="2"/>
      </w:numPr>
    </w:pPr>
  </w:style>
  <w:style w:type="paragraph" w:customStyle="1" w:styleId="IAHeadText">
    <w:name w:val="IAHeadText"/>
    <w:basedOn w:val="IATableText"/>
    <w:rsid w:val="002E46F4"/>
    <w:pPr>
      <w:spacing w:before="0" w:after="0"/>
      <w:ind w:left="0" w:right="57"/>
    </w:pPr>
    <w:rPr>
      <w:spacing w:val="-6"/>
    </w:rPr>
  </w:style>
  <w:style w:type="paragraph" w:customStyle="1" w:styleId="IAHeadLabel0">
    <w:name w:val="IAHeadLabel0"/>
    <w:basedOn w:val="IAHeadLabel"/>
    <w:next w:val="IAHeadTitle"/>
    <w:rsid w:val="002E46F4"/>
    <w:pPr>
      <w:spacing w:before="0"/>
    </w:pPr>
  </w:style>
  <w:style w:type="paragraph" w:customStyle="1" w:styleId="IATableLines">
    <w:name w:val="IATableLines"/>
    <w:basedOn w:val="IATableText"/>
    <w:link w:val="IATableLinesChar"/>
    <w:rsid w:val="002E46F4"/>
    <w:pPr>
      <w:spacing w:before="0" w:after="0"/>
    </w:pPr>
  </w:style>
  <w:style w:type="paragraph" w:customStyle="1" w:styleId="EvidenceHeadPIR">
    <w:name w:val="EvidenceHeadPIR"/>
    <w:rsid w:val="002E46F4"/>
    <w:pPr>
      <w:spacing w:after="120" w:line="240" w:lineRule="auto"/>
    </w:pPr>
    <w:rPr>
      <w:rFonts w:ascii="Arial" w:eastAsia="Times New Roman" w:hAnsi="Arial" w:cs="Arial"/>
      <w:bCs/>
      <w:color w:val="000000"/>
      <w:lang w:val="en-GB" w:eastAsia="en-GB"/>
    </w:rPr>
  </w:style>
  <w:style w:type="character" w:styleId="FollowedHyperlink">
    <w:name w:val="FollowedHyperlink"/>
    <w:uiPriority w:val="99"/>
    <w:rsid w:val="002E46F4"/>
    <w:rPr>
      <w:rFonts w:cs="Times New Roman"/>
      <w:color w:val="auto"/>
      <w:u w:val="single"/>
    </w:rPr>
  </w:style>
  <w:style w:type="paragraph" w:customStyle="1" w:styleId="IASpacer2">
    <w:name w:val="IASpacer2"/>
    <w:basedOn w:val="IASpacer"/>
    <w:rsid w:val="002E46F4"/>
    <w:pPr>
      <w:spacing w:line="40" w:lineRule="exact"/>
    </w:pPr>
  </w:style>
  <w:style w:type="paragraph" w:customStyle="1" w:styleId="POPVBY">
    <w:name w:val="POPVBY"/>
    <w:basedOn w:val="IATableLabel"/>
    <w:rsid w:val="002E46F4"/>
  </w:style>
  <w:style w:type="paragraph" w:customStyle="1" w:styleId="POTPY">
    <w:name w:val="POTPY"/>
    <w:basedOn w:val="IATableLabel"/>
    <w:rsid w:val="002E46F4"/>
  </w:style>
  <w:style w:type="paragraph" w:customStyle="1" w:styleId="PONBLow">
    <w:name w:val="PONBLow"/>
    <w:basedOn w:val="IATableLabel"/>
    <w:link w:val="PONBLowCharChar"/>
    <w:rsid w:val="002E46F4"/>
    <w:rPr>
      <w:sz w:val="22"/>
    </w:rPr>
  </w:style>
  <w:style w:type="character" w:customStyle="1" w:styleId="PONBLowCharChar">
    <w:name w:val="PONBLow Char Char"/>
    <w:link w:val="PONBLow"/>
    <w:locked/>
    <w:rsid w:val="002E46F4"/>
    <w:rPr>
      <w:rFonts w:ascii="Arial" w:eastAsia="SimSun" w:hAnsi="Arial" w:cs="Times New Roman"/>
      <w:b/>
      <w:color w:val="000000"/>
      <w:spacing w:val="-5"/>
      <w:szCs w:val="20"/>
      <w:lang w:val="en-GB" w:eastAsia="zh-CN"/>
    </w:rPr>
  </w:style>
  <w:style w:type="paragraph" w:customStyle="1" w:styleId="PONBHigh">
    <w:name w:val="PONBHigh"/>
    <w:basedOn w:val="IATableLabel"/>
    <w:link w:val="PONBHighChar"/>
    <w:rsid w:val="002E46F4"/>
    <w:rPr>
      <w:sz w:val="22"/>
    </w:rPr>
  </w:style>
  <w:style w:type="character" w:customStyle="1" w:styleId="PONBHighChar">
    <w:name w:val="PONBHigh Char"/>
    <w:link w:val="PONBHigh"/>
    <w:locked/>
    <w:rsid w:val="002E46F4"/>
    <w:rPr>
      <w:rFonts w:ascii="Arial" w:eastAsia="SimSun" w:hAnsi="Arial" w:cs="Times New Roman"/>
      <w:b/>
      <w:color w:val="000000"/>
      <w:spacing w:val="-5"/>
      <w:szCs w:val="20"/>
      <w:lang w:val="en-GB" w:eastAsia="zh-CN"/>
    </w:rPr>
  </w:style>
  <w:style w:type="paragraph" w:customStyle="1" w:styleId="PONBBestEst">
    <w:name w:val="PONBBestEst"/>
    <w:basedOn w:val="IATableLabel"/>
    <w:link w:val="PONBBestEstChar"/>
    <w:rsid w:val="002E46F4"/>
    <w:rPr>
      <w:sz w:val="22"/>
    </w:rPr>
  </w:style>
  <w:style w:type="character" w:customStyle="1" w:styleId="PONBBestEstChar">
    <w:name w:val="PONBBestEst Char"/>
    <w:link w:val="PONBBestEst"/>
    <w:locked/>
    <w:rsid w:val="002E46F4"/>
    <w:rPr>
      <w:rFonts w:ascii="Arial" w:eastAsia="SimSun" w:hAnsi="Arial" w:cs="Times New Roman"/>
      <w:b/>
      <w:color w:val="000000"/>
      <w:spacing w:val="-5"/>
      <w:szCs w:val="20"/>
      <w:lang w:val="en-GB" w:eastAsia="zh-CN"/>
    </w:rPr>
  </w:style>
  <w:style w:type="paragraph" w:customStyle="1" w:styleId="POTTCostsHigh">
    <w:name w:val="POTTCostsHigh"/>
    <w:basedOn w:val="IATableText"/>
    <w:rsid w:val="002E46F4"/>
    <w:pPr>
      <w:jc w:val="right"/>
    </w:pPr>
  </w:style>
  <w:style w:type="paragraph" w:customStyle="1" w:styleId="POTTCostsLow">
    <w:name w:val="POTTCostsLow"/>
    <w:basedOn w:val="POTTCostsHigh"/>
    <w:rsid w:val="002E46F4"/>
  </w:style>
  <w:style w:type="paragraph" w:customStyle="1" w:styleId="POTTCostsBest">
    <w:name w:val="POTTCostsBest"/>
    <w:basedOn w:val="IATableText"/>
    <w:rsid w:val="002E46F4"/>
    <w:pPr>
      <w:jc w:val="right"/>
    </w:pPr>
  </w:style>
  <w:style w:type="paragraph" w:customStyle="1" w:styleId="POTTCostsYear">
    <w:name w:val="POTTCostsYear"/>
    <w:basedOn w:val="IATableText"/>
    <w:rsid w:val="002E46F4"/>
    <w:pPr>
      <w:jc w:val="center"/>
    </w:pPr>
    <w:rPr>
      <w:szCs w:val="18"/>
    </w:rPr>
  </w:style>
  <w:style w:type="paragraph" w:customStyle="1" w:styleId="POAACostsLow">
    <w:name w:val="POAACostsLow"/>
    <w:basedOn w:val="IATableText"/>
    <w:rsid w:val="002E46F4"/>
    <w:pPr>
      <w:jc w:val="right"/>
    </w:pPr>
  </w:style>
  <w:style w:type="paragraph" w:customStyle="1" w:styleId="POAACostsHigh">
    <w:name w:val="POAACostsHigh"/>
    <w:basedOn w:val="POAACostsLow"/>
    <w:rsid w:val="002E46F4"/>
  </w:style>
  <w:style w:type="paragraph" w:customStyle="1" w:styleId="POAACostsBest">
    <w:name w:val="POAACostsBest"/>
    <w:basedOn w:val="IATableText"/>
    <w:rsid w:val="002E46F4"/>
    <w:pPr>
      <w:jc w:val="right"/>
    </w:pPr>
  </w:style>
  <w:style w:type="paragraph" w:customStyle="1" w:styleId="POTCCostsLow">
    <w:name w:val="POTCCostsLow"/>
    <w:basedOn w:val="IATableText"/>
    <w:rsid w:val="002E46F4"/>
    <w:pPr>
      <w:jc w:val="right"/>
    </w:pPr>
  </w:style>
  <w:style w:type="paragraph" w:customStyle="1" w:styleId="POTCCostsHigh">
    <w:name w:val="POTCCostsHigh"/>
    <w:basedOn w:val="IATableText"/>
    <w:rsid w:val="002E46F4"/>
    <w:pPr>
      <w:jc w:val="right"/>
    </w:pPr>
  </w:style>
  <w:style w:type="paragraph" w:customStyle="1" w:styleId="POTCCostsBest">
    <w:name w:val="POTCCostsBest"/>
    <w:basedOn w:val="IATableText"/>
    <w:rsid w:val="002E46F4"/>
    <w:pPr>
      <w:jc w:val="right"/>
    </w:pPr>
  </w:style>
  <w:style w:type="paragraph" w:customStyle="1" w:styleId="IAPOQ1">
    <w:name w:val="IAPOQ1"/>
    <w:basedOn w:val="IATableLabel"/>
    <w:rsid w:val="002E46F4"/>
  </w:style>
  <w:style w:type="paragraph" w:customStyle="1" w:styleId="IAPOA1">
    <w:name w:val="IAPOA1"/>
    <w:basedOn w:val="IATableLines"/>
    <w:rsid w:val="002E46F4"/>
  </w:style>
  <w:style w:type="paragraph" w:customStyle="1" w:styleId="IAPOQ2">
    <w:name w:val="IAPOQ2"/>
    <w:basedOn w:val="IATableLabel"/>
    <w:link w:val="IAPOQ2Char"/>
    <w:rsid w:val="002E46F4"/>
  </w:style>
  <w:style w:type="paragraph" w:customStyle="1" w:styleId="IAPOA2">
    <w:name w:val="IAPOA2"/>
    <w:basedOn w:val="IATableLines"/>
    <w:rsid w:val="002E46F4"/>
  </w:style>
  <w:style w:type="paragraph" w:customStyle="1" w:styleId="POTTBenLow">
    <w:name w:val="POTTBenLow"/>
    <w:basedOn w:val="POTTCostsLow"/>
    <w:rsid w:val="002E46F4"/>
  </w:style>
  <w:style w:type="paragraph" w:customStyle="1" w:styleId="POTTBenHigh">
    <w:name w:val="POTTBenHigh"/>
    <w:basedOn w:val="POTTCostsHigh"/>
    <w:rsid w:val="002E46F4"/>
  </w:style>
  <w:style w:type="paragraph" w:customStyle="1" w:styleId="POTTBenBest">
    <w:name w:val="POTTBenBest"/>
    <w:basedOn w:val="POTTCostsBest"/>
    <w:rsid w:val="002E46F4"/>
  </w:style>
  <w:style w:type="paragraph" w:customStyle="1" w:styleId="POAABenLow">
    <w:name w:val="POAABenLow"/>
    <w:basedOn w:val="POAACostsLow"/>
    <w:rsid w:val="002E46F4"/>
  </w:style>
  <w:style w:type="paragraph" w:customStyle="1" w:styleId="POAABenHigh">
    <w:name w:val="POAABenHigh"/>
    <w:basedOn w:val="POAABenLow"/>
    <w:rsid w:val="002E46F4"/>
  </w:style>
  <w:style w:type="paragraph" w:customStyle="1" w:styleId="POAABenBest">
    <w:name w:val="POAABenBest"/>
    <w:basedOn w:val="POAABenHigh"/>
    <w:rsid w:val="002E46F4"/>
  </w:style>
  <w:style w:type="paragraph" w:customStyle="1" w:styleId="POTBBenLow">
    <w:name w:val="POTBBenLow"/>
    <w:basedOn w:val="POTCCostsLow"/>
    <w:rsid w:val="002E46F4"/>
  </w:style>
  <w:style w:type="paragraph" w:customStyle="1" w:styleId="POTBBenHigh">
    <w:name w:val="POTBBenHigh"/>
    <w:basedOn w:val="POTBBenLow"/>
    <w:rsid w:val="002E46F4"/>
  </w:style>
  <w:style w:type="paragraph" w:customStyle="1" w:styleId="POTBBenBest">
    <w:name w:val="POTBBenBest"/>
    <w:basedOn w:val="POTBBenHigh"/>
    <w:rsid w:val="002E46F4"/>
  </w:style>
  <w:style w:type="paragraph" w:customStyle="1" w:styleId="IPPOQ3">
    <w:name w:val="IPPOQ3"/>
    <w:basedOn w:val="IAPOQ2"/>
    <w:link w:val="IPPOQ3Char"/>
    <w:rsid w:val="002E46F4"/>
  </w:style>
  <w:style w:type="paragraph" w:customStyle="1" w:styleId="IAPOQ4">
    <w:name w:val="IAPOQ4"/>
    <w:basedOn w:val="IPPOQ3"/>
    <w:link w:val="IAPOQ4Char"/>
    <w:rsid w:val="002E46F4"/>
  </w:style>
  <w:style w:type="paragraph" w:customStyle="1" w:styleId="IAPOA3">
    <w:name w:val="IAPOA3"/>
    <w:basedOn w:val="IAPOA2"/>
    <w:rsid w:val="002E46F4"/>
  </w:style>
  <w:style w:type="paragraph" w:customStyle="1" w:styleId="IAPOA4">
    <w:name w:val="IAPOA4"/>
    <w:basedOn w:val="IAPOA3"/>
    <w:rsid w:val="002E46F4"/>
  </w:style>
  <w:style w:type="paragraph" w:customStyle="1" w:styleId="IAPOA5">
    <w:name w:val="IAPOA5"/>
    <w:basedOn w:val="IAPOA4"/>
    <w:rsid w:val="002E46F4"/>
  </w:style>
  <w:style w:type="paragraph" w:customStyle="1" w:styleId="IAPOQ5">
    <w:name w:val="IAPOQ5"/>
    <w:basedOn w:val="IAPOQ4"/>
    <w:link w:val="IAPOQ5Char"/>
    <w:rsid w:val="002E46F4"/>
  </w:style>
  <w:style w:type="character" w:customStyle="1" w:styleId="IAPOQ2Char">
    <w:name w:val="IAPOQ2 Char"/>
    <w:link w:val="IAPOQ2"/>
    <w:locked/>
    <w:rsid w:val="002E46F4"/>
    <w:rPr>
      <w:rFonts w:ascii="Arial" w:eastAsia="SimSun" w:hAnsi="Arial" w:cs="Times New Roman"/>
      <w:b/>
      <w:color w:val="000000"/>
      <w:spacing w:val="-5"/>
      <w:sz w:val="20"/>
      <w:szCs w:val="20"/>
      <w:lang w:val="en-GB" w:eastAsia="zh-CN"/>
    </w:rPr>
  </w:style>
  <w:style w:type="character" w:customStyle="1" w:styleId="IPPOQ3Char">
    <w:name w:val="IPPOQ3 Char"/>
    <w:link w:val="IPPOQ3"/>
    <w:locked/>
    <w:rsid w:val="002E46F4"/>
    <w:rPr>
      <w:rFonts w:ascii="Arial" w:eastAsia="SimSun" w:hAnsi="Arial" w:cs="Times New Roman"/>
      <w:b/>
      <w:color w:val="000000"/>
      <w:spacing w:val="-5"/>
      <w:sz w:val="20"/>
      <w:szCs w:val="20"/>
      <w:lang w:val="en-GB" w:eastAsia="zh-CN"/>
    </w:rPr>
  </w:style>
  <w:style w:type="character" w:customStyle="1" w:styleId="IAPOQ4Char">
    <w:name w:val="IAPOQ4 Char"/>
    <w:link w:val="IAPOQ4"/>
    <w:locked/>
    <w:rsid w:val="002E46F4"/>
    <w:rPr>
      <w:rFonts w:ascii="Arial" w:eastAsia="SimSun" w:hAnsi="Arial" w:cs="Times New Roman"/>
      <w:b/>
      <w:color w:val="000000"/>
      <w:spacing w:val="-5"/>
      <w:sz w:val="20"/>
      <w:szCs w:val="20"/>
      <w:lang w:val="en-GB" w:eastAsia="zh-CN"/>
    </w:rPr>
  </w:style>
  <w:style w:type="character" w:customStyle="1" w:styleId="IAPOQ5Char">
    <w:name w:val="IAPOQ5 Char"/>
    <w:link w:val="IAPOQ5"/>
    <w:locked/>
    <w:rsid w:val="002E46F4"/>
    <w:rPr>
      <w:rFonts w:ascii="Arial" w:eastAsia="SimSun" w:hAnsi="Arial" w:cs="Times New Roman"/>
      <w:b/>
      <w:color w:val="000000"/>
      <w:spacing w:val="-5"/>
      <w:sz w:val="20"/>
      <w:szCs w:val="20"/>
      <w:lang w:val="en-GB" w:eastAsia="zh-CN"/>
    </w:rPr>
  </w:style>
  <w:style w:type="paragraph" w:customStyle="1" w:styleId="IAPODisRate">
    <w:name w:val="IAPODisRate"/>
    <w:basedOn w:val="IATableLabel"/>
    <w:rsid w:val="002E46F4"/>
    <w:pPr>
      <w:ind w:left="0"/>
      <w:jc w:val="center"/>
    </w:pPr>
    <w:rPr>
      <w:b w:val="0"/>
    </w:rPr>
  </w:style>
  <w:style w:type="paragraph" w:customStyle="1" w:styleId="IAPODICost">
    <w:name w:val="IAPODICost"/>
    <w:basedOn w:val="IATableLabel"/>
    <w:link w:val="IAPODICostChar"/>
    <w:rsid w:val="002E46F4"/>
    <w:rPr>
      <w:sz w:val="22"/>
    </w:rPr>
  </w:style>
  <w:style w:type="character" w:customStyle="1" w:styleId="IAPODICostChar">
    <w:name w:val="IAPODICost Char"/>
    <w:link w:val="IAPODICost"/>
    <w:locked/>
    <w:rsid w:val="002E46F4"/>
    <w:rPr>
      <w:rFonts w:ascii="Arial" w:eastAsia="SimSun" w:hAnsi="Arial" w:cs="Times New Roman"/>
      <w:b/>
      <w:color w:val="000000"/>
      <w:spacing w:val="-5"/>
      <w:szCs w:val="20"/>
      <w:lang w:val="en-GB" w:eastAsia="zh-CN"/>
    </w:rPr>
  </w:style>
  <w:style w:type="paragraph" w:customStyle="1" w:styleId="IAPODIBen">
    <w:name w:val="IAPODIBen"/>
    <w:basedOn w:val="IATableLabel"/>
    <w:link w:val="IAPODIBenChar"/>
    <w:rsid w:val="002E46F4"/>
    <w:rPr>
      <w:sz w:val="22"/>
    </w:rPr>
  </w:style>
  <w:style w:type="paragraph" w:customStyle="1" w:styleId="IAPODINet">
    <w:name w:val="IAPODINet"/>
    <w:basedOn w:val="IATableLabel"/>
    <w:link w:val="IAPODINetChar"/>
    <w:rsid w:val="002E46F4"/>
    <w:rPr>
      <w:sz w:val="22"/>
    </w:rPr>
  </w:style>
  <w:style w:type="paragraph" w:customStyle="1" w:styleId="IAPODIOIOO">
    <w:name w:val="IAPODIOIOO"/>
    <w:basedOn w:val="IATableLabel"/>
    <w:rsid w:val="002E46F4"/>
    <w:rPr>
      <w:b w:val="0"/>
      <w:sz w:val="22"/>
      <w:szCs w:val="22"/>
    </w:rPr>
  </w:style>
  <w:style w:type="character" w:customStyle="1" w:styleId="IAPODINetChar">
    <w:name w:val="IAPODINet Char"/>
    <w:link w:val="IAPODINet"/>
    <w:locked/>
    <w:rsid w:val="002E46F4"/>
    <w:rPr>
      <w:rFonts w:ascii="Arial" w:eastAsia="SimSun" w:hAnsi="Arial" w:cs="Times New Roman"/>
      <w:b/>
      <w:color w:val="000000"/>
      <w:spacing w:val="-5"/>
      <w:szCs w:val="20"/>
      <w:lang w:val="en-GB" w:eastAsia="zh-CN"/>
    </w:rPr>
  </w:style>
  <w:style w:type="character" w:customStyle="1" w:styleId="IAPODIBenChar">
    <w:name w:val="IAPODIBen Char"/>
    <w:link w:val="IAPODIBen"/>
    <w:locked/>
    <w:rsid w:val="002E46F4"/>
    <w:rPr>
      <w:rFonts w:ascii="Arial" w:eastAsia="SimSun" w:hAnsi="Arial" w:cs="Times New Roman"/>
      <w:b/>
      <w:color w:val="000000"/>
      <w:spacing w:val="-5"/>
      <w:szCs w:val="20"/>
      <w:lang w:val="en-GB" w:eastAsia="zh-CN"/>
    </w:rPr>
  </w:style>
  <w:style w:type="paragraph" w:customStyle="1" w:styleId="IAPODIMQ">
    <w:name w:val="IAPODIMQ"/>
    <w:basedOn w:val="IATableText"/>
    <w:rsid w:val="002E46F4"/>
    <w:rPr>
      <w:sz w:val="20"/>
    </w:rPr>
  </w:style>
  <w:style w:type="paragraph" w:customStyle="1" w:styleId="ebbullet0">
    <w:name w:val="ebbullet"/>
    <w:basedOn w:val="Normal"/>
    <w:rsid w:val="002E46F4"/>
    <w:pPr>
      <w:spacing w:before="100" w:beforeAutospacing="1" w:after="100" w:afterAutospacing="1"/>
    </w:pPr>
  </w:style>
  <w:style w:type="paragraph" w:customStyle="1" w:styleId="IATitle">
    <w:name w:val="IATitle"/>
    <w:basedOn w:val="Normal"/>
    <w:rsid w:val="002E46F4"/>
    <w:pPr>
      <w:ind w:left="113"/>
    </w:pPr>
    <w:rPr>
      <w:rFonts w:eastAsia="SimSun" w:cs="Arial"/>
      <w:sz w:val="20"/>
    </w:rPr>
  </w:style>
  <w:style w:type="paragraph" w:customStyle="1" w:styleId="IANo">
    <w:name w:val="IANo"/>
    <w:basedOn w:val="Normal"/>
    <w:link w:val="IANoChar"/>
    <w:rsid w:val="002E46F4"/>
    <w:pPr>
      <w:ind w:left="113"/>
    </w:pPr>
    <w:rPr>
      <w:rFonts w:ascii="Arial" w:eastAsia="SimSun" w:hAnsi="Arial"/>
      <w:b/>
      <w:spacing w:val="-6"/>
      <w:sz w:val="22"/>
      <w:lang w:eastAsia="en-US"/>
    </w:rPr>
  </w:style>
  <w:style w:type="character" w:customStyle="1" w:styleId="IAHeadDeptChar">
    <w:name w:val="IAHeadDept Char"/>
    <w:link w:val="IAHeadDept"/>
    <w:locked/>
    <w:rsid w:val="002E46F4"/>
    <w:rPr>
      <w:rFonts w:ascii="Arial" w:eastAsia="SimSun" w:hAnsi="Arial" w:cs="Times New Roman"/>
      <w:b/>
      <w:color w:val="000000"/>
      <w:spacing w:val="-6"/>
      <w:szCs w:val="20"/>
      <w:lang w:val="en-GB" w:eastAsia="zh-CN"/>
    </w:rPr>
  </w:style>
  <w:style w:type="character" w:customStyle="1" w:styleId="IAHeadTitleChar">
    <w:name w:val="IAHeadTitle Char"/>
    <w:link w:val="IAHeadTitle"/>
    <w:locked/>
    <w:rsid w:val="002E46F4"/>
    <w:rPr>
      <w:rFonts w:ascii="Arial" w:eastAsia="SimSun" w:hAnsi="Arial" w:cs="Times New Roman"/>
      <w:color w:val="000000"/>
      <w:spacing w:val="-6"/>
      <w:sz w:val="28"/>
      <w:szCs w:val="20"/>
      <w:lang w:val="en-GB" w:eastAsia="zh-CN"/>
    </w:rPr>
  </w:style>
  <w:style w:type="character" w:customStyle="1" w:styleId="IANoChar">
    <w:name w:val="IANo Char"/>
    <w:link w:val="IANo"/>
    <w:locked/>
    <w:rsid w:val="002E46F4"/>
    <w:rPr>
      <w:rFonts w:ascii="Arial" w:eastAsia="SimSun" w:hAnsi="Arial" w:cs="Times New Roman"/>
      <w:b/>
      <w:color w:val="000000"/>
      <w:spacing w:val="-6"/>
      <w:szCs w:val="20"/>
      <w:lang w:val="en-GB"/>
    </w:rPr>
  </w:style>
  <w:style w:type="paragraph" w:customStyle="1" w:styleId="IALeadDept">
    <w:name w:val="IALeadDept"/>
    <w:basedOn w:val="Normal"/>
    <w:rsid w:val="002E46F4"/>
    <w:pPr>
      <w:ind w:left="113"/>
    </w:pPr>
    <w:rPr>
      <w:rFonts w:cs="Arial"/>
      <w:noProof/>
      <w:sz w:val="20"/>
    </w:rPr>
  </w:style>
  <w:style w:type="paragraph" w:customStyle="1" w:styleId="IAOtherDepts">
    <w:name w:val="IAOtherDepts"/>
    <w:basedOn w:val="IATableLabel"/>
    <w:rsid w:val="002E46F4"/>
    <w:pPr>
      <w:spacing w:after="0"/>
    </w:pPr>
    <w:rPr>
      <w:b w:val="0"/>
    </w:rPr>
  </w:style>
  <w:style w:type="paragraph" w:customStyle="1" w:styleId="IADate">
    <w:name w:val="IADate"/>
    <w:basedOn w:val="IATableLabel"/>
    <w:link w:val="IADateChar"/>
    <w:rsid w:val="002E46F4"/>
    <w:rPr>
      <w:sz w:val="22"/>
    </w:rPr>
  </w:style>
  <w:style w:type="paragraph" w:customStyle="1" w:styleId="IAStage">
    <w:name w:val="IAStage"/>
    <w:basedOn w:val="IATableLabel"/>
    <w:link w:val="IAStageChar"/>
    <w:rsid w:val="002E46F4"/>
    <w:rPr>
      <w:sz w:val="22"/>
    </w:rPr>
  </w:style>
  <w:style w:type="paragraph" w:customStyle="1" w:styleId="IASOI">
    <w:name w:val="IASOI"/>
    <w:basedOn w:val="IATableLabel"/>
    <w:link w:val="IASOIChar"/>
    <w:rsid w:val="002E46F4"/>
    <w:rPr>
      <w:sz w:val="22"/>
    </w:rPr>
  </w:style>
  <w:style w:type="paragraph" w:customStyle="1" w:styleId="IATOM">
    <w:name w:val="IATOM"/>
    <w:basedOn w:val="IATableLabel"/>
    <w:link w:val="IATOMChar"/>
    <w:rsid w:val="002E46F4"/>
    <w:rPr>
      <w:sz w:val="22"/>
    </w:rPr>
  </w:style>
  <w:style w:type="paragraph" w:customStyle="1" w:styleId="IACOE">
    <w:name w:val="IACOE"/>
    <w:basedOn w:val="Normal"/>
    <w:link w:val="IACOEChar"/>
    <w:autoRedefine/>
    <w:rsid w:val="002E46F4"/>
    <w:rPr>
      <w:rFonts w:ascii="Arial" w:eastAsia="SimSun" w:hAnsi="Arial"/>
      <w:b/>
      <w:spacing w:val="-5"/>
      <w:lang w:eastAsia="zh-CN"/>
    </w:rPr>
  </w:style>
  <w:style w:type="paragraph" w:customStyle="1" w:styleId="IARPC">
    <w:name w:val="IARPC"/>
    <w:basedOn w:val="Title"/>
    <w:link w:val="IARPCChar"/>
    <w:rsid w:val="002E46F4"/>
    <w:rPr>
      <w:rFonts w:ascii="Arial" w:eastAsia="SimSun" w:hAnsi="Arial" w:cs="Times New Roman"/>
      <w:bCs w:val="0"/>
      <w:color w:val="000000"/>
      <w:sz w:val="24"/>
      <w:szCs w:val="20"/>
      <w:lang w:eastAsia="en-US"/>
    </w:rPr>
  </w:style>
  <w:style w:type="paragraph" w:customStyle="1" w:styleId="IAIIOTNPV">
    <w:name w:val="IAIIOTNPV"/>
    <w:basedOn w:val="IATableLabel"/>
    <w:rsid w:val="002E46F4"/>
    <w:pPr>
      <w:spacing w:before="0" w:after="0"/>
      <w:jc w:val="both"/>
    </w:pPr>
    <w:rPr>
      <w:b w:val="0"/>
      <w:sz w:val="22"/>
      <w:szCs w:val="22"/>
    </w:rPr>
  </w:style>
  <w:style w:type="paragraph" w:customStyle="1" w:styleId="IAIOBNPV">
    <w:name w:val="IAIOBNPV"/>
    <w:basedOn w:val="IATableLabel"/>
    <w:rsid w:val="002E46F4"/>
    <w:pPr>
      <w:spacing w:before="0" w:after="0"/>
    </w:pPr>
    <w:rPr>
      <w:b w:val="0"/>
      <w:sz w:val="22"/>
      <w:szCs w:val="22"/>
    </w:rPr>
  </w:style>
  <w:style w:type="paragraph" w:customStyle="1" w:styleId="IAIONCTBPY">
    <w:name w:val="IAIONCTBPY"/>
    <w:basedOn w:val="IATableLabel"/>
    <w:rsid w:val="002E46F4"/>
    <w:pPr>
      <w:spacing w:before="0" w:after="0"/>
    </w:pPr>
    <w:rPr>
      <w:b w:val="0"/>
      <w:sz w:val="22"/>
      <w:szCs w:val="22"/>
    </w:rPr>
  </w:style>
  <w:style w:type="paragraph" w:customStyle="1" w:styleId="IAIOInScopeInOut">
    <w:name w:val="IAIOInScopeInOut"/>
    <w:basedOn w:val="IATableLabel"/>
    <w:rsid w:val="002E46F4"/>
    <w:pPr>
      <w:spacing w:before="0" w:after="0"/>
    </w:pPr>
    <w:rPr>
      <w:b w:val="0"/>
      <w:sz w:val="22"/>
      <w:szCs w:val="22"/>
    </w:rPr>
  </w:style>
  <w:style w:type="paragraph" w:customStyle="1" w:styleId="IAIOPrefMQ">
    <w:name w:val="IAIOPrefMQ"/>
    <w:basedOn w:val="IATableText"/>
    <w:rsid w:val="002E46F4"/>
    <w:pPr>
      <w:spacing w:before="0" w:after="0"/>
    </w:pPr>
    <w:rPr>
      <w:szCs w:val="22"/>
    </w:rPr>
  </w:style>
  <w:style w:type="paragraph" w:customStyle="1" w:styleId="IAIOQ1">
    <w:name w:val="IAIOQ1"/>
    <w:basedOn w:val="IATableLabel"/>
    <w:rsid w:val="002E46F4"/>
  </w:style>
  <w:style w:type="paragraph" w:customStyle="1" w:styleId="IAIOA1">
    <w:name w:val="IAIOA1"/>
    <w:basedOn w:val="IATableLines"/>
    <w:rsid w:val="002E46F4"/>
  </w:style>
  <w:style w:type="paragraph" w:customStyle="1" w:styleId="IAIOQ2">
    <w:name w:val="IAIOQ2"/>
    <w:basedOn w:val="IATableLabel"/>
    <w:rsid w:val="002E46F4"/>
  </w:style>
  <w:style w:type="paragraph" w:customStyle="1" w:styleId="IAIOA2">
    <w:name w:val="IAIOA2"/>
    <w:basedOn w:val="IATableLines"/>
    <w:rsid w:val="002E46F4"/>
  </w:style>
  <w:style w:type="paragraph" w:customStyle="1" w:styleId="IAIOQ3">
    <w:name w:val="IAIOQ3"/>
    <w:basedOn w:val="IATableLabel"/>
    <w:rsid w:val="002E46F4"/>
  </w:style>
  <w:style w:type="paragraph" w:customStyle="1" w:styleId="IAIOA3">
    <w:name w:val="IAIOA3"/>
    <w:basedOn w:val="IATableLines"/>
    <w:rsid w:val="002E46F4"/>
  </w:style>
  <w:style w:type="paragraph" w:customStyle="1" w:styleId="IAIOPolicyReview">
    <w:name w:val="IAIOPolicyReview"/>
    <w:basedOn w:val="IATableLabel"/>
    <w:link w:val="IAIOPolicyReviewChar"/>
    <w:rsid w:val="002E46F4"/>
    <w:rPr>
      <w:sz w:val="22"/>
    </w:rPr>
  </w:style>
  <w:style w:type="character" w:customStyle="1" w:styleId="IAIOPolicyReviewChar">
    <w:name w:val="IAIOPolicyReview Char"/>
    <w:link w:val="IAIOPolicyReview"/>
    <w:locked/>
    <w:rsid w:val="002E46F4"/>
    <w:rPr>
      <w:rFonts w:ascii="Arial" w:eastAsia="SimSun" w:hAnsi="Arial" w:cs="Times New Roman"/>
      <w:b/>
      <w:color w:val="000000"/>
      <w:spacing w:val="-5"/>
      <w:szCs w:val="20"/>
      <w:lang w:val="en-GB" w:eastAsia="zh-CN"/>
    </w:rPr>
  </w:style>
  <w:style w:type="paragraph" w:customStyle="1" w:styleId="IAIOReviewMonth">
    <w:name w:val="IAIOReviewMonth"/>
    <w:basedOn w:val="IATableLabel"/>
    <w:link w:val="IAIOReviewMonthChar"/>
    <w:rsid w:val="002E46F4"/>
    <w:rPr>
      <w:sz w:val="22"/>
    </w:rPr>
  </w:style>
  <w:style w:type="paragraph" w:customStyle="1" w:styleId="IAIOReviewYear">
    <w:name w:val="IAIOReviewYear"/>
    <w:basedOn w:val="IATableLabel"/>
    <w:link w:val="IAIOReviewYearChar"/>
    <w:rsid w:val="002E46F4"/>
    <w:rPr>
      <w:sz w:val="22"/>
    </w:rPr>
  </w:style>
  <w:style w:type="paragraph" w:customStyle="1" w:styleId="IAIOCheckEU">
    <w:name w:val="IAIOCheckEU"/>
    <w:basedOn w:val="IATableText"/>
    <w:rsid w:val="002E46F4"/>
    <w:pPr>
      <w:spacing w:before="0" w:after="0"/>
    </w:pPr>
    <w:rPr>
      <w:sz w:val="20"/>
    </w:rPr>
  </w:style>
  <w:style w:type="character" w:customStyle="1" w:styleId="IAIOReviewYearChar">
    <w:name w:val="IAIOReviewYear Char"/>
    <w:link w:val="IAIOReviewYear"/>
    <w:locked/>
    <w:rsid w:val="002E46F4"/>
    <w:rPr>
      <w:rFonts w:ascii="Arial" w:eastAsia="SimSun" w:hAnsi="Arial" w:cs="Times New Roman"/>
      <w:b/>
      <w:color w:val="000000"/>
      <w:spacing w:val="-5"/>
      <w:szCs w:val="20"/>
      <w:lang w:val="en-GB" w:eastAsia="zh-CN"/>
    </w:rPr>
  </w:style>
  <w:style w:type="character" w:customStyle="1" w:styleId="IAIOReviewMonthChar">
    <w:name w:val="IAIOReviewMonth Char"/>
    <w:link w:val="IAIOReviewMonth"/>
    <w:locked/>
    <w:rsid w:val="002E46F4"/>
    <w:rPr>
      <w:rFonts w:ascii="Arial" w:eastAsia="SimSun" w:hAnsi="Arial" w:cs="Times New Roman"/>
      <w:b/>
      <w:color w:val="000000"/>
      <w:spacing w:val="-5"/>
      <w:szCs w:val="20"/>
      <w:lang w:val="en-GB" w:eastAsia="zh-CN"/>
    </w:rPr>
  </w:style>
  <w:style w:type="paragraph" w:customStyle="1" w:styleId="IAIOCheckMicro">
    <w:name w:val="IAIOCheckMicro"/>
    <w:basedOn w:val="IATableLines"/>
    <w:link w:val="IAIOCheckMicroChar"/>
    <w:rsid w:val="002E46F4"/>
    <w:rPr>
      <w:sz w:val="20"/>
    </w:rPr>
  </w:style>
  <w:style w:type="paragraph" w:customStyle="1" w:styleId="IAIOCheck20">
    <w:name w:val="IAIOCheck20"/>
    <w:basedOn w:val="IATableLines"/>
    <w:rsid w:val="002E46F4"/>
    <w:rPr>
      <w:sz w:val="20"/>
    </w:rPr>
  </w:style>
  <w:style w:type="paragraph" w:customStyle="1" w:styleId="IAIOCheckSmall">
    <w:name w:val="IAIOCheckSmall"/>
    <w:basedOn w:val="IATableLines"/>
    <w:link w:val="IAIOCheckSmallChar"/>
    <w:rsid w:val="002E46F4"/>
    <w:rPr>
      <w:sz w:val="20"/>
    </w:rPr>
  </w:style>
  <w:style w:type="paragraph" w:customStyle="1" w:styleId="IAIOCheckMedium">
    <w:name w:val="IAIOCheckMedium"/>
    <w:basedOn w:val="IATableLines"/>
    <w:link w:val="IAIOCheckMediumChar"/>
    <w:rsid w:val="002E46F4"/>
    <w:rPr>
      <w:sz w:val="20"/>
    </w:rPr>
  </w:style>
  <w:style w:type="paragraph" w:customStyle="1" w:styleId="IAIOCheckLarge">
    <w:name w:val="IAIOCheckLarge"/>
    <w:basedOn w:val="IATableLines"/>
    <w:link w:val="IAIOCheckLargeChar"/>
    <w:rsid w:val="002E46F4"/>
    <w:rPr>
      <w:sz w:val="20"/>
    </w:rPr>
  </w:style>
  <w:style w:type="paragraph" w:customStyle="1" w:styleId="IAIOCO2Traded">
    <w:name w:val="IAIOCO2Traded"/>
    <w:basedOn w:val="IATableLabel"/>
    <w:link w:val="IAIOCO2TradedChar"/>
    <w:rsid w:val="002E46F4"/>
    <w:rPr>
      <w:sz w:val="22"/>
    </w:rPr>
  </w:style>
  <w:style w:type="paragraph" w:customStyle="1" w:styleId="IAIOCO2NonTraded">
    <w:name w:val="IAIOCO2NonTraded"/>
    <w:basedOn w:val="IAIOCO2Traded"/>
    <w:rsid w:val="002E46F4"/>
    <w:rPr>
      <w:sz w:val="20"/>
    </w:rPr>
  </w:style>
  <w:style w:type="paragraph" w:customStyle="1" w:styleId="IAIOtextSign">
    <w:name w:val="IAIOtextSign"/>
    <w:basedOn w:val="Normal"/>
    <w:rsid w:val="002E46F4"/>
    <w:pPr>
      <w:jc w:val="center"/>
    </w:pPr>
  </w:style>
  <w:style w:type="paragraph" w:customStyle="1" w:styleId="IAIOSigDate">
    <w:name w:val="IAIOSigDate"/>
    <w:basedOn w:val="Normal"/>
    <w:rsid w:val="002E46F4"/>
    <w:pPr>
      <w:jc w:val="center"/>
    </w:pPr>
    <w:rPr>
      <w:sz w:val="22"/>
      <w:szCs w:val="22"/>
    </w:rPr>
  </w:style>
  <w:style w:type="paragraph" w:customStyle="1" w:styleId="IAPODescription">
    <w:name w:val="IAPODescription"/>
    <w:basedOn w:val="IAHeadLabel"/>
    <w:link w:val="IAPODescriptionCharChar"/>
    <w:rsid w:val="002E46F4"/>
    <w:pPr>
      <w:spacing w:before="50"/>
    </w:pPr>
    <w:rPr>
      <w:b w:val="0"/>
    </w:rPr>
  </w:style>
  <w:style w:type="character" w:customStyle="1" w:styleId="IAPODescriptionCharChar">
    <w:name w:val="IAPODescription Char Char"/>
    <w:link w:val="IAPODescription"/>
    <w:locked/>
    <w:rsid w:val="002E46F4"/>
    <w:rPr>
      <w:rFonts w:ascii="Arial" w:eastAsia="SimSun" w:hAnsi="Arial" w:cs="Times New Roman"/>
      <w:color w:val="000000"/>
      <w:spacing w:val="-5"/>
      <w:sz w:val="20"/>
      <w:szCs w:val="20"/>
      <w:lang w:val="en-GB" w:eastAsia="zh-CN"/>
    </w:rPr>
  </w:style>
  <w:style w:type="character" w:customStyle="1" w:styleId="IADateChar">
    <w:name w:val="IADate Char"/>
    <w:link w:val="IADate"/>
    <w:locked/>
    <w:rsid w:val="002E46F4"/>
    <w:rPr>
      <w:rFonts w:ascii="Arial" w:eastAsia="SimSun" w:hAnsi="Arial" w:cs="Times New Roman"/>
      <w:b/>
      <w:color w:val="000000"/>
      <w:spacing w:val="-5"/>
      <w:szCs w:val="20"/>
      <w:lang w:val="en-GB" w:eastAsia="zh-CN"/>
    </w:rPr>
  </w:style>
  <w:style w:type="character" w:customStyle="1" w:styleId="IATableLinesChar">
    <w:name w:val="IATableLines Char"/>
    <w:link w:val="IATableLines"/>
    <w:locked/>
    <w:rsid w:val="002E46F4"/>
    <w:rPr>
      <w:rFonts w:ascii="Arial" w:eastAsia="SimSun" w:hAnsi="Arial" w:cs="Times New Roman"/>
      <w:b/>
      <w:color w:val="000000"/>
      <w:spacing w:val="-5"/>
      <w:szCs w:val="20"/>
      <w:lang w:val="en-GB" w:eastAsia="zh-CN"/>
    </w:rPr>
  </w:style>
  <w:style w:type="character" w:customStyle="1" w:styleId="IACOEChar">
    <w:name w:val="IACOE Char"/>
    <w:link w:val="IACOE"/>
    <w:locked/>
    <w:rsid w:val="002E46F4"/>
    <w:rPr>
      <w:rFonts w:ascii="Arial" w:eastAsia="SimSun" w:hAnsi="Arial" w:cs="Times New Roman"/>
      <w:b/>
      <w:color w:val="000000"/>
      <w:spacing w:val="-5"/>
      <w:sz w:val="24"/>
      <w:szCs w:val="20"/>
      <w:lang w:val="en-GB" w:eastAsia="zh-CN"/>
    </w:rPr>
  </w:style>
  <w:style w:type="character" w:customStyle="1" w:styleId="IAStageChar">
    <w:name w:val="IAStage Char"/>
    <w:link w:val="IAStage"/>
    <w:locked/>
    <w:rsid w:val="002E46F4"/>
    <w:rPr>
      <w:rFonts w:ascii="Arial" w:eastAsia="SimSun" w:hAnsi="Arial" w:cs="Times New Roman"/>
      <w:b/>
      <w:color w:val="000000"/>
      <w:spacing w:val="-5"/>
      <w:szCs w:val="20"/>
      <w:lang w:val="en-GB" w:eastAsia="zh-CN"/>
    </w:rPr>
  </w:style>
  <w:style w:type="character" w:customStyle="1" w:styleId="IASOIChar">
    <w:name w:val="IASOI Char"/>
    <w:link w:val="IASOI"/>
    <w:locked/>
    <w:rsid w:val="002E46F4"/>
    <w:rPr>
      <w:rFonts w:ascii="Arial" w:eastAsia="SimSun" w:hAnsi="Arial" w:cs="Times New Roman"/>
      <w:b/>
      <w:color w:val="000000"/>
      <w:spacing w:val="-5"/>
      <w:szCs w:val="20"/>
      <w:lang w:val="en-GB" w:eastAsia="zh-CN"/>
    </w:rPr>
  </w:style>
  <w:style w:type="character" w:customStyle="1" w:styleId="IATOMChar">
    <w:name w:val="IATOM Char"/>
    <w:link w:val="IATOM"/>
    <w:locked/>
    <w:rsid w:val="002E46F4"/>
    <w:rPr>
      <w:rFonts w:ascii="Arial" w:eastAsia="SimSun" w:hAnsi="Arial" w:cs="Times New Roman"/>
      <w:b/>
      <w:color w:val="000000"/>
      <w:spacing w:val="-5"/>
      <w:szCs w:val="20"/>
      <w:lang w:val="en-GB" w:eastAsia="zh-CN"/>
    </w:rPr>
  </w:style>
  <w:style w:type="character" w:customStyle="1" w:styleId="IARPCChar">
    <w:name w:val="IARPC Char"/>
    <w:link w:val="IARPC"/>
    <w:locked/>
    <w:rsid w:val="002E46F4"/>
    <w:rPr>
      <w:rFonts w:ascii="Arial" w:eastAsia="SimSun" w:hAnsi="Arial" w:cs="Times New Roman"/>
      <w:color w:val="000000"/>
      <w:kern w:val="28"/>
      <w:sz w:val="24"/>
      <w:szCs w:val="20"/>
      <w:lang w:val="en-GB"/>
    </w:rPr>
  </w:style>
  <w:style w:type="character" w:customStyle="1" w:styleId="IAIOCheckMicroChar">
    <w:name w:val="IAIOCheckMicro Char"/>
    <w:link w:val="IAIOCheckMicro"/>
    <w:locked/>
    <w:rsid w:val="002E46F4"/>
    <w:rPr>
      <w:rFonts w:ascii="Arial" w:eastAsia="SimSun" w:hAnsi="Arial" w:cs="Times New Roman"/>
      <w:b/>
      <w:color w:val="000000"/>
      <w:spacing w:val="-5"/>
      <w:sz w:val="20"/>
      <w:szCs w:val="20"/>
      <w:lang w:val="en-GB" w:eastAsia="zh-CN"/>
    </w:rPr>
  </w:style>
  <w:style w:type="character" w:customStyle="1" w:styleId="IAIOCheckSmallChar">
    <w:name w:val="IAIOCheckSmall Char"/>
    <w:link w:val="IAIOCheckSmall"/>
    <w:locked/>
    <w:rsid w:val="002E46F4"/>
    <w:rPr>
      <w:rFonts w:ascii="Arial" w:eastAsia="SimSun" w:hAnsi="Arial" w:cs="Times New Roman"/>
      <w:b/>
      <w:color w:val="000000"/>
      <w:spacing w:val="-5"/>
      <w:sz w:val="20"/>
      <w:szCs w:val="20"/>
      <w:lang w:val="en-GB" w:eastAsia="zh-CN"/>
    </w:rPr>
  </w:style>
  <w:style w:type="character" w:customStyle="1" w:styleId="IAIOCheckMediumChar">
    <w:name w:val="IAIOCheckMedium Char"/>
    <w:link w:val="IAIOCheckMedium"/>
    <w:locked/>
    <w:rsid w:val="002E46F4"/>
    <w:rPr>
      <w:rFonts w:ascii="Arial" w:eastAsia="SimSun" w:hAnsi="Arial" w:cs="Times New Roman"/>
      <w:b/>
      <w:color w:val="000000"/>
      <w:spacing w:val="-5"/>
      <w:sz w:val="20"/>
      <w:szCs w:val="20"/>
      <w:lang w:val="en-GB" w:eastAsia="zh-CN"/>
    </w:rPr>
  </w:style>
  <w:style w:type="character" w:customStyle="1" w:styleId="IAIOCheckLargeChar">
    <w:name w:val="IAIOCheckLarge Char"/>
    <w:link w:val="IAIOCheckLarge"/>
    <w:locked/>
    <w:rsid w:val="002E46F4"/>
    <w:rPr>
      <w:rFonts w:ascii="Arial" w:eastAsia="SimSun" w:hAnsi="Arial" w:cs="Times New Roman"/>
      <w:b/>
      <w:color w:val="000000"/>
      <w:spacing w:val="-5"/>
      <w:sz w:val="20"/>
      <w:szCs w:val="20"/>
      <w:lang w:val="en-GB" w:eastAsia="zh-CN"/>
    </w:rPr>
  </w:style>
  <w:style w:type="character" w:customStyle="1" w:styleId="IAIOCO2TradedChar">
    <w:name w:val="IAIOCO2Traded Char"/>
    <w:link w:val="IAIOCO2Traded"/>
    <w:locked/>
    <w:rsid w:val="002E46F4"/>
    <w:rPr>
      <w:rFonts w:ascii="Arial" w:eastAsia="SimSun" w:hAnsi="Arial" w:cs="Times New Roman"/>
      <w:b/>
      <w:color w:val="000000"/>
      <w:spacing w:val="-5"/>
      <w:szCs w:val="20"/>
      <w:lang w:val="en-GB" w:eastAsia="zh-CN"/>
    </w:rPr>
  </w:style>
  <w:style w:type="character" w:customStyle="1" w:styleId="IALabel">
    <w:name w:val="IALabel"/>
    <w:rsid w:val="002E46F4"/>
    <w:rPr>
      <w:color w:val="000000"/>
      <w:sz w:val="20"/>
    </w:rPr>
  </w:style>
  <w:style w:type="character" w:styleId="CommentReference">
    <w:name w:val="annotation reference"/>
    <w:uiPriority w:val="99"/>
    <w:unhideWhenUsed/>
    <w:rsid w:val="002E46F4"/>
    <w:rPr>
      <w:sz w:val="16"/>
      <w:szCs w:val="16"/>
    </w:rPr>
  </w:style>
  <w:style w:type="paragraph" w:styleId="CommentText">
    <w:name w:val="annotation text"/>
    <w:basedOn w:val="Normal"/>
    <w:link w:val="CommentTextChar"/>
    <w:uiPriority w:val="99"/>
    <w:unhideWhenUsed/>
    <w:rsid w:val="002E46F4"/>
    <w:rPr>
      <w:sz w:val="20"/>
    </w:rPr>
  </w:style>
  <w:style w:type="character" w:customStyle="1" w:styleId="CommentTextChar">
    <w:name w:val="Comment Text Char"/>
    <w:basedOn w:val="DefaultParagraphFont"/>
    <w:link w:val="CommentText"/>
    <w:uiPriority w:val="99"/>
    <w:rsid w:val="002E46F4"/>
    <w:rPr>
      <w:rFonts w:ascii="Times New Roman" w:eastAsia="Times New Roman" w:hAnsi="Times New Roman" w:cs="Times New Roman"/>
      <w:sz w:val="20"/>
      <w:szCs w:val="20"/>
      <w:lang w:val="en-GB" w:eastAsia="en-GB"/>
    </w:rPr>
  </w:style>
  <w:style w:type="character" w:styleId="PlaceholderText">
    <w:name w:val="Placeholder Text"/>
    <w:uiPriority w:val="99"/>
    <w:semiHidden/>
    <w:rsid w:val="002E46F4"/>
    <w:rPr>
      <w:color w:val="808080"/>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TOC style,l"/>
    <w:basedOn w:val="Normal"/>
    <w:link w:val="ListParagraphChar"/>
    <w:uiPriority w:val="1"/>
    <w:qFormat/>
    <w:rsid w:val="002E46F4"/>
    <w:pPr>
      <w:tabs>
        <w:tab w:val="left" w:pos="567"/>
      </w:tabs>
      <w:spacing w:after="120"/>
      <w:ind w:left="567" w:hanging="567"/>
    </w:pPr>
    <w:rPr>
      <w:rFonts w:ascii="Calibri" w:hAnsi="Calibri"/>
      <w:sz w:val="22"/>
      <w:lang w:val="x-none" w:eastAsia="en-US"/>
    </w:rPr>
  </w:style>
  <w:style w:type="paragraph" w:styleId="NoSpacing">
    <w:name w:val="No Spacing"/>
    <w:link w:val="NoSpacingChar"/>
    <w:uiPriority w:val="99"/>
    <w:qFormat/>
    <w:rsid w:val="002E46F4"/>
    <w:pPr>
      <w:spacing w:after="0" w:line="240" w:lineRule="auto"/>
    </w:pPr>
    <w:rPr>
      <w:rFonts w:ascii="Arial" w:eastAsia="Times New Roman" w:hAnsi="Arial" w:cs="Times New Roman"/>
      <w:szCs w:val="20"/>
      <w:lang w:val="en-GB"/>
    </w:rPr>
  </w:style>
  <w:style w:type="paragraph" w:customStyle="1" w:styleId="Style1-BodyText">
    <w:name w:val="Style1- Body Text"/>
    <w:basedOn w:val="Normal"/>
    <w:link w:val="Style1-BodyTextChar"/>
    <w:qFormat/>
    <w:rsid w:val="002E46F4"/>
    <w:pPr>
      <w:spacing w:after="120"/>
      <w:jc w:val="both"/>
    </w:pPr>
    <w:rPr>
      <w:rFonts w:cs="Arial"/>
      <w:sz w:val="22"/>
    </w:rPr>
  </w:style>
  <w:style w:type="character" w:customStyle="1" w:styleId="Style1-BodyTextChar">
    <w:name w:val="Style1- Body Text Char"/>
    <w:link w:val="Style1-BodyText"/>
    <w:rsid w:val="002E46F4"/>
    <w:rPr>
      <w:rFonts w:ascii="Times New Roman" w:eastAsia="Times New Roman" w:hAnsi="Times New Roman" w:cs="Arial"/>
      <w:szCs w:val="20"/>
      <w:lang w:val="en-GB"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1"/>
    <w:qFormat/>
    <w:locked/>
    <w:rsid w:val="002E46F4"/>
    <w:rPr>
      <w:rFonts w:ascii="Calibri" w:eastAsia="Times New Roman" w:hAnsi="Calibri" w:cs="Times New Roman"/>
      <w:szCs w:val="20"/>
      <w:lang w:val="x-none"/>
    </w:rPr>
  </w:style>
  <w:style w:type="character" w:styleId="Strong">
    <w:name w:val="Strong"/>
    <w:uiPriority w:val="22"/>
    <w:qFormat/>
    <w:rsid w:val="002E46F4"/>
    <w:rPr>
      <w:b/>
      <w:bCs/>
    </w:rPr>
  </w:style>
  <w:style w:type="paragraph" w:styleId="CommentSubject">
    <w:name w:val="annotation subject"/>
    <w:basedOn w:val="CommentText"/>
    <w:next w:val="CommentText"/>
    <w:link w:val="CommentSubjectChar"/>
    <w:rsid w:val="002E46F4"/>
    <w:rPr>
      <w:b/>
      <w:bCs/>
    </w:rPr>
  </w:style>
  <w:style w:type="character" w:customStyle="1" w:styleId="CommentSubjectChar">
    <w:name w:val="Comment Subject Char"/>
    <w:basedOn w:val="CommentTextChar"/>
    <w:link w:val="CommentSubject"/>
    <w:rsid w:val="002E46F4"/>
    <w:rPr>
      <w:rFonts w:ascii="Times New Roman" w:eastAsia="Times New Roman" w:hAnsi="Times New Roman" w:cs="Times New Roman"/>
      <w:b/>
      <w:bCs/>
      <w:sz w:val="20"/>
      <w:szCs w:val="20"/>
      <w:lang w:val="en-GB" w:eastAsia="en-GB"/>
    </w:rPr>
  </w:style>
  <w:style w:type="paragraph" w:styleId="HTMLPreformatted">
    <w:name w:val="HTML Preformatted"/>
    <w:basedOn w:val="Normal"/>
    <w:link w:val="HTMLPreformattedChar"/>
    <w:uiPriority w:val="99"/>
    <w:semiHidden/>
    <w:unhideWhenUsed/>
    <w:rsid w:val="002E4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semiHidden/>
    <w:rsid w:val="002E46F4"/>
    <w:rPr>
      <w:rFonts w:ascii="Courier New" w:eastAsia="Times New Roman" w:hAnsi="Courier New" w:cs="Courier New"/>
      <w:sz w:val="20"/>
      <w:szCs w:val="20"/>
    </w:rPr>
  </w:style>
  <w:style w:type="character" w:customStyle="1" w:styleId="UnresolvedMention1">
    <w:name w:val="Unresolved Mention1"/>
    <w:uiPriority w:val="99"/>
    <w:semiHidden/>
    <w:unhideWhenUsed/>
    <w:rsid w:val="002E46F4"/>
    <w:rPr>
      <w:color w:val="605E5C"/>
      <w:shd w:val="clear" w:color="auto" w:fill="E1DFDD"/>
    </w:rPr>
  </w:style>
  <w:style w:type="paragraph" w:styleId="NormalWeb">
    <w:name w:val="Normal (Web)"/>
    <w:basedOn w:val="Normal"/>
    <w:uiPriority w:val="99"/>
    <w:unhideWhenUsed/>
    <w:rsid w:val="002E46F4"/>
    <w:pPr>
      <w:spacing w:before="100" w:beforeAutospacing="1" w:after="100" w:afterAutospacing="1"/>
    </w:pPr>
    <w:rPr>
      <w:szCs w:val="24"/>
      <w:lang w:val="en-US" w:eastAsia="en-US"/>
    </w:rPr>
  </w:style>
  <w:style w:type="character" w:styleId="Emphasis">
    <w:name w:val="Emphasis"/>
    <w:uiPriority w:val="20"/>
    <w:qFormat/>
    <w:rsid w:val="004B4418"/>
    <w:rPr>
      <w:i/>
      <w:iCs/>
    </w:rPr>
  </w:style>
  <w:style w:type="character" w:customStyle="1" w:styleId="NoSpacingChar">
    <w:name w:val="No Spacing Char"/>
    <w:link w:val="NoSpacing"/>
    <w:uiPriority w:val="99"/>
    <w:locked/>
    <w:rsid w:val="00264B20"/>
    <w:rPr>
      <w:rFonts w:ascii="Arial" w:eastAsia="Times New Roman" w:hAnsi="Arial" w:cs="Times New Roman"/>
      <w:szCs w:val="20"/>
      <w:lang w:val="en-GB"/>
    </w:rPr>
  </w:style>
  <w:style w:type="paragraph" w:customStyle="1" w:styleId="Paragrafi">
    <w:name w:val="Paragrafi"/>
    <w:link w:val="ParagrafiChar"/>
    <w:rsid w:val="00264B20"/>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264B20"/>
    <w:rPr>
      <w:rFonts w:ascii="CG Times" w:eastAsia="Times New Roman" w:hAnsi="CG Times" w:cs="Times New Roman"/>
      <w:szCs w:val="20"/>
    </w:rPr>
  </w:style>
  <w:style w:type="paragraph" w:customStyle="1" w:styleId="isselectedend">
    <w:name w:val="isselectedend"/>
    <w:basedOn w:val="Normal"/>
    <w:rsid w:val="009E40AB"/>
    <w:pPr>
      <w:spacing w:before="100" w:beforeAutospacing="1" w:after="100" w:afterAutospacing="1"/>
    </w:pPr>
    <w:rPr>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157967">
      <w:bodyDiv w:val="1"/>
      <w:marLeft w:val="0"/>
      <w:marRight w:val="0"/>
      <w:marTop w:val="0"/>
      <w:marBottom w:val="0"/>
      <w:divBdr>
        <w:top w:val="none" w:sz="0" w:space="0" w:color="auto"/>
        <w:left w:val="none" w:sz="0" w:space="0" w:color="auto"/>
        <w:bottom w:val="none" w:sz="0" w:space="0" w:color="auto"/>
        <w:right w:val="none" w:sz="0" w:space="0" w:color="auto"/>
      </w:divBdr>
    </w:div>
    <w:div w:id="885337208">
      <w:bodyDiv w:val="1"/>
      <w:marLeft w:val="0"/>
      <w:marRight w:val="0"/>
      <w:marTop w:val="0"/>
      <w:marBottom w:val="0"/>
      <w:divBdr>
        <w:top w:val="none" w:sz="0" w:space="0" w:color="auto"/>
        <w:left w:val="none" w:sz="0" w:space="0" w:color="auto"/>
        <w:bottom w:val="none" w:sz="0" w:space="0" w:color="auto"/>
        <w:right w:val="none" w:sz="0" w:space="0" w:color="auto"/>
      </w:divBdr>
    </w:div>
    <w:div w:id="967510977">
      <w:bodyDiv w:val="1"/>
      <w:marLeft w:val="0"/>
      <w:marRight w:val="0"/>
      <w:marTop w:val="0"/>
      <w:marBottom w:val="0"/>
      <w:divBdr>
        <w:top w:val="none" w:sz="0" w:space="0" w:color="auto"/>
        <w:left w:val="none" w:sz="0" w:space="0" w:color="auto"/>
        <w:bottom w:val="none" w:sz="0" w:space="0" w:color="auto"/>
        <w:right w:val="none" w:sz="0" w:space="0" w:color="auto"/>
      </w:divBdr>
    </w:div>
    <w:div w:id="1014570788">
      <w:bodyDiv w:val="1"/>
      <w:marLeft w:val="0"/>
      <w:marRight w:val="0"/>
      <w:marTop w:val="0"/>
      <w:marBottom w:val="0"/>
      <w:divBdr>
        <w:top w:val="none" w:sz="0" w:space="0" w:color="auto"/>
        <w:left w:val="none" w:sz="0" w:space="0" w:color="auto"/>
        <w:bottom w:val="none" w:sz="0" w:space="0" w:color="auto"/>
        <w:right w:val="none" w:sz="0" w:space="0" w:color="auto"/>
      </w:divBdr>
    </w:div>
    <w:div w:id="1325820006">
      <w:bodyDiv w:val="1"/>
      <w:marLeft w:val="0"/>
      <w:marRight w:val="0"/>
      <w:marTop w:val="0"/>
      <w:marBottom w:val="0"/>
      <w:divBdr>
        <w:top w:val="none" w:sz="0" w:space="0" w:color="auto"/>
        <w:left w:val="none" w:sz="0" w:space="0" w:color="auto"/>
        <w:bottom w:val="none" w:sz="0" w:space="0" w:color="auto"/>
        <w:right w:val="none" w:sz="0" w:space="0" w:color="auto"/>
      </w:divBdr>
    </w:div>
    <w:div w:id="1347976253">
      <w:bodyDiv w:val="1"/>
      <w:marLeft w:val="0"/>
      <w:marRight w:val="0"/>
      <w:marTop w:val="0"/>
      <w:marBottom w:val="0"/>
      <w:divBdr>
        <w:top w:val="none" w:sz="0" w:space="0" w:color="auto"/>
        <w:left w:val="none" w:sz="0" w:space="0" w:color="auto"/>
        <w:bottom w:val="none" w:sz="0" w:space="0" w:color="auto"/>
        <w:right w:val="none" w:sz="0" w:space="0" w:color="auto"/>
      </w:divBdr>
    </w:div>
    <w:div w:id="1539783650">
      <w:bodyDiv w:val="1"/>
      <w:marLeft w:val="0"/>
      <w:marRight w:val="0"/>
      <w:marTop w:val="0"/>
      <w:marBottom w:val="0"/>
      <w:divBdr>
        <w:top w:val="none" w:sz="0" w:space="0" w:color="auto"/>
        <w:left w:val="none" w:sz="0" w:space="0" w:color="auto"/>
        <w:bottom w:val="none" w:sz="0" w:space="0" w:color="auto"/>
        <w:right w:val="none" w:sz="0" w:space="0" w:color="auto"/>
      </w:divBdr>
    </w:div>
    <w:div w:id="1571111657">
      <w:bodyDiv w:val="1"/>
      <w:marLeft w:val="0"/>
      <w:marRight w:val="0"/>
      <w:marTop w:val="0"/>
      <w:marBottom w:val="0"/>
      <w:divBdr>
        <w:top w:val="none" w:sz="0" w:space="0" w:color="auto"/>
        <w:left w:val="none" w:sz="0" w:space="0" w:color="auto"/>
        <w:bottom w:val="none" w:sz="0" w:space="0" w:color="auto"/>
        <w:right w:val="none" w:sz="0" w:space="0" w:color="auto"/>
      </w:divBdr>
    </w:div>
    <w:div w:id="1692337782">
      <w:bodyDiv w:val="1"/>
      <w:marLeft w:val="0"/>
      <w:marRight w:val="0"/>
      <w:marTop w:val="0"/>
      <w:marBottom w:val="0"/>
      <w:divBdr>
        <w:top w:val="none" w:sz="0" w:space="0" w:color="auto"/>
        <w:left w:val="none" w:sz="0" w:space="0" w:color="auto"/>
        <w:bottom w:val="none" w:sz="0" w:space="0" w:color="auto"/>
        <w:right w:val="none" w:sz="0" w:space="0" w:color="auto"/>
      </w:divBdr>
    </w:div>
    <w:div w:id="178776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8283A-E817-4BBC-BBF0-0C10BE6AF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12</Pages>
  <Words>6069</Words>
  <Characters>34595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Raporti i vlerësimit të ndikimit për ndryshimet në ligjin nr. 87/2024</vt:lpstr>
    </vt:vector>
  </TitlesOfParts>
  <Company/>
  <LinksUpToDate>false</LinksUpToDate>
  <CharactersWithSpaces>40583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vlerësimit të ndikimit për ndryshimet në ligjin nr. 87/2024</dc:title>
  <dc:subject>RIA për projektligjin mbi industrinë e mbrojtjes</dc:subject>
  <dc:creator>Ledja Sulce</dc:creator>
  <cp:keywords>RIA, ligji 87/2024, industria e mbrojtjes, AIM</cp:keywords>
  <dc:description/>
  <cp:lastModifiedBy>sp3sphharr</cp:lastModifiedBy>
  <cp:revision>24</cp:revision>
  <dcterms:created xsi:type="dcterms:W3CDTF">2026-09-18T09:48:00Z</dcterms:created>
  <dcterms:modified xsi:type="dcterms:W3CDTF">2026-09-25T08:28:00Z</dcterms:modified>
</cp:coreProperties>
</file>