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2A3989" w14:textId="77777777" w:rsidR="00B92EFB" w:rsidRPr="00591FCC" w:rsidRDefault="00B92EFB" w:rsidP="00591FCC">
      <w:pPr>
        <w:tabs>
          <w:tab w:val="left" w:pos="2070"/>
        </w:tabs>
        <w:spacing w:after="120"/>
        <w:jc w:val="center"/>
        <w:rPr>
          <w:rFonts w:ascii="Times New Roman" w:eastAsia="Times New Roman" w:hAnsi="Times New Roman" w:cs="Times New Roman"/>
          <w:b/>
          <w:sz w:val="24"/>
          <w:szCs w:val="24"/>
          <w:u w:color="000000"/>
          <w:lang w:val="en-US"/>
        </w:rPr>
      </w:pPr>
      <w:r w:rsidRPr="00591FCC">
        <w:rPr>
          <w:rFonts w:ascii="Times New Roman" w:eastAsia="Times New Roman" w:hAnsi="Times New Roman" w:cs="Times New Roman"/>
          <w:b/>
          <w:noProof/>
          <w:sz w:val="24"/>
          <w:szCs w:val="24"/>
          <w:lang w:val="en-US"/>
        </w:rPr>
        <w:drawing>
          <wp:anchor distT="0" distB="0" distL="114300" distR="114300" simplePos="0" relativeHeight="251662336" behindDoc="0" locked="0" layoutInCell="1" allowOverlap="1" wp14:anchorId="13033B07" wp14:editId="7DFC29D8">
            <wp:simplePos x="0" y="0"/>
            <wp:positionH relativeFrom="margin">
              <wp:align>center</wp:align>
            </wp:positionH>
            <wp:positionV relativeFrom="paragraph">
              <wp:posOffset>-133350</wp:posOffset>
            </wp:positionV>
            <wp:extent cx="6852285" cy="1024255"/>
            <wp:effectExtent l="0" t="0" r="5715" b="4445"/>
            <wp:wrapTopAndBottom/>
            <wp:docPr id="10051815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852285" cy="1024255"/>
                    </a:xfrm>
                    <a:prstGeom prst="rect">
                      <a:avLst/>
                    </a:prstGeom>
                    <a:noFill/>
                  </pic:spPr>
                </pic:pic>
              </a:graphicData>
            </a:graphic>
            <wp14:sizeRelH relativeFrom="page">
              <wp14:pctWidth>0</wp14:pctWidth>
            </wp14:sizeRelH>
            <wp14:sizeRelV relativeFrom="page">
              <wp14:pctHeight>0</wp14:pctHeight>
            </wp14:sizeRelV>
          </wp:anchor>
        </w:drawing>
      </w:r>
      <w:r w:rsidRPr="00591FCC">
        <w:rPr>
          <w:rFonts w:ascii="Times New Roman" w:eastAsia="Times New Roman" w:hAnsi="Times New Roman" w:cs="Times New Roman"/>
          <w:b/>
          <w:sz w:val="24"/>
          <w:szCs w:val="24"/>
          <w:u w:color="000000"/>
          <w:lang w:val="en-US"/>
        </w:rPr>
        <w:t>KUVENDI</w:t>
      </w:r>
    </w:p>
    <w:p w14:paraId="69EE0539" w14:textId="77777777" w:rsidR="00B92EFB" w:rsidRPr="00591FCC" w:rsidRDefault="00B92EFB" w:rsidP="00591FCC">
      <w:pPr>
        <w:tabs>
          <w:tab w:val="left" w:pos="2730"/>
        </w:tabs>
        <w:spacing w:after="0"/>
        <w:ind w:left="10" w:right="206" w:hanging="10"/>
        <w:jc w:val="center"/>
        <w:rPr>
          <w:rFonts w:ascii="Times New Roman" w:eastAsia="Times New Roman" w:hAnsi="Times New Roman" w:cs="Times New Roman"/>
          <w:b/>
          <w:caps/>
          <w:sz w:val="24"/>
          <w:szCs w:val="24"/>
          <w:u w:color="000000"/>
          <w:lang w:val="en-US"/>
        </w:rPr>
      </w:pPr>
      <w:r w:rsidRPr="00591FCC">
        <w:rPr>
          <w:rFonts w:ascii="Times New Roman" w:eastAsia="Times New Roman" w:hAnsi="Times New Roman" w:cs="Times New Roman"/>
          <w:noProof/>
          <w:sz w:val="24"/>
          <w:szCs w:val="24"/>
          <w:u w:color="000000"/>
          <w:lang w:val="en-US"/>
        </w:rPr>
        <mc:AlternateContent>
          <mc:Choice Requires="wps">
            <w:drawing>
              <wp:anchor distT="4294967286" distB="4294967286" distL="114290" distR="114290" simplePos="0" relativeHeight="251659264" behindDoc="1" locked="0" layoutInCell="0" allowOverlap="1" wp14:anchorId="4DDE4D69" wp14:editId="644C9E6B">
                <wp:simplePos x="0" y="0"/>
                <wp:positionH relativeFrom="page">
                  <wp:posOffset>3363595</wp:posOffset>
                </wp:positionH>
                <wp:positionV relativeFrom="page">
                  <wp:posOffset>941705</wp:posOffset>
                </wp:positionV>
                <wp:extent cx="0" cy="0"/>
                <wp:effectExtent l="10795" t="8255" r="8255" b="10795"/>
                <wp:wrapNone/>
                <wp:docPr id="1960860668"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0" cy="0"/>
                        </a:xfrm>
                        <a:custGeom>
                          <a:avLst/>
                          <a:gdLst>
                            <a:gd name="T0" fmla="*/ 0 60000 65536"/>
                            <a:gd name="T1" fmla="*/ 0 60000 65536"/>
                          </a:gdLst>
                          <a:ahLst/>
                          <a:cxnLst>
                            <a:cxn ang="T0">
                              <a:pos x="0" y="0"/>
                            </a:cxn>
                            <a:cxn ang="T1">
                              <a:pos x="0" y="0"/>
                            </a:cxn>
                          </a:cxnLst>
                          <a:rect l="0" t="0" r="r" b="b"/>
                          <a:pathLst>
                            <a:path>
                              <a:moveTo>
                                <a:pt x="0" y="0"/>
                              </a:moveTo>
                              <a:lnTo>
                                <a:pt x="0" y="0"/>
                              </a:lnTo>
                            </a:path>
                          </a:pathLst>
                        </a:custGeom>
                        <a:noFill/>
                        <a:ln w="1270">
                          <a:solidFill>
                            <a:srgbClr val="36343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434F2C02" id="Freeform 5" o:spid="_x0000_s1026" style="position:absolute;z-index:-251657216;visibility:visible;mso-wrap-style:square;mso-width-percent:0;mso-height-percent:0;mso-wrap-distance-left:3.17472mm;mso-wrap-distance-top:-28e-5mm;mso-wrap-distance-right:3.17472mm;mso-wrap-distance-bottom:-28e-5mm;mso-position-horizontal:absolute;mso-position-horizontal-relative:page;mso-position-vertical:absolute;mso-position-vertical-relative:page;mso-width-percent:0;mso-height-percent:0;mso-width-relative:page;mso-height-relative:page;v-text-anchor:top" points="264.85pt,74.15pt,264.85pt,74.15pt" coordsize="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" o:allowincell="f" filled="f" strokecolor="#363435" strokeweight=".1pt">
                <v:path arrowok="t" o:connecttype="custom" o:connectlocs="0,0;0,0" o:connectangles="0,0"/>
                <w10:wrap anchorx="page" anchory="page"/>
              </v:polyline>
            </w:pict>
          </mc:Fallback>
        </mc:AlternateContent>
      </w:r>
      <w:r w:rsidRPr="00591FCC">
        <w:rPr>
          <w:rFonts w:ascii="Times New Roman" w:eastAsia="Times New Roman" w:hAnsi="Times New Roman" w:cs="Times New Roman"/>
          <w:noProof/>
          <w:sz w:val="24"/>
          <w:szCs w:val="24"/>
          <w:u w:color="000000"/>
          <w:lang w:val="en-US"/>
        </w:rPr>
        <mc:AlternateContent>
          <mc:Choice Requires="wps">
            <w:drawing>
              <wp:anchor distT="4294967286" distB="4294967286" distL="114290" distR="114290" simplePos="0" relativeHeight="251660288" behindDoc="1" locked="0" layoutInCell="0" allowOverlap="1" wp14:anchorId="6A665093" wp14:editId="722E1235">
                <wp:simplePos x="0" y="0"/>
                <wp:positionH relativeFrom="page">
                  <wp:posOffset>3363595</wp:posOffset>
                </wp:positionH>
                <wp:positionV relativeFrom="page">
                  <wp:posOffset>941705</wp:posOffset>
                </wp:positionV>
                <wp:extent cx="0" cy="0"/>
                <wp:effectExtent l="10795" t="8255" r="8255" b="10795"/>
                <wp:wrapNone/>
                <wp:docPr id="1654053876"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0" cy="0"/>
                        </a:xfrm>
                        <a:custGeom>
                          <a:avLst/>
                          <a:gdLst>
                            <a:gd name="T0" fmla="*/ 0 60000 65536"/>
                            <a:gd name="T1" fmla="*/ 0 60000 65536"/>
                          </a:gdLst>
                          <a:ahLst/>
                          <a:cxnLst>
                            <a:cxn ang="T0">
                              <a:pos x="0" y="0"/>
                            </a:cxn>
                            <a:cxn ang="T1">
                              <a:pos x="0" y="0"/>
                            </a:cxn>
                          </a:cxnLst>
                          <a:rect l="0" t="0" r="r" b="b"/>
                          <a:pathLst>
                            <a:path>
                              <a:moveTo>
                                <a:pt x="0" y="0"/>
                              </a:moveTo>
                              <a:lnTo>
                                <a:pt x="0" y="0"/>
                              </a:lnTo>
                            </a:path>
                          </a:pathLst>
                        </a:custGeom>
                        <a:noFill/>
                        <a:ln w="1270">
                          <a:solidFill>
                            <a:srgbClr val="36343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5E279345" id="Freeform 4" o:spid="_x0000_s1026" style="position:absolute;z-index:-251656192;visibility:visible;mso-wrap-style:square;mso-width-percent:0;mso-height-percent:0;mso-wrap-distance-left:3.17472mm;mso-wrap-distance-top:-28e-5mm;mso-wrap-distance-right:3.17472mm;mso-wrap-distance-bottom:-28e-5mm;mso-position-horizontal:absolute;mso-position-horizontal-relative:page;mso-position-vertical:absolute;mso-position-vertical-relative:page;mso-width-percent:0;mso-height-percent:0;mso-width-relative:page;mso-height-relative:page;v-text-anchor:top" points="264.85pt,74.15pt,264.85pt,74.15pt" coordsize="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" o:allowincell="f" filled="f" strokecolor="#363435" strokeweight=".1pt">
                <v:path arrowok="t" o:connecttype="custom" o:connectlocs="0,0;0,0" o:connectangles="0,0"/>
                <w10:wrap anchorx="page" anchory="page"/>
              </v:polyline>
            </w:pict>
          </mc:Fallback>
        </mc:AlternateContent>
      </w:r>
      <w:r w:rsidRPr="00591FCC">
        <w:rPr>
          <w:rFonts w:ascii="Times New Roman" w:eastAsia="Times New Roman" w:hAnsi="Times New Roman" w:cs="Times New Roman"/>
          <w:noProof/>
          <w:sz w:val="24"/>
          <w:szCs w:val="24"/>
          <w:u w:color="000000"/>
          <w:lang w:val="en-US"/>
        </w:rPr>
        <mc:AlternateContent>
          <mc:Choice Requires="wps">
            <w:drawing>
              <wp:anchor distT="4294967286" distB="4294967286" distL="114290" distR="114290" simplePos="0" relativeHeight="251661312" behindDoc="1" locked="0" layoutInCell="0" allowOverlap="1" wp14:anchorId="6C7D704A" wp14:editId="2349BC99">
                <wp:simplePos x="0" y="0"/>
                <wp:positionH relativeFrom="page">
                  <wp:posOffset>3363595</wp:posOffset>
                </wp:positionH>
                <wp:positionV relativeFrom="page">
                  <wp:posOffset>941705</wp:posOffset>
                </wp:positionV>
                <wp:extent cx="0" cy="0"/>
                <wp:effectExtent l="10795" t="8255" r="8255" b="10795"/>
                <wp:wrapNone/>
                <wp:docPr id="2012283171"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0" cy="0"/>
                        </a:xfrm>
                        <a:custGeom>
                          <a:avLst/>
                          <a:gdLst>
                            <a:gd name="T0" fmla="*/ 0 60000 65536"/>
                            <a:gd name="T1" fmla="*/ 0 60000 65536"/>
                          </a:gdLst>
                          <a:ahLst/>
                          <a:cxnLst>
                            <a:cxn ang="T0">
                              <a:pos x="0" y="0"/>
                            </a:cxn>
                            <a:cxn ang="T1">
                              <a:pos x="0" y="0"/>
                            </a:cxn>
                          </a:cxnLst>
                          <a:rect l="0" t="0" r="r" b="b"/>
                          <a:pathLst>
                            <a:path>
                              <a:moveTo>
                                <a:pt x="0" y="0"/>
                              </a:moveTo>
                              <a:lnTo>
                                <a:pt x="0" y="0"/>
                              </a:lnTo>
                            </a:path>
                          </a:pathLst>
                        </a:custGeom>
                        <a:noFill/>
                        <a:ln w="1270">
                          <a:solidFill>
                            <a:srgbClr val="36343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037DEEF6" id="Freeform 3" o:spid="_x0000_s1026" style="position:absolute;z-index:-251655168;visibility:visible;mso-wrap-style:square;mso-width-percent:0;mso-height-percent:0;mso-wrap-distance-left:3.17472mm;mso-wrap-distance-top:-28e-5mm;mso-wrap-distance-right:3.17472mm;mso-wrap-distance-bottom:-28e-5mm;mso-position-horizontal:absolute;mso-position-horizontal-relative:page;mso-position-vertical:absolute;mso-position-vertical-relative:page;mso-width-percent:0;mso-height-percent:0;mso-width-relative:page;mso-height-relative:page;v-text-anchor:top" points="264.85pt,74.15pt,264.85pt,74.15pt" coordsize="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" o:allowincell="f" filled="f" strokecolor="#363435" strokeweight=".1pt">
                <v:path arrowok="t" o:connecttype="custom" o:connectlocs="0,0;0,0" o:connectangles="0,0"/>
                <w10:wrap anchorx="page" anchory="page"/>
              </v:polyline>
            </w:pict>
          </mc:Fallback>
        </mc:AlternateContent>
      </w:r>
    </w:p>
    <w:p w14:paraId="6B4B4E58" w14:textId="77777777" w:rsidR="00B92EFB" w:rsidRPr="00591FCC" w:rsidRDefault="00B92EFB" w:rsidP="00591FCC">
      <w:pPr>
        <w:keepNext/>
        <w:widowControl w:val="0"/>
        <w:spacing w:after="0"/>
        <w:jc w:val="center"/>
        <w:outlineLvl w:val="1"/>
        <w:rPr>
          <w:rFonts w:ascii="Times New Roman" w:eastAsia="Times New Roman" w:hAnsi="Times New Roman" w:cs="Times New Roman"/>
          <w:b/>
          <w:caps/>
          <w:sz w:val="24"/>
          <w:szCs w:val="24"/>
          <w:u w:color="000000"/>
          <w:lang w:val="en-US"/>
        </w:rPr>
      </w:pPr>
    </w:p>
    <w:p w14:paraId="430982B9" w14:textId="77777777" w:rsidR="00B92EFB" w:rsidRPr="00591FCC" w:rsidRDefault="00B92EFB" w:rsidP="00591FCC">
      <w:pPr>
        <w:keepNext/>
        <w:widowControl w:val="0"/>
        <w:spacing w:after="0"/>
        <w:ind w:right="26"/>
        <w:jc w:val="center"/>
        <w:outlineLvl w:val="1"/>
        <w:rPr>
          <w:rFonts w:ascii="Times New Roman" w:eastAsia="Times New Roman" w:hAnsi="Times New Roman" w:cs="Times New Roman"/>
          <w:b/>
          <w:caps/>
          <w:sz w:val="24"/>
          <w:szCs w:val="24"/>
          <w:u w:color="000000"/>
          <w:lang w:val="en-US"/>
        </w:rPr>
      </w:pPr>
      <w:r w:rsidRPr="00591FCC">
        <w:rPr>
          <w:rFonts w:ascii="Times New Roman" w:eastAsia="Times New Roman" w:hAnsi="Times New Roman" w:cs="Times New Roman"/>
          <w:b/>
          <w:caps/>
          <w:sz w:val="24"/>
          <w:szCs w:val="24"/>
          <w:u w:color="000000"/>
          <w:lang w:val="en-US"/>
        </w:rPr>
        <w:t>PROJEKTLIGJ</w:t>
      </w:r>
    </w:p>
    <w:p w14:paraId="5EE8DDAE" w14:textId="77777777" w:rsidR="00B92EFB" w:rsidRPr="00591FCC" w:rsidRDefault="00B92EFB" w:rsidP="00591FCC">
      <w:pPr>
        <w:spacing w:after="0"/>
        <w:ind w:left="10" w:right="26" w:hanging="10"/>
        <w:jc w:val="both"/>
        <w:rPr>
          <w:rFonts w:ascii="Times New Roman" w:eastAsia="Times New Roman" w:hAnsi="Times New Roman" w:cs="Times New Roman"/>
          <w:sz w:val="24"/>
          <w:szCs w:val="24"/>
          <w:u w:color="000000"/>
          <w:lang w:val="en-US"/>
        </w:rPr>
      </w:pPr>
    </w:p>
    <w:p w14:paraId="268D3A53" w14:textId="77777777" w:rsidR="00B92EFB" w:rsidRPr="00591FCC" w:rsidRDefault="00B92EFB" w:rsidP="00591FCC">
      <w:pPr>
        <w:spacing w:after="0"/>
        <w:ind w:left="10" w:right="26"/>
        <w:jc w:val="center"/>
        <w:rPr>
          <w:rFonts w:ascii="Times New Roman" w:eastAsia="Times New Roman" w:hAnsi="Times New Roman" w:cs="Times New Roman"/>
          <w:b/>
          <w:sz w:val="24"/>
          <w:szCs w:val="24"/>
          <w:u w:color="000000"/>
          <w:lang w:val="en-US"/>
        </w:rPr>
      </w:pPr>
      <w:r w:rsidRPr="00591FCC">
        <w:rPr>
          <w:rFonts w:ascii="Times New Roman" w:eastAsia="Times New Roman" w:hAnsi="Times New Roman" w:cs="Times New Roman"/>
          <w:b/>
          <w:sz w:val="24"/>
          <w:szCs w:val="24"/>
          <w:u w:color="000000"/>
          <w:lang w:val="en-US"/>
        </w:rPr>
        <w:t>Nr. _______, datë ____.____.2026</w:t>
      </w:r>
    </w:p>
    <w:p w14:paraId="78219774" w14:textId="77777777" w:rsidR="00331CA5" w:rsidRPr="00591FCC" w:rsidRDefault="00331CA5" w:rsidP="00591FCC">
      <w:pPr>
        <w:spacing w:after="0"/>
        <w:jc w:val="center"/>
        <w:rPr>
          <w:rFonts w:ascii="Times New Roman" w:hAnsi="Times New Roman" w:cs="Times New Roman"/>
          <w:b/>
          <w:sz w:val="24"/>
          <w:szCs w:val="24"/>
        </w:rPr>
      </w:pPr>
    </w:p>
    <w:p w14:paraId="3A3C7643" w14:textId="77777777" w:rsidR="00B92EFB" w:rsidRPr="00591FCC" w:rsidRDefault="00331CA5" w:rsidP="00591FCC">
      <w:pPr>
        <w:spacing w:after="0"/>
        <w:jc w:val="center"/>
        <w:rPr>
          <w:rFonts w:ascii="Times New Roman" w:hAnsi="Times New Roman" w:cs="Times New Roman"/>
          <w:b/>
          <w:sz w:val="24"/>
          <w:szCs w:val="24"/>
        </w:rPr>
      </w:pPr>
      <w:r w:rsidRPr="00591FCC">
        <w:rPr>
          <w:rFonts w:ascii="Times New Roman" w:hAnsi="Times New Roman" w:cs="Times New Roman"/>
          <w:b/>
          <w:sz w:val="24"/>
          <w:szCs w:val="24"/>
        </w:rPr>
        <w:t>PËR</w:t>
      </w:r>
    </w:p>
    <w:p w14:paraId="78219776" w14:textId="2D79345E" w:rsidR="00D51C1A" w:rsidRPr="00591FCC" w:rsidRDefault="00D51C1A" w:rsidP="00591FCC">
      <w:pPr>
        <w:spacing w:after="0"/>
        <w:jc w:val="center"/>
        <w:rPr>
          <w:rFonts w:ascii="Times New Roman" w:hAnsi="Times New Roman" w:cs="Times New Roman"/>
          <w:b/>
          <w:sz w:val="24"/>
          <w:szCs w:val="24"/>
        </w:rPr>
      </w:pPr>
      <w:r w:rsidRPr="00591FCC">
        <w:rPr>
          <w:rFonts w:ascii="Times New Roman" w:hAnsi="Times New Roman" w:cs="Times New Roman"/>
          <w:b/>
          <w:sz w:val="24"/>
          <w:szCs w:val="24"/>
        </w:rPr>
        <w:t>SHKËMBIMIN AUTOMATIK TË INFORMACIONIT TË LLOGARIVE FINANCIARE</w:t>
      </w:r>
      <w:r w:rsidR="00164744" w:rsidRPr="00591FCC">
        <w:rPr>
          <w:rFonts w:ascii="Times New Roman" w:hAnsi="Times New Roman" w:cs="Times New Roman"/>
          <w:b/>
          <w:sz w:val="24"/>
          <w:szCs w:val="24"/>
          <w:vertAlign w:val="superscript"/>
        </w:rPr>
        <w:footnoteReference w:id="2"/>
      </w:r>
    </w:p>
    <w:p w14:paraId="78219777" w14:textId="1D0AAF9C" w:rsidR="00D51C1A" w:rsidRPr="00591FCC" w:rsidRDefault="00D51C1A" w:rsidP="00591FCC">
      <w:pPr>
        <w:spacing w:after="0"/>
        <w:jc w:val="center"/>
        <w:rPr>
          <w:rFonts w:ascii="Times New Roman" w:hAnsi="Times New Roman" w:cs="Times New Roman"/>
          <w:sz w:val="24"/>
          <w:szCs w:val="24"/>
        </w:rPr>
      </w:pPr>
    </w:p>
    <w:p w14:paraId="09005ECD" w14:textId="77777777" w:rsidR="00C207D7" w:rsidRPr="00591FCC" w:rsidRDefault="00C207D7" w:rsidP="00591FCC">
      <w:pPr>
        <w:spacing w:after="0"/>
        <w:jc w:val="center"/>
        <w:rPr>
          <w:rFonts w:ascii="Times New Roman" w:hAnsi="Times New Roman" w:cs="Times New Roman"/>
          <w:sz w:val="24"/>
          <w:szCs w:val="24"/>
        </w:rPr>
      </w:pPr>
    </w:p>
    <w:p w14:paraId="78219778" w14:textId="45429BD5" w:rsidR="006C2C7E" w:rsidRPr="00591FCC" w:rsidRDefault="0063773C" w:rsidP="00F74BA0">
      <w:pPr>
        <w:spacing w:after="0"/>
        <w:jc w:val="both"/>
        <w:rPr>
          <w:rFonts w:ascii="Times New Roman" w:hAnsi="Times New Roman" w:cs="Times New Roman"/>
          <w:sz w:val="24"/>
          <w:szCs w:val="24"/>
        </w:rPr>
      </w:pPr>
      <w:r w:rsidRPr="00591FCC">
        <w:rPr>
          <w:rFonts w:ascii="Times New Roman" w:hAnsi="Times New Roman" w:cs="Times New Roman"/>
          <w:sz w:val="24"/>
          <w:szCs w:val="24"/>
        </w:rPr>
        <w:t>Në mbështetje të neneve</w:t>
      </w:r>
      <w:r w:rsidR="00D51C1A" w:rsidRPr="00591FCC">
        <w:rPr>
          <w:rFonts w:ascii="Times New Roman" w:hAnsi="Times New Roman" w:cs="Times New Roman"/>
          <w:sz w:val="24"/>
          <w:szCs w:val="24"/>
        </w:rPr>
        <w:t xml:space="preserve"> 78</w:t>
      </w:r>
      <w:r w:rsidR="00E55309" w:rsidRPr="00591FCC">
        <w:rPr>
          <w:rFonts w:ascii="Times New Roman" w:hAnsi="Times New Roman" w:cs="Times New Roman"/>
          <w:sz w:val="24"/>
          <w:szCs w:val="24"/>
        </w:rPr>
        <w:t xml:space="preserve"> dhe</w:t>
      </w:r>
      <w:r w:rsidR="00D51C1A" w:rsidRPr="00591FCC">
        <w:rPr>
          <w:rFonts w:ascii="Times New Roman" w:hAnsi="Times New Roman" w:cs="Times New Roman"/>
          <w:sz w:val="24"/>
          <w:szCs w:val="24"/>
        </w:rPr>
        <w:t xml:space="preserve"> 83</w:t>
      </w:r>
      <w:r w:rsidR="00E53FBF" w:rsidRPr="00591FCC">
        <w:rPr>
          <w:rFonts w:ascii="Times New Roman" w:hAnsi="Times New Roman" w:cs="Times New Roman"/>
          <w:sz w:val="24"/>
          <w:szCs w:val="24"/>
        </w:rPr>
        <w:t>,</w:t>
      </w:r>
      <w:r w:rsidR="00D51C1A" w:rsidRPr="00591FCC">
        <w:rPr>
          <w:rFonts w:ascii="Times New Roman" w:hAnsi="Times New Roman" w:cs="Times New Roman"/>
          <w:sz w:val="24"/>
          <w:szCs w:val="24"/>
        </w:rPr>
        <w:t xml:space="preserve"> pika 1</w:t>
      </w:r>
      <w:r w:rsidR="00E53FBF" w:rsidRPr="00591FCC">
        <w:rPr>
          <w:rFonts w:ascii="Times New Roman" w:hAnsi="Times New Roman" w:cs="Times New Roman"/>
          <w:sz w:val="24"/>
          <w:szCs w:val="24"/>
        </w:rPr>
        <w:t>,</w:t>
      </w:r>
      <w:r w:rsidR="00D51C1A" w:rsidRPr="00591FCC">
        <w:rPr>
          <w:rFonts w:ascii="Times New Roman" w:hAnsi="Times New Roman" w:cs="Times New Roman"/>
          <w:sz w:val="24"/>
          <w:szCs w:val="24"/>
        </w:rPr>
        <w:t xml:space="preserve"> të Kushtetutës, me propozimin e Këshillit të Ministrave,</w:t>
      </w:r>
    </w:p>
    <w:p w14:paraId="78219779" w14:textId="77777777" w:rsidR="006C2C7E" w:rsidRPr="00591FCC" w:rsidRDefault="006C2C7E" w:rsidP="00591FCC">
      <w:pPr>
        <w:spacing w:after="0"/>
        <w:jc w:val="center"/>
        <w:rPr>
          <w:rFonts w:ascii="Times New Roman" w:hAnsi="Times New Roman" w:cs="Times New Roman"/>
          <w:sz w:val="24"/>
          <w:szCs w:val="24"/>
        </w:rPr>
      </w:pPr>
    </w:p>
    <w:p w14:paraId="7821977A" w14:textId="0C379BCB" w:rsidR="006C2C7E" w:rsidRPr="00591FCC" w:rsidRDefault="009148DA" w:rsidP="00591FCC">
      <w:pPr>
        <w:spacing w:after="0"/>
        <w:jc w:val="center"/>
        <w:rPr>
          <w:rFonts w:ascii="Times New Roman" w:hAnsi="Times New Roman" w:cs="Times New Roman"/>
          <w:sz w:val="24"/>
          <w:szCs w:val="24"/>
        </w:rPr>
      </w:pPr>
      <w:r w:rsidRPr="00591FCC">
        <w:rPr>
          <w:rFonts w:ascii="Times New Roman" w:hAnsi="Times New Roman" w:cs="Times New Roman"/>
          <w:sz w:val="24"/>
          <w:szCs w:val="24"/>
        </w:rPr>
        <w:t>KUVEND</w:t>
      </w:r>
      <w:r w:rsidR="006C2C7E" w:rsidRPr="00591FCC">
        <w:rPr>
          <w:rFonts w:ascii="Times New Roman" w:hAnsi="Times New Roman" w:cs="Times New Roman"/>
          <w:sz w:val="24"/>
          <w:szCs w:val="24"/>
        </w:rPr>
        <w:t>I</w:t>
      </w:r>
    </w:p>
    <w:p w14:paraId="7821977C" w14:textId="77777777" w:rsidR="00D51C1A" w:rsidRPr="00591FCC" w:rsidRDefault="0086728C" w:rsidP="00591FCC">
      <w:pPr>
        <w:spacing w:after="0"/>
        <w:jc w:val="center"/>
        <w:rPr>
          <w:rFonts w:ascii="Times New Roman" w:hAnsi="Times New Roman" w:cs="Times New Roman"/>
          <w:sz w:val="24"/>
          <w:szCs w:val="24"/>
        </w:rPr>
      </w:pPr>
      <w:r w:rsidRPr="00591FCC">
        <w:rPr>
          <w:rFonts w:ascii="Times New Roman" w:hAnsi="Times New Roman" w:cs="Times New Roman"/>
          <w:sz w:val="24"/>
          <w:szCs w:val="24"/>
        </w:rPr>
        <w:t>I REPUBLIKËS SË SHQIPËRISË</w:t>
      </w:r>
    </w:p>
    <w:p w14:paraId="7821977D" w14:textId="77777777" w:rsidR="00D51C1A" w:rsidRPr="00591FCC" w:rsidRDefault="00D51C1A" w:rsidP="00591FCC">
      <w:pPr>
        <w:spacing w:after="0"/>
        <w:jc w:val="center"/>
        <w:rPr>
          <w:rFonts w:ascii="Times New Roman" w:hAnsi="Times New Roman" w:cs="Times New Roman"/>
          <w:sz w:val="24"/>
          <w:szCs w:val="24"/>
        </w:rPr>
      </w:pPr>
    </w:p>
    <w:p w14:paraId="7821977E" w14:textId="2761248E" w:rsidR="00D51C1A" w:rsidRPr="00591FCC" w:rsidRDefault="009148DA" w:rsidP="00591FCC">
      <w:pPr>
        <w:spacing w:after="0"/>
        <w:jc w:val="center"/>
        <w:rPr>
          <w:rFonts w:ascii="Times New Roman" w:hAnsi="Times New Roman" w:cs="Times New Roman"/>
          <w:b/>
          <w:bCs/>
          <w:sz w:val="24"/>
          <w:szCs w:val="24"/>
        </w:rPr>
      </w:pPr>
      <w:r w:rsidRPr="00591FCC">
        <w:rPr>
          <w:rFonts w:ascii="Times New Roman" w:hAnsi="Times New Roman" w:cs="Times New Roman"/>
          <w:b/>
          <w:bCs/>
          <w:sz w:val="24"/>
          <w:szCs w:val="24"/>
        </w:rPr>
        <w:t>VENDOS</w:t>
      </w:r>
      <w:r w:rsidR="00D51C1A" w:rsidRPr="00591FCC">
        <w:rPr>
          <w:rFonts w:ascii="Times New Roman" w:hAnsi="Times New Roman" w:cs="Times New Roman"/>
          <w:b/>
          <w:bCs/>
          <w:sz w:val="24"/>
          <w:szCs w:val="24"/>
        </w:rPr>
        <w:t>I:</w:t>
      </w:r>
    </w:p>
    <w:p w14:paraId="7821977F" w14:textId="77777777" w:rsidR="00D51C1A" w:rsidRPr="00591FCC" w:rsidRDefault="00D51C1A" w:rsidP="00591FCC">
      <w:pPr>
        <w:spacing w:after="0"/>
        <w:jc w:val="center"/>
        <w:rPr>
          <w:rFonts w:ascii="Times New Roman" w:hAnsi="Times New Roman" w:cs="Times New Roman"/>
          <w:sz w:val="24"/>
          <w:szCs w:val="24"/>
        </w:rPr>
      </w:pPr>
    </w:p>
    <w:p w14:paraId="78219780" w14:textId="77777777" w:rsidR="00834F1C" w:rsidRPr="00591FCC" w:rsidRDefault="00834F1C" w:rsidP="00591FCC">
      <w:pPr>
        <w:spacing w:after="0"/>
        <w:jc w:val="center"/>
        <w:rPr>
          <w:rFonts w:ascii="Times New Roman" w:hAnsi="Times New Roman" w:cs="Times New Roman"/>
          <w:sz w:val="24"/>
          <w:szCs w:val="24"/>
        </w:rPr>
      </w:pPr>
      <w:r w:rsidRPr="00591FCC">
        <w:rPr>
          <w:rFonts w:ascii="Times New Roman" w:hAnsi="Times New Roman" w:cs="Times New Roman"/>
          <w:sz w:val="24"/>
          <w:szCs w:val="24"/>
        </w:rPr>
        <w:t>KREU I</w:t>
      </w:r>
    </w:p>
    <w:p w14:paraId="78219781" w14:textId="77777777" w:rsidR="00263B15" w:rsidRPr="00591FCC" w:rsidRDefault="00263B15" w:rsidP="00591FCC">
      <w:pPr>
        <w:spacing w:after="0"/>
        <w:jc w:val="center"/>
        <w:rPr>
          <w:rFonts w:ascii="Times New Roman" w:hAnsi="Times New Roman" w:cs="Times New Roman"/>
          <w:sz w:val="24"/>
          <w:szCs w:val="24"/>
        </w:rPr>
      </w:pPr>
    </w:p>
    <w:p w14:paraId="78219782" w14:textId="77777777" w:rsidR="000A71CD" w:rsidRPr="00591FCC" w:rsidRDefault="00110A9A" w:rsidP="00591FCC">
      <w:pPr>
        <w:spacing w:after="0"/>
        <w:jc w:val="center"/>
        <w:rPr>
          <w:rFonts w:ascii="Times New Roman" w:hAnsi="Times New Roman" w:cs="Times New Roman"/>
          <w:sz w:val="24"/>
          <w:szCs w:val="24"/>
        </w:rPr>
      </w:pPr>
      <w:r w:rsidRPr="00591FCC">
        <w:rPr>
          <w:rFonts w:ascii="Times New Roman" w:hAnsi="Times New Roman" w:cs="Times New Roman"/>
          <w:sz w:val="24"/>
          <w:szCs w:val="24"/>
        </w:rPr>
        <w:t xml:space="preserve">DISPOZITA </w:t>
      </w:r>
      <w:r w:rsidR="009303F4" w:rsidRPr="00591FCC">
        <w:rPr>
          <w:rFonts w:ascii="Times New Roman" w:hAnsi="Times New Roman" w:cs="Times New Roman"/>
          <w:sz w:val="24"/>
          <w:szCs w:val="24"/>
        </w:rPr>
        <w:t>TË</w:t>
      </w:r>
      <w:r w:rsidR="001D60B3" w:rsidRPr="00591FCC">
        <w:rPr>
          <w:rFonts w:ascii="Times New Roman" w:hAnsi="Times New Roman" w:cs="Times New Roman"/>
          <w:sz w:val="24"/>
          <w:szCs w:val="24"/>
        </w:rPr>
        <w:t xml:space="preserve"> </w:t>
      </w:r>
      <w:r w:rsidRPr="00591FCC">
        <w:rPr>
          <w:rFonts w:ascii="Times New Roman" w:hAnsi="Times New Roman" w:cs="Times New Roman"/>
          <w:sz w:val="24"/>
          <w:szCs w:val="24"/>
        </w:rPr>
        <w:t>P</w:t>
      </w:r>
      <w:r w:rsidR="001112FB" w:rsidRPr="00591FCC">
        <w:rPr>
          <w:rFonts w:ascii="Times New Roman" w:hAnsi="Times New Roman" w:cs="Times New Roman"/>
          <w:sz w:val="24"/>
          <w:szCs w:val="24"/>
        </w:rPr>
        <w:t>Ë</w:t>
      </w:r>
      <w:r w:rsidRPr="00591FCC">
        <w:rPr>
          <w:rFonts w:ascii="Times New Roman" w:hAnsi="Times New Roman" w:cs="Times New Roman"/>
          <w:sz w:val="24"/>
          <w:szCs w:val="24"/>
        </w:rPr>
        <w:t>RGJITHSHME</w:t>
      </w:r>
    </w:p>
    <w:p w14:paraId="78219783" w14:textId="77777777" w:rsidR="00E53FBF" w:rsidRPr="00591FCC" w:rsidRDefault="00E53FBF" w:rsidP="00591FCC">
      <w:pPr>
        <w:spacing w:after="0"/>
        <w:jc w:val="center"/>
        <w:rPr>
          <w:rFonts w:ascii="Times New Roman" w:hAnsi="Times New Roman" w:cs="Times New Roman"/>
          <w:sz w:val="24"/>
          <w:szCs w:val="24"/>
        </w:rPr>
      </w:pPr>
    </w:p>
    <w:p w14:paraId="7D661707" w14:textId="77777777" w:rsidR="00CA6A76" w:rsidRPr="00591FCC" w:rsidRDefault="00CA6A76" w:rsidP="00591FCC">
      <w:pPr>
        <w:spacing w:after="0"/>
        <w:jc w:val="center"/>
        <w:rPr>
          <w:rFonts w:ascii="Times New Roman" w:hAnsi="Times New Roman" w:cs="Times New Roman"/>
          <w:b/>
          <w:bCs/>
          <w:sz w:val="24"/>
          <w:szCs w:val="24"/>
        </w:rPr>
      </w:pPr>
    </w:p>
    <w:p w14:paraId="78219784" w14:textId="4BE3CE17" w:rsidR="000A71CD" w:rsidRPr="00F74BA0" w:rsidRDefault="00110A9A" w:rsidP="00591FCC">
      <w:pPr>
        <w:spacing w:after="0"/>
        <w:jc w:val="center"/>
        <w:rPr>
          <w:rFonts w:ascii="Times New Roman" w:hAnsi="Times New Roman" w:cs="Times New Roman"/>
          <w:b/>
          <w:bCs/>
          <w:sz w:val="24"/>
          <w:szCs w:val="24"/>
        </w:rPr>
      </w:pPr>
      <w:r w:rsidRPr="00F74BA0">
        <w:rPr>
          <w:rFonts w:ascii="Times New Roman" w:hAnsi="Times New Roman" w:cs="Times New Roman"/>
          <w:b/>
          <w:bCs/>
          <w:sz w:val="24"/>
          <w:szCs w:val="24"/>
        </w:rPr>
        <w:t>Neni 1</w:t>
      </w:r>
    </w:p>
    <w:p w14:paraId="78219786" w14:textId="54C41DD2" w:rsidR="000A71CD" w:rsidRPr="00591FCC" w:rsidRDefault="00D72564" w:rsidP="00591FCC">
      <w:pPr>
        <w:spacing w:after="0"/>
        <w:jc w:val="center"/>
        <w:rPr>
          <w:rFonts w:ascii="Times New Roman" w:hAnsi="Times New Roman" w:cs="Times New Roman"/>
          <w:b/>
          <w:sz w:val="24"/>
          <w:szCs w:val="24"/>
        </w:rPr>
      </w:pPr>
      <w:r w:rsidRPr="00591FCC">
        <w:rPr>
          <w:rFonts w:ascii="Times New Roman" w:hAnsi="Times New Roman" w:cs="Times New Roman"/>
          <w:b/>
          <w:sz w:val="24"/>
          <w:szCs w:val="24"/>
        </w:rPr>
        <w:t>Objekti</w:t>
      </w:r>
    </w:p>
    <w:p w14:paraId="748DA96F" w14:textId="58CAA10C" w:rsidR="000173E3" w:rsidRPr="00591FCC" w:rsidRDefault="000F3385" w:rsidP="00591FCC">
      <w:pPr>
        <w:pStyle w:val="NormalWeb"/>
        <w:spacing w:line="276" w:lineRule="auto"/>
        <w:jc w:val="both"/>
      </w:pPr>
      <w:r w:rsidRPr="00591FCC">
        <w:t xml:space="preserve">1. </w:t>
      </w:r>
      <w:r w:rsidR="000173E3" w:rsidRPr="00591FCC">
        <w:t>Objekti i këtij ligji është përcaktimi i rregullave dhe procedurave në lidhje me:</w:t>
      </w:r>
    </w:p>
    <w:p w14:paraId="79A9F457" w14:textId="77777777" w:rsidR="000173E3" w:rsidRPr="00591FCC" w:rsidRDefault="000173E3" w:rsidP="00591FCC">
      <w:pPr>
        <w:pStyle w:val="NormalWeb"/>
        <w:spacing w:line="276" w:lineRule="auto"/>
        <w:jc w:val="both"/>
      </w:pPr>
      <w:r w:rsidRPr="00591FCC">
        <w:t>a) shkëmbimin automatik të informacionit të llogarive financiare:</w:t>
      </w:r>
    </w:p>
    <w:p w14:paraId="3B20CCA3" w14:textId="77777777" w:rsidR="000D3314" w:rsidRPr="00591FCC" w:rsidRDefault="000173E3" w:rsidP="00591FCC">
      <w:pPr>
        <w:pStyle w:val="NormalWeb"/>
        <w:spacing w:line="276" w:lineRule="auto"/>
        <w:jc w:val="both"/>
      </w:pPr>
      <w:r w:rsidRPr="00591FCC">
        <w:lastRenderedPageBreak/>
        <w:t>i. me shtetet anëtare të Bashkimit Evropian, në përputhje me nenin 8, pika 3a, dhe anekset I dhe II të Direktivës 2011/16/BE, të ndryshuar; dhe</w:t>
      </w:r>
    </w:p>
    <w:p w14:paraId="080FB8E7" w14:textId="74574CDF" w:rsidR="000173E3" w:rsidRPr="00591FCC" w:rsidRDefault="000173E3" w:rsidP="00591FCC">
      <w:pPr>
        <w:pStyle w:val="NormalWeb"/>
        <w:spacing w:line="276" w:lineRule="auto"/>
        <w:jc w:val="both"/>
      </w:pPr>
      <w:r w:rsidRPr="00591FCC">
        <w:t>ii. me juridiksionet e tjera, në përputhje me Standardin e Përbashkët të Raportimit dhe Marrëveshjen Shumëpalëshe të Autoriteteve Kompetente për shkëmbimin automatik të informacionit të llogarive financiare;</w:t>
      </w:r>
    </w:p>
    <w:p w14:paraId="314B12B1" w14:textId="4BCA8795" w:rsidR="00770AA2" w:rsidRPr="00591FCC" w:rsidRDefault="00770AA2" w:rsidP="00591FCC">
      <w:pPr>
        <w:pStyle w:val="NormalWeb"/>
        <w:spacing w:line="276" w:lineRule="auto"/>
        <w:jc w:val="both"/>
      </w:pPr>
      <w:r w:rsidRPr="00591FCC">
        <w:t>b) detyrimin e institucioneve financiare raportuese për të mbledhur dhe raportuar informacionin e llogarive financiare pranë Autoritetit Kompetent dhe për të zbatuar rregullat e raportimit dhe procedurat e vigjilencës së duhur të përcaktuara në këtë ligj dhe në aktet nënligjore të nxjerra në zbatim të tij;</w:t>
      </w:r>
    </w:p>
    <w:p w14:paraId="369EEF17" w14:textId="77777777" w:rsidR="000173E3" w:rsidRPr="00591FCC" w:rsidRDefault="000173E3" w:rsidP="00591FCC">
      <w:pPr>
        <w:pStyle w:val="NormalWeb"/>
        <w:spacing w:line="276" w:lineRule="auto"/>
        <w:jc w:val="both"/>
      </w:pPr>
      <w:r w:rsidRPr="00591FCC">
        <w:t>c) kushtet për mbledhjen, përpunimin, përditësimin, aksesin, ruajtjen, përdorimin, shkëmbimin dhe arkivimin e informacionit të llogarive financiare;</w:t>
      </w:r>
    </w:p>
    <w:p w14:paraId="0A47208C" w14:textId="77777777" w:rsidR="000173E3" w:rsidRPr="00591FCC" w:rsidRDefault="000173E3" w:rsidP="00591FCC">
      <w:pPr>
        <w:pStyle w:val="NormalWeb"/>
        <w:spacing w:line="276" w:lineRule="auto"/>
        <w:jc w:val="both"/>
      </w:pPr>
      <w:r w:rsidRPr="00591FCC">
        <w:t>ç) të drejtat dhe detyrimet e Autoritetit Kompetent për të siguruar zbatimin efektiv dhe përputhshmërinë me rregullat e raportimit dhe të vigjilencës së duhur, përfshirë kërkesat e seksionit IX të aneksit I të Direktivës 2011/16/BE dhe seksionit IX të Standardit të Përbashkët të Raportimit.</w:t>
      </w:r>
    </w:p>
    <w:p w14:paraId="6FB803A4" w14:textId="77777777" w:rsidR="003F2967" w:rsidRPr="00591FCC" w:rsidRDefault="003F2967" w:rsidP="00591FCC">
      <w:pPr>
        <w:spacing w:before="100" w:beforeAutospacing="1" w:after="100" w:afterAutospacing="1"/>
        <w:jc w:val="center"/>
        <w:rPr>
          <w:rFonts w:ascii="Times New Roman" w:eastAsia="Times New Roman" w:hAnsi="Times New Roman" w:cs="Times New Roman"/>
          <w:sz w:val="24"/>
          <w:szCs w:val="24"/>
          <w:lang w:val="en-US"/>
        </w:rPr>
      </w:pPr>
      <w:r w:rsidRPr="00591FCC">
        <w:rPr>
          <w:rFonts w:ascii="Times New Roman" w:eastAsia="Times New Roman" w:hAnsi="Times New Roman" w:cs="Times New Roman"/>
          <w:b/>
          <w:bCs/>
          <w:sz w:val="24"/>
          <w:szCs w:val="24"/>
          <w:lang w:val="en-US"/>
        </w:rPr>
        <w:t>Neni 2</w:t>
      </w:r>
      <w:r w:rsidRPr="00591FCC">
        <w:rPr>
          <w:rFonts w:ascii="Times New Roman" w:eastAsia="Times New Roman" w:hAnsi="Times New Roman" w:cs="Times New Roman"/>
          <w:sz w:val="24"/>
          <w:szCs w:val="24"/>
          <w:lang w:val="en-US"/>
        </w:rPr>
        <w:br/>
      </w:r>
      <w:r w:rsidRPr="00591FCC">
        <w:rPr>
          <w:rFonts w:ascii="Times New Roman" w:eastAsia="Times New Roman" w:hAnsi="Times New Roman" w:cs="Times New Roman"/>
          <w:b/>
          <w:bCs/>
          <w:sz w:val="24"/>
          <w:szCs w:val="24"/>
          <w:lang w:val="en-US"/>
        </w:rPr>
        <w:t>Qëllimi</w:t>
      </w:r>
    </w:p>
    <w:p w14:paraId="68392D33" w14:textId="1DDACB99" w:rsidR="00DD6261" w:rsidRPr="004D71BB" w:rsidRDefault="003F2967" w:rsidP="004D71BB">
      <w:pPr>
        <w:spacing w:before="100" w:beforeAutospacing="1"/>
        <w:jc w:val="both"/>
        <w:rPr>
          <w:rFonts w:ascii="Times New Roman" w:eastAsia="Times New Roman" w:hAnsi="Times New Roman" w:cs="Times New Roman"/>
          <w:sz w:val="24"/>
          <w:szCs w:val="24"/>
          <w:lang w:val="en-US"/>
        </w:rPr>
      </w:pPr>
      <w:r w:rsidRPr="004D71BB">
        <w:rPr>
          <w:rFonts w:ascii="Times New Roman" w:eastAsia="Times New Roman" w:hAnsi="Times New Roman" w:cs="Times New Roman"/>
          <w:sz w:val="24"/>
          <w:szCs w:val="24"/>
          <w:lang w:val="en-US"/>
        </w:rPr>
        <w:t>Ky ligj ka për qëllim krijimin e kuadrit ligjor për zbatimin e:</w:t>
      </w:r>
    </w:p>
    <w:p w14:paraId="4456277C" w14:textId="311B73C4" w:rsidR="00DD6261" w:rsidRPr="00F74BA0" w:rsidRDefault="003F2967" w:rsidP="00F74BA0">
      <w:pPr>
        <w:pStyle w:val="ListParagraph"/>
        <w:numPr>
          <w:ilvl w:val="0"/>
          <w:numId w:val="45"/>
        </w:numPr>
        <w:spacing w:before="100" w:beforeAutospacing="1" w:after="100" w:afterAutospacing="1"/>
        <w:jc w:val="both"/>
        <w:rPr>
          <w:rFonts w:ascii="Times New Roman" w:eastAsia="Times New Roman" w:hAnsi="Times New Roman" w:cs="Times New Roman"/>
          <w:sz w:val="24"/>
          <w:szCs w:val="24"/>
          <w:lang w:val="en-US"/>
        </w:rPr>
      </w:pPr>
      <w:r w:rsidRPr="00F74BA0">
        <w:rPr>
          <w:rFonts w:ascii="Times New Roman" w:eastAsia="Times New Roman" w:hAnsi="Times New Roman" w:cs="Times New Roman"/>
          <w:sz w:val="24"/>
          <w:szCs w:val="24"/>
          <w:lang w:val="en-US"/>
        </w:rPr>
        <w:t>Direktivës 2011/16/BE të Këshillit, të ndryshuar, në marrëdhëniet me shtetet anëtare të Bashkimit Evropian;</w:t>
      </w:r>
    </w:p>
    <w:p w14:paraId="62C6D422" w14:textId="0534F0E9" w:rsidR="00DD6261" w:rsidRPr="00591FCC" w:rsidRDefault="003F2967" w:rsidP="00591FCC">
      <w:pPr>
        <w:pStyle w:val="ListParagraph"/>
        <w:numPr>
          <w:ilvl w:val="0"/>
          <w:numId w:val="45"/>
        </w:numPr>
        <w:spacing w:before="100" w:beforeAutospacing="1" w:after="100" w:afterAutospacing="1"/>
        <w:jc w:val="both"/>
        <w:rPr>
          <w:rFonts w:ascii="Times New Roman" w:eastAsia="Times New Roman" w:hAnsi="Times New Roman" w:cs="Times New Roman"/>
          <w:sz w:val="24"/>
          <w:szCs w:val="24"/>
          <w:lang w:val="en-US"/>
        </w:rPr>
      </w:pPr>
      <w:r w:rsidRPr="00F74BA0">
        <w:rPr>
          <w:rFonts w:ascii="Times New Roman" w:eastAsia="Times New Roman" w:hAnsi="Times New Roman" w:cs="Times New Roman"/>
          <w:sz w:val="24"/>
          <w:szCs w:val="24"/>
          <w:lang w:val="en-US"/>
        </w:rPr>
        <w:t>Konventës për Ndihmën e Ndërsjellë Administrative në Çështje Tatimore; dhe</w:t>
      </w:r>
    </w:p>
    <w:p w14:paraId="0170ADEE" w14:textId="491F2699" w:rsidR="003F2967" w:rsidRPr="00F74BA0" w:rsidRDefault="003F2967" w:rsidP="00F74BA0">
      <w:pPr>
        <w:pStyle w:val="ListParagraph"/>
        <w:numPr>
          <w:ilvl w:val="0"/>
          <w:numId w:val="45"/>
        </w:numPr>
        <w:spacing w:before="100" w:beforeAutospacing="1" w:after="100" w:afterAutospacing="1"/>
        <w:jc w:val="both"/>
        <w:rPr>
          <w:rFonts w:ascii="Times New Roman" w:eastAsia="Times New Roman" w:hAnsi="Times New Roman" w:cs="Times New Roman"/>
          <w:sz w:val="24"/>
          <w:szCs w:val="24"/>
          <w:lang w:val="en-US"/>
        </w:rPr>
      </w:pPr>
      <w:r w:rsidRPr="00F74BA0">
        <w:rPr>
          <w:rFonts w:ascii="Times New Roman" w:eastAsia="Times New Roman" w:hAnsi="Times New Roman" w:cs="Times New Roman"/>
          <w:sz w:val="24"/>
          <w:szCs w:val="24"/>
          <w:lang w:val="en-US"/>
        </w:rPr>
        <w:t>Marrëveshjes Shumëpalëshe të Autoriteteve Kompetente për shkëmbimin automatik të informacionit të llogarive financiare</w:t>
      </w:r>
      <w:r w:rsidR="00DD6261" w:rsidRPr="00F74BA0">
        <w:rPr>
          <w:rFonts w:ascii="Times New Roman" w:eastAsia="Times New Roman" w:hAnsi="Times New Roman" w:cs="Times New Roman"/>
          <w:sz w:val="24"/>
          <w:szCs w:val="24"/>
          <w:lang w:val="en-US"/>
        </w:rPr>
        <w:t>;</w:t>
      </w:r>
    </w:p>
    <w:p w14:paraId="5ACD46F8" w14:textId="77777777" w:rsidR="003F2967" w:rsidRPr="00591FCC" w:rsidRDefault="003F2967" w:rsidP="00F74BA0">
      <w:pPr>
        <w:spacing w:before="100" w:beforeAutospacing="1" w:after="100" w:afterAutospacing="1"/>
        <w:jc w:val="both"/>
        <w:rPr>
          <w:rFonts w:ascii="Times New Roman" w:eastAsia="Times New Roman" w:hAnsi="Times New Roman" w:cs="Times New Roman"/>
          <w:sz w:val="24"/>
          <w:szCs w:val="24"/>
          <w:lang w:val="en-US"/>
        </w:rPr>
      </w:pPr>
      <w:r w:rsidRPr="00591FCC">
        <w:rPr>
          <w:rFonts w:ascii="Times New Roman" w:eastAsia="Times New Roman" w:hAnsi="Times New Roman" w:cs="Times New Roman"/>
          <w:sz w:val="24"/>
          <w:szCs w:val="24"/>
          <w:lang w:val="en-US"/>
        </w:rPr>
        <w:t>me synim parandalimin dhe luftimin e mashtrimit tatimor dhe evazionit fiskal, si dhe përmirësimin e pajtueshmërisë tatimore në nivel kombëtar dhe ndërkombëtar.</w:t>
      </w:r>
    </w:p>
    <w:p w14:paraId="3501FD86" w14:textId="77777777" w:rsidR="002349DA" w:rsidRPr="00591FCC" w:rsidRDefault="002349DA" w:rsidP="00591FCC">
      <w:pPr>
        <w:spacing w:before="100" w:beforeAutospacing="1" w:after="100" w:afterAutospacing="1"/>
        <w:jc w:val="center"/>
        <w:rPr>
          <w:rFonts w:ascii="Times New Roman" w:eastAsia="Times New Roman" w:hAnsi="Times New Roman" w:cs="Times New Roman"/>
          <w:sz w:val="24"/>
          <w:szCs w:val="24"/>
          <w:lang w:eastAsia="sq-AL"/>
        </w:rPr>
      </w:pPr>
      <w:r w:rsidRPr="00591FCC">
        <w:rPr>
          <w:rFonts w:ascii="Times New Roman" w:eastAsia="Times New Roman" w:hAnsi="Times New Roman" w:cs="Times New Roman"/>
          <w:b/>
          <w:bCs/>
          <w:sz w:val="24"/>
          <w:szCs w:val="24"/>
          <w:lang w:eastAsia="sq-AL"/>
        </w:rPr>
        <w:t>Neni 3</w:t>
      </w:r>
      <w:r w:rsidRPr="00591FCC">
        <w:rPr>
          <w:rFonts w:ascii="Times New Roman" w:eastAsia="Times New Roman" w:hAnsi="Times New Roman" w:cs="Times New Roman"/>
          <w:b/>
          <w:bCs/>
          <w:sz w:val="24"/>
          <w:szCs w:val="24"/>
          <w:lang w:eastAsia="sq-AL"/>
        </w:rPr>
        <w:br/>
        <w:t>Parimet e zbatimit</w:t>
      </w:r>
    </w:p>
    <w:p w14:paraId="2867BFD8" w14:textId="77777777" w:rsidR="002349DA" w:rsidRPr="00591FCC" w:rsidRDefault="002349DA" w:rsidP="00591FCC">
      <w:pPr>
        <w:numPr>
          <w:ilvl w:val="0"/>
          <w:numId w:val="1"/>
        </w:numPr>
        <w:spacing w:before="100" w:beforeAutospacing="1" w:after="100" w:afterAutospacing="1"/>
        <w:jc w:val="both"/>
        <w:rPr>
          <w:rFonts w:ascii="Times New Roman" w:eastAsia="Times New Roman" w:hAnsi="Times New Roman" w:cs="Times New Roman"/>
          <w:sz w:val="24"/>
          <w:szCs w:val="24"/>
          <w:lang w:eastAsia="sq-AL"/>
        </w:rPr>
      </w:pPr>
      <w:r w:rsidRPr="00591FCC">
        <w:rPr>
          <w:rFonts w:ascii="Times New Roman" w:eastAsia="Times New Roman" w:hAnsi="Times New Roman" w:cs="Times New Roman"/>
          <w:sz w:val="24"/>
          <w:szCs w:val="24"/>
          <w:lang w:eastAsia="sq-AL"/>
        </w:rPr>
        <w:t xml:space="preserve">Mbledhja, raportimi, shkëmbimi dhe përdorimi i informacionit të llogarive financiare kryhen duke respektuar konfidencialitetin, përdorimin e lejuar të informacionit, mbrojtjen e të dhënave personale dhe sigurinë e informacionit. </w:t>
      </w:r>
    </w:p>
    <w:p w14:paraId="2F3783DB" w14:textId="77777777" w:rsidR="002349DA" w:rsidRPr="00591FCC" w:rsidRDefault="002349DA" w:rsidP="00591FCC">
      <w:pPr>
        <w:numPr>
          <w:ilvl w:val="0"/>
          <w:numId w:val="1"/>
        </w:numPr>
        <w:spacing w:before="100" w:beforeAutospacing="1" w:after="100" w:afterAutospacing="1"/>
        <w:jc w:val="both"/>
        <w:rPr>
          <w:rFonts w:ascii="Times New Roman" w:eastAsia="Times New Roman" w:hAnsi="Times New Roman" w:cs="Times New Roman"/>
          <w:sz w:val="24"/>
          <w:szCs w:val="24"/>
          <w:lang w:eastAsia="sq-AL"/>
        </w:rPr>
      </w:pPr>
      <w:r w:rsidRPr="00591FCC">
        <w:rPr>
          <w:rFonts w:ascii="Times New Roman" w:eastAsia="Times New Roman" w:hAnsi="Times New Roman" w:cs="Times New Roman"/>
          <w:sz w:val="24"/>
          <w:szCs w:val="24"/>
          <w:lang w:eastAsia="sq-AL"/>
        </w:rPr>
        <w:t xml:space="preserve">Për shkëmbimet me shtetet anëtare të Bashkimit Evropian, zbatohen plotësueshëm dispozitat e ligjit “Për bashkëpunimin administrativ në fushën e tatimeve dhe shkëmbimin e informacionit tatimor”, përfshirë dispozitat për konfidencialitetin, përdorimin e lejuar, mbrojtjen e të dhënave personale, shkeljet e të dhënave dhe përdorimin e rrjetit CCN. </w:t>
      </w:r>
    </w:p>
    <w:p w14:paraId="78219799" w14:textId="6F7885CE" w:rsidR="00F71FA4" w:rsidRPr="00591FCC" w:rsidRDefault="002349DA" w:rsidP="00591FCC">
      <w:pPr>
        <w:numPr>
          <w:ilvl w:val="0"/>
          <w:numId w:val="1"/>
        </w:numPr>
        <w:spacing w:before="100" w:beforeAutospacing="1" w:after="100" w:afterAutospacing="1"/>
        <w:jc w:val="both"/>
        <w:rPr>
          <w:rFonts w:ascii="Times New Roman" w:eastAsia="Times New Roman" w:hAnsi="Times New Roman" w:cs="Times New Roman"/>
          <w:sz w:val="24"/>
          <w:szCs w:val="24"/>
          <w:lang w:eastAsia="sq-AL"/>
        </w:rPr>
      </w:pPr>
      <w:r w:rsidRPr="00591FCC">
        <w:rPr>
          <w:rFonts w:ascii="Times New Roman" w:eastAsia="Times New Roman" w:hAnsi="Times New Roman" w:cs="Times New Roman"/>
          <w:sz w:val="24"/>
          <w:szCs w:val="24"/>
          <w:lang w:eastAsia="sq-AL"/>
        </w:rPr>
        <w:lastRenderedPageBreak/>
        <w:t xml:space="preserve">Për shkëmbimet me juridiksionet që nuk janë shtete anëtare të Bashkimit Evropian, zbatohen Konventa për Ndihmën e Ndërsjellë Administrative në Çështjet Tatimore, Marrëveshja Shumëpalëshe e Autoriteteve Kompetente, Standardi i Përbashkët i Raportimit dhe legjislacioni kombëtar përkatës. </w:t>
      </w:r>
    </w:p>
    <w:p w14:paraId="7821979B" w14:textId="77777777" w:rsidR="00F74566" w:rsidRPr="00591FCC" w:rsidRDefault="0086728C" w:rsidP="00591FCC">
      <w:pPr>
        <w:spacing w:after="0"/>
        <w:jc w:val="center"/>
        <w:rPr>
          <w:rFonts w:ascii="Times New Roman" w:hAnsi="Times New Roman" w:cs="Times New Roman"/>
          <w:b/>
          <w:sz w:val="24"/>
          <w:szCs w:val="24"/>
        </w:rPr>
      </w:pPr>
      <w:r w:rsidRPr="00591FCC">
        <w:rPr>
          <w:rFonts w:ascii="Times New Roman" w:hAnsi="Times New Roman" w:cs="Times New Roman"/>
          <w:b/>
          <w:sz w:val="24"/>
          <w:szCs w:val="24"/>
        </w:rPr>
        <w:t>Neni 4</w:t>
      </w:r>
    </w:p>
    <w:p w14:paraId="7821979D" w14:textId="77777777" w:rsidR="00F74566" w:rsidRPr="00591FCC" w:rsidRDefault="00F74566" w:rsidP="00591FCC">
      <w:pPr>
        <w:spacing w:after="0"/>
        <w:jc w:val="center"/>
        <w:rPr>
          <w:rFonts w:ascii="Times New Roman" w:hAnsi="Times New Roman" w:cs="Times New Roman"/>
          <w:b/>
          <w:sz w:val="24"/>
          <w:szCs w:val="24"/>
        </w:rPr>
      </w:pPr>
      <w:r w:rsidRPr="00591FCC">
        <w:rPr>
          <w:rFonts w:ascii="Times New Roman" w:hAnsi="Times New Roman" w:cs="Times New Roman"/>
          <w:b/>
          <w:sz w:val="24"/>
          <w:szCs w:val="24"/>
        </w:rPr>
        <w:t>Subjekt</w:t>
      </w:r>
      <w:r w:rsidR="00570665" w:rsidRPr="00591FCC">
        <w:rPr>
          <w:rFonts w:ascii="Times New Roman" w:hAnsi="Times New Roman" w:cs="Times New Roman"/>
          <w:b/>
          <w:sz w:val="24"/>
          <w:szCs w:val="24"/>
        </w:rPr>
        <w:t>e</w:t>
      </w:r>
      <w:r w:rsidR="00654AB4" w:rsidRPr="00591FCC">
        <w:rPr>
          <w:rFonts w:ascii="Times New Roman" w:hAnsi="Times New Roman" w:cs="Times New Roman"/>
          <w:b/>
          <w:sz w:val="24"/>
          <w:szCs w:val="24"/>
        </w:rPr>
        <w:t>t</w:t>
      </w:r>
    </w:p>
    <w:p w14:paraId="7821979E" w14:textId="77777777" w:rsidR="004858D4" w:rsidRPr="00591FCC" w:rsidRDefault="004858D4" w:rsidP="00591FCC">
      <w:pPr>
        <w:spacing w:after="0"/>
        <w:ind w:firstLine="284"/>
        <w:jc w:val="both"/>
        <w:rPr>
          <w:rFonts w:ascii="Times New Roman" w:hAnsi="Times New Roman" w:cs="Times New Roman"/>
          <w:sz w:val="24"/>
          <w:szCs w:val="24"/>
        </w:rPr>
      </w:pPr>
    </w:p>
    <w:p w14:paraId="782197A0" w14:textId="51A6C7D0" w:rsidR="00CC0190" w:rsidRPr="004D71BB" w:rsidRDefault="00243A92" w:rsidP="004D71BB">
      <w:pPr>
        <w:spacing w:after="0"/>
        <w:jc w:val="both"/>
        <w:rPr>
          <w:rFonts w:ascii="Times New Roman" w:hAnsi="Times New Roman" w:cs="Times New Roman"/>
          <w:sz w:val="24"/>
          <w:szCs w:val="24"/>
        </w:rPr>
      </w:pPr>
      <w:r w:rsidRPr="004D71BB">
        <w:rPr>
          <w:rFonts w:ascii="Times New Roman" w:hAnsi="Times New Roman" w:cs="Times New Roman"/>
          <w:sz w:val="24"/>
          <w:szCs w:val="24"/>
        </w:rPr>
        <w:t>Subjekte të këtij ligji janë institucionet financiare raportuese në Republikën e Shqipërisë dhe, vetëm për detyrimet që u ngarkohen shprehimisht nga ky ligj ose nga aktet nënligjore të nxjerra në zbatim të tij, mbajtësit e llogarive, personat kontrollues, ofruesit e shërbimeve palë e tretë dhe personat e tjerë përgjegjës.</w:t>
      </w:r>
    </w:p>
    <w:p w14:paraId="168FCE7F" w14:textId="25F18B8C" w:rsidR="00D0066E" w:rsidRPr="00591FCC" w:rsidRDefault="00D0066E" w:rsidP="00591FCC">
      <w:pPr>
        <w:spacing w:after="0"/>
        <w:jc w:val="center"/>
        <w:rPr>
          <w:rFonts w:ascii="Times New Roman" w:hAnsi="Times New Roman" w:cs="Times New Roman"/>
          <w:sz w:val="24"/>
          <w:szCs w:val="24"/>
        </w:rPr>
      </w:pPr>
    </w:p>
    <w:p w14:paraId="026C7705" w14:textId="77777777" w:rsidR="00D0066E" w:rsidRPr="00591FCC" w:rsidRDefault="00D0066E" w:rsidP="00591FCC">
      <w:pPr>
        <w:pStyle w:val="Heading2"/>
        <w:jc w:val="center"/>
        <w:rPr>
          <w:rFonts w:ascii="Times New Roman" w:hAnsi="Times New Roman" w:cs="Times New Roman"/>
          <w:b/>
          <w:color w:val="auto"/>
          <w:sz w:val="24"/>
          <w:szCs w:val="24"/>
          <w:lang w:val="en-US"/>
        </w:rPr>
      </w:pPr>
      <w:r w:rsidRPr="00591FCC">
        <w:rPr>
          <w:rFonts w:ascii="Times New Roman" w:hAnsi="Times New Roman" w:cs="Times New Roman"/>
          <w:b/>
          <w:color w:val="auto"/>
          <w:sz w:val="24"/>
          <w:szCs w:val="24"/>
        </w:rPr>
        <w:t>Neni 5</w:t>
      </w:r>
    </w:p>
    <w:p w14:paraId="161EBACF" w14:textId="77777777" w:rsidR="00D0066E" w:rsidRDefault="00D0066E" w:rsidP="00591FCC">
      <w:pPr>
        <w:pStyle w:val="Heading3"/>
        <w:jc w:val="center"/>
        <w:rPr>
          <w:rFonts w:ascii="Times New Roman" w:hAnsi="Times New Roman" w:cs="Times New Roman"/>
          <w:b/>
          <w:color w:val="auto"/>
        </w:rPr>
      </w:pPr>
      <w:r w:rsidRPr="00591FCC">
        <w:rPr>
          <w:rFonts w:ascii="Times New Roman" w:hAnsi="Times New Roman" w:cs="Times New Roman"/>
          <w:b/>
          <w:color w:val="auto"/>
        </w:rPr>
        <w:t>Përkufizime</w:t>
      </w:r>
    </w:p>
    <w:p w14:paraId="7E133C19" w14:textId="77777777" w:rsidR="002D72DD" w:rsidRDefault="002D72DD" w:rsidP="002D72DD">
      <w:pPr>
        <w:rPr>
          <w:rStyle w:val="Strong"/>
          <w:rFonts w:ascii="Times New Roman" w:hAnsi="Times New Roman" w:cs="Times New Roman"/>
          <w:b w:val="0"/>
          <w:bCs w:val="0"/>
          <w:sz w:val="24"/>
          <w:szCs w:val="24"/>
          <w:lang w:val="en-GB"/>
        </w:rPr>
      </w:pPr>
    </w:p>
    <w:p w14:paraId="57FDF2AA" w14:textId="07DB2B27" w:rsidR="002D72DD" w:rsidRPr="002D72DD" w:rsidRDefault="002D72DD" w:rsidP="002D72DD">
      <w:pPr>
        <w:rPr>
          <w:rStyle w:val="Strong"/>
          <w:rFonts w:ascii="Times New Roman" w:hAnsi="Times New Roman" w:cs="Times New Roman"/>
          <w:b w:val="0"/>
          <w:bCs w:val="0"/>
          <w:sz w:val="24"/>
          <w:szCs w:val="24"/>
          <w:lang w:val="en-GB"/>
        </w:rPr>
      </w:pPr>
      <w:r w:rsidRPr="002D72DD">
        <w:rPr>
          <w:rStyle w:val="Strong"/>
          <w:rFonts w:ascii="Times New Roman" w:hAnsi="Times New Roman" w:cs="Times New Roman"/>
          <w:b w:val="0"/>
          <w:bCs w:val="0"/>
          <w:sz w:val="24"/>
          <w:szCs w:val="24"/>
          <w:lang w:val="en-GB"/>
        </w:rPr>
        <w:t>Në këtë ligj termat e mëposhtëm kanë këto kuptime:</w:t>
      </w:r>
    </w:p>
    <w:p w14:paraId="4B18277C" w14:textId="4700CD0E" w:rsidR="00A433FC" w:rsidRPr="004D71BB" w:rsidRDefault="00A433FC" w:rsidP="00591FCC">
      <w:pPr>
        <w:pStyle w:val="ListParagraph"/>
        <w:numPr>
          <w:ilvl w:val="0"/>
          <w:numId w:val="25"/>
        </w:numPr>
        <w:spacing w:before="100" w:beforeAutospacing="1" w:after="100" w:afterAutospacing="1"/>
        <w:jc w:val="both"/>
        <w:rPr>
          <w:rFonts w:ascii="Times New Roman" w:hAnsi="Times New Roman" w:cs="Times New Roman"/>
          <w:sz w:val="24"/>
          <w:szCs w:val="24"/>
        </w:rPr>
      </w:pPr>
      <w:r w:rsidRPr="004D71BB">
        <w:rPr>
          <w:rStyle w:val="Strong"/>
          <w:rFonts w:ascii="Times New Roman" w:hAnsi="Times New Roman" w:cs="Times New Roman"/>
          <w:b w:val="0"/>
          <w:bCs w:val="0"/>
          <w:sz w:val="24"/>
          <w:szCs w:val="24"/>
        </w:rPr>
        <w:t>“Autoriteti Kompetent”</w:t>
      </w:r>
      <w:r w:rsidRPr="004D71BB">
        <w:rPr>
          <w:rFonts w:ascii="Times New Roman" w:hAnsi="Times New Roman" w:cs="Times New Roman"/>
          <w:sz w:val="24"/>
          <w:szCs w:val="24"/>
        </w:rPr>
        <w:t xml:space="preserve"> është Drejtoria e Përgjithshme e Tatimeve. Për shkëmbimin automatik të informacionit me shtetet anëtare të Bashkimit Evropian, Autoriteti Kompetent ushtron edhe funksionet dhe kompetencat e përcaktuara në ligjin “Për bashkëpunimin administrativ në fushën e tatimeve dhe shkëmbimin e informacionit tatimor”. </w:t>
      </w:r>
    </w:p>
    <w:p w14:paraId="0753D518" w14:textId="77777777" w:rsidR="00AA031B" w:rsidRPr="004D71BB" w:rsidRDefault="00A433FC" w:rsidP="00591FCC">
      <w:pPr>
        <w:pStyle w:val="ListParagraph"/>
        <w:numPr>
          <w:ilvl w:val="0"/>
          <w:numId w:val="25"/>
        </w:numPr>
        <w:spacing w:before="100" w:beforeAutospacing="1" w:after="100" w:afterAutospacing="1"/>
        <w:jc w:val="both"/>
        <w:rPr>
          <w:rFonts w:ascii="Times New Roman" w:hAnsi="Times New Roman" w:cs="Times New Roman"/>
          <w:sz w:val="24"/>
          <w:szCs w:val="24"/>
        </w:rPr>
      </w:pPr>
      <w:r w:rsidRPr="004D71BB">
        <w:rPr>
          <w:rStyle w:val="Strong"/>
          <w:rFonts w:ascii="Times New Roman" w:hAnsi="Times New Roman" w:cs="Times New Roman"/>
          <w:b w:val="0"/>
          <w:bCs w:val="0"/>
          <w:sz w:val="24"/>
          <w:szCs w:val="24"/>
        </w:rPr>
        <w:t>“Marrëveshje”</w:t>
      </w:r>
      <w:r w:rsidRPr="004D71BB">
        <w:rPr>
          <w:rFonts w:ascii="Times New Roman" w:hAnsi="Times New Roman" w:cs="Times New Roman"/>
          <w:sz w:val="24"/>
          <w:szCs w:val="24"/>
        </w:rPr>
        <w:t xml:space="preserve"> është Marrëveshja Shumëpalëshe e Autoritetit Kompetent për shkëmbimin automatik të informacionit të llogarive financiare, e miratuar me vendimin nr. 178, datë 9.3.2016, të Këshillit të Ministrave, “Për miratimin e Marrëveshjes Shumëpalëshe të Autoritetit Kompetent për shkëmbimin automatik të informac</w:t>
      </w:r>
      <w:r w:rsidR="00AA031B" w:rsidRPr="004D71BB">
        <w:rPr>
          <w:rFonts w:ascii="Times New Roman" w:hAnsi="Times New Roman" w:cs="Times New Roman"/>
          <w:sz w:val="24"/>
          <w:szCs w:val="24"/>
        </w:rPr>
        <w:t>ionit të llogarisë financiare”.</w:t>
      </w:r>
    </w:p>
    <w:p w14:paraId="032B3117" w14:textId="5989677C" w:rsidR="00A433FC" w:rsidRPr="004D71BB" w:rsidRDefault="00A433FC" w:rsidP="00591FCC">
      <w:pPr>
        <w:pStyle w:val="ListParagraph"/>
        <w:numPr>
          <w:ilvl w:val="0"/>
          <w:numId w:val="25"/>
        </w:numPr>
        <w:spacing w:before="100" w:beforeAutospacing="1" w:after="100" w:afterAutospacing="1"/>
        <w:jc w:val="both"/>
        <w:rPr>
          <w:rFonts w:ascii="Times New Roman" w:hAnsi="Times New Roman" w:cs="Times New Roman"/>
          <w:sz w:val="24"/>
          <w:szCs w:val="24"/>
        </w:rPr>
      </w:pPr>
      <w:r w:rsidRPr="004D71BB">
        <w:rPr>
          <w:rStyle w:val="Strong"/>
          <w:rFonts w:ascii="Times New Roman" w:hAnsi="Times New Roman" w:cs="Times New Roman"/>
          <w:b w:val="0"/>
          <w:bCs w:val="0"/>
          <w:sz w:val="24"/>
          <w:szCs w:val="24"/>
        </w:rPr>
        <w:t>“Institucion financiar në Republikën e Shqipërisë”</w:t>
      </w:r>
      <w:r w:rsidRPr="004D71BB">
        <w:rPr>
          <w:rFonts w:ascii="Times New Roman" w:hAnsi="Times New Roman" w:cs="Times New Roman"/>
          <w:sz w:val="24"/>
          <w:szCs w:val="24"/>
        </w:rPr>
        <w:t xml:space="preserve"> është:</w:t>
      </w:r>
    </w:p>
    <w:p w14:paraId="2B06F023" w14:textId="77777777" w:rsidR="00A433FC" w:rsidRPr="004D71BB" w:rsidRDefault="00A433FC" w:rsidP="00591FCC">
      <w:pPr>
        <w:pStyle w:val="NormalWeb"/>
        <w:spacing w:line="276" w:lineRule="auto"/>
        <w:ind w:left="720"/>
        <w:jc w:val="both"/>
      </w:pPr>
      <w:r w:rsidRPr="004D71BB">
        <w:t>a) çdo institucion financiar rezident në Republikën e Shqipërisë, me përjashtim të çdo dege të këtij institucioni financiar që ndodhet jashtë territorit të Republikës së Shqipërisë; dhe</w:t>
      </w:r>
    </w:p>
    <w:p w14:paraId="44372BB5" w14:textId="77777777" w:rsidR="00A433FC" w:rsidRPr="004D71BB" w:rsidRDefault="00A433FC" w:rsidP="00591FCC">
      <w:pPr>
        <w:pStyle w:val="NormalWeb"/>
        <w:spacing w:line="276" w:lineRule="auto"/>
        <w:ind w:left="720"/>
        <w:jc w:val="both"/>
      </w:pPr>
      <w:r w:rsidRPr="004D71BB">
        <w:t>b) çdo degë e një institucioni financiar jorezident në Republikën e Shqipërisë, nëse kjo degë është e vendosur në Republikën e Shqipërisë.</w:t>
      </w:r>
    </w:p>
    <w:p w14:paraId="1394AA0E" w14:textId="382321CF" w:rsidR="00A433FC" w:rsidRPr="004D71BB" w:rsidRDefault="00A433FC" w:rsidP="00591FCC">
      <w:pPr>
        <w:pStyle w:val="NormalWeb"/>
        <w:spacing w:line="276" w:lineRule="auto"/>
        <w:ind w:left="720"/>
        <w:jc w:val="both"/>
      </w:pPr>
      <w:r w:rsidRPr="004D71BB">
        <w:t>Termi “institucion financiar” përfshin</w:t>
      </w:r>
      <w:r w:rsidR="003E1F98" w:rsidRPr="004D71BB">
        <w:t xml:space="preserve"> një</w:t>
      </w:r>
      <w:r w:rsidRPr="004D71BB">
        <w:t xml:space="preserve"> institucion kujdestarie, institucionin depozitues, njësinë ekonomike të investimeve dhe shoqërinë e sigurimeve të specifikuar, sipas përcaktimeve të këtij ligji. </w:t>
      </w:r>
    </w:p>
    <w:p w14:paraId="494C92C2" w14:textId="2E068F15" w:rsidR="00A433FC" w:rsidRPr="004D71BB" w:rsidRDefault="00A433FC" w:rsidP="00591FCC">
      <w:pPr>
        <w:pStyle w:val="ListParagraph"/>
        <w:numPr>
          <w:ilvl w:val="0"/>
          <w:numId w:val="25"/>
        </w:numPr>
        <w:spacing w:before="100" w:beforeAutospacing="1" w:after="100" w:afterAutospacing="1"/>
        <w:jc w:val="both"/>
        <w:rPr>
          <w:rFonts w:ascii="Times New Roman" w:hAnsi="Times New Roman" w:cs="Times New Roman"/>
          <w:sz w:val="24"/>
          <w:szCs w:val="24"/>
        </w:rPr>
      </w:pPr>
      <w:r w:rsidRPr="004D71BB">
        <w:rPr>
          <w:rStyle w:val="Strong"/>
          <w:rFonts w:ascii="Times New Roman" w:hAnsi="Times New Roman" w:cs="Times New Roman"/>
          <w:b w:val="0"/>
          <w:bCs w:val="0"/>
          <w:sz w:val="24"/>
          <w:szCs w:val="24"/>
        </w:rPr>
        <w:t>“Institucion financiar raportues”</w:t>
      </w:r>
      <w:r w:rsidRPr="004D71BB">
        <w:rPr>
          <w:rFonts w:ascii="Times New Roman" w:hAnsi="Times New Roman" w:cs="Times New Roman"/>
          <w:sz w:val="24"/>
          <w:szCs w:val="24"/>
        </w:rPr>
        <w:t xml:space="preserve"> është çdo institucion financiar në Republikën e Shqipërisë që nuk është institucion financiar joraportues. </w:t>
      </w:r>
    </w:p>
    <w:p w14:paraId="19A6F4BF" w14:textId="1B3ACBE6" w:rsidR="00A433FC" w:rsidRPr="004D71BB" w:rsidRDefault="00A433FC" w:rsidP="00591FCC">
      <w:pPr>
        <w:pStyle w:val="ListParagraph"/>
        <w:numPr>
          <w:ilvl w:val="0"/>
          <w:numId w:val="25"/>
        </w:numPr>
        <w:spacing w:before="100" w:beforeAutospacing="1" w:after="100" w:afterAutospacing="1"/>
        <w:jc w:val="both"/>
        <w:rPr>
          <w:rFonts w:ascii="Times New Roman" w:hAnsi="Times New Roman" w:cs="Times New Roman"/>
          <w:sz w:val="24"/>
          <w:szCs w:val="24"/>
        </w:rPr>
      </w:pPr>
      <w:r w:rsidRPr="004D71BB">
        <w:rPr>
          <w:rStyle w:val="Strong"/>
          <w:rFonts w:ascii="Times New Roman" w:hAnsi="Times New Roman" w:cs="Times New Roman"/>
          <w:b w:val="0"/>
          <w:bCs w:val="0"/>
          <w:sz w:val="24"/>
          <w:szCs w:val="24"/>
        </w:rPr>
        <w:lastRenderedPageBreak/>
        <w:t>“Juridiksion i raportueshëm”</w:t>
      </w:r>
      <w:r w:rsidRPr="004D71BB">
        <w:rPr>
          <w:rFonts w:ascii="Times New Roman" w:hAnsi="Times New Roman" w:cs="Times New Roman"/>
          <w:sz w:val="24"/>
          <w:szCs w:val="24"/>
        </w:rPr>
        <w:t xml:space="preserve"> është një juridiksion i identifikuar në listën e juridiksioneve raportuese të përcaktuar dhe të publikuar sipas këtij ligji dhe akteve nënligjore në zbatim të tij. Për shkëmbimet automatike të informacionit me shtetet anëtare të Bashkimit Evropian, </w:t>
      </w:r>
      <w:r w:rsidR="00091050" w:rsidRPr="004D71BB">
        <w:rPr>
          <w:rFonts w:ascii="Times New Roman" w:eastAsia="Times New Roman" w:hAnsi="Times New Roman" w:cs="Times New Roman"/>
          <w:sz w:val="24"/>
          <w:szCs w:val="24"/>
          <w:lang w:eastAsia="sq-AL"/>
        </w:rPr>
        <w:t xml:space="preserve">çdo shtet tjetër anëtar i Bashkimit Evropian </w:t>
      </w:r>
      <w:r w:rsidRPr="004D71BB">
        <w:rPr>
          <w:rFonts w:ascii="Times New Roman" w:hAnsi="Times New Roman" w:cs="Times New Roman"/>
          <w:sz w:val="24"/>
          <w:szCs w:val="24"/>
        </w:rPr>
        <w:t xml:space="preserve">konsiderohet juridiksion i raportueshëm. </w:t>
      </w:r>
    </w:p>
    <w:p w14:paraId="3507F5D1" w14:textId="0D3122BF" w:rsidR="00A433FC" w:rsidRPr="004D71BB" w:rsidRDefault="00A433FC" w:rsidP="00591FCC">
      <w:pPr>
        <w:pStyle w:val="ListParagraph"/>
        <w:numPr>
          <w:ilvl w:val="0"/>
          <w:numId w:val="25"/>
        </w:numPr>
        <w:spacing w:before="100" w:beforeAutospacing="1" w:after="100" w:afterAutospacing="1"/>
        <w:jc w:val="both"/>
        <w:rPr>
          <w:rFonts w:ascii="Times New Roman" w:hAnsi="Times New Roman" w:cs="Times New Roman"/>
          <w:sz w:val="24"/>
          <w:szCs w:val="24"/>
        </w:rPr>
      </w:pPr>
      <w:r w:rsidRPr="004D71BB">
        <w:rPr>
          <w:rStyle w:val="Strong"/>
          <w:rFonts w:ascii="Times New Roman" w:hAnsi="Times New Roman" w:cs="Times New Roman"/>
          <w:b w:val="0"/>
          <w:bCs w:val="0"/>
          <w:sz w:val="24"/>
          <w:szCs w:val="24"/>
        </w:rPr>
        <w:t>“Llogari e raportueshme”</w:t>
      </w:r>
      <w:r w:rsidRPr="004D71BB">
        <w:rPr>
          <w:rFonts w:ascii="Times New Roman" w:hAnsi="Times New Roman" w:cs="Times New Roman"/>
          <w:sz w:val="24"/>
          <w:szCs w:val="24"/>
        </w:rPr>
        <w:t xml:space="preserve"> është një llogari financiare e mbajtur nga një institucion financiar raportues dhe e mbajtur nga një ose më shumë persona të raportueshëm ose nga një NFE pasive me një ose më shumë persona kontrollues që janë persona të raportueshëm, me kusht që të jetë identifikuar si e tillë në përputhje me procedurat e vigjilencës së duhur të përcaktuara në këtë ligj dhe në aktet nënligjore në zbatim të tij. </w:t>
      </w:r>
    </w:p>
    <w:p w14:paraId="0D6E0FC5" w14:textId="62DBDB13" w:rsidR="00A433FC" w:rsidRPr="004D71BB" w:rsidRDefault="00A433FC" w:rsidP="00591FCC">
      <w:pPr>
        <w:pStyle w:val="ListParagraph"/>
        <w:numPr>
          <w:ilvl w:val="0"/>
          <w:numId w:val="25"/>
        </w:numPr>
        <w:spacing w:before="100" w:beforeAutospacing="1" w:after="100" w:afterAutospacing="1"/>
        <w:jc w:val="both"/>
        <w:rPr>
          <w:rFonts w:ascii="Times New Roman" w:hAnsi="Times New Roman" w:cs="Times New Roman"/>
          <w:sz w:val="24"/>
          <w:szCs w:val="24"/>
        </w:rPr>
      </w:pPr>
      <w:r w:rsidRPr="004D71BB">
        <w:rPr>
          <w:rStyle w:val="Strong"/>
          <w:rFonts w:ascii="Times New Roman" w:hAnsi="Times New Roman" w:cs="Times New Roman"/>
          <w:b w:val="0"/>
          <w:bCs w:val="0"/>
          <w:sz w:val="24"/>
          <w:szCs w:val="24"/>
        </w:rPr>
        <w:t>“Ofrues i shërbimit palë e tretë”</w:t>
      </w:r>
      <w:r w:rsidRPr="004D71BB">
        <w:rPr>
          <w:rFonts w:ascii="Times New Roman" w:hAnsi="Times New Roman" w:cs="Times New Roman"/>
          <w:sz w:val="24"/>
          <w:szCs w:val="24"/>
        </w:rPr>
        <w:t xml:space="preserve"> është çdo person të cilit një institucion financiar raportues i ngarkon kryerjen e një ose më shumë detyrimeve të raportimit ose të vigjilencës së duhur sipas këtij ligji dhe akteve nënligjore në zbatim të tij, pa cenuar përgjegjësinë e institucionit financiar raportues për përmbushjen e këtyre detyrimeve. </w:t>
      </w:r>
    </w:p>
    <w:p w14:paraId="38C66B0F" w14:textId="3C4D9AAF" w:rsidR="00F41BDE" w:rsidRPr="004D71BB" w:rsidRDefault="00A433FC" w:rsidP="00591FCC">
      <w:pPr>
        <w:pStyle w:val="NormalWeb"/>
        <w:numPr>
          <w:ilvl w:val="0"/>
          <w:numId w:val="25"/>
        </w:numPr>
        <w:spacing w:line="276" w:lineRule="auto"/>
        <w:jc w:val="both"/>
      </w:pPr>
      <w:r w:rsidRPr="004D71BB">
        <w:rPr>
          <w:rStyle w:val="Strong"/>
          <w:b w:val="0"/>
          <w:bCs w:val="0"/>
        </w:rPr>
        <w:t>“Person i raportueshëm”</w:t>
      </w:r>
      <w:r w:rsidRPr="004D71BB">
        <w:t xml:space="preserve"> </w:t>
      </w:r>
      <w:r w:rsidR="00F41BDE" w:rsidRPr="004D71BB">
        <w:rPr>
          <w:lang w:eastAsia="sq-AL"/>
        </w:rPr>
        <w:t>është një Person i një Juridiksioni të Raportueshëm, i ndryshëm nga:</w:t>
      </w:r>
    </w:p>
    <w:p w14:paraId="4117EC65" w14:textId="2C4CD582" w:rsidR="00A433FC" w:rsidRPr="004D71BB" w:rsidRDefault="00F41BDE" w:rsidP="00591FCC">
      <w:pPr>
        <w:pStyle w:val="NormalWeb"/>
        <w:spacing w:line="276" w:lineRule="auto"/>
        <w:ind w:left="720"/>
      </w:pPr>
      <w:r w:rsidRPr="004D71BB">
        <w:rPr>
          <w:lang w:eastAsia="sq-AL"/>
        </w:rPr>
        <w:t>a) një Njësi Ekonomike, aksionet e së cilës tregtohen rregullisht në një ose më shumë tregje të njohura të letrave me vlerë;</w:t>
      </w:r>
      <w:r w:rsidRPr="004D71BB">
        <w:rPr>
          <w:lang w:eastAsia="sq-AL"/>
        </w:rPr>
        <w:br/>
        <w:t>b) çdo Njësi Ekonomike që është Njësi Ekonomike e Lidhur me një Njësi Ekonomike të përshkruar në shkronjën ‘a’;</w:t>
      </w:r>
      <w:r w:rsidRPr="004D71BB">
        <w:rPr>
          <w:lang w:eastAsia="sq-AL"/>
        </w:rPr>
        <w:br/>
        <w:t>c) një Organ Qeveritar;</w:t>
      </w:r>
      <w:r w:rsidRPr="004D71BB">
        <w:rPr>
          <w:lang w:eastAsia="sq-AL"/>
        </w:rPr>
        <w:br/>
        <w:t>ç) një Organizatë Ndërkombëtare;</w:t>
      </w:r>
      <w:r w:rsidRPr="004D71BB">
        <w:rPr>
          <w:lang w:eastAsia="sq-AL"/>
        </w:rPr>
        <w:br/>
        <w:t>d) një Bankë Qendrore; ose</w:t>
      </w:r>
      <w:r w:rsidRPr="004D71BB">
        <w:rPr>
          <w:lang w:eastAsia="sq-AL"/>
        </w:rPr>
        <w:br/>
        <w:t>dh) një Institucion Financiar.</w:t>
      </w:r>
    </w:p>
    <w:p w14:paraId="4DD4A7AC" w14:textId="577980C3" w:rsidR="00A433FC" w:rsidRPr="004D71BB" w:rsidRDefault="00A433FC" w:rsidP="00591FCC">
      <w:pPr>
        <w:pStyle w:val="ListParagraph"/>
        <w:numPr>
          <w:ilvl w:val="0"/>
          <w:numId w:val="25"/>
        </w:numPr>
        <w:spacing w:before="100" w:beforeAutospacing="1" w:after="100" w:afterAutospacing="1"/>
        <w:jc w:val="both"/>
        <w:rPr>
          <w:rFonts w:ascii="Times New Roman" w:hAnsi="Times New Roman" w:cs="Times New Roman"/>
          <w:sz w:val="24"/>
          <w:szCs w:val="24"/>
        </w:rPr>
      </w:pPr>
      <w:r w:rsidRPr="004D71BB">
        <w:rPr>
          <w:rStyle w:val="Strong"/>
          <w:rFonts w:ascii="Times New Roman" w:hAnsi="Times New Roman" w:cs="Times New Roman"/>
          <w:b w:val="0"/>
          <w:bCs w:val="0"/>
          <w:sz w:val="24"/>
          <w:szCs w:val="24"/>
        </w:rPr>
        <w:t>“Standardi i Përbashkët i Raportimit (CRS)”</w:t>
      </w:r>
      <w:r w:rsidRPr="004D71BB">
        <w:rPr>
          <w:rFonts w:ascii="Times New Roman" w:hAnsi="Times New Roman" w:cs="Times New Roman"/>
          <w:sz w:val="24"/>
          <w:szCs w:val="24"/>
        </w:rPr>
        <w:t xml:space="preserve"> është Standardi i Përbashkët i Raportimit për shkëmbimin automatik të informacionit të llogarive financiare, i miratuar nga Organizata për Bashkëpunim dhe Zhvillim Ekonomik, i ndryshuar. </w:t>
      </w:r>
    </w:p>
    <w:p w14:paraId="7231482C" w14:textId="365EB84C" w:rsidR="00A433FC" w:rsidRPr="004D71BB" w:rsidRDefault="00A433FC" w:rsidP="00591FCC">
      <w:pPr>
        <w:pStyle w:val="ListParagraph"/>
        <w:numPr>
          <w:ilvl w:val="0"/>
          <w:numId w:val="25"/>
        </w:numPr>
        <w:spacing w:before="100" w:beforeAutospacing="1" w:after="100" w:afterAutospacing="1"/>
        <w:jc w:val="both"/>
        <w:rPr>
          <w:rFonts w:ascii="Times New Roman" w:hAnsi="Times New Roman" w:cs="Times New Roman"/>
          <w:sz w:val="24"/>
          <w:szCs w:val="24"/>
        </w:rPr>
      </w:pPr>
      <w:r w:rsidRPr="004D71BB">
        <w:rPr>
          <w:rStyle w:val="Strong"/>
          <w:rFonts w:ascii="Times New Roman" w:hAnsi="Times New Roman" w:cs="Times New Roman"/>
          <w:b w:val="0"/>
          <w:bCs w:val="0"/>
          <w:sz w:val="24"/>
          <w:szCs w:val="24"/>
        </w:rPr>
        <w:t>“Vigjilenca e duhur”</w:t>
      </w:r>
      <w:r w:rsidRPr="004D71BB">
        <w:rPr>
          <w:rFonts w:ascii="Times New Roman" w:hAnsi="Times New Roman" w:cs="Times New Roman"/>
          <w:sz w:val="24"/>
          <w:szCs w:val="24"/>
        </w:rPr>
        <w:t xml:space="preserve"> janë procedurat për identifikimin dhe klasifikimin e llogarive financiare, përcaktimin e rezidencës dhe statusit të mbajtësve të llogarive dhe, sipas rastit, të personave kontrollues, si dhe identifikimin e llogarive të raportueshme dhe personave të raportueshëm. </w:t>
      </w:r>
    </w:p>
    <w:p w14:paraId="59899C77" w14:textId="77777777" w:rsidR="0040013D" w:rsidRPr="004D71BB" w:rsidRDefault="00A433FC" w:rsidP="00591FCC">
      <w:pPr>
        <w:pStyle w:val="ListParagraph"/>
        <w:numPr>
          <w:ilvl w:val="0"/>
          <w:numId w:val="25"/>
        </w:numPr>
        <w:spacing w:before="100" w:beforeAutospacing="1" w:after="100" w:afterAutospacing="1"/>
        <w:jc w:val="both"/>
        <w:rPr>
          <w:rFonts w:ascii="Times New Roman" w:hAnsi="Times New Roman" w:cs="Times New Roman"/>
          <w:sz w:val="24"/>
          <w:szCs w:val="24"/>
        </w:rPr>
      </w:pPr>
      <w:r w:rsidRPr="004D71BB">
        <w:rPr>
          <w:rStyle w:val="Strong"/>
          <w:rFonts w:ascii="Times New Roman" w:hAnsi="Times New Roman" w:cs="Times New Roman"/>
          <w:b w:val="0"/>
          <w:bCs w:val="0"/>
          <w:sz w:val="24"/>
          <w:szCs w:val="24"/>
        </w:rPr>
        <w:t>“Komentari”</w:t>
      </w:r>
      <w:r w:rsidRPr="004D71BB">
        <w:rPr>
          <w:rFonts w:ascii="Times New Roman" w:hAnsi="Times New Roman" w:cs="Times New Roman"/>
          <w:sz w:val="24"/>
          <w:szCs w:val="24"/>
        </w:rPr>
        <w:t xml:space="preserve"> është interpretimi i detajuar i çdo seksioni të Marrëveshjes së Autoritetit Kompetent dhe të Standardit të Përbashkët të Raportimit, që synon të sigurojë zbatimin e duhur të tyre dhe interpretimin e qëndrueshëm të dispozitav</w:t>
      </w:r>
      <w:r w:rsidR="0040013D" w:rsidRPr="004D71BB">
        <w:rPr>
          <w:rFonts w:ascii="Times New Roman" w:hAnsi="Times New Roman" w:cs="Times New Roman"/>
          <w:sz w:val="24"/>
          <w:szCs w:val="24"/>
        </w:rPr>
        <w:t>e të tyre.</w:t>
      </w:r>
    </w:p>
    <w:p w14:paraId="7E8B54EC" w14:textId="38097FA3" w:rsidR="001267ED" w:rsidRPr="004D71BB" w:rsidRDefault="00A433FC" w:rsidP="00591FCC">
      <w:pPr>
        <w:pStyle w:val="ListParagraph"/>
        <w:numPr>
          <w:ilvl w:val="0"/>
          <w:numId w:val="25"/>
        </w:numPr>
        <w:spacing w:before="100" w:beforeAutospacing="1" w:after="100" w:afterAutospacing="1"/>
        <w:jc w:val="both"/>
        <w:rPr>
          <w:rStyle w:val="Strong"/>
          <w:rFonts w:ascii="Times New Roman" w:hAnsi="Times New Roman" w:cs="Times New Roman"/>
          <w:b w:val="0"/>
          <w:bCs w:val="0"/>
          <w:sz w:val="24"/>
          <w:szCs w:val="24"/>
        </w:rPr>
      </w:pPr>
      <w:r w:rsidRPr="004D71BB">
        <w:rPr>
          <w:rStyle w:val="Strong"/>
          <w:rFonts w:ascii="Times New Roman" w:hAnsi="Times New Roman" w:cs="Times New Roman"/>
          <w:b w:val="0"/>
          <w:bCs w:val="0"/>
          <w:sz w:val="24"/>
          <w:szCs w:val="24"/>
        </w:rPr>
        <w:t>“Aktiv financiar”</w:t>
      </w:r>
      <w:r w:rsidR="0040013D" w:rsidRPr="004D71BB">
        <w:rPr>
          <w:rFonts w:ascii="Times New Roman" w:hAnsi="Times New Roman" w:cs="Times New Roman"/>
          <w:sz w:val="24"/>
          <w:szCs w:val="24"/>
        </w:rPr>
        <w:t xml:space="preserve"> </w:t>
      </w:r>
      <w:r w:rsidR="0040013D" w:rsidRPr="004D71BB">
        <w:rPr>
          <w:rFonts w:ascii="Times New Roman" w:hAnsi="Times New Roman" w:cs="Times New Roman"/>
          <w:sz w:val="24"/>
          <w:szCs w:val="24"/>
          <w:lang w:val="sq-AL" w:eastAsia="sq-AL"/>
        </w:rPr>
        <w:t xml:space="preserve">përfshin një letër me vlerë (për shembull, një aksion në një shoqëri; një interes në partneritet ose interes përfitues pronësie në një partneritet ose trust me pjesëmarrje të gjerë ose të tregtuar publikisht; dëftesë, obligacion, instrument borxhi ose evidencë tjetër borxhi), interes në partneritet, mall, kontratë shkëmbimi (swap), </w:t>
      </w:r>
      <w:r w:rsidR="001267ED" w:rsidRPr="004D71BB">
        <w:rPr>
          <w:rFonts w:ascii="Times New Roman" w:hAnsi="Times New Roman" w:cs="Times New Roman"/>
          <w:sz w:val="24"/>
          <w:szCs w:val="24"/>
        </w:rPr>
        <w:t xml:space="preserve">për shembull, kontrata shkëmbimi të normave të interesit, monedhave, bazës, kufirit të normës së interesit, dyshemesë së normës së interesit, mallrave, aksioneve dhe indekseve të aksioneve, si dhe marrëveshje të ngjashme; kontrata sigurimi ose kontrata pensioni vjetor; ose çdo interes, duke përfshirë kontratat e së ardhmes ose kontratat forward dhe opsionet, </w:t>
      </w:r>
      <w:r w:rsidR="001267ED" w:rsidRPr="004D71BB">
        <w:rPr>
          <w:rFonts w:ascii="Times New Roman" w:hAnsi="Times New Roman" w:cs="Times New Roman"/>
          <w:sz w:val="24"/>
          <w:szCs w:val="24"/>
        </w:rPr>
        <w:lastRenderedPageBreak/>
        <w:t xml:space="preserve">në një letër me vlerë, </w:t>
      </w:r>
      <w:r w:rsidR="001267ED" w:rsidRPr="004D71BB">
        <w:rPr>
          <w:rStyle w:val="Strong"/>
          <w:rFonts w:ascii="Times New Roman" w:hAnsi="Times New Roman" w:cs="Times New Roman"/>
          <w:b w:val="0"/>
          <w:bCs w:val="0"/>
          <w:sz w:val="24"/>
          <w:szCs w:val="24"/>
        </w:rPr>
        <w:t>Kripto-aset Raportues për profilin e Bashkimit Evropian ose Kripto-aset Përkatës për profilin e Standardit të Përbashkët të Raportimit</w:t>
      </w:r>
      <w:r w:rsidR="001267ED" w:rsidRPr="004D71BB">
        <w:rPr>
          <w:rFonts w:ascii="Times New Roman" w:hAnsi="Times New Roman" w:cs="Times New Roman"/>
          <w:sz w:val="24"/>
          <w:szCs w:val="24"/>
        </w:rPr>
        <w:t>, interes në partneritet, mall, kontratë shkëmbimi, kontratë sigurimi ose kontratë pensioni vjetor. “Aktivi financiar” nuk përfshin një interes të drejtpërdrejtë jodebitor në pasuri të paluajtshme.</w:t>
      </w:r>
      <w:r w:rsidR="001267ED" w:rsidRPr="004D71BB">
        <w:rPr>
          <w:rStyle w:val="Strong"/>
          <w:rFonts w:ascii="Times New Roman" w:hAnsi="Times New Roman" w:cs="Times New Roman"/>
          <w:b w:val="0"/>
          <w:bCs w:val="0"/>
          <w:sz w:val="24"/>
          <w:szCs w:val="24"/>
        </w:rPr>
        <w:t xml:space="preserve"> </w:t>
      </w:r>
    </w:p>
    <w:p w14:paraId="57AC7581" w14:textId="0E8424FA" w:rsidR="008C4AC0" w:rsidRPr="004D71BB" w:rsidRDefault="008C4AC0" w:rsidP="00591FCC">
      <w:pPr>
        <w:pStyle w:val="ListParagraph"/>
        <w:numPr>
          <w:ilvl w:val="0"/>
          <w:numId w:val="25"/>
        </w:numPr>
        <w:spacing w:before="100" w:beforeAutospacing="1" w:after="100" w:afterAutospacing="1"/>
        <w:jc w:val="both"/>
        <w:rPr>
          <w:rFonts w:ascii="Times New Roman" w:eastAsia="Times New Roman" w:hAnsi="Times New Roman" w:cs="Times New Roman"/>
          <w:sz w:val="24"/>
          <w:szCs w:val="24"/>
          <w:lang w:val="en-US"/>
        </w:rPr>
      </w:pPr>
      <w:r w:rsidRPr="004D71BB">
        <w:rPr>
          <w:rStyle w:val="Strong"/>
          <w:rFonts w:ascii="Times New Roman" w:hAnsi="Times New Roman" w:cs="Times New Roman"/>
          <w:b w:val="0"/>
          <w:bCs w:val="0"/>
          <w:sz w:val="24"/>
          <w:szCs w:val="24"/>
        </w:rPr>
        <w:t>“Para elektronike (Electronic Money ose E-money)”, për qëllime të zbatimit të rregullave të Bashkimit Evropian, është çdo produkt që:</w:t>
      </w:r>
    </w:p>
    <w:p w14:paraId="0E24C164" w14:textId="77777777" w:rsidR="008C4AC0" w:rsidRPr="004D71BB" w:rsidRDefault="008C4AC0" w:rsidP="00591FCC">
      <w:pPr>
        <w:pStyle w:val="isselectedend"/>
        <w:spacing w:line="276" w:lineRule="auto"/>
        <w:ind w:left="450"/>
        <w:jc w:val="both"/>
      </w:pPr>
      <w:r w:rsidRPr="004D71BB">
        <w:t>a) është një pasqyrim digjital i një monedhe të vetme fiat;</w:t>
      </w:r>
    </w:p>
    <w:p w14:paraId="331BBF8B" w14:textId="77777777" w:rsidR="008C4AC0" w:rsidRPr="004D71BB" w:rsidRDefault="008C4AC0" w:rsidP="00591FCC">
      <w:pPr>
        <w:pStyle w:val="isselectedend"/>
        <w:spacing w:line="276" w:lineRule="auto"/>
        <w:ind w:left="450"/>
        <w:jc w:val="both"/>
      </w:pPr>
      <w:r w:rsidRPr="004D71BB">
        <w:t>b) emetohet kundrejt marrjes së fondeve, me qëllim kryerjen e transaksioneve të pagesave;</w:t>
      </w:r>
    </w:p>
    <w:p w14:paraId="4A900366" w14:textId="77777777" w:rsidR="008C4AC0" w:rsidRPr="004D71BB" w:rsidRDefault="008C4AC0" w:rsidP="00591FCC">
      <w:pPr>
        <w:pStyle w:val="isselectedend"/>
        <w:spacing w:line="276" w:lineRule="auto"/>
        <w:ind w:left="450"/>
        <w:jc w:val="both"/>
      </w:pPr>
      <w:r w:rsidRPr="004D71BB">
        <w:t>c) përfaqëson një pretendim ndaj emetuesit, të shprehur në të njëjtën monedhë fiat;</w:t>
      </w:r>
    </w:p>
    <w:p w14:paraId="11DF39F9" w14:textId="77777777" w:rsidR="008C4AC0" w:rsidRPr="004D71BB" w:rsidRDefault="008C4AC0" w:rsidP="00591FCC">
      <w:pPr>
        <w:pStyle w:val="isselectedend"/>
        <w:spacing w:line="276" w:lineRule="auto"/>
        <w:ind w:left="450"/>
        <w:jc w:val="both"/>
      </w:pPr>
      <w:r w:rsidRPr="004D71BB">
        <w:t>ç) pranohet si mjet pagese nga një person fizik ose juridik i ndryshëm nga emetuesi; dhe</w:t>
      </w:r>
    </w:p>
    <w:p w14:paraId="3BBFB7BC" w14:textId="77777777" w:rsidR="008C4AC0" w:rsidRPr="004D71BB" w:rsidRDefault="008C4AC0" w:rsidP="00591FCC">
      <w:pPr>
        <w:pStyle w:val="isselectedend"/>
        <w:spacing w:line="276" w:lineRule="auto"/>
        <w:ind w:left="450"/>
        <w:jc w:val="both"/>
      </w:pPr>
      <w:r w:rsidRPr="004D71BB">
        <w:t xml:space="preserve">d) në bazë të kërkesave rregullatore të cilave u nënshtrohet emetuesi, </w:t>
      </w:r>
      <w:r w:rsidRPr="004D71BB">
        <w:rPr>
          <w:rStyle w:val="Strong"/>
          <w:b w:val="0"/>
          <w:bCs w:val="0"/>
        </w:rPr>
        <w:t>mund të shlyhet në çdo kohë dhe me vlerë nominale, në të njëjtën monedhë fiat, me kërkesë të mbajtësit të produktit.</w:t>
      </w:r>
    </w:p>
    <w:p w14:paraId="44F87C91" w14:textId="77777777" w:rsidR="008C4AC0" w:rsidRPr="004D71BB" w:rsidRDefault="008C4AC0" w:rsidP="00591FCC">
      <w:pPr>
        <w:pStyle w:val="NormalWeb"/>
        <w:spacing w:line="276" w:lineRule="auto"/>
        <w:ind w:left="450"/>
        <w:jc w:val="both"/>
      </w:pPr>
      <w:r w:rsidRPr="004D71BB">
        <w:t>“Para elektronike (Electronic Money ose E-money)” nuk përfshin një produkt të krijuar me qëllimin e vetëm të lehtësimit të transferimit të fondeve nga një klient te një person tjetër, sipas udhëzimeve të klientit. Një produkt nuk konsiderohet i krijuar me qëllimin e vetëm të lehtësimit të transferimit të fondeve nëse, në rrjedhën normale të veprimtarisë së njësisë ekonomike që kryen transferimin, fondet e lidhura me këtë produkt mbahen për më shumë se 60 ditë pas marrjes së udhëzimeve për lehtësimin e transferimit ose, nëse nuk janë marrë udhëzime, fondet e lidhura me këtë produkt mbahen për më shumë se 60 ditë pas marrjes së fondeve.</w:t>
      </w:r>
    </w:p>
    <w:p w14:paraId="738C7FB7" w14:textId="58DC93AC" w:rsidR="00A06671" w:rsidRDefault="00A06671" w:rsidP="00591FCC">
      <w:pPr>
        <w:pStyle w:val="ListParagraph"/>
        <w:numPr>
          <w:ilvl w:val="0"/>
          <w:numId w:val="25"/>
        </w:numPr>
        <w:spacing w:before="100" w:beforeAutospacing="1" w:after="100" w:afterAutospacing="1"/>
        <w:jc w:val="both"/>
        <w:rPr>
          <w:rFonts w:ascii="Times New Roman" w:eastAsia="Times New Roman" w:hAnsi="Times New Roman" w:cs="Times New Roman"/>
          <w:sz w:val="24"/>
          <w:szCs w:val="24"/>
          <w:lang w:val="en-US"/>
        </w:rPr>
      </w:pPr>
      <w:r w:rsidRPr="004D71BB">
        <w:rPr>
          <w:rFonts w:ascii="Times New Roman" w:eastAsia="Times New Roman" w:hAnsi="Times New Roman" w:cs="Times New Roman"/>
          <w:sz w:val="24"/>
          <w:szCs w:val="24"/>
          <w:lang w:val="en-US"/>
        </w:rPr>
        <w:t>“Produkt i specifikuar i parasë elektronike (Specified Electronic Money Product)”, për qëllime të zbatimit të Standardit të Përbashkët të Raportimit, është çdo produkt që:</w:t>
      </w:r>
    </w:p>
    <w:p w14:paraId="2F2B99E9" w14:textId="77777777" w:rsidR="004D71BB" w:rsidRPr="004D71BB" w:rsidRDefault="004D71BB" w:rsidP="004D71BB">
      <w:pPr>
        <w:pStyle w:val="ListParagraph"/>
        <w:spacing w:before="100" w:beforeAutospacing="1" w:after="100" w:afterAutospacing="1"/>
        <w:ind w:left="450"/>
        <w:jc w:val="both"/>
        <w:rPr>
          <w:rFonts w:ascii="Times New Roman" w:eastAsia="Times New Roman" w:hAnsi="Times New Roman" w:cs="Times New Roman"/>
          <w:sz w:val="24"/>
          <w:szCs w:val="24"/>
          <w:lang w:val="en-US"/>
        </w:rPr>
      </w:pPr>
    </w:p>
    <w:p w14:paraId="700C83D7" w14:textId="274E750A" w:rsidR="00A06671" w:rsidRPr="004D71BB" w:rsidRDefault="00A06671" w:rsidP="00591FCC">
      <w:pPr>
        <w:pStyle w:val="ListParagraph"/>
        <w:numPr>
          <w:ilvl w:val="1"/>
          <w:numId w:val="35"/>
        </w:numPr>
        <w:spacing w:before="100" w:beforeAutospacing="1" w:after="100" w:afterAutospacing="1"/>
        <w:jc w:val="both"/>
        <w:rPr>
          <w:rFonts w:ascii="Times New Roman" w:eastAsia="Times New Roman" w:hAnsi="Times New Roman" w:cs="Times New Roman"/>
          <w:sz w:val="24"/>
          <w:szCs w:val="24"/>
          <w:lang w:val="en-US"/>
        </w:rPr>
      </w:pPr>
      <w:r w:rsidRPr="004D71BB">
        <w:rPr>
          <w:rFonts w:ascii="Times New Roman" w:eastAsia="Times New Roman" w:hAnsi="Times New Roman" w:cs="Times New Roman"/>
          <w:sz w:val="24"/>
          <w:szCs w:val="24"/>
          <w:lang w:val="en-US"/>
        </w:rPr>
        <w:t>është një pasqyrim digjital i një monedhe të vetme fiat;</w:t>
      </w:r>
    </w:p>
    <w:p w14:paraId="2B2AD2C2" w14:textId="58352ABE" w:rsidR="00A06671" w:rsidRPr="004D71BB" w:rsidRDefault="00A06671" w:rsidP="00591FCC">
      <w:pPr>
        <w:pStyle w:val="ListParagraph"/>
        <w:numPr>
          <w:ilvl w:val="1"/>
          <w:numId w:val="35"/>
        </w:numPr>
        <w:spacing w:before="100" w:beforeAutospacing="1" w:after="100" w:afterAutospacing="1"/>
        <w:jc w:val="both"/>
        <w:rPr>
          <w:rFonts w:ascii="Times New Roman" w:eastAsia="Times New Roman" w:hAnsi="Times New Roman" w:cs="Times New Roman"/>
          <w:sz w:val="24"/>
          <w:szCs w:val="24"/>
          <w:lang w:val="en-US"/>
        </w:rPr>
      </w:pPr>
      <w:r w:rsidRPr="004D71BB">
        <w:rPr>
          <w:rFonts w:ascii="Times New Roman" w:eastAsia="Times New Roman" w:hAnsi="Times New Roman" w:cs="Times New Roman"/>
          <w:sz w:val="24"/>
          <w:szCs w:val="24"/>
          <w:lang w:val="en-US"/>
        </w:rPr>
        <w:t>emetohet kundrejt marrjes së fondeve, me qëllim kryerjen e transaksioneve të pagesave;</w:t>
      </w:r>
    </w:p>
    <w:p w14:paraId="203E71A0" w14:textId="77777777" w:rsidR="00942D6C" w:rsidRPr="004D71BB" w:rsidRDefault="00A06671" w:rsidP="00591FCC">
      <w:pPr>
        <w:pStyle w:val="ListParagraph"/>
        <w:numPr>
          <w:ilvl w:val="1"/>
          <w:numId w:val="35"/>
        </w:numPr>
        <w:spacing w:before="100" w:beforeAutospacing="1" w:after="100" w:afterAutospacing="1"/>
        <w:jc w:val="both"/>
        <w:rPr>
          <w:rFonts w:ascii="Times New Roman" w:eastAsia="Times New Roman" w:hAnsi="Times New Roman" w:cs="Times New Roman"/>
          <w:sz w:val="24"/>
          <w:szCs w:val="24"/>
          <w:lang w:val="en-US"/>
        </w:rPr>
      </w:pPr>
      <w:r w:rsidRPr="004D71BB">
        <w:rPr>
          <w:rFonts w:ascii="Times New Roman" w:eastAsia="Times New Roman" w:hAnsi="Times New Roman" w:cs="Times New Roman"/>
          <w:sz w:val="24"/>
          <w:szCs w:val="24"/>
          <w:lang w:val="en-US"/>
        </w:rPr>
        <w:t>përfaqëson një pretendim ndaj emetuesit, të shprehur në të njëjtën monedhë fiat;</w:t>
      </w:r>
    </w:p>
    <w:p w14:paraId="2D9952A6" w14:textId="77777777" w:rsidR="00D74837" w:rsidRPr="004D71BB" w:rsidRDefault="00A06671" w:rsidP="00591FCC">
      <w:pPr>
        <w:pStyle w:val="ListParagraph"/>
        <w:numPr>
          <w:ilvl w:val="1"/>
          <w:numId w:val="35"/>
        </w:numPr>
        <w:spacing w:before="100" w:beforeAutospacing="1" w:after="100" w:afterAutospacing="1"/>
        <w:jc w:val="both"/>
        <w:rPr>
          <w:rFonts w:ascii="Times New Roman" w:eastAsia="Times New Roman" w:hAnsi="Times New Roman" w:cs="Times New Roman"/>
          <w:sz w:val="24"/>
          <w:szCs w:val="24"/>
          <w:lang w:val="en-US"/>
        </w:rPr>
      </w:pPr>
      <w:r w:rsidRPr="004D71BB">
        <w:rPr>
          <w:rFonts w:ascii="Times New Roman" w:eastAsia="Times New Roman" w:hAnsi="Times New Roman" w:cs="Times New Roman"/>
          <w:sz w:val="24"/>
          <w:szCs w:val="24"/>
          <w:lang w:val="en-US"/>
        </w:rPr>
        <w:t>pranohet si mjet pagese nga një person fizik ose juridik i ndryshëm nga emetuesi; dhe</w:t>
      </w:r>
      <w:r w:rsidR="00573877" w:rsidRPr="004D71BB">
        <w:rPr>
          <w:rFonts w:ascii="Times New Roman" w:eastAsia="Times New Roman" w:hAnsi="Times New Roman" w:cs="Times New Roman"/>
          <w:sz w:val="24"/>
          <w:szCs w:val="24"/>
          <w:lang w:val="en-US"/>
        </w:rPr>
        <w:t xml:space="preserve"> </w:t>
      </w:r>
    </w:p>
    <w:p w14:paraId="0A6E3EFA" w14:textId="2E2CE62D" w:rsidR="00573877" w:rsidRPr="004D71BB" w:rsidRDefault="00A06671" w:rsidP="00591FCC">
      <w:pPr>
        <w:pStyle w:val="ListParagraph"/>
        <w:numPr>
          <w:ilvl w:val="1"/>
          <w:numId w:val="35"/>
        </w:numPr>
        <w:spacing w:before="100" w:beforeAutospacing="1" w:after="100" w:afterAutospacing="1"/>
        <w:jc w:val="both"/>
        <w:rPr>
          <w:rFonts w:ascii="Times New Roman" w:eastAsia="Times New Roman" w:hAnsi="Times New Roman" w:cs="Times New Roman"/>
          <w:sz w:val="24"/>
          <w:szCs w:val="24"/>
          <w:lang w:val="en-US"/>
        </w:rPr>
      </w:pPr>
      <w:r w:rsidRPr="004D71BB">
        <w:rPr>
          <w:rFonts w:ascii="Times New Roman" w:eastAsia="Times New Roman" w:hAnsi="Times New Roman" w:cs="Times New Roman"/>
          <w:sz w:val="24"/>
          <w:szCs w:val="24"/>
          <w:lang w:val="en-US"/>
        </w:rPr>
        <w:t>në bazë të kërkesave rregullatore të cilave u nënshtrohet emetuesi,</w:t>
      </w:r>
      <w:r w:rsidR="00573877" w:rsidRPr="004D71BB">
        <w:rPr>
          <w:rFonts w:ascii="Times New Roman" w:eastAsia="Times New Roman" w:hAnsi="Times New Roman" w:cs="Times New Roman"/>
          <w:sz w:val="24"/>
          <w:szCs w:val="24"/>
          <w:lang w:val="en-US"/>
        </w:rPr>
        <w:t xml:space="preserve"> </w:t>
      </w:r>
      <w:r w:rsidR="00573877" w:rsidRPr="004D71BB">
        <w:rPr>
          <w:rFonts w:ascii="Times New Roman" w:hAnsi="Times New Roman" w:cs="Times New Roman"/>
          <w:sz w:val="24"/>
          <w:szCs w:val="24"/>
        </w:rPr>
        <w:t>mund të shlyhet në çdo kohë dhe me vlerë nominale, në të njëjtën monedhë fiat, me kërkesë të mbajtësit të produkti</w:t>
      </w:r>
      <w:r w:rsidR="00DA18F3" w:rsidRPr="004D71BB">
        <w:rPr>
          <w:rFonts w:ascii="Times New Roman" w:hAnsi="Times New Roman" w:cs="Times New Roman"/>
          <w:sz w:val="24"/>
          <w:szCs w:val="24"/>
        </w:rPr>
        <w:t>t</w:t>
      </w:r>
      <w:r w:rsidR="00573877" w:rsidRPr="004D71BB">
        <w:rPr>
          <w:rFonts w:ascii="Times New Roman" w:hAnsi="Times New Roman" w:cs="Times New Roman"/>
          <w:sz w:val="24"/>
          <w:szCs w:val="24"/>
        </w:rPr>
        <w:t>.</w:t>
      </w:r>
    </w:p>
    <w:p w14:paraId="3812D35D" w14:textId="04CD06CD" w:rsidR="00A06671" w:rsidRPr="004D71BB" w:rsidRDefault="00187506" w:rsidP="004D71BB">
      <w:pPr>
        <w:pStyle w:val="NormalWeb"/>
        <w:spacing w:line="276" w:lineRule="auto"/>
        <w:ind w:left="450"/>
        <w:jc w:val="both"/>
      </w:pPr>
      <w:r w:rsidRPr="004D71BB">
        <w:t xml:space="preserve">“Produkti i specifikuar i parasë elektronike” nuk përfshin një produkt të krijuar me qëllimin e vetëm të lehtësimit të transferimit të fondeve nga një klient te një person tjetër, sipas udhëzimeve të klientit. Një produkt nuk konsiderohet i krijuar me qëllimin e vetëm të lehtësimit të transferimit të fondeve nëse, në rrjedhën normale të veprimtarisë së njësisë ekonomike që kryen transferimin, fondet e lidhura me këtë produkt mbahen për më shumë </w:t>
      </w:r>
      <w:r w:rsidRPr="004D71BB">
        <w:lastRenderedPageBreak/>
        <w:t>se 60 ditë pas marrjes së udhëzimeve për lehtësimin e transferimit ose, nëse nuk janë marrë udhëzime, fondet e lidhura me këtë produkt mbahen për më shumë se 60 ditë pas marrjes së fondeve.</w:t>
      </w:r>
    </w:p>
    <w:p w14:paraId="43EEC235" w14:textId="727ACBD8" w:rsidR="00A06671" w:rsidRPr="004D71BB" w:rsidRDefault="00573877" w:rsidP="00591FCC">
      <w:pPr>
        <w:pStyle w:val="ListParagraph"/>
        <w:numPr>
          <w:ilvl w:val="0"/>
          <w:numId w:val="25"/>
        </w:numPr>
        <w:spacing w:before="100" w:beforeAutospacing="1" w:after="100" w:afterAutospacing="1"/>
        <w:rPr>
          <w:rFonts w:ascii="Times New Roman" w:eastAsia="Times New Roman" w:hAnsi="Times New Roman" w:cs="Times New Roman"/>
          <w:sz w:val="24"/>
          <w:szCs w:val="24"/>
          <w:lang w:val="en-US"/>
        </w:rPr>
      </w:pPr>
      <w:r w:rsidRPr="004D71BB">
        <w:rPr>
          <w:rFonts w:ascii="Times New Roman" w:eastAsia="Times New Roman" w:hAnsi="Times New Roman" w:cs="Times New Roman"/>
          <w:sz w:val="24"/>
          <w:szCs w:val="24"/>
          <w:lang w:val="en-US"/>
        </w:rPr>
        <w:t xml:space="preserve"> </w:t>
      </w:r>
      <w:r w:rsidR="00A06671" w:rsidRPr="004D71BB">
        <w:rPr>
          <w:rFonts w:ascii="Times New Roman" w:eastAsia="Times New Roman" w:hAnsi="Times New Roman" w:cs="Times New Roman"/>
          <w:sz w:val="24"/>
          <w:szCs w:val="24"/>
          <w:lang w:val="en-US"/>
        </w:rPr>
        <w:t>“Monedhë fiat”:</w:t>
      </w:r>
    </w:p>
    <w:p w14:paraId="399D40F9" w14:textId="1116C5E9" w:rsidR="00A06671" w:rsidRPr="004D71BB" w:rsidRDefault="00A06671" w:rsidP="00591FCC">
      <w:pPr>
        <w:pStyle w:val="ListParagraph"/>
        <w:numPr>
          <w:ilvl w:val="1"/>
          <w:numId w:val="29"/>
        </w:numPr>
        <w:spacing w:before="100" w:beforeAutospacing="1" w:after="100" w:afterAutospacing="1"/>
        <w:jc w:val="both"/>
        <w:rPr>
          <w:rFonts w:ascii="Times New Roman" w:eastAsia="Times New Roman" w:hAnsi="Times New Roman" w:cs="Times New Roman"/>
          <w:sz w:val="24"/>
          <w:szCs w:val="24"/>
          <w:lang w:val="en-US"/>
        </w:rPr>
      </w:pPr>
      <w:r w:rsidRPr="004D71BB">
        <w:rPr>
          <w:rFonts w:ascii="Times New Roman" w:eastAsia="Times New Roman" w:hAnsi="Times New Roman" w:cs="Times New Roman"/>
          <w:sz w:val="24"/>
          <w:szCs w:val="24"/>
          <w:lang w:val="en-US"/>
        </w:rPr>
        <w:t>për qëllime të zbatimit të rregullave të Bashkimit Evropian, ka të njëjtin kuptim sipas përcaktimit në ligjin “Për shkëmbimin automatik të informacionit mbi kripto-asetet”; dhe</w:t>
      </w:r>
    </w:p>
    <w:p w14:paraId="60D26280" w14:textId="17CD6A68" w:rsidR="00A06671" w:rsidRPr="004D71BB" w:rsidRDefault="00A06671" w:rsidP="00591FCC">
      <w:pPr>
        <w:pStyle w:val="ListParagraph"/>
        <w:numPr>
          <w:ilvl w:val="1"/>
          <w:numId w:val="29"/>
        </w:numPr>
        <w:spacing w:before="100" w:beforeAutospacing="1" w:after="100" w:afterAutospacing="1"/>
        <w:jc w:val="both"/>
        <w:rPr>
          <w:rFonts w:ascii="Times New Roman" w:eastAsia="Times New Roman" w:hAnsi="Times New Roman" w:cs="Times New Roman"/>
          <w:sz w:val="24"/>
          <w:szCs w:val="24"/>
          <w:lang w:val="en-US"/>
        </w:rPr>
      </w:pPr>
      <w:r w:rsidRPr="004D71BB">
        <w:rPr>
          <w:rFonts w:ascii="Times New Roman" w:eastAsia="Times New Roman" w:hAnsi="Times New Roman" w:cs="Times New Roman"/>
          <w:sz w:val="24"/>
          <w:szCs w:val="24"/>
          <w:lang w:val="en-US"/>
        </w:rPr>
        <w:t>për qëllime të zbatimit të Standardit të Përbashkët të Raportimit, është monedha zyrtare e një juridiksioni, e emetuar nga juridiksioni ose nga banka qendrore ose autoriteti monetar i përcaktuar prej tij, e përfaqësuar nga kartëmonedha ose monedha metalike fizike ose nga para në forma të ndryshme digjitale, duke përfshirë rezervat bankare dhe Monedhat dixhitale të bankës qendrore. Ky term përfshin gjithashtu paratë e bankave tregtare dhe produktet e parasë elektronike, përfshirë Produktet e specifikuara të parasë elektronike.</w:t>
      </w:r>
    </w:p>
    <w:p w14:paraId="0219C4BC" w14:textId="34C42C4C" w:rsidR="00A06671" w:rsidRPr="004D71BB" w:rsidRDefault="00A06671" w:rsidP="00591FCC">
      <w:pPr>
        <w:pStyle w:val="ListParagraph"/>
        <w:numPr>
          <w:ilvl w:val="0"/>
          <w:numId w:val="25"/>
        </w:numPr>
        <w:spacing w:before="100" w:beforeAutospacing="1" w:after="100" w:afterAutospacing="1"/>
        <w:rPr>
          <w:rFonts w:ascii="Times New Roman" w:eastAsia="Times New Roman" w:hAnsi="Times New Roman" w:cs="Times New Roman"/>
          <w:sz w:val="24"/>
          <w:szCs w:val="24"/>
          <w:lang w:val="en-US"/>
        </w:rPr>
      </w:pPr>
      <w:r w:rsidRPr="004D71BB">
        <w:rPr>
          <w:rFonts w:ascii="Times New Roman" w:eastAsia="Times New Roman" w:hAnsi="Times New Roman" w:cs="Times New Roman"/>
          <w:sz w:val="24"/>
          <w:szCs w:val="24"/>
          <w:lang w:val="en-US"/>
        </w:rPr>
        <w:t>“Kripto-aset”:</w:t>
      </w:r>
    </w:p>
    <w:p w14:paraId="319D19EB" w14:textId="7DE689B0" w:rsidR="00A06671" w:rsidRPr="004D71BB" w:rsidRDefault="00A06671" w:rsidP="00591FCC">
      <w:pPr>
        <w:pStyle w:val="ListParagraph"/>
        <w:numPr>
          <w:ilvl w:val="1"/>
          <w:numId w:val="30"/>
        </w:numPr>
        <w:spacing w:before="100" w:beforeAutospacing="1" w:after="100" w:afterAutospacing="1"/>
        <w:jc w:val="both"/>
        <w:rPr>
          <w:rFonts w:ascii="Times New Roman" w:eastAsia="Times New Roman" w:hAnsi="Times New Roman" w:cs="Times New Roman"/>
          <w:sz w:val="24"/>
          <w:szCs w:val="24"/>
          <w:lang w:val="en-US"/>
        </w:rPr>
      </w:pPr>
      <w:r w:rsidRPr="004D71BB">
        <w:rPr>
          <w:rFonts w:ascii="Times New Roman" w:eastAsia="Times New Roman" w:hAnsi="Times New Roman" w:cs="Times New Roman"/>
          <w:sz w:val="24"/>
          <w:szCs w:val="24"/>
          <w:lang w:val="en-US"/>
        </w:rPr>
        <w:t>për qëllime të zbatimit të rregullave të Bashkimit Evropian, ka të njëjtin kuptim si në legjislacionin në fuqi për tregjet e kripto-aseteve; dhe</w:t>
      </w:r>
    </w:p>
    <w:p w14:paraId="72F819FF" w14:textId="5021B00E" w:rsidR="00A06671" w:rsidRPr="004D71BB" w:rsidRDefault="00A06671" w:rsidP="00591FCC">
      <w:pPr>
        <w:pStyle w:val="ListParagraph"/>
        <w:numPr>
          <w:ilvl w:val="1"/>
          <w:numId w:val="30"/>
        </w:numPr>
        <w:spacing w:before="100" w:beforeAutospacing="1" w:after="100" w:afterAutospacing="1"/>
        <w:jc w:val="both"/>
        <w:rPr>
          <w:rFonts w:ascii="Times New Roman" w:eastAsia="Times New Roman" w:hAnsi="Times New Roman" w:cs="Times New Roman"/>
          <w:sz w:val="24"/>
          <w:szCs w:val="24"/>
          <w:lang w:val="en-US"/>
        </w:rPr>
      </w:pPr>
      <w:r w:rsidRPr="004D71BB">
        <w:rPr>
          <w:rFonts w:ascii="Times New Roman" w:eastAsia="Times New Roman" w:hAnsi="Times New Roman" w:cs="Times New Roman"/>
          <w:sz w:val="24"/>
          <w:szCs w:val="24"/>
          <w:lang w:val="en-US"/>
        </w:rPr>
        <w:t>për qëllime të zbatimit të Standardit të Përbashkët të Raportimit, është një përfaqësim digjital i vlerës që mbështetet në një regjistër të shpërndarë të siguruar kriptografikisht ose në një teknologji të ngjashme për validimin dhe sigurimin e transaksioneve.</w:t>
      </w:r>
    </w:p>
    <w:p w14:paraId="330A4360" w14:textId="75DDEB21" w:rsidR="00A06671" w:rsidRPr="004D71BB" w:rsidRDefault="00A06671" w:rsidP="00591FCC">
      <w:pPr>
        <w:pStyle w:val="ListParagraph"/>
        <w:numPr>
          <w:ilvl w:val="0"/>
          <w:numId w:val="25"/>
        </w:numPr>
        <w:spacing w:before="100" w:beforeAutospacing="1" w:after="100" w:afterAutospacing="1"/>
        <w:rPr>
          <w:rFonts w:ascii="Times New Roman" w:eastAsia="Times New Roman" w:hAnsi="Times New Roman" w:cs="Times New Roman"/>
          <w:sz w:val="24"/>
          <w:szCs w:val="24"/>
          <w:lang w:val="en-US"/>
        </w:rPr>
      </w:pPr>
      <w:r w:rsidRPr="004D71BB">
        <w:rPr>
          <w:rFonts w:ascii="Times New Roman" w:eastAsia="Times New Roman" w:hAnsi="Times New Roman" w:cs="Times New Roman"/>
          <w:sz w:val="24"/>
          <w:szCs w:val="24"/>
          <w:lang w:val="en-US"/>
        </w:rPr>
        <w:t>“Monedhë dixhitale e bankës qendrore”:</w:t>
      </w:r>
    </w:p>
    <w:p w14:paraId="2BC7778B" w14:textId="08E81729" w:rsidR="00A06671" w:rsidRPr="004D71BB" w:rsidRDefault="00A06671" w:rsidP="00591FCC">
      <w:pPr>
        <w:pStyle w:val="ListParagraph"/>
        <w:numPr>
          <w:ilvl w:val="1"/>
          <w:numId w:val="31"/>
        </w:numPr>
        <w:spacing w:before="100" w:beforeAutospacing="1" w:after="100" w:afterAutospacing="1"/>
        <w:jc w:val="both"/>
        <w:rPr>
          <w:rFonts w:ascii="Times New Roman" w:eastAsia="Times New Roman" w:hAnsi="Times New Roman" w:cs="Times New Roman"/>
          <w:sz w:val="24"/>
          <w:szCs w:val="24"/>
          <w:lang w:val="en-US"/>
        </w:rPr>
      </w:pPr>
      <w:r w:rsidRPr="004D71BB">
        <w:rPr>
          <w:rFonts w:ascii="Times New Roman" w:eastAsia="Times New Roman" w:hAnsi="Times New Roman" w:cs="Times New Roman"/>
          <w:sz w:val="24"/>
          <w:szCs w:val="24"/>
          <w:lang w:val="en-US"/>
        </w:rPr>
        <w:t>për qëllime të zbatimit të rregullave të Bashkimit Evropian, ka të njëjtin kuptim sipas përcaktimit në ligjin “Për shkëmbimin automatik të informacionit mbi kripto-asetet”; dhe</w:t>
      </w:r>
    </w:p>
    <w:p w14:paraId="1E41D5C8" w14:textId="59D04ACD" w:rsidR="00A06671" w:rsidRPr="004D71BB" w:rsidRDefault="00A06671" w:rsidP="00591FCC">
      <w:pPr>
        <w:pStyle w:val="ListParagraph"/>
        <w:numPr>
          <w:ilvl w:val="1"/>
          <w:numId w:val="31"/>
        </w:numPr>
        <w:spacing w:before="100" w:beforeAutospacing="1" w:after="100" w:afterAutospacing="1"/>
        <w:jc w:val="both"/>
        <w:rPr>
          <w:rFonts w:ascii="Times New Roman" w:eastAsia="Times New Roman" w:hAnsi="Times New Roman" w:cs="Times New Roman"/>
          <w:sz w:val="24"/>
          <w:szCs w:val="24"/>
          <w:lang w:val="en-US"/>
        </w:rPr>
      </w:pPr>
      <w:r w:rsidRPr="004D71BB">
        <w:rPr>
          <w:rFonts w:ascii="Times New Roman" w:eastAsia="Times New Roman" w:hAnsi="Times New Roman" w:cs="Times New Roman"/>
          <w:sz w:val="24"/>
          <w:szCs w:val="24"/>
          <w:lang w:val="en-US"/>
        </w:rPr>
        <w:t>për qëllime të zbatimit të Standardit të Përbashkët të Raportimit, është çdo monedhë fiat dixhitale e emetuar nga një bankë qendrore.</w:t>
      </w:r>
    </w:p>
    <w:p w14:paraId="5EB31BAB" w14:textId="4650DFC7" w:rsidR="00A06671" w:rsidRPr="004D71BB" w:rsidRDefault="00A06671" w:rsidP="00591FCC">
      <w:pPr>
        <w:pStyle w:val="ListParagraph"/>
        <w:numPr>
          <w:ilvl w:val="0"/>
          <w:numId w:val="25"/>
        </w:numPr>
        <w:spacing w:before="100" w:beforeAutospacing="1" w:after="100" w:afterAutospacing="1"/>
        <w:jc w:val="both"/>
        <w:rPr>
          <w:rFonts w:ascii="Times New Roman" w:eastAsia="Times New Roman" w:hAnsi="Times New Roman" w:cs="Times New Roman"/>
          <w:sz w:val="24"/>
          <w:szCs w:val="24"/>
          <w:lang w:val="en-US"/>
        </w:rPr>
      </w:pPr>
      <w:r w:rsidRPr="004D71BB">
        <w:rPr>
          <w:rFonts w:ascii="Times New Roman" w:eastAsia="Times New Roman" w:hAnsi="Times New Roman" w:cs="Times New Roman"/>
          <w:sz w:val="24"/>
          <w:szCs w:val="24"/>
          <w:lang w:val="en-US"/>
        </w:rPr>
        <w:t>“Kripto-aset raportues”, për qëllime të zbatimit të rregullave të Bashkimit Evropian, është çdo kripto-aset, me përjashtim të Monedhës dixhitale të bankës qendrore, Parasë elektronike ose çdo kripto-aseti për të cilin Ofruesi i Shërbimit të Kripto-aseteve Raportues ka përcaktuar në mënyrë të përshtatshme se nuk mund të përdoret për qëllime pagese ose investimi.</w:t>
      </w:r>
    </w:p>
    <w:p w14:paraId="2F6B4155" w14:textId="77777777" w:rsidR="00332CBD" w:rsidRPr="004D71BB" w:rsidRDefault="00A06671" w:rsidP="00591FCC">
      <w:pPr>
        <w:pStyle w:val="ListParagraph"/>
        <w:numPr>
          <w:ilvl w:val="0"/>
          <w:numId w:val="25"/>
        </w:numPr>
        <w:spacing w:before="100" w:beforeAutospacing="1" w:after="100" w:afterAutospacing="1"/>
        <w:jc w:val="both"/>
        <w:rPr>
          <w:rFonts w:ascii="Times New Roman" w:eastAsia="Times New Roman" w:hAnsi="Times New Roman" w:cs="Times New Roman"/>
          <w:sz w:val="24"/>
          <w:szCs w:val="24"/>
          <w:lang w:val="en-US"/>
        </w:rPr>
      </w:pPr>
      <w:r w:rsidRPr="004D71BB">
        <w:rPr>
          <w:rFonts w:ascii="Times New Roman" w:eastAsia="Times New Roman" w:hAnsi="Times New Roman" w:cs="Times New Roman"/>
          <w:sz w:val="24"/>
          <w:szCs w:val="24"/>
          <w:lang w:val="en-US"/>
        </w:rPr>
        <w:t>“Kripto-aset përkatës”, për qëllime të zbatimit të Standardit të Përbashkët të Raportimit, është çdo Kripto-aset që nuk është Monedhë dixhitale e bankës qendrore, Produkt i specifikuar i parasë elektronike ose çdo Kripto-aset për të cilin Ofruesi i Shërbimit të Kripto-aseteve Raportues ka përcaktuar në mënyrë të përshtatshme se nuk mund të përdoret për qëllime pagese ose investimi.</w:t>
      </w:r>
    </w:p>
    <w:p w14:paraId="68D6355B" w14:textId="5760961A" w:rsidR="00A06671" w:rsidRPr="004D71BB" w:rsidRDefault="00A06671" w:rsidP="00591FCC">
      <w:pPr>
        <w:pStyle w:val="ListParagraph"/>
        <w:numPr>
          <w:ilvl w:val="0"/>
          <w:numId w:val="25"/>
        </w:numPr>
        <w:spacing w:before="100" w:beforeAutospacing="1" w:after="100" w:afterAutospacing="1"/>
        <w:jc w:val="both"/>
        <w:rPr>
          <w:rFonts w:ascii="Times New Roman" w:eastAsia="Times New Roman" w:hAnsi="Times New Roman" w:cs="Times New Roman"/>
          <w:sz w:val="24"/>
          <w:szCs w:val="24"/>
          <w:lang w:val="en-US"/>
        </w:rPr>
      </w:pPr>
      <w:r w:rsidRPr="004D71BB">
        <w:rPr>
          <w:rFonts w:ascii="Times New Roman" w:eastAsia="Times New Roman" w:hAnsi="Times New Roman" w:cs="Times New Roman"/>
          <w:sz w:val="24"/>
          <w:szCs w:val="24"/>
          <w:lang w:val="en-US"/>
        </w:rPr>
        <w:t>“Ofrues i Shërbimit të Kripto-aseteve Raportues”:</w:t>
      </w:r>
    </w:p>
    <w:p w14:paraId="7CC9D499" w14:textId="5AEB63B6" w:rsidR="00A06671" w:rsidRPr="004D71BB" w:rsidRDefault="00A06671" w:rsidP="00591FCC">
      <w:pPr>
        <w:pStyle w:val="ListParagraph"/>
        <w:numPr>
          <w:ilvl w:val="1"/>
          <w:numId w:val="32"/>
        </w:numPr>
        <w:spacing w:before="100" w:beforeAutospacing="1" w:after="100" w:afterAutospacing="1"/>
        <w:jc w:val="both"/>
        <w:rPr>
          <w:rFonts w:ascii="Times New Roman" w:eastAsia="Times New Roman" w:hAnsi="Times New Roman" w:cs="Times New Roman"/>
          <w:sz w:val="24"/>
          <w:szCs w:val="24"/>
          <w:lang w:val="en-US"/>
        </w:rPr>
      </w:pPr>
      <w:r w:rsidRPr="004D71BB">
        <w:rPr>
          <w:rFonts w:ascii="Times New Roman" w:eastAsia="Times New Roman" w:hAnsi="Times New Roman" w:cs="Times New Roman"/>
          <w:sz w:val="24"/>
          <w:szCs w:val="24"/>
          <w:lang w:val="en-US"/>
        </w:rPr>
        <w:t>për qëllime të zbatimit të rregullave të Bashkimit Evropian, ka të njëjtin kuptim sipas përcaktimit në ligjin “Për shkëmbimin automatik të informacionit mbi kripto-asetet”; dhe</w:t>
      </w:r>
    </w:p>
    <w:p w14:paraId="2CF21B5B" w14:textId="77777777" w:rsidR="003028FD" w:rsidRPr="004D71BB" w:rsidRDefault="00A06671" w:rsidP="00591FCC">
      <w:pPr>
        <w:pStyle w:val="ListParagraph"/>
        <w:numPr>
          <w:ilvl w:val="1"/>
          <w:numId w:val="32"/>
        </w:numPr>
        <w:spacing w:before="100" w:beforeAutospacing="1" w:after="100" w:afterAutospacing="1"/>
        <w:jc w:val="both"/>
        <w:rPr>
          <w:rFonts w:ascii="Times New Roman" w:eastAsia="Times New Roman" w:hAnsi="Times New Roman" w:cs="Times New Roman"/>
          <w:sz w:val="24"/>
          <w:szCs w:val="24"/>
          <w:lang w:val="en-US"/>
        </w:rPr>
      </w:pPr>
      <w:r w:rsidRPr="004D71BB">
        <w:rPr>
          <w:rFonts w:ascii="Times New Roman" w:eastAsia="Times New Roman" w:hAnsi="Times New Roman" w:cs="Times New Roman"/>
          <w:sz w:val="24"/>
          <w:szCs w:val="24"/>
          <w:lang w:val="en-US"/>
        </w:rPr>
        <w:t xml:space="preserve">për qëllime të zbatimit të Standardit të Përbashkët të Raportimit, është çdo person fizik ose juridik që, si veprimtari ekonomike, ofron një shërbim që realizon Transaksione Shkëmbimi për ose në emër të klientëve, duke përfshirë veprimin si kundërpalë ose si </w:t>
      </w:r>
      <w:r w:rsidRPr="004D71BB">
        <w:rPr>
          <w:rFonts w:ascii="Times New Roman" w:eastAsia="Times New Roman" w:hAnsi="Times New Roman" w:cs="Times New Roman"/>
          <w:sz w:val="24"/>
          <w:szCs w:val="24"/>
          <w:lang w:val="en-US"/>
        </w:rPr>
        <w:lastRenderedPageBreak/>
        <w:t>ndërmjetës në këto Transaksione Shkëmbimi, ose duke vënë në dispozicion një platformë tregtimi.</w:t>
      </w:r>
    </w:p>
    <w:p w14:paraId="25277277" w14:textId="77777777" w:rsidR="003028FD" w:rsidRPr="004D71BB" w:rsidRDefault="006448E3" w:rsidP="00591FCC">
      <w:pPr>
        <w:pStyle w:val="ListParagraph"/>
        <w:numPr>
          <w:ilvl w:val="0"/>
          <w:numId w:val="25"/>
        </w:numPr>
        <w:spacing w:before="100" w:beforeAutospacing="1" w:after="100" w:afterAutospacing="1"/>
        <w:jc w:val="both"/>
        <w:rPr>
          <w:rFonts w:ascii="Times New Roman" w:eastAsia="Times New Roman" w:hAnsi="Times New Roman" w:cs="Times New Roman"/>
          <w:sz w:val="24"/>
          <w:szCs w:val="24"/>
          <w:lang w:val="en-US"/>
        </w:rPr>
      </w:pPr>
      <w:r w:rsidRPr="004D71BB">
        <w:rPr>
          <w:rFonts w:ascii="Times New Roman" w:eastAsia="Times New Roman" w:hAnsi="Times New Roman" w:cs="Times New Roman"/>
          <w:sz w:val="24"/>
          <w:szCs w:val="24"/>
          <w:lang w:val="en-US"/>
        </w:rPr>
        <w:t>“</w:t>
      </w:r>
      <w:r w:rsidR="00A06671" w:rsidRPr="004D71BB">
        <w:rPr>
          <w:rFonts w:ascii="Times New Roman" w:eastAsia="Times New Roman" w:hAnsi="Times New Roman" w:cs="Times New Roman"/>
          <w:sz w:val="24"/>
          <w:szCs w:val="24"/>
          <w:lang w:val="en-US"/>
        </w:rPr>
        <w:t>Transaksion shkëmbimi”:</w:t>
      </w:r>
      <w:r w:rsidR="003028FD" w:rsidRPr="004D71BB">
        <w:rPr>
          <w:rFonts w:ascii="Times New Roman" w:hAnsi="Times New Roman" w:cs="Times New Roman"/>
          <w:sz w:val="24"/>
          <w:szCs w:val="24"/>
        </w:rPr>
        <w:t xml:space="preserve"> është: </w:t>
      </w:r>
    </w:p>
    <w:p w14:paraId="5D1A3FC3" w14:textId="77777777" w:rsidR="003028FD" w:rsidRPr="004D71BB" w:rsidRDefault="003028FD" w:rsidP="00591FCC">
      <w:pPr>
        <w:pStyle w:val="ListParagraph"/>
        <w:spacing w:before="100" w:beforeAutospacing="1" w:after="100" w:afterAutospacing="1"/>
        <w:ind w:left="450"/>
        <w:jc w:val="both"/>
        <w:rPr>
          <w:rFonts w:ascii="Times New Roman" w:hAnsi="Times New Roman" w:cs="Times New Roman"/>
          <w:sz w:val="24"/>
          <w:szCs w:val="24"/>
        </w:rPr>
      </w:pPr>
      <w:r w:rsidRPr="004D71BB">
        <w:rPr>
          <w:rFonts w:ascii="Times New Roman" w:hAnsi="Times New Roman" w:cs="Times New Roman"/>
          <w:sz w:val="24"/>
          <w:szCs w:val="24"/>
        </w:rPr>
        <w:t xml:space="preserve">a) për qëllime të profilit të Bashkimit Evropian, çdo: </w:t>
      </w:r>
    </w:p>
    <w:p w14:paraId="6FFCAB3B" w14:textId="77777777" w:rsidR="003028FD" w:rsidRPr="004D71BB" w:rsidRDefault="003028FD" w:rsidP="00591FCC">
      <w:pPr>
        <w:pStyle w:val="ListParagraph"/>
        <w:spacing w:before="100" w:beforeAutospacing="1" w:after="100" w:afterAutospacing="1"/>
        <w:ind w:left="450"/>
        <w:jc w:val="both"/>
        <w:rPr>
          <w:rFonts w:ascii="Times New Roman" w:hAnsi="Times New Roman" w:cs="Times New Roman"/>
          <w:sz w:val="24"/>
          <w:szCs w:val="24"/>
        </w:rPr>
      </w:pPr>
      <w:r w:rsidRPr="004D71BB">
        <w:rPr>
          <w:rFonts w:ascii="Times New Roman" w:hAnsi="Times New Roman" w:cs="Times New Roman"/>
          <w:sz w:val="24"/>
          <w:szCs w:val="24"/>
        </w:rPr>
        <w:t xml:space="preserve">i) shkëmbim ndërmjet Kripto-aseteve Raportuese dhe Monedhave Fiat; dhe </w:t>
      </w:r>
    </w:p>
    <w:p w14:paraId="52F5AAED" w14:textId="77777777" w:rsidR="003028FD" w:rsidRPr="004D71BB" w:rsidRDefault="003028FD" w:rsidP="00591FCC">
      <w:pPr>
        <w:pStyle w:val="ListParagraph"/>
        <w:spacing w:before="100" w:beforeAutospacing="1" w:after="100" w:afterAutospacing="1"/>
        <w:ind w:left="450"/>
        <w:jc w:val="both"/>
        <w:rPr>
          <w:rFonts w:ascii="Times New Roman" w:hAnsi="Times New Roman" w:cs="Times New Roman"/>
          <w:sz w:val="24"/>
          <w:szCs w:val="24"/>
        </w:rPr>
      </w:pPr>
      <w:r w:rsidRPr="004D71BB">
        <w:rPr>
          <w:rFonts w:ascii="Times New Roman" w:hAnsi="Times New Roman" w:cs="Times New Roman"/>
          <w:sz w:val="24"/>
          <w:szCs w:val="24"/>
        </w:rPr>
        <w:t xml:space="preserve">ii) shkëmbim ndërmjet një ose më shumë formave të Kripto-aseteve Raportuese; </w:t>
      </w:r>
    </w:p>
    <w:p w14:paraId="6A674D28" w14:textId="77777777" w:rsidR="003028FD" w:rsidRPr="004D71BB" w:rsidRDefault="003028FD" w:rsidP="00591FCC">
      <w:pPr>
        <w:pStyle w:val="ListParagraph"/>
        <w:spacing w:before="100" w:beforeAutospacing="1" w:after="100" w:afterAutospacing="1"/>
        <w:ind w:left="450"/>
        <w:jc w:val="both"/>
        <w:rPr>
          <w:rFonts w:ascii="Times New Roman" w:hAnsi="Times New Roman" w:cs="Times New Roman"/>
          <w:sz w:val="24"/>
          <w:szCs w:val="24"/>
        </w:rPr>
      </w:pPr>
      <w:r w:rsidRPr="004D71BB">
        <w:rPr>
          <w:rFonts w:ascii="Times New Roman" w:hAnsi="Times New Roman" w:cs="Times New Roman"/>
          <w:sz w:val="24"/>
          <w:szCs w:val="24"/>
        </w:rPr>
        <w:t xml:space="preserve">b) për qëllime të profilit të Standardit të Përbashkët të Raportimit, çdo: </w:t>
      </w:r>
    </w:p>
    <w:p w14:paraId="4837AB0F" w14:textId="77777777" w:rsidR="003028FD" w:rsidRPr="004D71BB" w:rsidRDefault="003028FD" w:rsidP="00591FCC">
      <w:pPr>
        <w:pStyle w:val="ListParagraph"/>
        <w:spacing w:before="100" w:beforeAutospacing="1" w:after="100" w:afterAutospacing="1"/>
        <w:ind w:left="450"/>
        <w:jc w:val="both"/>
        <w:rPr>
          <w:rFonts w:ascii="Times New Roman" w:hAnsi="Times New Roman" w:cs="Times New Roman"/>
          <w:sz w:val="24"/>
          <w:szCs w:val="24"/>
        </w:rPr>
      </w:pPr>
      <w:r w:rsidRPr="004D71BB">
        <w:rPr>
          <w:rFonts w:ascii="Times New Roman" w:hAnsi="Times New Roman" w:cs="Times New Roman"/>
          <w:sz w:val="24"/>
          <w:szCs w:val="24"/>
        </w:rPr>
        <w:t xml:space="preserve">i) shkëmbim ndërmjet Kripto-aseteve Përkatëse dhe Monedhave Fiat; dhe </w:t>
      </w:r>
    </w:p>
    <w:p w14:paraId="20068465" w14:textId="685192F1" w:rsidR="003028FD" w:rsidRPr="004D71BB" w:rsidRDefault="003028FD" w:rsidP="00591FCC">
      <w:pPr>
        <w:pStyle w:val="ListParagraph"/>
        <w:spacing w:before="100" w:beforeAutospacing="1" w:after="100" w:afterAutospacing="1"/>
        <w:ind w:left="450"/>
        <w:jc w:val="both"/>
        <w:rPr>
          <w:rFonts w:ascii="Times New Roman" w:eastAsia="Times New Roman" w:hAnsi="Times New Roman" w:cs="Times New Roman"/>
          <w:sz w:val="24"/>
          <w:szCs w:val="24"/>
          <w:lang w:val="en-US"/>
        </w:rPr>
      </w:pPr>
      <w:r w:rsidRPr="004D71BB">
        <w:rPr>
          <w:rFonts w:ascii="Times New Roman" w:hAnsi="Times New Roman" w:cs="Times New Roman"/>
          <w:sz w:val="24"/>
          <w:szCs w:val="24"/>
        </w:rPr>
        <w:t>ii) shkëmbim ndërmjet një ose më shumë form</w:t>
      </w:r>
      <w:r w:rsidR="000027A1" w:rsidRPr="004D71BB">
        <w:rPr>
          <w:rFonts w:ascii="Times New Roman" w:hAnsi="Times New Roman" w:cs="Times New Roman"/>
          <w:sz w:val="24"/>
          <w:szCs w:val="24"/>
        </w:rPr>
        <w:t>ave të Kripto-aseteve Përkatëse</w:t>
      </w:r>
      <w:r w:rsidRPr="004D71BB">
        <w:rPr>
          <w:rFonts w:ascii="Times New Roman" w:hAnsi="Times New Roman" w:cs="Times New Roman"/>
          <w:sz w:val="24"/>
          <w:szCs w:val="24"/>
        </w:rPr>
        <w:t xml:space="preserve">. </w:t>
      </w:r>
    </w:p>
    <w:p w14:paraId="046840F9" w14:textId="73B39B58" w:rsidR="00824F8E" w:rsidRPr="004D71BB" w:rsidRDefault="00A433FC" w:rsidP="00591FCC">
      <w:pPr>
        <w:pStyle w:val="ListParagraph"/>
        <w:numPr>
          <w:ilvl w:val="0"/>
          <w:numId w:val="25"/>
        </w:numPr>
        <w:spacing w:before="100" w:beforeAutospacing="1" w:after="100" w:afterAutospacing="1"/>
        <w:jc w:val="both"/>
        <w:rPr>
          <w:rFonts w:ascii="Times New Roman" w:hAnsi="Times New Roman" w:cs="Times New Roman"/>
          <w:sz w:val="24"/>
          <w:szCs w:val="24"/>
        </w:rPr>
      </w:pPr>
      <w:r w:rsidRPr="004D71BB">
        <w:rPr>
          <w:rStyle w:val="Strong"/>
          <w:rFonts w:ascii="Times New Roman" w:hAnsi="Times New Roman" w:cs="Times New Roman"/>
          <w:b w:val="0"/>
          <w:bCs w:val="0"/>
          <w:sz w:val="24"/>
          <w:szCs w:val="24"/>
        </w:rPr>
        <w:t>“Bankë qendrore”</w:t>
      </w:r>
      <w:r w:rsidRPr="004D71BB">
        <w:rPr>
          <w:rFonts w:ascii="Times New Roman" w:hAnsi="Times New Roman" w:cs="Times New Roman"/>
          <w:sz w:val="24"/>
          <w:szCs w:val="24"/>
        </w:rPr>
        <w:t xml:space="preserve"> ka të njëjtin kuptim sipas përcaktimit në ligjin “Për shkëmbimin automatik të informacionit mbi kripto-asetet”. </w:t>
      </w:r>
    </w:p>
    <w:p w14:paraId="2455C6E1" w14:textId="77777777" w:rsidR="00824F8E" w:rsidRPr="004D71BB" w:rsidRDefault="00AA031B" w:rsidP="00591FCC">
      <w:pPr>
        <w:pStyle w:val="ListParagraph"/>
        <w:numPr>
          <w:ilvl w:val="0"/>
          <w:numId w:val="25"/>
        </w:numPr>
        <w:spacing w:before="100" w:beforeAutospacing="1" w:after="100" w:afterAutospacing="1"/>
        <w:jc w:val="both"/>
        <w:rPr>
          <w:rFonts w:ascii="Times New Roman" w:hAnsi="Times New Roman" w:cs="Times New Roman"/>
          <w:sz w:val="24"/>
          <w:szCs w:val="24"/>
        </w:rPr>
      </w:pPr>
      <w:r w:rsidRPr="004D71BB">
        <w:rPr>
          <w:rStyle w:val="Strong"/>
          <w:rFonts w:ascii="Times New Roman" w:hAnsi="Times New Roman" w:cs="Times New Roman"/>
          <w:b w:val="0"/>
          <w:bCs w:val="0"/>
          <w:sz w:val="24"/>
          <w:szCs w:val="24"/>
        </w:rPr>
        <w:t xml:space="preserve"> </w:t>
      </w:r>
      <w:r w:rsidR="00A433FC" w:rsidRPr="004D71BB">
        <w:rPr>
          <w:rStyle w:val="Strong"/>
          <w:rFonts w:ascii="Times New Roman" w:hAnsi="Times New Roman" w:cs="Times New Roman"/>
          <w:b w:val="0"/>
          <w:bCs w:val="0"/>
          <w:sz w:val="24"/>
          <w:szCs w:val="24"/>
        </w:rPr>
        <w:t>“CTS”</w:t>
      </w:r>
      <w:r w:rsidR="00A433FC" w:rsidRPr="004D71BB">
        <w:rPr>
          <w:rFonts w:ascii="Times New Roman" w:hAnsi="Times New Roman" w:cs="Times New Roman"/>
          <w:sz w:val="24"/>
          <w:szCs w:val="24"/>
        </w:rPr>
        <w:t xml:space="preserve"> është sistemi i krijuar nga Organizata për Bashkëpunim dhe Zhvillim Ekonomik, që mundëson shkëmbimin automatik të informacionit ndërmjet autoriteteve tatimore në përputhje me Standardin. </w:t>
      </w:r>
    </w:p>
    <w:p w14:paraId="33C7C43E" w14:textId="711E45F9" w:rsidR="00824F8E" w:rsidRPr="004D71BB" w:rsidRDefault="00A433FC" w:rsidP="00591FCC">
      <w:pPr>
        <w:pStyle w:val="ListParagraph"/>
        <w:numPr>
          <w:ilvl w:val="0"/>
          <w:numId w:val="25"/>
        </w:numPr>
        <w:spacing w:before="100" w:beforeAutospacing="1" w:after="100" w:afterAutospacing="1"/>
        <w:jc w:val="both"/>
        <w:rPr>
          <w:rFonts w:ascii="Times New Roman" w:hAnsi="Times New Roman" w:cs="Times New Roman"/>
          <w:sz w:val="24"/>
          <w:szCs w:val="24"/>
        </w:rPr>
      </w:pPr>
      <w:r w:rsidRPr="004D71BB">
        <w:rPr>
          <w:rStyle w:val="Strong"/>
          <w:rFonts w:ascii="Times New Roman" w:hAnsi="Times New Roman" w:cs="Times New Roman"/>
          <w:b w:val="0"/>
          <w:bCs w:val="0"/>
          <w:sz w:val="24"/>
          <w:szCs w:val="24"/>
        </w:rPr>
        <w:t>“Emetues i kualifikuar i kartave të kreditit”</w:t>
      </w:r>
      <w:r w:rsidRPr="004D71BB">
        <w:rPr>
          <w:rFonts w:ascii="Times New Roman" w:hAnsi="Times New Roman" w:cs="Times New Roman"/>
          <w:sz w:val="24"/>
          <w:szCs w:val="24"/>
        </w:rPr>
        <w:t xml:space="preserve"> është një institucion financiar që përmbush kriteret e mëposhtme: </w:t>
      </w:r>
    </w:p>
    <w:p w14:paraId="7EF2A891" w14:textId="77777777" w:rsidR="00824F8E" w:rsidRPr="004D71BB" w:rsidRDefault="00824F8E" w:rsidP="00591FCC">
      <w:pPr>
        <w:pStyle w:val="NormalWeb"/>
        <w:spacing w:line="276" w:lineRule="auto"/>
        <w:ind w:left="450"/>
        <w:jc w:val="both"/>
      </w:pPr>
      <w:r w:rsidRPr="004D71BB">
        <w:t>a) është institucion financiar vetëm për shkak se është emetues i kartave të kreditit dhe pranon depozita vetëm kur klienti kryen pagesa që tejkalojnë një balancë të përcaktuar për kartën dhe kjo mbipagesë nuk i rimbursohet menjëherë klientit; dhe</w:t>
      </w:r>
    </w:p>
    <w:p w14:paraId="2423F1FE" w14:textId="77777777" w:rsidR="008D22CC" w:rsidRPr="004D71BB" w:rsidRDefault="00824F8E" w:rsidP="00591FCC">
      <w:pPr>
        <w:pStyle w:val="NormalWeb"/>
        <w:spacing w:line="276" w:lineRule="auto"/>
        <w:ind w:left="450"/>
        <w:jc w:val="both"/>
      </w:pPr>
      <w:r w:rsidRPr="004D71BB">
        <w:t xml:space="preserve">b) </w:t>
      </w:r>
      <w:r w:rsidR="00AC3CEF" w:rsidRPr="004D71BB">
        <w:t xml:space="preserve">zbaton, duke filluar më ose përpara datës së referencës të zbatueshme për profilin përkatës, politika dhe procedura për të parandaluar që një klient të kryejë mbipagesa që tejkalojnë 50 000 (pesëdhjetë mijë) USD ose për të garantuar që çdo mbipagesë e klientit </w:t>
      </w:r>
      <w:r w:rsidR="008D22CC" w:rsidRPr="004D71BB">
        <w:t xml:space="preserve">që tejkalon 50 000 (pesëdhjetë mijë) USD t’i rimbursohet klientit brenda 60 (gjashtëdhjetë) ditëve, </w:t>
      </w:r>
      <w:r w:rsidR="00AC3CEF" w:rsidRPr="004D71BB">
        <w:t xml:space="preserve">në çdo rast duke zbatuar rregullat për totalizimin e llogarisë dhe konvertimin e monedhës të përcaktuara në këtë ligj. </w:t>
      </w:r>
      <w:r w:rsidR="00AC3CEF" w:rsidRPr="004D71BB">
        <w:rPr>
          <w:rStyle w:val="Strong"/>
          <w:b w:val="0"/>
          <w:bCs w:val="0"/>
        </w:rPr>
        <w:t>Datat e referencës për zbatimin e këtij përcaktimi, për qëllime të shkëmbimit automatik të informacionit sipas së drejtës së Bashkimit Evropian dhe sipas Standardit të Përbashkët të Raportimit (CRS), përcaktohen me akt nënligjor.</w:t>
      </w:r>
    </w:p>
    <w:p w14:paraId="052E404B" w14:textId="2A01DA64" w:rsidR="00332CBD" w:rsidRPr="004D71BB" w:rsidRDefault="00824F8E" w:rsidP="00591FCC">
      <w:pPr>
        <w:pStyle w:val="NormalWeb"/>
        <w:spacing w:line="276" w:lineRule="auto"/>
        <w:ind w:left="450"/>
        <w:jc w:val="both"/>
      </w:pPr>
      <w:r w:rsidRPr="004D71BB">
        <w:t xml:space="preserve">Për këtë qëllim, mbipagesa e klientit nuk i referohet balancave të kreditit në masën që lidhen me tarifa të kundërshtuara, por përfshin balancat e kreditit që vijnë si rezultat i kthimit të mallit. </w:t>
      </w:r>
    </w:p>
    <w:p w14:paraId="0C18E7DA" w14:textId="0BEE34D0" w:rsidR="00824F8E" w:rsidRPr="004D71BB" w:rsidRDefault="00332CBD" w:rsidP="00591FCC">
      <w:pPr>
        <w:pStyle w:val="NormalWeb"/>
        <w:spacing w:line="276" w:lineRule="auto"/>
        <w:ind w:left="450"/>
        <w:jc w:val="both"/>
      </w:pPr>
      <w:r w:rsidRPr="004D71BB">
        <w:rPr>
          <w:rStyle w:val="Strong"/>
          <w:b w:val="0"/>
          <w:bCs w:val="0"/>
        </w:rPr>
        <w:t xml:space="preserve">25. </w:t>
      </w:r>
      <w:r w:rsidR="00A433FC" w:rsidRPr="004D71BB">
        <w:rPr>
          <w:rStyle w:val="Strong"/>
          <w:b w:val="0"/>
          <w:bCs w:val="0"/>
        </w:rPr>
        <w:t>“Evidencë shkresore”</w:t>
      </w:r>
      <w:r w:rsidR="00A433FC" w:rsidRPr="004D71BB">
        <w:t xml:space="preserve"> përfshin: </w:t>
      </w:r>
    </w:p>
    <w:p w14:paraId="2AFA1777" w14:textId="1CC6D424" w:rsidR="00824F8E" w:rsidRPr="004D71BB" w:rsidRDefault="00824F8E" w:rsidP="00591FCC">
      <w:pPr>
        <w:pStyle w:val="NormalWeb"/>
        <w:spacing w:line="276" w:lineRule="auto"/>
        <w:ind w:left="450"/>
        <w:jc w:val="both"/>
      </w:pPr>
      <w:r w:rsidRPr="004D71BB">
        <w:t xml:space="preserve">a) certifikatën e rezidencës të lëshuar nga një organ qeveritar i autorizuar i juridiksionit në të cilin </w:t>
      </w:r>
      <w:r w:rsidR="00F53558" w:rsidRPr="004D71BB">
        <w:t xml:space="preserve">marrësi i pagesës </w:t>
      </w:r>
      <w:r w:rsidRPr="004D71BB">
        <w:t>pretendon se është rezident;</w:t>
      </w:r>
      <w:r w:rsidR="00F53558" w:rsidRPr="004D71BB">
        <w:t xml:space="preserve"> </w:t>
      </w:r>
    </w:p>
    <w:p w14:paraId="5762EC52" w14:textId="77777777" w:rsidR="00824F8E" w:rsidRPr="004D71BB" w:rsidRDefault="00824F8E" w:rsidP="00591FCC">
      <w:pPr>
        <w:pStyle w:val="NormalWeb"/>
        <w:spacing w:line="276" w:lineRule="auto"/>
        <w:ind w:left="450"/>
        <w:jc w:val="both"/>
      </w:pPr>
      <w:r w:rsidRPr="004D71BB">
        <w:t>b) për individin, çdo identifikim të vlefshëm të lëshuar nga një organ qeveritar i autorizuar, që përmban emrin e individit dhe përdoret zakonisht për qëllime identifikimi;</w:t>
      </w:r>
    </w:p>
    <w:p w14:paraId="0910F98F" w14:textId="77777777" w:rsidR="00824F8E" w:rsidRPr="004D71BB" w:rsidRDefault="00824F8E" w:rsidP="00591FCC">
      <w:pPr>
        <w:pStyle w:val="NormalWeb"/>
        <w:spacing w:line="276" w:lineRule="auto"/>
        <w:ind w:left="450"/>
        <w:jc w:val="both"/>
      </w:pPr>
      <w:r w:rsidRPr="004D71BB">
        <w:lastRenderedPageBreak/>
        <w:t>c) për njësinë ekonomike, çdo dokument zyrtar të lëshuar nga një organ qeveritar i autorizuar, që përmban emrin e njësisë ekonomike dhe adresën e selisë së saj qendrore në juridiksionin në të cilin pretendon se është rezidente ose në të cilin është themeluar apo organizuar;</w:t>
      </w:r>
    </w:p>
    <w:p w14:paraId="6B428869" w14:textId="77777777" w:rsidR="00824F8E" w:rsidRPr="004D71BB" w:rsidRDefault="00824F8E" w:rsidP="00591FCC">
      <w:pPr>
        <w:pStyle w:val="NormalWeb"/>
        <w:spacing w:line="276" w:lineRule="auto"/>
        <w:ind w:left="450"/>
        <w:jc w:val="both"/>
      </w:pPr>
      <w:r w:rsidRPr="004D71BB">
        <w:t>ç) çdo pasqyrë financiare të audituar, raport kredie të palëve të treta, dokumentacion të procedurës së falimentimit ose raport të rregullatorit të letrave me vlerë.</w:t>
      </w:r>
    </w:p>
    <w:p w14:paraId="599B422B" w14:textId="6B4F0A61" w:rsidR="00332CBD" w:rsidRPr="004D71BB" w:rsidRDefault="00CF64B4" w:rsidP="00591FCC">
      <w:pPr>
        <w:pStyle w:val="NormalWeb"/>
        <w:spacing w:line="276" w:lineRule="auto"/>
        <w:ind w:left="450"/>
        <w:jc w:val="both"/>
      </w:pPr>
      <w:r w:rsidRPr="004D71BB">
        <w:t xml:space="preserve">Për një </w:t>
      </w:r>
      <w:r w:rsidR="007E6CBF" w:rsidRPr="004D71BB">
        <w:rPr>
          <w:rStyle w:val="Strong"/>
          <w:b w:val="0"/>
          <w:bCs w:val="0"/>
        </w:rPr>
        <w:t>Llogari Paraekzistuese të Njësisë Ekonomike</w:t>
      </w:r>
      <w:r w:rsidR="00824F8E" w:rsidRPr="004D71BB">
        <w:t xml:space="preserve">, institucioni financiar raportues mund të përdorë si evidencë shkresore edhe çdo klasifikim të mbajtur në të dhënat e tij për mbajtësin e llogarisë, të përcaktuar në bazë të një sistemi të standardizuar të kodimit të industrisë, të regjistruar nga institucioni financiar raportues në përputhje me praktikat e tij normale të biznesit për qëllimet e procedurave të parandalimit të pastrimit të parave dhe financimit të terrorizmit ose për qëllime të tjera rregullatore, përveç qëllimeve tatimore, nëse klasifikimi është zbatuar përpara datës së përdorur për klasifikimin e llogarisë si </w:t>
      </w:r>
      <w:r w:rsidR="008F74C1" w:rsidRPr="004D71BB">
        <w:rPr>
          <w:rStyle w:val="Strong"/>
          <w:b w:val="0"/>
          <w:bCs w:val="0"/>
        </w:rPr>
        <w:t xml:space="preserve">Llogari Paraekzistuese </w:t>
      </w:r>
      <w:r w:rsidR="00824F8E" w:rsidRPr="004D71BB">
        <w:t>dhe institucioni financiar raportues nuk e di ose nuk ka arsye të dijë se klasifikimi është i pasaktë ose jo i besueshëm.</w:t>
      </w:r>
    </w:p>
    <w:p w14:paraId="4C6CC2CB" w14:textId="1DDCA820" w:rsidR="000A0FC8" w:rsidRPr="004D71BB" w:rsidRDefault="00332CBD" w:rsidP="00591FCC">
      <w:pPr>
        <w:pStyle w:val="NormalWeb"/>
        <w:spacing w:line="276" w:lineRule="auto"/>
        <w:ind w:left="450"/>
        <w:jc w:val="both"/>
      </w:pPr>
      <w:r w:rsidRPr="004D71BB">
        <w:rPr>
          <w:rStyle w:val="Strong"/>
          <w:b w:val="0"/>
          <w:bCs w:val="0"/>
        </w:rPr>
        <w:t xml:space="preserve">26. </w:t>
      </w:r>
      <w:r w:rsidR="00A433FC" w:rsidRPr="004D71BB">
        <w:rPr>
          <w:rStyle w:val="Strong"/>
          <w:b w:val="0"/>
          <w:bCs w:val="0"/>
        </w:rPr>
        <w:t>“Njësi ekonomike investimi”</w:t>
      </w:r>
      <w:r w:rsidR="000A0FC8" w:rsidRPr="004D71BB">
        <w:rPr>
          <w:rStyle w:val="Strong"/>
          <w:b w:val="0"/>
          <w:bCs w:val="0"/>
        </w:rPr>
        <w:t xml:space="preserve"> </w:t>
      </w:r>
      <w:r w:rsidR="000A0FC8" w:rsidRPr="004D71BB">
        <w:t>është çdo njësi ekonomike:</w:t>
      </w:r>
    </w:p>
    <w:p w14:paraId="0379B566" w14:textId="77777777" w:rsidR="000A0FC8" w:rsidRPr="004D71BB" w:rsidRDefault="000A0FC8" w:rsidP="00591FCC">
      <w:pPr>
        <w:pStyle w:val="isselectedend"/>
        <w:spacing w:line="276" w:lineRule="auto"/>
        <w:ind w:left="450"/>
        <w:jc w:val="both"/>
      </w:pPr>
      <w:r w:rsidRPr="004D71BB">
        <w:t>a) që kryesisht ushtron, si biznes, një ose më shumë nga aktivitetet ose operacionet e mëposhtme për llogari ose në emër të një klienti:</w:t>
      </w:r>
    </w:p>
    <w:p w14:paraId="6F30C0C0" w14:textId="77777777" w:rsidR="000A0FC8" w:rsidRPr="004D71BB" w:rsidRDefault="000A0FC8" w:rsidP="00591FCC">
      <w:pPr>
        <w:pStyle w:val="isselectedend"/>
        <w:spacing w:line="276" w:lineRule="auto"/>
        <w:ind w:left="450"/>
        <w:jc w:val="both"/>
      </w:pPr>
      <w:r w:rsidRPr="004D71BB">
        <w:t>i) tregtimin e instrumenteve të tregut të parasë, përfshirë çeqet, kambialet, certifikatat e depozitave dhe derivativët; tregtimin e këmbimit valutor; instrumenteve të këmbimit, normës së interesit dhe indeksit; letrave me vlerë të transferueshme; ose kontratave të së ardhmes për mallrat;</w:t>
      </w:r>
    </w:p>
    <w:p w14:paraId="3C5F7685" w14:textId="77777777" w:rsidR="000A0FC8" w:rsidRPr="004D71BB" w:rsidRDefault="000A0FC8" w:rsidP="00591FCC">
      <w:pPr>
        <w:pStyle w:val="isselectedend"/>
        <w:spacing w:line="276" w:lineRule="auto"/>
        <w:ind w:left="450"/>
        <w:jc w:val="both"/>
      </w:pPr>
      <w:r w:rsidRPr="004D71BB">
        <w:t>ii) menaxhimin e portofolave individualë dhe kolektivë; ose</w:t>
      </w:r>
    </w:p>
    <w:p w14:paraId="35528E08" w14:textId="77777777" w:rsidR="000A0FC8" w:rsidRPr="004D71BB" w:rsidRDefault="000A0FC8" w:rsidP="00591FCC">
      <w:pPr>
        <w:pStyle w:val="isselectedend"/>
        <w:spacing w:line="276" w:lineRule="auto"/>
        <w:ind w:left="450"/>
        <w:jc w:val="both"/>
      </w:pPr>
      <w:r w:rsidRPr="004D71BB">
        <w:t xml:space="preserve">iii) investimin, administrimin ose menaxhimin e aktiveve financiare, parave ose </w:t>
      </w:r>
      <w:r w:rsidRPr="004D71BB">
        <w:rPr>
          <w:rStyle w:val="Strong"/>
          <w:b w:val="0"/>
          <w:bCs w:val="0"/>
        </w:rPr>
        <w:t>Kripto-aseteve Raportuese për profilin e Bashkimit Evropian ose Kripto-aseteve Përkatëse për profilin e Standardit të Përbashkët të Raportimit</w:t>
      </w:r>
      <w:r w:rsidRPr="004D71BB">
        <w:t xml:space="preserve"> për llogari të personave të tjerë;</w:t>
      </w:r>
    </w:p>
    <w:p w14:paraId="3B1F87D9" w14:textId="77777777" w:rsidR="000A0FC8" w:rsidRPr="004D71BB" w:rsidRDefault="000A0FC8" w:rsidP="00591FCC">
      <w:pPr>
        <w:pStyle w:val="isselectedend"/>
        <w:spacing w:line="276" w:lineRule="auto"/>
        <w:ind w:left="450"/>
        <w:jc w:val="both"/>
      </w:pPr>
      <w:r w:rsidRPr="004D71BB">
        <w:t>ose</w:t>
      </w:r>
    </w:p>
    <w:p w14:paraId="43AB597D" w14:textId="77777777" w:rsidR="000A0FC8" w:rsidRPr="004D71BB" w:rsidRDefault="000A0FC8" w:rsidP="00591FCC">
      <w:pPr>
        <w:pStyle w:val="isselectedend"/>
        <w:spacing w:line="276" w:lineRule="auto"/>
        <w:ind w:left="450"/>
        <w:jc w:val="both"/>
      </w:pPr>
      <w:r w:rsidRPr="004D71BB">
        <w:t xml:space="preserve">b) të ardhurat bruto të së cilës i atribuohen kryesisht investimeve, riinvestimeve ose tregtimit të aktiveve financiare ose </w:t>
      </w:r>
      <w:r w:rsidRPr="004D71BB">
        <w:rPr>
          <w:rStyle w:val="Strong"/>
          <w:b w:val="0"/>
          <w:bCs w:val="0"/>
        </w:rPr>
        <w:t>Kripto-aseteve Raportuese për profilin e Bashkimit Evropian ose Kripto-aseteve Përkatëse për profilin e Standardit të Përbashkët të Raportimit</w:t>
      </w:r>
      <w:r w:rsidRPr="004D71BB">
        <w:t>, nëse njësia ekonomike menaxhohet nga një njësi ekonomike tjetër që është një institucion depozitues, institucion kujdestarie, shoqëri sigurimesh e specifikuar ose një njësi ekonomike investimi e përshkruar në shkronjën “a”.</w:t>
      </w:r>
    </w:p>
    <w:p w14:paraId="1F94D918" w14:textId="77777777" w:rsidR="000A0FC8" w:rsidRPr="004D71BB" w:rsidRDefault="000A0FC8" w:rsidP="00591FCC">
      <w:pPr>
        <w:pStyle w:val="isselectedend"/>
        <w:spacing w:line="276" w:lineRule="auto"/>
        <w:ind w:left="450"/>
        <w:jc w:val="both"/>
      </w:pPr>
      <w:r w:rsidRPr="004D71BB">
        <w:t xml:space="preserve">Një njësi ekonomike “menaxhohet” nga një njësi ekonomike tjetër nëse njësia ekonomike menaxhuese kryen, drejtpërdrejt ose nëpërmjet një ofruesi tjetër shërbimi, një ose më </w:t>
      </w:r>
      <w:r w:rsidRPr="004D71BB">
        <w:lastRenderedPageBreak/>
        <w:t>shumë nga aktivitetet ose operacionet e përshkruara në shkronjën “a” në emër të njësisë ekonomike të menaxhuar. Megjithatë, një njësi ekonomike nuk konsiderohet se menaxhon një njësi tjetër ekonomike nëse nuk ka autoritetin për të menaxhuar aktivet e njësisë ekonomike, tërësisht ose pjesërisht.</w:t>
      </w:r>
    </w:p>
    <w:p w14:paraId="2C59288A" w14:textId="77777777" w:rsidR="000A0FC8" w:rsidRPr="004D71BB" w:rsidRDefault="000A0FC8" w:rsidP="00591FCC">
      <w:pPr>
        <w:pStyle w:val="isselectedend"/>
        <w:spacing w:line="276" w:lineRule="auto"/>
        <w:ind w:left="450"/>
        <w:jc w:val="both"/>
      </w:pPr>
      <w:r w:rsidRPr="004D71BB">
        <w:t>Kur një njësi ekonomike menaxhohet nga një kombinim i institucioneve financiare, njësive ekonomike jofinanciare ose individëve, njësia ekonomike konsiderohet se menaxhohet nga një njësi ekonomike tjetër që është institucion depozitues, institucion kujdestarie, shoqëri sigurimesh e specifikuar ose një njësi ekonomike investimi e përshkruar në shkronjën “a”, nëse ndonjë prej njësive menaxhuese është një njësi e tillë.</w:t>
      </w:r>
    </w:p>
    <w:p w14:paraId="73750029" w14:textId="77777777" w:rsidR="000A0FC8" w:rsidRPr="004D71BB" w:rsidRDefault="000A0FC8" w:rsidP="00591FCC">
      <w:pPr>
        <w:pStyle w:val="isselectedend"/>
        <w:spacing w:line="276" w:lineRule="auto"/>
        <w:ind w:left="450"/>
        <w:jc w:val="both"/>
      </w:pPr>
      <w:r w:rsidRPr="004D71BB">
        <w:t xml:space="preserve">Një njësi ekonomike konsiderohet se kryen kryesisht si biznes një ose më shumë nga aktivitetet e përshkruara në shkronjën “a” ose të ardhurat bruto të saj konsiderohen se i atribuohen kryesisht investimeve, riinvestimeve ose tregtimit të aktiveve financiare ose </w:t>
      </w:r>
      <w:r w:rsidRPr="004D71BB">
        <w:rPr>
          <w:rStyle w:val="Strong"/>
          <w:b w:val="0"/>
          <w:bCs w:val="0"/>
        </w:rPr>
        <w:t>Kripto-aseteve Raportuese për profilin e Bashkimit Evropian ose Kripto-aseteve Përkatëse për profilin e Standardit të Përbashkët të Raportimit</w:t>
      </w:r>
      <w:r w:rsidRPr="004D71BB">
        <w:t>, për qëllimet e shkronjës “b”, nëse të ardhurat bruto të njësisë ekonomike që i atribuohen aktiviteteve përkatëse janë të barabarta me ose tejkalojnë 50 për qind të të ardhurave bruto të njësisë ekonomike gjatë periudhës më të shkurtër ndërmjet:</w:t>
      </w:r>
    </w:p>
    <w:p w14:paraId="6A94106A" w14:textId="77777777" w:rsidR="000A0FC8" w:rsidRPr="004D71BB" w:rsidRDefault="000A0FC8" w:rsidP="00591FCC">
      <w:pPr>
        <w:pStyle w:val="isselectedend"/>
        <w:spacing w:line="276" w:lineRule="auto"/>
        <w:ind w:left="450"/>
        <w:jc w:val="both"/>
      </w:pPr>
      <w:r w:rsidRPr="004D71BB">
        <w:t>i) periudhës trevjeçare që përfundon më 31 dhjetor të vitit që paraprin vitin në të cilin bëhet përcaktimi; dhe</w:t>
      </w:r>
    </w:p>
    <w:p w14:paraId="4D46A586" w14:textId="77777777" w:rsidR="000A0FC8" w:rsidRPr="004D71BB" w:rsidRDefault="000A0FC8" w:rsidP="00591FCC">
      <w:pPr>
        <w:pStyle w:val="isselectedend"/>
        <w:spacing w:line="276" w:lineRule="auto"/>
        <w:ind w:left="450"/>
        <w:jc w:val="both"/>
      </w:pPr>
      <w:r w:rsidRPr="004D71BB">
        <w:t>ii) periudhës gjatë së cilës njësia ekonomike ka ekzistuar.</w:t>
      </w:r>
    </w:p>
    <w:p w14:paraId="2A48D88D" w14:textId="77777777" w:rsidR="000A0FC8" w:rsidRPr="004D71BB" w:rsidRDefault="000A0FC8" w:rsidP="00591FCC">
      <w:pPr>
        <w:pStyle w:val="isselectedend"/>
        <w:spacing w:line="276" w:lineRule="auto"/>
        <w:ind w:left="450"/>
        <w:jc w:val="both"/>
      </w:pPr>
      <w:r w:rsidRPr="004D71BB">
        <w:t>Për këtë test të të ardhurave bruto, të gjitha pagesat për aktivitetet përkatëse të njësisë ekonomike merren në konsideratë, pavarësisht nëse pagesa i bëhet drejtpërdrejt njësisë ekonomike për të cilën kryhet testi ose një njësie tjetër ekonomike.</w:t>
      </w:r>
    </w:p>
    <w:p w14:paraId="47A86F04" w14:textId="77777777" w:rsidR="000A0FC8" w:rsidRPr="004D71BB" w:rsidRDefault="000A0FC8" w:rsidP="00591FCC">
      <w:pPr>
        <w:pStyle w:val="isselectedend"/>
        <w:spacing w:line="276" w:lineRule="auto"/>
        <w:ind w:left="450"/>
        <w:jc w:val="both"/>
      </w:pPr>
      <w:r w:rsidRPr="004D71BB">
        <w:t xml:space="preserve">Për qëllimet e nënndarjes “iii”, të shkronjës “a”, termi “investim, administrim ose menaxhim i aktiveve financiare, parave ose </w:t>
      </w:r>
      <w:r w:rsidRPr="004D71BB">
        <w:rPr>
          <w:rStyle w:val="Strong"/>
          <w:b w:val="0"/>
          <w:bCs w:val="0"/>
        </w:rPr>
        <w:t>Kripto-aseteve Raportuese për profilin e Bashkimit Evropian ose Kripto-aseteve Përkatëse për profilin e Standardit të Përbashkët të Raportimit</w:t>
      </w:r>
      <w:r w:rsidRPr="004D71BB">
        <w:t xml:space="preserve"> për llogari të personave të tjerë” nuk përfshin ofrimin e shërbimeve që kryejnë transaksione këmbimi për ose në emër të klientëve.</w:t>
      </w:r>
    </w:p>
    <w:p w14:paraId="23B7C578" w14:textId="748323C4" w:rsidR="000A0FC8" w:rsidRPr="004D71BB" w:rsidRDefault="000A0FC8" w:rsidP="00591FCC">
      <w:pPr>
        <w:pStyle w:val="NormalWeb"/>
        <w:spacing w:line="276" w:lineRule="auto"/>
        <w:ind w:left="450"/>
        <w:jc w:val="both"/>
      </w:pPr>
      <w:r w:rsidRPr="004D71BB">
        <w:t>“Njësi ekonomike investimi” nuk përfshin një njësi ekonomike që është NFE aktive për shkak se përmbush një nga kr</w:t>
      </w:r>
      <w:r w:rsidR="003307B6" w:rsidRPr="004D71BB">
        <w:t>iteret e përcaktuara në pikën 57</w:t>
      </w:r>
      <w:r w:rsidRPr="004D71BB">
        <w:t>, shkronjat “ç”, “d”, “dh” ose “e”, të këtij neni.</w:t>
      </w:r>
    </w:p>
    <w:p w14:paraId="6C8789B4" w14:textId="507AA6A5" w:rsidR="00256F4F" w:rsidRPr="004D71BB" w:rsidRDefault="00A433FC" w:rsidP="00591FCC">
      <w:pPr>
        <w:pStyle w:val="NormalWeb"/>
        <w:numPr>
          <w:ilvl w:val="0"/>
          <w:numId w:val="41"/>
        </w:numPr>
        <w:spacing w:line="276" w:lineRule="auto"/>
        <w:jc w:val="both"/>
      </w:pPr>
      <w:r w:rsidRPr="004D71BB">
        <w:rPr>
          <w:rStyle w:val="Strong"/>
          <w:b w:val="0"/>
          <w:bCs w:val="0"/>
        </w:rPr>
        <w:t>“Fond pensioni i një organi qeveritar, organizate ndërkombëtare ose banke qendrore”</w:t>
      </w:r>
      <w:r w:rsidRPr="004D71BB">
        <w:t xml:space="preserve"> është një fond i krijuar nga një organ qeveritar, organizatë ndërkombëtare ose bankë qendrore për të dhënë </w:t>
      </w:r>
      <w:r w:rsidR="00B51C82" w:rsidRPr="004D71BB">
        <w:t xml:space="preserve">përfitime pensioni, invaliditeti ose në rast vdekjeje </w:t>
      </w:r>
      <w:r w:rsidRPr="004D71BB">
        <w:t xml:space="preserve">për përfituesit ose pjesëmarrësit që janë punëmarrës aktualë ose të mëparshëm, ose persona të caktuar prej tyre, ose që nuk janë punëmarrës aktualë ose të mëparshëm, nëse pensionet që u </w:t>
      </w:r>
      <w:r w:rsidRPr="004D71BB">
        <w:lastRenderedPageBreak/>
        <w:t xml:space="preserve">jepen këtyre përfituesve ose pjesëmarrësve janë në lidhje me shërbimet personale të kryera për organin qeveritar, organizatën ndërkombëtare ose bankën qendrore. </w:t>
      </w:r>
    </w:p>
    <w:p w14:paraId="299F421F" w14:textId="4C37579A" w:rsidR="00256F4F" w:rsidRPr="004D71BB" w:rsidRDefault="00A433FC" w:rsidP="00591FCC">
      <w:pPr>
        <w:pStyle w:val="NormalWeb"/>
        <w:numPr>
          <w:ilvl w:val="0"/>
          <w:numId w:val="41"/>
        </w:numPr>
        <w:spacing w:line="276" w:lineRule="auto"/>
        <w:jc w:val="both"/>
        <w:rPr>
          <w:lang w:eastAsia="sq-AL"/>
        </w:rPr>
      </w:pPr>
      <w:r w:rsidRPr="004D71BB">
        <w:rPr>
          <w:rStyle w:val="Strong"/>
          <w:b w:val="0"/>
          <w:bCs w:val="0"/>
        </w:rPr>
        <w:t>“Fond pensioni me pjesëmarrje të gjerë”</w:t>
      </w:r>
      <w:r w:rsidRPr="004D71BB">
        <w:t xml:space="preserve"> është një fond i krijuar </w:t>
      </w:r>
      <w:r w:rsidR="00182CE7" w:rsidRPr="004D71BB">
        <w:t>për të dhënë përfitime pensioni, invaliditeti ose në rast vdekjeje</w:t>
      </w:r>
      <w:r w:rsidRPr="004D71BB">
        <w:t>,</w:t>
      </w:r>
      <w:r w:rsidR="00182CE7" w:rsidRPr="004D71BB">
        <w:rPr>
          <w:lang w:eastAsia="sq-AL"/>
        </w:rPr>
        <w:t xml:space="preserve"> </w:t>
      </w:r>
      <w:r w:rsidRPr="004D71BB">
        <w:t>ose një kombinim të tyre, për përfituesit që janë punëmarrës aktualë ose të mëparshëm, ose persona të caktuar prej këtyre punëmarrësve, të një ose më shumë punëdhënësve, për shërbim</w:t>
      </w:r>
      <w:r w:rsidR="00256F4F" w:rsidRPr="004D71BB">
        <w:t>et e kryera, me kusht që fondi:</w:t>
      </w:r>
    </w:p>
    <w:p w14:paraId="04A185EE" w14:textId="37F41390" w:rsidR="00256F4F" w:rsidRPr="004D71BB" w:rsidRDefault="00256F4F" w:rsidP="00591FCC">
      <w:pPr>
        <w:pStyle w:val="NormalWeb"/>
        <w:spacing w:line="276" w:lineRule="auto"/>
        <w:ind w:left="450"/>
        <w:jc w:val="both"/>
        <w:rPr>
          <w:lang w:eastAsia="sq-AL"/>
        </w:rPr>
      </w:pPr>
      <w:r w:rsidRPr="004D71BB">
        <w:t>a) të mos ketë asnjë përfitues të vetëm me të drejtë në më shumë se 5 për qind të aktiveve të fondit;</w:t>
      </w:r>
    </w:p>
    <w:p w14:paraId="439BBBE7" w14:textId="77777777" w:rsidR="00256F4F" w:rsidRPr="004D71BB" w:rsidRDefault="00256F4F" w:rsidP="00591FCC">
      <w:pPr>
        <w:pStyle w:val="NormalWeb"/>
        <w:spacing w:line="276" w:lineRule="auto"/>
        <w:ind w:left="450"/>
        <w:jc w:val="both"/>
        <w:rPr>
          <w:lang w:eastAsia="sq-AL"/>
        </w:rPr>
      </w:pPr>
      <w:r w:rsidRPr="004D71BB">
        <w:t>b) t’i nënshtrohet rregullimit nga qeveria dhe të raportojë informacion pranë autoriteteve tatimore; dhe</w:t>
      </w:r>
    </w:p>
    <w:p w14:paraId="488453FC" w14:textId="77777777" w:rsidR="00256F4F" w:rsidRPr="004D71BB" w:rsidRDefault="00256F4F" w:rsidP="00591FCC">
      <w:pPr>
        <w:pStyle w:val="NormalWeb"/>
        <w:spacing w:line="276" w:lineRule="auto"/>
        <w:ind w:left="450"/>
        <w:jc w:val="both"/>
        <w:rPr>
          <w:lang w:eastAsia="sq-AL"/>
        </w:rPr>
      </w:pPr>
      <w:r w:rsidRPr="004D71BB">
        <w:t>c) të përmbushë të paktën një nga kriteret e mëposhtme:</w:t>
      </w:r>
    </w:p>
    <w:p w14:paraId="1796B494" w14:textId="77777777" w:rsidR="00256F4F" w:rsidRPr="004D71BB" w:rsidRDefault="00256F4F" w:rsidP="00591FCC">
      <w:pPr>
        <w:pStyle w:val="NormalWeb"/>
        <w:spacing w:line="276" w:lineRule="auto"/>
        <w:ind w:left="450"/>
        <w:jc w:val="both"/>
        <w:rPr>
          <w:lang w:eastAsia="sq-AL"/>
        </w:rPr>
      </w:pPr>
      <w:r w:rsidRPr="004D71BB">
        <w:t>i) fondi përgjithësisht përjashtohet nga tatimi mbi të ardhurat nga investimet ose tatimi mbi këto të ardhura shtyhet ose zbatohet me një normë të reduktuar, për shkak të statusit të tij si fond pensioni;</w:t>
      </w:r>
    </w:p>
    <w:p w14:paraId="0B9A56EE" w14:textId="77777777" w:rsidR="00256F4F" w:rsidRPr="004D71BB" w:rsidRDefault="00256F4F" w:rsidP="00591FCC">
      <w:pPr>
        <w:pStyle w:val="NormalWeb"/>
        <w:spacing w:line="276" w:lineRule="auto"/>
        <w:ind w:left="450"/>
        <w:jc w:val="both"/>
        <w:rPr>
          <w:lang w:eastAsia="sq-AL"/>
        </w:rPr>
      </w:pPr>
      <w:r w:rsidRPr="004D71BB">
        <w:t>ii) fondi merr të paktën 50 për qind të kontributeve të tij totale, të ndryshme nga transfertat e aktiveve nga fonde të tjera pensioni të përshkruara në këtë ligj ose nga llogaritë e pensionit të pleqërisë ose pensionit, nga punëdhënësit sponsorizues;</w:t>
      </w:r>
    </w:p>
    <w:p w14:paraId="4128BB70" w14:textId="77777777" w:rsidR="002916A5" w:rsidRPr="004D71BB" w:rsidRDefault="00256F4F" w:rsidP="00591FCC">
      <w:pPr>
        <w:pStyle w:val="NormalWeb"/>
        <w:spacing w:line="276" w:lineRule="auto"/>
        <w:ind w:left="450"/>
        <w:jc w:val="both"/>
        <w:rPr>
          <w:lang w:eastAsia="sq-AL"/>
        </w:rPr>
      </w:pPr>
      <w:r w:rsidRPr="004D71BB">
        <w:t>iii) shpërndarjet ose tërheqjet nga fondi lejohen vetëm nëse ndodhin ngjarje të specifikuara që lidhen me pensionin, invaliditetin ose vdekjen, me përjashtim të shpërndarjeve që riinvestohen në fonde të tjera pensioni ose në llogari pensioni të pleqërisë ose pensioni, ose, në rast të shpërndarjeve ose tërheqjeve të bëra përpara këtyre ngjarjeve, zbatohen penalitete; ose</w:t>
      </w:r>
    </w:p>
    <w:p w14:paraId="40EDEC50" w14:textId="64DB876B" w:rsidR="00256F4F" w:rsidRPr="004D71BB" w:rsidRDefault="002916A5" w:rsidP="00591FCC">
      <w:pPr>
        <w:pStyle w:val="NormalWeb"/>
        <w:spacing w:line="276" w:lineRule="auto"/>
        <w:ind w:left="450"/>
        <w:jc w:val="both"/>
        <w:rPr>
          <w:rStyle w:val="Strong"/>
          <w:b w:val="0"/>
          <w:bCs w:val="0"/>
          <w:lang w:eastAsia="sq-AL"/>
        </w:rPr>
      </w:pPr>
      <w:r w:rsidRPr="004D71BB">
        <w:t>iv) kontributet nga punëmarrësit në fond, me përjashtim të kontributeve të caktuara plotësuese të lejuara, janë të kufizuara në funksion të të ardhurave të fituara të punëmarrësit ose nuk mund të tejkalojnë 50 000 USD në vit, duke zbatuar rregullat për totalizimin e llogarisë dhe konvertimin e monedhës të përcaktuara në këtë ligj.</w:t>
      </w:r>
    </w:p>
    <w:p w14:paraId="0159EE0E" w14:textId="77777777" w:rsidR="00256F4F" w:rsidRPr="004D71BB" w:rsidRDefault="00A433FC" w:rsidP="00591FCC">
      <w:pPr>
        <w:pStyle w:val="NormalWeb"/>
        <w:numPr>
          <w:ilvl w:val="0"/>
          <w:numId w:val="41"/>
        </w:numPr>
        <w:spacing w:line="276" w:lineRule="auto"/>
        <w:jc w:val="both"/>
        <w:rPr>
          <w:lang w:eastAsia="sq-AL"/>
        </w:rPr>
      </w:pPr>
      <w:r w:rsidRPr="004D71BB">
        <w:rPr>
          <w:rStyle w:val="Strong"/>
          <w:b w:val="0"/>
          <w:bCs w:val="0"/>
        </w:rPr>
        <w:t>“Fond pensioni me pjesëmarrje të kufizuar”</w:t>
      </w:r>
      <w:r w:rsidRPr="004D71BB">
        <w:t xml:space="preserve"> është një fond i krijuar për të dhënë pension pleqërie, invaliditeti ose familjar për përfituesit që janë punëmarrës aktualë ose të mëparshëm, ose persona të caktuar prej këtyre punëmarrësve, të një ose më shumë punëdhënësve, për shërbimet e kryera, me kusht që: </w:t>
      </w:r>
    </w:p>
    <w:p w14:paraId="3FB7CD3A" w14:textId="77777777" w:rsidR="00256F4F" w:rsidRPr="004D71BB" w:rsidRDefault="00A433FC" w:rsidP="00591FCC">
      <w:pPr>
        <w:pStyle w:val="NormalWeb"/>
        <w:spacing w:line="276" w:lineRule="auto"/>
        <w:ind w:left="450"/>
        <w:jc w:val="both"/>
        <w:rPr>
          <w:lang w:eastAsia="sq-AL"/>
        </w:rPr>
      </w:pPr>
      <w:r w:rsidRPr="004D71BB">
        <w:t>a) fondi të ketë më pak se 50 pjesëmarrës;</w:t>
      </w:r>
    </w:p>
    <w:p w14:paraId="3318F767" w14:textId="77777777" w:rsidR="00256F4F" w:rsidRPr="004D71BB" w:rsidRDefault="00A433FC" w:rsidP="00591FCC">
      <w:pPr>
        <w:pStyle w:val="NormalWeb"/>
        <w:spacing w:line="276" w:lineRule="auto"/>
        <w:ind w:left="450"/>
        <w:jc w:val="both"/>
        <w:rPr>
          <w:lang w:eastAsia="sq-AL"/>
        </w:rPr>
      </w:pPr>
      <w:r w:rsidRPr="004D71BB">
        <w:t>b) fondi të sponsorizohet nga një ose më shumë punëdhënës që nuk janë njësi ekonomike investimi ose NFE pasive;</w:t>
      </w:r>
    </w:p>
    <w:p w14:paraId="2B9BD544" w14:textId="77777777" w:rsidR="00256F4F" w:rsidRPr="004D71BB" w:rsidRDefault="00A433FC" w:rsidP="00591FCC">
      <w:pPr>
        <w:pStyle w:val="NormalWeb"/>
        <w:spacing w:line="276" w:lineRule="auto"/>
        <w:ind w:left="450"/>
        <w:jc w:val="both"/>
        <w:rPr>
          <w:lang w:eastAsia="sq-AL"/>
        </w:rPr>
      </w:pPr>
      <w:r w:rsidRPr="004D71BB">
        <w:lastRenderedPageBreak/>
        <w:t>c) kontributet e punëmarrësit dhe të punëdhënësit në fond, me përjashtim të transfertave të aktiveve nga llogaritë e pensionit të pleqërisë ose pensionit, të jenë përkatësisht të kufizuara në funksion të të ardhurave të fituara dhe të kompensimit të punëmarrësit;</w:t>
      </w:r>
    </w:p>
    <w:p w14:paraId="22345208" w14:textId="77777777" w:rsidR="00256F4F" w:rsidRPr="004D71BB" w:rsidRDefault="00A433FC" w:rsidP="00591FCC">
      <w:pPr>
        <w:pStyle w:val="NormalWeb"/>
        <w:spacing w:line="276" w:lineRule="auto"/>
        <w:ind w:left="450"/>
        <w:jc w:val="both"/>
        <w:rPr>
          <w:lang w:eastAsia="sq-AL"/>
        </w:rPr>
      </w:pPr>
      <w:r w:rsidRPr="004D71BB">
        <w:t>ç) pjesëmarrësit që nuk janë rezidentë të juridiksionit në të cilin është krijuar fondi të mos kenë të drejtën e më shumë se 20 për qind të aktiveve të fondit; dhe</w:t>
      </w:r>
    </w:p>
    <w:p w14:paraId="337D7932" w14:textId="77777777" w:rsidR="004C5E8B" w:rsidRPr="004D71BB" w:rsidRDefault="00A433FC" w:rsidP="00591FCC">
      <w:pPr>
        <w:pStyle w:val="NormalWeb"/>
        <w:spacing w:line="276" w:lineRule="auto"/>
        <w:ind w:left="450"/>
        <w:jc w:val="both"/>
        <w:rPr>
          <w:lang w:eastAsia="sq-AL"/>
        </w:rPr>
      </w:pPr>
      <w:r w:rsidRPr="004D71BB">
        <w:t>d) fondi t’i nënshtrohet rregullimit qeveritar dhe të raportojë informa</w:t>
      </w:r>
      <w:r w:rsidR="00256F4F" w:rsidRPr="004D71BB">
        <w:t>cion pranë autoritetit tatimor.</w:t>
      </w:r>
    </w:p>
    <w:p w14:paraId="7E34C4F0" w14:textId="6A0FFB99" w:rsidR="00256F4F" w:rsidRPr="004D71BB" w:rsidRDefault="00332CBD" w:rsidP="00591FCC">
      <w:pPr>
        <w:pStyle w:val="NormalWeb"/>
        <w:spacing w:line="276" w:lineRule="auto"/>
        <w:jc w:val="both"/>
        <w:rPr>
          <w:lang w:eastAsia="sq-AL"/>
        </w:rPr>
      </w:pPr>
      <w:r w:rsidRPr="004D71BB">
        <w:rPr>
          <w:rStyle w:val="Strong"/>
          <w:b w:val="0"/>
          <w:bCs w:val="0"/>
        </w:rPr>
        <w:t xml:space="preserve">30. </w:t>
      </w:r>
      <w:r w:rsidR="006448E3" w:rsidRPr="004D71BB">
        <w:rPr>
          <w:rStyle w:val="Strong"/>
          <w:b w:val="0"/>
          <w:bCs w:val="0"/>
        </w:rPr>
        <w:t xml:space="preserve"> </w:t>
      </w:r>
      <w:r w:rsidR="00A433FC" w:rsidRPr="004D71BB">
        <w:rPr>
          <w:rStyle w:val="Strong"/>
          <w:b w:val="0"/>
          <w:bCs w:val="0"/>
        </w:rPr>
        <w:t>“Institucion depozitues”</w:t>
      </w:r>
      <w:r w:rsidR="00256F4F" w:rsidRPr="004D71BB">
        <w:t xml:space="preserve"> është çdo njësi ekonomike që:</w:t>
      </w:r>
    </w:p>
    <w:p w14:paraId="7D3070D4" w14:textId="77777777" w:rsidR="00166053" w:rsidRPr="004D71BB" w:rsidRDefault="00A433FC" w:rsidP="00591FCC">
      <w:pPr>
        <w:pStyle w:val="NormalWeb"/>
        <w:spacing w:line="276" w:lineRule="auto"/>
        <w:ind w:left="450"/>
        <w:jc w:val="both"/>
        <w:rPr>
          <w:lang w:eastAsia="sq-AL"/>
        </w:rPr>
      </w:pPr>
      <w:r w:rsidRPr="004D71BB">
        <w:t>a) pranon depozita sipas mënyrës së zakonshme të një banke ose biznesi të ngjashëm; ose</w:t>
      </w:r>
    </w:p>
    <w:p w14:paraId="332D4ACF" w14:textId="2CAF0DA6" w:rsidR="00482BB3" w:rsidRPr="004D71BB" w:rsidRDefault="00166053" w:rsidP="00591FCC">
      <w:pPr>
        <w:pStyle w:val="NormalWeb"/>
        <w:spacing w:line="276" w:lineRule="auto"/>
        <w:ind w:left="450"/>
        <w:jc w:val="both"/>
        <w:rPr>
          <w:lang w:eastAsia="sq-AL"/>
        </w:rPr>
      </w:pPr>
      <w:r w:rsidRPr="004D71BB">
        <w:t>b) për qëllime të profilit të Bashkimit Evropian, mban Para Elektronike ose Monedha Dixhitale të Bankës Qendrore për përfitimin e klientëve; ose, për qëllime të profilit të Standardit të Përbashkët të Raportimit, mban Produkte të Specifikuara të Parasë Elektronike ose Monedha Dixhitale të Bankës Qendrore për përfitimin e klientëve.</w:t>
      </w:r>
    </w:p>
    <w:p w14:paraId="798A0366" w14:textId="08A3373F" w:rsidR="00E2626D" w:rsidRPr="004D71BB" w:rsidRDefault="00FF5421" w:rsidP="00591FCC">
      <w:pPr>
        <w:pStyle w:val="NormalWeb"/>
        <w:spacing w:line="276" w:lineRule="auto"/>
        <w:jc w:val="both"/>
      </w:pPr>
      <w:r w:rsidRPr="004D71BB">
        <w:rPr>
          <w:rStyle w:val="Strong"/>
          <w:b w:val="0"/>
          <w:bCs w:val="0"/>
        </w:rPr>
        <w:t xml:space="preserve">31. </w:t>
      </w:r>
      <w:r w:rsidR="004C5E8B" w:rsidRPr="004D71BB">
        <w:rPr>
          <w:rStyle w:val="Strong"/>
          <w:b w:val="0"/>
          <w:bCs w:val="0"/>
        </w:rPr>
        <w:t>“</w:t>
      </w:r>
      <w:r w:rsidR="00A433FC" w:rsidRPr="004D71BB">
        <w:rPr>
          <w:rStyle w:val="Strong"/>
          <w:b w:val="0"/>
          <w:bCs w:val="0"/>
        </w:rPr>
        <w:t>Institucion financiar”</w:t>
      </w:r>
      <w:r w:rsidR="00A433FC" w:rsidRPr="004D71BB">
        <w:t xml:space="preserve"> është një institucion kujdestarie, institucion depozitues, njësi ekonomike investimi ose shoqëri sigurimesh e specifikuar. </w:t>
      </w:r>
    </w:p>
    <w:p w14:paraId="232E81DA" w14:textId="266B37B4" w:rsidR="00A433FC" w:rsidRPr="004D71BB" w:rsidRDefault="00FF5421" w:rsidP="00591FCC">
      <w:pPr>
        <w:pStyle w:val="NormalWeb"/>
        <w:spacing w:line="276" w:lineRule="auto"/>
        <w:jc w:val="both"/>
      </w:pPr>
      <w:r w:rsidRPr="004D71BB">
        <w:rPr>
          <w:rStyle w:val="Strong"/>
          <w:b w:val="0"/>
          <w:bCs w:val="0"/>
        </w:rPr>
        <w:t xml:space="preserve">32. </w:t>
      </w:r>
      <w:r w:rsidR="00A433FC" w:rsidRPr="004D71BB">
        <w:rPr>
          <w:rStyle w:val="Strong"/>
          <w:b w:val="0"/>
          <w:bCs w:val="0"/>
        </w:rPr>
        <w:t>“Institucion financiar i juridiksionit pjesëmarrës”</w:t>
      </w:r>
      <w:r w:rsidR="00A433FC" w:rsidRPr="004D71BB">
        <w:t xml:space="preserve"> është: </w:t>
      </w:r>
    </w:p>
    <w:p w14:paraId="4A384530" w14:textId="77777777" w:rsidR="00A433FC" w:rsidRPr="004D71BB" w:rsidRDefault="00A433FC" w:rsidP="00591FCC">
      <w:pPr>
        <w:pStyle w:val="NormalWeb"/>
        <w:spacing w:line="276" w:lineRule="auto"/>
        <w:jc w:val="both"/>
      </w:pPr>
      <w:r w:rsidRPr="004D71BB">
        <w:t>a) çdo institucion financiar që është rezident në juridiksionin pjesëmarrës, me përjashtim të çdo dege të këtij institucioni financiar që ndodhet jashtë këtij juridiksioni; dhe</w:t>
      </w:r>
    </w:p>
    <w:p w14:paraId="188B888C" w14:textId="77777777" w:rsidR="00FF5421" w:rsidRPr="004D71BB" w:rsidRDefault="00A433FC" w:rsidP="00591FCC">
      <w:pPr>
        <w:pStyle w:val="NormalWeb"/>
        <w:spacing w:line="276" w:lineRule="auto"/>
        <w:jc w:val="both"/>
      </w:pPr>
      <w:r w:rsidRPr="004D71BB">
        <w:t xml:space="preserve">b) çdo degë e një institucioni financiar që nuk është rezident në juridiksionin pjesëmarrës, nëse kjo degë është e vendosur në juridiksionin pjesëmarrës. </w:t>
      </w:r>
    </w:p>
    <w:p w14:paraId="364BEB09" w14:textId="27601344" w:rsidR="00A433FC" w:rsidRPr="004D71BB" w:rsidRDefault="00FF5421" w:rsidP="00591FCC">
      <w:pPr>
        <w:pStyle w:val="NormalWeb"/>
        <w:spacing w:line="276" w:lineRule="auto"/>
        <w:jc w:val="both"/>
      </w:pPr>
      <w:r w:rsidRPr="004D71BB">
        <w:rPr>
          <w:rStyle w:val="Strong"/>
          <w:b w:val="0"/>
          <w:bCs w:val="0"/>
        </w:rPr>
        <w:t xml:space="preserve">33. </w:t>
      </w:r>
      <w:r w:rsidR="00A433FC" w:rsidRPr="004D71BB">
        <w:rPr>
          <w:rStyle w:val="Strong"/>
          <w:b w:val="0"/>
          <w:bCs w:val="0"/>
        </w:rPr>
        <w:t>“Institucion financiar joraportues”</w:t>
      </w:r>
      <w:r w:rsidR="00A433FC" w:rsidRPr="004D71BB">
        <w:t xml:space="preserve"> është çdo institucion financiar që është: </w:t>
      </w:r>
    </w:p>
    <w:p w14:paraId="19848FB7" w14:textId="77777777" w:rsidR="00A433FC" w:rsidRPr="004D71BB" w:rsidRDefault="00A433FC" w:rsidP="00591FCC">
      <w:pPr>
        <w:pStyle w:val="NormalWeb"/>
        <w:spacing w:line="276" w:lineRule="auto"/>
        <w:jc w:val="both"/>
      </w:pPr>
      <w:r w:rsidRPr="004D71BB">
        <w:t>a) një organ qeveritar, organizatë ndërkombëtare ose bankë qendrore, përveçse:</w:t>
      </w:r>
    </w:p>
    <w:p w14:paraId="0D8A11FC" w14:textId="77777777" w:rsidR="00A433FC" w:rsidRPr="004D71BB" w:rsidRDefault="00A433FC" w:rsidP="00591FCC">
      <w:pPr>
        <w:pStyle w:val="NormalWeb"/>
        <w:spacing w:line="276" w:lineRule="auto"/>
        <w:jc w:val="both"/>
      </w:pPr>
      <w:r w:rsidRPr="004D71BB">
        <w:t>i) në lidhje me një pagesë që rrjedh nga një detyrim i mbajtur në lidhje me një veprimtari financiare tregtare të llojit të ushtruar nga një shoqëri sigurimesh e specifikuar, institucion kujdestarie ose institucion depozitues; ose</w:t>
      </w:r>
    </w:p>
    <w:p w14:paraId="04E0B45C" w14:textId="77777777" w:rsidR="00A433FC" w:rsidRPr="004D71BB" w:rsidRDefault="00A433FC" w:rsidP="00591FCC">
      <w:pPr>
        <w:pStyle w:val="NormalWeb"/>
        <w:spacing w:line="276" w:lineRule="auto"/>
        <w:jc w:val="both"/>
      </w:pPr>
      <w:r w:rsidRPr="004D71BB">
        <w:t>ii) në lidhje me aktivitetin e mbajtjes së monedhave dixhitale të bankës qendrore për mbajtësit e llogarive që nuk janë institucione financiare, organe qeveritare, organizata ndërkombëtare ose banka qendrore;</w:t>
      </w:r>
    </w:p>
    <w:p w14:paraId="3B73EFA9" w14:textId="77777777" w:rsidR="00A433FC" w:rsidRPr="004D71BB" w:rsidRDefault="00A433FC" w:rsidP="00591FCC">
      <w:pPr>
        <w:pStyle w:val="NormalWeb"/>
        <w:spacing w:line="276" w:lineRule="auto"/>
        <w:jc w:val="both"/>
      </w:pPr>
      <w:r w:rsidRPr="004D71BB">
        <w:t>b) një fond pensioni me pjesëmarrje të gjerë, fond pensioni me pjesëmarrje të kufizuar, fond pensioni i një organi qeveritar, organizate ndërkombëtare ose banke qendrore, ose një emetues i kualifikuar i kartave të kreditit;</w:t>
      </w:r>
    </w:p>
    <w:p w14:paraId="69BDEFBF" w14:textId="2AEB3B82" w:rsidR="00A433FC" w:rsidRPr="004D71BB" w:rsidRDefault="00A433FC" w:rsidP="00591FCC">
      <w:pPr>
        <w:pStyle w:val="NormalWeb"/>
        <w:spacing w:line="276" w:lineRule="auto"/>
        <w:jc w:val="both"/>
      </w:pPr>
      <w:r w:rsidRPr="004D71BB">
        <w:lastRenderedPageBreak/>
        <w:t xml:space="preserve">c) </w:t>
      </w:r>
      <w:r w:rsidR="00C2433E" w:rsidRPr="004D71BB">
        <w:t>çdo njësi tjetër ekonomike që paraqet rrezik të ul</w:t>
      </w:r>
      <w:r w:rsidR="00CE2E72" w:rsidRPr="004D71BB">
        <w:t>ët për t’u përdorur për evazion  tatimor</w:t>
      </w:r>
      <w:r w:rsidR="00C2433E" w:rsidRPr="004D71BB">
        <w:t>, ka karakteristika në thelb të ngjashme me njësitë ekonomike të përshkruara në shkronjat “a” d</w:t>
      </w:r>
      <w:r w:rsidR="00CE2E72" w:rsidRPr="004D71BB">
        <w:t xml:space="preserve">he “b” dhe përcaktohet me akt nënligjor si institucion financiar joraportues dhe, për qëllime të profilit të Bashkimit Evropian, përfshihet në listën e institucioneve financiare joraportuese të përcaktuar sipas këtij ligji, </w:t>
      </w:r>
      <w:r w:rsidR="00C2433E" w:rsidRPr="004D71BB">
        <w:t xml:space="preserve">me kusht që statusi i saj si institucion financiar joraportues të mos cenojë </w:t>
      </w:r>
      <w:r w:rsidR="00C2433E" w:rsidRPr="004D71BB">
        <w:rPr>
          <w:rStyle w:val="Strong"/>
          <w:b w:val="0"/>
          <w:bCs w:val="0"/>
        </w:rPr>
        <w:t>qëllimet e regjimit përkatës të raportimit dhe shkëmbimit automatik të informacionit dhe, për qëllime të zbatimit të dispozitave që lidhen me të drejtën e Bashkimit Evropian, të mos cenojë qëllimet e Direktivës 2011/16/BE, të ndryshuar</w:t>
      </w:r>
      <w:r w:rsidR="00C2433E" w:rsidRPr="004D71BB">
        <w:t>;</w:t>
      </w:r>
    </w:p>
    <w:p w14:paraId="36A36BEC" w14:textId="77777777" w:rsidR="00A433FC" w:rsidRPr="004D71BB" w:rsidRDefault="00A433FC" w:rsidP="00591FCC">
      <w:pPr>
        <w:pStyle w:val="NormalWeb"/>
        <w:spacing w:line="276" w:lineRule="auto"/>
        <w:jc w:val="both"/>
      </w:pPr>
      <w:r w:rsidRPr="004D71BB">
        <w:t>ç) një instrument investimesh kolektive i përjashtuar; ose</w:t>
      </w:r>
    </w:p>
    <w:p w14:paraId="0DFC4309" w14:textId="77777777" w:rsidR="00FF5421" w:rsidRPr="004D71BB" w:rsidRDefault="00A433FC" w:rsidP="00591FCC">
      <w:pPr>
        <w:pStyle w:val="NormalWeb"/>
        <w:spacing w:line="276" w:lineRule="auto"/>
        <w:jc w:val="both"/>
      </w:pPr>
      <w:r w:rsidRPr="004D71BB">
        <w:t xml:space="preserve">d) një trust, në masën që administratori i besuar i trustit është një institucion financiar raportues dhe raporton të gjithë informacionin që kërkohet të raportohet në përputhje me këtë ligj në lidhje me të gjitha llogaritë e raportueshme të trustit. </w:t>
      </w:r>
    </w:p>
    <w:p w14:paraId="79D18E80" w14:textId="2E73CFA9" w:rsidR="00A433FC" w:rsidRPr="004D71BB" w:rsidRDefault="00FF5421" w:rsidP="00591FCC">
      <w:pPr>
        <w:pStyle w:val="NormalWeb"/>
        <w:spacing w:line="276" w:lineRule="auto"/>
        <w:jc w:val="both"/>
      </w:pPr>
      <w:r w:rsidRPr="004D71BB">
        <w:rPr>
          <w:rStyle w:val="Strong"/>
          <w:b w:val="0"/>
          <w:bCs w:val="0"/>
        </w:rPr>
        <w:t xml:space="preserve">34. </w:t>
      </w:r>
      <w:r w:rsidR="00A433FC" w:rsidRPr="004D71BB">
        <w:rPr>
          <w:rStyle w:val="Strong"/>
          <w:b w:val="0"/>
          <w:bCs w:val="0"/>
        </w:rPr>
        <w:t>“Institucion kujdestarie”</w:t>
      </w:r>
      <w:r w:rsidR="00A433FC" w:rsidRPr="004D71BB">
        <w:t xml:space="preserve"> është një njësi ekonomike që mban, si pjesë të konsiderueshme të biznesit të saj, aktive financiare për llogari të të tjerëve. </w:t>
      </w:r>
    </w:p>
    <w:p w14:paraId="7754BD22" w14:textId="77777777" w:rsidR="00A433FC" w:rsidRPr="004D71BB" w:rsidRDefault="00A433FC" w:rsidP="00591FCC">
      <w:pPr>
        <w:pStyle w:val="NormalWeb"/>
        <w:spacing w:line="276" w:lineRule="auto"/>
        <w:jc w:val="both"/>
      </w:pPr>
      <w:r w:rsidRPr="004D71BB">
        <w:t>Një njësi ekonomike konsiderohet se mban aktive financiare për llogari të të tjerëve si pjesë të konsiderueshme të biznesit të saj nëse të ardhurat bruto të njësisë ekonomike që i atribuohen mbajtjes së aktiveve financiare dhe shërbimeve financiare të lidhura me to janë të barabarta me ose tejkalojnë 20 për qind të të ardhurave bruto të njësisë ekonomike gjatë periudhës më të shkurtër ndërmjet:</w:t>
      </w:r>
    </w:p>
    <w:p w14:paraId="08E8C335" w14:textId="77777777" w:rsidR="00A433FC" w:rsidRPr="004D71BB" w:rsidRDefault="00A433FC" w:rsidP="00591FCC">
      <w:pPr>
        <w:pStyle w:val="NormalWeb"/>
        <w:spacing w:line="276" w:lineRule="auto"/>
        <w:jc w:val="both"/>
      </w:pPr>
      <w:r w:rsidRPr="004D71BB">
        <w:t>a) periudhës trevjeçare që përfundon më 31 dhjetor të vitit që paraprin vitin në të cilin bëhet përcaktimi; dhe</w:t>
      </w:r>
    </w:p>
    <w:p w14:paraId="6495737C" w14:textId="77777777" w:rsidR="00A433FC" w:rsidRPr="004D71BB" w:rsidRDefault="00A433FC" w:rsidP="00591FCC">
      <w:pPr>
        <w:pStyle w:val="NormalWeb"/>
        <w:spacing w:line="276" w:lineRule="auto"/>
        <w:jc w:val="both"/>
      </w:pPr>
      <w:r w:rsidRPr="004D71BB">
        <w:t>b) periudhës gjatë së cilës njësia ekonomike ka ekzistuar.</w:t>
      </w:r>
    </w:p>
    <w:p w14:paraId="547C54D5" w14:textId="77777777" w:rsidR="00A433FC" w:rsidRPr="004D71BB" w:rsidRDefault="00A433FC" w:rsidP="00591FCC">
      <w:pPr>
        <w:pStyle w:val="NormalWeb"/>
        <w:spacing w:line="276" w:lineRule="auto"/>
        <w:jc w:val="both"/>
      </w:pPr>
      <w:r w:rsidRPr="004D71BB">
        <w:t xml:space="preserve">Për përcaktimin nëse një njësi ekonomike mban aktive financiare për llogari të të tjerëve si pjesë të konsiderueshme të biznesit të saj, merren në konsideratë të gjitha të ardhurat për aktivitetet përkatëse të njësisë ekonomike, pavarësisht nëse këto të ardhura i paguhen drejtpërdrejt njësisë ekonomike ose një njësie tjetër ekonomike. </w:t>
      </w:r>
    </w:p>
    <w:p w14:paraId="40CF41BA" w14:textId="6E06978C" w:rsidR="00A433FC" w:rsidRPr="004D71BB" w:rsidRDefault="00FF5421" w:rsidP="00591FCC">
      <w:pPr>
        <w:spacing w:before="100" w:beforeAutospacing="1" w:after="100" w:afterAutospacing="1"/>
        <w:jc w:val="both"/>
        <w:rPr>
          <w:rFonts w:ascii="Times New Roman" w:hAnsi="Times New Roman" w:cs="Times New Roman"/>
          <w:sz w:val="24"/>
          <w:szCs w:val="24"/>
        </w:rPr>
      </w:pPr>
      <w:r w:rsidRPr="004D71BB">
        <w:rPr>
          <w:rStyle w:val="Strong"/>
          <w:rFonts w:ascii="Times New Roman" w:hAnsi="Times New Roman" w:cs="Times New Roman"/>
          <w:b w:val="0"/>
          <w:bCs w:val="0"/>
          <w:sz w:val="24"/>
          <w:szCs w:val="24"/>
        </w:rPr>
        <w:t xml:space="preserve">35. </w:t>
      </w:r>
      <w:r w:rsidR="00A433FC" w:rsidRPr="004D71BB">
        <w:rPr>
          <w:rStyle w:val="Strong"/>
          <w:rFonts w:ascii="Times New Roman" w:hAnsi="Times New Roman" w:cs="Times New Roman"/>
          <w:b w:val="0"/>
          <w:bCs w:val="0"/>
          <w:sz w:val="24"/>
          <w:szCs w:val="24"/>
        </w:rPr>
        <w:t>“Instrument investimesh kolektive i përjashtuar”</w:t>
      </w:r>
      <w:r w:rsidR="00A433FC" w:rsidRPr="004D71BB">
        <w:rPr>
          <w:rFonts w:ascii="Times New Roman" w:hAnsi="Times New Roman" w:cs="Times New Roman"/>
          <w:sz w:val="24"/>
          <w:szCs w:val="24"/>
        </w:rPr>
        <w:t xml:space="preserve"> është një njësi ekonomike investimi që rregullohet si një instrument investimesh kolektive, me kusht që të gjitha interesat në këtë instrument të mbahen nga ose nëpërmjet individëve ose njësive ekonomike që nuk janë persona të raportueshëm, me përjashtim të NFE-ve pasive me persona kontrollues që janë persona të raportueshëm. </w:t>
      </w:r>
    </w:p>
    <w:p w14:paraId="6A1947F2" w14:textId="77777777" w:rsidR="00A433FC" w:rsidRPr="004D71BB" w:rsidRDefault="00A433FC" w:rsidP="00591FCC">
      <w:pPr>
        <w:pStyle w:val="NormalWeb"/>
        <w:spacing w:line="276" w:lineRule="auto"/>
        <w:jc w:val="both"/>
      </w:pPr>
      <w:r w:rsidRPr="004D71BB">
        <w:t>Një njësi ekonomike investimi që rregullohet si një instrument investimesh kolektive nuk humbet statusin e instrumentit të investimeve kolektive të përjashtuar vetëm sepse instrumenti ka emetuar aksione fizike në formë bartësi, me kusht që:</w:t>
      </w:r>
    </w:p>
    <w:p w14:paraId="66EA04C6" w14:textId="77777777" w:rsidR="00A433FC" w:rsidRPr="004D71BB" w:rsidRDefault="00A433FC" w:rsidP="00591FCC">
      <w:pPr>
        <w:pStyle w:val="NormalWeb"/>
        <w:spacing w:line="276" w:lineRule="auto"/>
        <w:jc w:val="both"/>
      </w:pPr>
      <w:r w:rsidRPr="004D71BB">
        <w:lastRenderedPageBreak/>
        <w:t>a) instrumenti të mos ketë emetuar dhe të mos emetojë aksione të tjera fizike në formë bartësi pas datës së përcaktuar në aktet zbatuese;</w:t>
      </w:r>
    </w:p>
    <w:p w14:paraId="3AC6156B" w14:textId="77777777" w:rsidR="00A433FC" w:rsidRPr="004D71BB" w:rsidRDefault="00A433FC" w:rsidP="00591FCC">
      <w:pPr>
        <w:pStyle w:val="NormalWeb"/>
        <w:spacing w:line="276" w:lineRule="auto"/>
        <w:jc w:val="both"/>
      </w:pPr>
      <w:r w:rsidRPr="004D71BB">
        <w:t>b) instrumenti të tërheqë të gjitha këto aksione menjëherë pas paraqitjes për tërheqje;</w:t>
      </w:r>
    </w:p>
    <w:p w14:paraId="5C307C84" w14:textId="77777777" w:rsidR="00A433FC" w:rsidRPr="004D71BB" w:rsidRDefault="00A433FC" w:rsidP="00591FCC">
      <w:pPr>
        <w:pStyle w:val="NormalWeb"/>
        <w:spacing w:line="276" w:lineRule="auto"/>
        <w:jc w:val="both"/>
      </w:pPr>
      <w:r w:rsidRPr="004D71BB">
        <w:t>c) instrumenti të kryejë procedurat e vigjilencës së duhur të përcaktuara në këtë ligj dhe të raportojë çdo informacion që kërkohet në lidhje me këto aksione kur ato paraqiten për riblerje ose për pagesa të tjera; dhe</w:t>
      </w:r>
    </w:p>
    <w:p w14:paraId="4B25BB34" w14:textId="77777777" w:rsidR="00A433FC" w:rsidRPr="004D71BB" w:rsidRDefault="00A433FC" w:rsidP="00591FCC">
      <w:pPr>
        <w:pStyle w:val="NormalWeb"/>
        <w:spacing w:line="276" w:lineRule="auto"/>
        <w:jc w:val="both"/>
      </w:pPr>
      <w:r w:rsidRPr="004D71BB">
        <w:t xml:space="preserve">ç) instrumenti të ketë politika dhe procedura për të garantuar që këto aksione të riblenë ose të immobilizohen sa më shpejt të jetë e mundur dhe, në çdo rast, brenda afatit të përcaktuar në aktet zbatuese. </w:t>
      </w:r>
    </w:p>
    <w:p w14:paraId="018B9F46" w14:textId="573F0851" w:rsidR="00A433FC" w:rsidRPr="004D71BB" w:rsidRDefault="00FF5421" w:rsidP="00591FCC">
      <w:pPr>
        <w:spacing w:before="100" w:beforeAutospacing="1" w:after="100" w:afterAutospacing="1"/>
        <w:jc w:val="both"/>
        <w:rPr>
          <w:rFonts w:ascii="Times New Roman" w:hAnsi="Times New Roman" w:cs="Times New Roman"/>
          <w:sz w:val="24"/>
          <w:szCs w:val="24"/>
        </w:rPr>
      </w:pPr>
      <w:r w:rsidRPr="004D71BB">
        <w:rPr>
          <w:rStyle w:val="Strong"/>
          <w:rFonts w:ascii="Times New Roman" w:hAnsi="Times New Roman" w:cs="Times New Roman"/>
          <w:b w:val="0"/>
          <w:bCs w:val="0"/>
          <w:sz w:val="24"/>
          <w:szCs w:val="24"/>
        </w:rPr>
        <w:t xml:space="preserve">36. </w:t>
      </w:r>
      <w:r w:rsidR="00A433FC" w:rsidRPr="004D71BB">
        <w:rPr>
          <w:rStyle w:val="Strong"/>
          <w:rFonts w:ascii="Times New Roman" w:hAnsi="Times New Roman" w:cs="Times New Roman"/>
          <w:b w:val="0"/>
          <w:bCs w:val="0"/>
          <w:sz w:val="24"/>
          <w:szCs w:val="24"/>
        </w:rPr>
        <w:t>“Interes në kapital”</w:t>
      </w:r>
      <w:r w:rsidR="00A433FC" w:rsidRPr="004D71BB">
        <w:rPr>
          <w:rFonts w:ascii="Times New Roman" w:hAnsi="Times New Roman" w:cs="Times New Roman"/>
          <w:sz w:val="24"/>
          <w:szCs w:val="24"/>
        </w:rPr>
        <w:t xml:space="preserve"> në rastin e një partneriteti që është institucion financiar është interesi në kapital ose interesi në përfitimet e partneritetit. </w:t>
      </w:r>
    </w:p>
    <w:p w14:paraId="6469EAB0" w14:textId="77777777" w:rsidR="00A433FC" w:rsidRPr="004D71BB" w:rsidRDefault="00A433FC" w:rsidP="00591FCC">
      <w:pPr>
        <w:pStyle w:val="NormalWeb"/>
        <w:spacing w:line="276" w:lineRule="auto"/>
        <w:jc w:val="both"/>
      </w:pPr>
      <w:r w:rsidRPr="004D71BB">
        <w:t>Në rastin e një trusti që është institucion financiar, interesi në kapital konsiderohet se mbahet nga çdo person që trajtohet si krijuesi ose përfituesi i të gjithë ose i një pjese të trustit, ose nga çdo person tjetër fizik që ushtron kontroll efektiv përfundimtar mbi trustin.</w:t>
      </w:r>
    </w:p>
    <w:p w14:paraId="617A9014" w14:textId="77777777" w:rsidR="00586AA8" w:rsidRPr="004D71BB" w:rsidRDefault="00A433FC" w:rsidP="00591FCC">
      <w:pPr>
        <w:pStyle w:val="NormalWeb"/>
        <w:spacing w:line="276" w:lineRule="auto"/>
        <w:jc w:val="both"/>
      </w:pPr>
      <w:r w:rsidRPr="004D71BB">
        <w:t>Një person i raportueshëm trajtohet si përfitues i një trusti nëse ky person ka të drejtë të marrë, drejtpërdrejt ose tërthorazi, për shembull nëpërmjet një nominee, një shpërndarje të detyrueshme ose mund të marrë, drejtpërdrejt ose tërthorazi, një shpërndarje diskrecionare nga trusti.</w:t>
      </w:r>
    </w:p>
    <w:p w14:paraId="3B0D25FF" w14:textId="6C409274" w:rsidR="00586AA8" w:rsidRPr="004D71BB" w:rsidRDefault="00FF5421" w:rsidP="00591FCC">
      <w:pPr>
        <w:pStyle w:val="NormalWeb"/>
        <w:spacing w:line="276" w:lineRule="auto"/>
        <w:jc w:val="both"/>
      </w:pPr>
      <w:r w:rsidRPr="004D71BB">
        <w:t xml:space="preserve">37. </w:t>
      </w:r>
      <w:r w:rsidR="00933949" w:rsidRPr="004D71BB">
        <w:t xml:space="preserve">“Juridiksion pjesëmarrës” </w:t>
      </w:r>
      <w:r w:rsidR="00586AA8" w:rsidRPr="004D71BB">
        <w:t>është:</w:t>
      </w:r>
    </w:p>
    <w:p w14:paraId="02778022" w14:textId="77777777" w:rsidR="00586AA8" w:rsidRPr="004D71BB" w:rsidRDefault="00586AA8" w:rsidP="00591FCC">
      <w:pPr>
        <w:spacing w:before="100" w:beforeAutospacing="1" w:after="100" w:afterAutospacing="1"/>
        <w:rPr>
          <w:rFonts w:ascii="Times New Roman" w:eastAsia="Times New Roman" w:hAnsi="Times New Roman" w:cs="Times New Roman"/>
          <w:sz w:val="24"/>
          <w:szCs w:val="24"/>
          <w:lang w:val="en-US"/>
        </w:rPr>
      </w:pPr>
      <w:r w:rsidRPr="004D71BB">
        <w:rPr>
          <w:rFonts w:ascii="Times New Roman" w:eastAsia="Times New Roman" w:hAnsi="Times New Roman" w:cs="Times New Roman"/>
          <w:sz w:val="24"/>
          <w:szCs w:val="24"/>
          <w:lang w:val="en-US"/>
        </w:rPr>
        <w:t>a) për qëllimet e Standardit të Përbashkët të Raportimit, një juridiksion me të cilin ekziston një marrëveshje në fuqi sipas së cilës ai juridiksion do të japë informacionin e përcaktuar në Seksionin I të Standardit dhe që është identifikuar në një listë të publikuar;</w:t>
      </w:r>
    </w:p>
    <w:p w14:paraId="3D7B3952" w14:textId="77777777" w:rsidR="00586AA8" w:rsidRPr="004D71BB" w:rsidRDefault="00586AA8" w:rsidP="00591FCC">
      <w:pPr>
        <w:spacing w:before="100" w:beforeAutospacing="1" w:after="100" w:afterAutospacing="1"/>
        <w:rPr>
          <w:rFonts w:ascii="Times New Roman" w:eastAsia="Times New Roman" w:hAnsi="Times New Roman" w:cs="Times New Roman"/>
          <w:sz w:val="24"/>
          <w:szCs w:val="24"/>
          <w:lang w:val="en-US"/>
        </w:rPr>
      </w:pPr>
      <w:r w:rsidRPr="004D71BB">
        <w:rPr>
          <w:rFonts w:ascii="Times New Roman" w:eastAsia="Times New Roman" w:hAnsi="Times New Roman" w:cs="Times New Roman"/>
          <w:sz w:val="24"/>
          <w:szCs w:val="24"/>
          <w:lang w:val="en-US"/>
        </w:rPr>
        <w:t>b) për qëllimet e Direktivës 2011/16/BE, të ndryshuar:</w:t>
      </w:r>
    </w:p>
    <w:p w14:paraId="3B52D5A2" w14:textId="77777777" w:rsidR="00586AA8" w:rsidRPr="004D71BB" w:rsidRDefault="00586AA8" w:rsidP="00591FCC">
      <w:pPr>
        <w:spacing w:before="100" w:beforeAutospacing="1" w:after="100" w:afterAutospacing="1"/>
        <w:rPr>
          <w:rFonts w:ascii="Times New Roman" w:eastAsia="Times New Roman" w:hAnsi="Times New Roman" w:cs="Times New Roman"/>
          <w:sz w:val="24"/>
          <w:szCs w:val="24"/>
          <w:lang w:val="en-US"/>
        </w:rPr>
      </w:pPr>
      <w:r w:rsidRPr="004D71BB">
        <w:rPr>
          <w:rFonts w:ascii="Times New Roman" w:eastAsia="Times New Roman" w:hAnsi="Times New Roman" w:cs="Times New Roman"/>
          <w:sz w:val="24"/>
          <w:szCs w:val="24"/>
          <w:lang w:val="en-US"/>
        </w:rPr>
        <w:t>i) çdo shtet tjetër anëtar i Bashkimit Evropian;</w:t>
      </w:r>
    </w:p>
    <w:p w14:paraId="73DA8655" w14:textId="71D48884" w:rsidR="00586AA8" w:rsidRPr="004D71BB" w:rsidRDefault="00586AA8" w:rsidP="00591FCC">
      <w:pPr>
        <w:spacing w:before="100" w:beforeAutospacing="1" w:after="100" w:afterAutospacing="1"/>
        <w:jc w:val="both"/>
        <w:rPr>
          <w:rFonts w:ascii="Times New Roman" w:eastAsia="Times New Roman" w:hAnsi="Times New Roman" w:cs="Times New Roman"/>
          <w:sz w:val="24"/>
          <w:szCs w:val="24"/>
          <w:lang w:val="en-US"/>
        </w:rPr>
      </w:pPr>
      <w:r w:rsidRPr="004D71BB">
        <w:rPr>
          <w:rFonts w:ascii="Times New Roman" w:eastAsia="Times New Roman" w:hAnsi="Times New Roman" w:cs="Times New Roman"/>
          <w:sz w:val="24"/>
          <w:szCs w:val="24"/>
          <w:lang w:val="en-US"/>
        </w:rPr>
        <w:t xml:space="preserve">ii) çdo juridiksion tjetër me të cilin Republika e Shqipërisë ka një marrëveshje në fuqi sipas së cilës ai juridiksion do të japë </w:t>
      </w:r>
      <w:r w:rsidR="002A76DA" w:rsidRPr="004D71BB">
        <w:rPr>
          <w:rFonts w:ascii="Times New Roman" w:hAnsi="Times New Roman" w:cs="Times New Roman"/>
          <w:sz w:val="24"/>
          <w:szCs w:val="24"/>
        </w:rPr>
        <w:t xml:space="preserve">nformacionin e përcaktuar në seksionin I të aneksit I të Direktivës 2011/16/BE, të ndryshuar </w:t>
      </w:r>
      <w:r w:rsidRPr="004D71BB">
        <w:rPr>
          <w:rFonts w:ascii="Times New Roman" w:eastAsia="Times New Roman" w:hAnsi="Times New Roman" w:cs="Times New Roman"/>
          <w:sz w:val="24"/>
          <w:szCs w:val="24"/>
          <w:lang w:val="en-US"/>
        </w:rPr>
        <w:t>dhe që është identifikuar në një listë të publikuar nga Republika e Shqipërisë dhe të njoftuar Komisionit Evropian; ose</w:t>
      </w:r>
    </w:p>
    <w:p w14:paraId="68F3497C" w14:textId="5AB7098B" w:rsidR="00933949" w:rsidRPr="004D71BB" w:rsidRDefault="00FF5421" w:rsidP="00591FCC">
      <w:pPr>
        <w:spacing w:before="100" w:beforeAutospacing="1" w:after="100" w:afterAutospacing="1"/>
        <w:jc w:val="both"/>
        <w:rPr>
          <w:rFonts w:ascii="Times New Roman" w:eastAsia="Times New Roman" w:hAnsi="Times New Roman" w:cs="Times New Roman"/>
          <w:sz w:val="24"/>
          <w:szCs w:val="24"/>
          <w:lang w:val="en-US"/>
        </w:rPr>
      </w:pPr>
      <w:r w:rsidRPr="004D71BB">
        <w:rPr>
          <w:rFonts w:ascii="Times New Roman" w:eastAsia="Times New Roman" w:hAnsi="Times New Roman" w:cs="Times New Roman"/>
          <w:sz w:val="24"/>
          <w:szCs w:val="24"/>
          <w:lang w:val="en-US"/>
        </w:rPr>
        <w:t xml:space="preserve">38. </w:t>
      </w:r>
      <w:r w:rsidR="00933949" w:rsidRPr="004D71BB">
        <w:rPr>
          <w:rFonts w:ascii="Times New Roman" w:eastAsia="Times New Roman" w:hAnsi="Times New Roman" w:cs="Times New Roman"/>
          <w:sz w:val="24"/>
          <w:szCs w:val="24"/>
          <w:lang w:val="en-US"/>
        </w:rPr>
        <w:t>“Kontratë pensioni vjetor e grupit” është një kontratë pensioni vjetor që mbulon individë të lidhur me një punëdhënës, shoqatë tregtare, sindikatë punëtorësh ose ndonjë shoqatë apo grup tjetër.</w:t>
      </w:r>
    </w:p>
    <w:p w14:paraId="58571826" w14:textId="2E60EEBD" w:rsidR="00933949" w:rsidRPr="004D71BB" w:rsidRDefault="00FF5421" w:rsidP="00591FCC">
      <w:pPr>
        <w:spacing w:before="100" w:beforeAutospacing="1" w:after="100" w:afterAutospacing="1"/>
        <w:jc w:val="both"/>
        <w:rPr>
          <w:rFonts w:ascii="Times New Roman" w:eastAsia="Times New Roman" w:hAnsi="Times New Roman" w:cs="Times New Roman"/>
          <w:sz w:val="24"/>
          <w:szCs w:val="24"/>
          <w:lang w:val="en-US"/>
        </w:rPr>
      </w:pPr>
      <w:r w:rsidRPr="004D71BB">
        <w:rPr>
          <w:rFonts w:ascii="Times New Roman" w:eastAsia="Times New Roman" w:hAnsi="Times New Roman" w:cs="Times New Roman"/>
          <w:sz w:val="24"/>
          <w:szCs w:val="24"/>
          <w:lang w:val="en-US"/>
        </w:rPr>
        <w:lastRenderedPageBreak/>
        <w:t xml:space="preserve">39. </w:t>
      </w:r>
      <w:r w:rsidR="00933949" w:rsidRPr="004D71BB">
        <w:rPr>
          <w:rFonts w:ascii="Times New Roman" w:eastAsia="Times New Roman" w:hAnsi="Times New Roman" w:cs="Times New Roman"/>
          <w:sz w:val="24"/>
          <w:szCs w:val="24"/>
          <w:lang w:val="en-US"/>
        </w:rPr>
        <w:t>“Kontratë sigurimi në vlerë në para të gatshme” është një kontratë sigurimi, e ndryshme nga kontrata e risigurimit ndërmjet dy shoqërive të sigurimit, që ka një vlerë në para të gatshme.</w:t>
      </w:r>
    </w:p>
    <w:p w14:paraId="20465E8C" w14:textId="2F524EC4" w:rsidR="00933949" w:rsidRPr="004D71BB" w:rsidRDefault="00FF5421" w:rsidP="00591FCC">
      <w:pPr>
        <w:spacing w:before="100" w:beforeAutospacing="1" w:after="100" w:afterAutospacing="1"/>
        <w:jc w:val="both"/>
        <w:rPr>
          <w:rFonts w:ascii="Times New Roman" w:eastAsia="Times New Roman" w:hAnsi="Times New Roman" w:cs="Times New Roman"/>
          <w:sz w:val="24"/>
          <w:szCs w:val="24"/>
          <w:lang w:val="en-US"/>
        </w:rPr>
      </w:pPr>
      <w:r w:rsidRPr="004D71BB">
        <w:rPr>
          <w:rFonts w:ascii="Times New Roman" w:eastAsia="Times New Roman" w:hAnsi="Times New Roman" w:cs="Times New Roman"/>
          <w:sz w:val="24"/>
          <w:szCs w:val="24"/>
          <w:lang w:val="en-US"/>
        </w:rPr>
        <w:t xml:space="preserve">40. </w:t>
      </w:r>
      <w:r w:rsidR="00933949" w:rsidRPr="004D71BB">
        <w:rPr>
          <w:rFonts w:ascii="Times New Roman" w:eastAsia="Times New Roman" w:hAnsi="Times New Roman" w:cs="Times New Roman"/>
          <w:sz w:val="24"/>
          <w:szCs w:val="24"/>
          <w:lang w:val="en-US"/>
        </w:rPr>
        <w:t>“Kontratë pensioni vjetor” është një kontratë sipas së cilës emetuesi bie dakord të kryejë pagesa për një periudhë kohore të përcaktuar plotësisht ose pjesërisht, duke iu referuar jetëgjatësisë së një ose më shumë individëve. Termi përfshin gjithashtu një kontratë që konsiderohet të jetë kontratë pensioni vjetor në përputhje me ligjet, rregulloret ose praktikat e juridiksionit në të cilin kontrata është lëshuar dhe sipas së cilës emetuesi bie dakord të kryejë pagesa për një numër të caktuar vitesh.</w:t>
      </w:r>
    </w:p>
    <w:p w14:paraId="46A5D42F" w14:textId="61EEF960" w:rsidR="00933949" w:rsidRPr="004D71BB" w:rsidRDefault="00FF5421" w:rsidP="00591FCC">
      <w:pPr>
        <w:spacing w:before="100" w:beforeAutospacing="1" w:after="100" w:afterAutospacing="1"/>
        <w:jc w:val="both"/>
        <w:rPr>
          <w:rFonts w:ascii="Times New Roman" w:eastAsia="Times New Roman" w:hAnsi="Times New Roman" w:cs="Times New Roman"/>
          <w:sz w:val="24"/>
          <w:szCs w:val="24"/>
          <w:lang w:val="en-US"/>
        </w:rPr>
      </w:pPr>
      <w:r w:rsidRPr="004D71BB">
        <w:rPr>
          <w:rFonts w:ascii="Times New Roman" w:eastAsia="Times New Roman" w:hAnsi="Times New Roman" w:cs="Times New Roman"/>
          <w:sz w:val="24"/>
          <w:szCs w:val="24"/>
          <w:lang w:val="en-US"/>
        </w:rPr>
        <w:t xml:space="preserve">41. </w:t>
      </w:r>
      <w:r w:rsidR="00933949" w:rsidRPr="004D71BB">
        <w:rPr>
          <w:rFonts w:ascii="Times New Roman" w:eastAsia="Times New Roman" w:hAnsi="Times New Roman" w:cs="Times New Roman"/>
          <w:sz w:val="24"/>
          <w:szCs w:val="24"/>
          <w:lang w:val="en-US"/>
        </w:rPr>
        <w:t>“Kontratë sigurimi” është një kontratë, e ndryshme nga kontrata e pensionit vjetor, sipas së cilës emetuesi bie dakord të paguajë një shumë të caktuar pas ndodhjes së një kontingjence specifike që përfshin vdekjen, sëmundshmërinë, aksidentin, detyrimin ose riskun e pronës.</w:t>
      </w:r>
    </w:p>
    <w:p w14:paraId="62C9F92C" w14:textId="113F4FC0" w:rsidR="00933949" w:rsidRPr="004D71BB" w:rsidRDefault="00FF5421" w:rsidP="00591FCC">
      <w:pPr>
        <w:spacing w:before="100" w:beforeAutospacing="1" w:after="100" w:afterAutospacing="1"/>
        <w:jc w:val="both"/>
        <w:rPr>
          <w:rFonts w:ascii="Times New Roman" w:eastAsia="Times New Roman" w:hAnsi="Times New Roman" w:cs="Times New Roman"/>
          <w:sz w:val="24"/>
          <w:szCs w:val="24"/>
          <w:lang w:val="en-US"/>
        </w:rPr>
      </w:pPr>
      <w:r w:rsidRPr="004D71BB">
        <w:rPr>
          <w:rFonts w:ascii="Times New Roman" w:eastAsia="Times New Roman" w:hAnsi="Times New Roman" w:cs="Times New Roman"/>
          <w:sz w:val="24"/>
          <w:szCs w:val="24"/>
          <w:lang w:val="en-US"/>
        </w:rPr>
        <w:t xml:space="preserve">42. </w:t>
      </w:r>
      <w:r w:rsidR="00933949" w:rsidRPr="004D71BB">
        <w:rPr>
          <w:rFonts w:ascii="Times New Roman" w:eastAsia="Times New Roman" w:hAnsi="Times New Roman" w:cs="Times New Roman"/>
          <w:sz w:val="24"/>
          <w:szCs w:val="24"/>
          <w:lang w:val="en-US"/>
        </w:rPr>
        <w:t>“Kontratë sigurimi në vlerë në para të gatshme e grupit” është një kontratë sigurimi në vlerë në para të gatshme që siguron mbulim për individët që janë të lidhur me një punëdhënës, shoqatë tregtare, sindikatë punëtorësh ose ndonjë shoqatë ose grup tjetër dhe që tarifon një çmim për secilin anëtar të grupit, ose anëtar të një kategorie brenda grupit, i cili përcaktohet pa marrë parasysh karakteristikat individuale shëndetësore, përveç moshës, gjinisë dhe zakonit të pirjes së duhanit të anëtarit ose klasës së anëtarëve të grupit.</w:t>
      </w:r>
    </w:p>
    <w:p w14:paraId="33DA59FE" w14:textId="6DA687DB" w:rsidR="00C515B3" w:rsidRPr="004D71BB" w:rsidRDefault="00FF5421" w:rsidP="00591FCC">
      <w:pPr>
        <w:spacing w:before="100" w:beforeAutospacing="1" w:after="100" w:afterAutospacing="1"/>
        <w:jc w:val="both"/>
        <w:rPr>
          <w:rFonts w:ascii="Times New Roman" w:eastAsia="Times New Roman" w:hAnsi="Times New Roman" w:cs="Times New Roman"/>
          <w:sz w:val="24"/>
          <w:szCs w:val="24"/>
          <w:lang w:val="en-US"/>
        </w:rPr>
      </w:pPr>
      <w:r w:rsidRPr="004D71BB">
        <w:rPr>
          <w:rFonts w:ascii="Times New Roman" w:eastAsia="Times New Roman" w:hAnsi="Times New Roman" w:cs="Times New Roman"/>
          <w:sz w:val="24"/>
          <w:szCs w:val="24"/>
          <w:lang w:val="en-US"/>
        </w:rPr>
        <w:t xml:space="preserve">43. </w:t>
      </w:r>
      <w:r w:rsidR="00933949" w:rsidRPr="004D71BB">
        <w:rPr>
          <w:rFonts w:ascii="Times New Roman" w:eastAsia="Times New Roman" w:hAnsi="Times New Roman" w:cs="Times New Roman"/>
          <w:sz w:val="24"/>
          <w:szCs w:val="24"/>
          <w:lang w:val="en-US"/>
        </w:rPr>
        <w:t xml:space="preserve">“Llogari depozite” </w:t>
      </w:r>
      <w:r w:rsidR="00C515B3" w:rsidRPr="004D71BB">
        <w:rPr>
          <w:rFonts w:ascii="Times New Roman" w:eastAsia="Times New Roman" w:hAnsi="Times New Roman" w:cs="Times New Roman"/>
          <w:sz w:val="24"/>
          <w:szCs w:val="24"/>
          <w:lang w:val="en-US"/>
        </w:rPr>
        <w:t>përfshin çdo llogari tregtare, llogari rrjedhëse, llogari kursimi, llogari me afat ose llogari që identifikohet përmes një certifikate depozite, certifikate kursimi, certifikate investimi, certifikate borxhi ose instrumenteve të tjera të ngjashme që mbahen nga një Institucion Depozitues. Llogaria e depozitës përfshin gjithashtu:</w:t>
      </w:r>
    </w:p>
    <w:p w14:paraId="5ABB22F0" w14:textId="77777777" w:rsidR="00C515B3" w:rsidRPr="004D71BB" w:rsidRDefault="00C515B3" w:rsidP="00591FCC">
      <w:pPr>
        <w:spacing w:before="100" w:beforeAutospacing="1" w:after="100" w:afterAutospacing="1"/>
        <w:jc w:val="both"/>
        <w:rPr>
          <w:rFonts w:ascii="Times New Roman" w:eastAsia="Times New Roman" w:hAnsi="Times New Roman" w:cs="Times New Roman"/>
          <w:sz w:val="24"/>
          <w:szCs w:val="24"/>
          <w:lang w:val="en-US"/>
        </w:rPr>
      </w:pPr>
      <w:r w:rsidRPr="004D71BB">
        <w:rPr>
          <w:rFonts w:ascii="Times New Roman" w:eastAsia="Times New Roman" w:hAnsi="Times New Roman" w:cs="Times New Roman"/>
          <w:sz w:val="24"/>
          <w:szCs w:val="24"/>
          <w:lang w:val="en-US"/>
        </w:rPr>
        <w:t>a) shumën e mbajtur nga një shoqëri sigurimi sipas një kontrate investimi të garantuar ose të një marrëveshjeje të ngjashme për të paguar ose kredituar interesin përkatës;</w:t>
      </w:r>
    </w:p>
    <w:p w14:paraId="58383DD5" w14:textId="77777777" w:rsidR="00C515B3" w:rsidRPr="004D71BB" w:rsidRDefault="00C515B3" w:rsidP="00591FCC">
      <w:pPr>
        <w:spacing w:before="100" w:beforeAutospacing="1" w:after="100" w:afterAutospacing="1"/>
        <w:jc w:val="both"/>
        <w:rPr>
          <w:rFonts w:ascii="Times New Roman" w:eastAsia="Times New Roman" w:hAnsi="Times New Roman" w:cs="Times New Roman"/>
          <w:sz w:val="24"/>
          <w:szCs w:val="24"/>
          <w:lang w:val="en-US"/>
        </w:rPr>
      </w:pPr>
      <w:r w:rsidRPr="004D71BB">
        <w:rPr>
          <w:rFonts w:ascii="Times New Roman" w:eastAsia="Times New Roman" w:hAnsi="Times New Roman" w:cs="Times New Roman"/>
          <w:sz w:val="24"/>
          <w:szCs w:val="24"/>
          <w:lang w:val="en-US"/>
        </w:rPr>
        <w:t>b) për qëllime të zbatimit të rregullave të Bashkimit Evropian, një llogari ose llogari nocionale që përfaqëson të gjitha Paratë elektronike të mbajtura për përfitimin e një klienti;</w:t>
      </w:r>
    </w:p>
    <w:p w14:paraId="00A8FCC2" w14:textId="77777777" w:rsidR="00C515B3" w:rsidRPr="004D71BB" w:rsidRDefault="00C515B3" w:rsidP="00591FCC">
      <w:pPr>
        <w:spacing w:before="100" w:beforeAutospacing="1" w:after="100" w:afterAutospacing="1"/>
        <w:jc w:val="both"/>
        <w:rPr>
          <w:rFonts w:ascii="Times New Roman" w:eastAsia="Times New Roman" w:hAnsi="Times New Roman" w:cs="Times New Roman"/>
          <w:sz w:val="24"/>
          <w:szCs w:val="24"/>
          <w:lang w:val="en-US"/>
        </w:rPr>
      </w:pPr>
      <w:r w:rsidRPr="004D71BB">
        <w:rPr>
          <w:rFonts w:ascii="Times New Roman" w:eastAsia="Times New Roman" w:hAnsi="Times New Roman" w:cs="Times New Roman"/>
          <w:sz w:val="24"/>
          <w:szCs w:val="24"/>
          <w:lang w:val="en-US"/>
        </w:rPr>
        <w:t>c) për qëllime të zbatimit të Standardit të Përbashkët të Raportimit, një llogari ose llogari nocionale që përfaqëson të gjitha Produktet e specifikuara të parasë elektronike të mbajtura për përfitimin e një klienti; dhe</w:t>
      </w:r>
    </w:p>
    <w:p w14:paraId="6DF552ED" w14:textId="77777777" w:rsidR="00C515B3" w:rsidRPr="004D71BB" w:rsidRDefault="00C515B3" w:rsidP="00591FCC">
      <w:pPr>
        <w:spacing w:before="100" w:beforeAutospacing="1" w:after="100" w:afterAutospacing="1"/>
        <w:jc w:val="both"/>
        <w:rPr>
          <w:rFonts w:ascii="Times New Roman" w:eastAsia="Times New Roman" w:hAnsi="Times New Roman" w:cs="Times New Roman"/>
          <w:sz w:val="24"/>
          <w:szCs w:val="24"/>
          <w:lang w:val="en-US"/>
        </w:rPr>
      </w:pPr>
      <w:r w:rsidRPr="004D71BB">
        <w:rPr>
          <w:rFonts w:ascii="Times New Roman" w:eastAsia="Times New Roman" w:hAnsi="Times New Roman" w:cs="Times New Roman"/>
          <w:sz w:val="24"/>
          <w:szCs w:val="24"/>
          <w:lang w:val="en-US"/>
        </w:rPr>
        <w:t>ç) një llogari që mban një ose më shumë Monedha dixhitale të bankës qendrore për përfitimin e një klienti.</w:t>
      </w:r>
    </w:p>
    <w:p w14:paraId="777B2DA1" w14:textId="4D6B8597" w:rsidR="00C515B3" w:rsidRPr="004D71BB" w:rsidRDefault="00CF2CD4" w:rsidP="00591FCC">
      <w:pPr>
        <w:spacing w:before="100" w:beforeAutospacing="1" w:after="100" w:afterAutospacing="1"/>
        <w:jc w:val="both"/>
        <w:rPr>
          <w:rFonts w:ascii="Times New Roman" w:eastAsia="Times New Roman" w:hAnsi="Times New Roman" w:cs="Times New Roman"/>
          <w:sz w:val="24"/>
          <w:szCs w:val="24"/>
          <w:lang w:val="en-US"/>
        </w:rPr>
      </w:pPr>
      <w:r w:rsidRPr="004D71BB">
        <w:rPr>
          <w:rFonts w:ascii="Times New Roman" w:hAnsi="Times New Roman" w:cs="Times New Roman"/>
          <w:sz w:val="24"/>
          <w:szCs w:val="24"/>
        </w:rPr>
        <w:t xml:space="preserve">Të gjitha Paratë Elektronike, për qëllime të zbatimit të rregullave të Bashkimit Evropian, dhe të gjitha Produktet e Specifikuara të Parasë Elektronike, për qëllime të zbatimit të Standardit të Përbashkët të Raportimit, që një njësi ekonomike mban për përfitimin e një klienti konsiderohen së bashku si një llogari depozite e atij klienti. Për qëllime të përcaktimit të vlerës së kësaj llogarie depozite, një institucion financiar raportues agregaton vlerën e të gjitha Parave Elektronike, për qëllime të zbatimit të rregullave të Bashkimit Evropian, dhe Produkteve të </w:t>
      </w:r>
      <w:r w:rsidRPr="004D71BB">
        <w:rPr>
          <w:rFonts w:ascii="Times New Roman" w:hAnsi="Times New Roman" w:cs="Times New Roman"/>
          <w:sz w:val="24"/>
          <w:szCs w:val="24"/>
        </w:rPr>
        <w:lastRenderedPageBreak/>
        <w:t>Specifikuara të Parasë Elektronike, për qëllime të zbatimit të Standardit të Përbashkët të Raportimit, që mbajtësi i llogarisë mban me institucionin financiar raportues.</w:t>
      </w:r>
    </w:p>
    <w:p w14:paraId="4B9275A5" w14:textId="77777777" w:rsidR="00C515B3" w:rsidRPr="004D71BB" w:rsidRDefault="00C515B3" w:rsidP="00591FCC">
      <w:pPr>
        <w:spacing w:before="100" w:beforeAutospacing="1" w:after="100" w:afterAutospacing="1"/>
        <w:jc w:val="both"/>
        <w:rPr>
          <w:rFonts w:ascii="Times New Roman" w:eastAsia="Times New Roman" w:hAnsi="Times New Roman" w:cs="Times New Roman"/>
          <w:sz w:val="24"/>
          <w:szCs w:val="24"/>
          <w:lang w:val="en-US"/>
        </w:rPr>
      </w:pPr>
      <w:r w:rsidRPr="004D71BB">
        <w:rPr>
          <w:rFonts w:ascii="Times New Roman" w:eastAsia="Times New Roman" w:hAnsi="Times New Roman" w:cs="Times New Roman"/>
          <w:sz w:val="24"/>
          <w:szCs w:val="24"/>
          <w:lang w:val="en-US"/>
        </w:rPr>
        <w:t>Në mënyrë të ngjashme, çdo marrëveshje përmes së cilës një njësi ekonomike mban Monedhë dixhitale të bankës qendrore për përfitimin e një klienti konsiderohet si një llogari depozite.</w:t>
      </w:r>
    </w:p>
    <w:p w14:paraId="0D9BF81F" w14:textId="39BACD7E" w:rsidR="00933949" w:rsidRPr="004D71BB" w:rsidRDefault="00A020EF" w:rsidP="00591FCC">
      <w:pPr>
        <w:spacing w:before="100" w:beforeAutospacing="1" w:after="100" w:afterAutospacing="1"/>
        <w:jc w:val="both"/>
        <w:rPr>
          <w:rFonts w:ascii="Times New Roman" w:eastAsia="Times New Roman" w:hAnsi="Times New Roman" w:cs="Times New Roman"/>
          <w:sz w:val="24"/>
          <w:szCs w:val="24"/>
          <w:lang w:val="en-US"/>
        </w:rPr>
      </w:pPr>
      <w:r w:rsidRPr="004D71BB">
        <w:rPr>
          <w:rFonts w:ascii="Times New Roman" w:hAnsi="Times New Roman" w:cs="Times New Roman"/>
          <w:sz w:val="24"/>
          <w:szCs w:val="24"/>
        </w:rPr>
        <w:t>Në rastet kur Para Elektronike, për qëllime të zbatimit të rregullave të Bashkimit Evropian, Produkti i Specifikuar i Parasë Elektronike, për qëllime të zbatimit të Standardit të Përbashkët të Raportimit, ose Monedha Dixhitale e Bankës Qendrore është emetuar si kripto-aset</w:t>
      </w:r>
      <w:r w:rsidR="00C515B3" w:rsidRPr="004D71BB">
        <w:rPr>
          <w:rFonts w:ascii="Times New Roman" w:eastAsia="Times New Roman" w:hAnsi="Times New Roman" w:cs="Times New Roman"/>
          <w:sz w:val="24"/>
          <w:szCs w:val="24"/>
          <w:lang w:val="en-US"/>
        </w:rPr>
        <w:t>, një njësi ekonomike konsiderohet se e mban një aktiv të tillë për përfitimin e një klienti në masën që ruan ose administron instrumentet që mundësojnë kontrollin mbi aktivin, përfshirë çelësat privatë, dhe ka aftësinë për ta menaxhuar, tregtuar ose transferuar aktivin te palë të treta në emër të këtij klienti.</w:t>
      </w:r>
    </w:p>
    <w:p w14:paraId="5288C062" w14:textId="6AF4881D" w:rsidR="004A2E1B" w:rsidRPr="004D71BB" w:rsidRDefault="00FF5421" w:rsidP="00591FCC">
      <w:pPr>
        <w:jc w:val="both"/>
        <w:rPr>
          <w:rFonts w:ascii="Times New Roman" w:eastAsia="Times New Roman" w:hAnsi="Times New Roman" w:cs="Times New Roman"/>
          <w:sz w:val="24"/>
          <w:szCs w:val="24"/>
          <w:lang w:eastAsia="sq-AL"/>
        </w:rPr>
      </w:pPr>
      <w:r w:rsidRPr="004D71BB">
        <w:rPr>
          <w:rFonts w:ascii="Times New Roman" w:hAnsi="Times New Roman" w:cs="Times New Roman"/>
          <w:sz w:val="24"/>
          <w:szCs w:val="24"/>
        </w:rPr>
        <w:t xml:space="preserve">44. </w:t>
      </w:r>
      <w:r w:rsidR="00933949" w:rsidRPr="004D71BB">
        <w:rPr>
          <w:rFonts w:ascii="Times New Roman" w:hAnsi="Times New Roman" w:cs="Times New Roman"/>
          <w:sz w:val="24"/>
          <w:szCs w:val="24"/>
        </w:rPr>
        <w:t xml:space="preserve">“Llogari e përjashtuar” </w:t>
      </w:r>
      <w:r w:rsidR="004A2E1B" w:rsidRPr="004D71BB">
        <w:rPr>
          <w:rFonts w:ascii="Times New Roman" w:eastAsia="Times New Roman" w:hAnsi="Times New Roman" w:cs="Times New Roman"/>
          <w:sz w:val="24"/>
          <w:szCs w:val="24"/>
          <w:lang w:eastAsia="sq-AL"/>
        </w:rPr>
        <w:t>është secila prej llogarive të mëposhtme:</w:t>
      </w:r>
    </w:p>
    <w:p w14:paraId="63494B29" w14:textId="77777777" w:rsidR="004A2E1B" w:rsidRPr="004D71BB" w:rsidRDefault="004A2E1B" w:rsidP="00591FCC">
      <w:pPr>
        <w:spacing w:after="0"/>
        <w:jc w:val="both"/>
        <w:rPr>
          <w:rFonts w:ascii="Times New Roman" w:eastAsia="Times New Roman" w:hAnsi="Times New Roman" w:cs="Times New Roman"/>
          <w:sz w:val="24"/>
          <w:szCs w:val="24"/>
          <w:lang w:eastAsia="sq-AL"/>
        </w:rPr>
      </w:pPr>
      <w:r w:rsidRPr="004D71BB">
        <w:rPr>
          <w:rFonts w:ascii="Times New Roman" w:eastAsia="Times New Roman" w:hAnsi="Times New Roman" w:cs="Times New Roman"/>
          <w:sz w:val="24"/>
          <w:szCs w:val="24"/>
          <w:lang w:eastAsia="sq-AL"/>
        </w:rPr>
        <w:t>a) llogaria e pensionit të pleqërisë ose e pensionit që përmbush të gjitha kriteret vijuese:</w:t>
      </w:r>
    </w:p>
    <w:p w14:paraId="3CDB75F5" w14:textId="77777777" w:rsidR="004A2E1B" w:rsidRPr="004D71BB" w:rsidRDefault="004A2E1B" w:rsidP="00591FCC">
      <w:pPr>
        <w:spacing w:after="0"/>
        <w:jc w:val="both"/>
        <w:rPr>
          <w:rFonts w:ascii="Times New Roman" w:eastAsia="Times New Roman" w:hAnsi="Times New Roman" w:cs="Times New Roman"/>
          <w:sz w:val="24"/>
          <w:szCs w:val="24"/>
          <w:lang w:eastAsia="sq-AL"/>
        </w:rPr>
      </w:pPr>
    </w:p>
    <w:p w14:paraId="6A95FAB1" w14:textId="5EED52D3" w:rsidR="00E369AA" w:rsidRPr="004D71BB" w:rsidRDefault="004A2E1B" w:rsidP="00591FCC">
      <w:pPr>
        <w:pStyle w:val="ListParagraph"/>
        <w:numPr>
          <w:ilvl w:val="0"/>
          <w:numId w:val="43"/>
        </w:numPr>
        <w:spacing w:after="0"/>
        <w:jc w:val="both"/>
        <w:rPr>
          <w:rFonts w:ascii="Times New Roman" w:hAnsi="Times New Roman" w:cs="Times New Roman"/>
          <w:sz w:val="24"/>
          <w:szCs w:val="24"/>
        </w:rPr>
      </w:pPr>
      <w:r w:rsidRPr="004D71BB">
        <w:rPr>
          <w:rFonts w:ascii="Times New Roman" w:eastAsia="Times New Roman" w:hAnsi="Times New Roman" w:cs="Times New Roman"/>
          <w:sz w:val="24"/>
          <w:szCs w:val="24"/>
          <w:lang w:eastAsia="sq-AL"/>
        </w:rPr>
        <w:t xml:space="preserve">llogaria është objekt rregullimi si llogari personale pensioni ose është pjesë e një skeme pensioni pleqërie të rregulluar dhe të regjistruar ose pensioni tjetër, e cila ofron përfitime </w:t>
      </w:r>
      <w:r w:rsidR="00E369AA" w:rsidRPr="004D71BB">
        <w:rPr>
          <w:rFonts w:ascii="Times New Roman" w:hAnsi="Times New Roman" w:cs="Times New Roman"/>
          <w:sz w:val="24"/>
          <w:szCs w:val="24"/>
        </w:rPr>
        <w:t>pensioni, përfshirë përfitime në rast invaliditeti ose vdekjeje</w:t>
      </w:r>
      <w:r w:rsidR="008C53EF" w:rsidRPr="004D71BB">
        <w:rPr>
          <w:rFonts w:ascii="Times New Roman" w:hAnsi="Times New Roman" w:cs="Times New Roman"/>
          <w:sz w:val="24"/>
          <w:szCs w:val="24"/>
        </w:rPr>
        <w:t>.</w:t>
      </w:r>
    </w:p>
    <w:p w14:paraId="7C8ACECA" w14:textId="77777777" w:rsidR="00E369AA" w:rsidRPr="004D71BB" w:rsidRDefault="00E369AA" w:rsidP="00591FCC">
      <w:pPr>
        <w:spacing w:after="0"/>
        <w:jc w:val="both"/>
        <w:rPr>
          <w:rFonts w:ascii="Times New Roman" w:eastAsia="Times New Roman" w:hAnsi="Times New Roman" w:cs="Times New Roman"/>
          <w:sz w:val="24"/>
          <w:szCs w:val="24"/>
          <w:lang w:eastAsia="sq-AL"/>
        </w:rPr>
      </w:pPr>
    </w:p>
    <w:p w14:paraId="6F7A9AAB" w14:textId="77777777" w:rsidR="00E369AA" w:rsidRPr="004D71BB" w:rsidRDefault="00E369AA" w:rsidP="00591FCC">
      <w:pPr>
        <w:pStyle w:val="ListParagraph"/>
        <w:spacing w:after="0"/>
        <w:ind w:left="700"/>
        <w:jc w:val="both"/>
        <w:rPr>
          <w:rFonts w:ascii="Times New Roman" w:eastAsia="Times New Roman" w:hAnsi="Times New Roman" w:cs="Times New Roman"/>
          <w:sz w:val="24"/>
          <w:szCs w:val="24"/>
          <w:lang w:eastAsia="sq-AL"/>
        </w:rPr>
      </w:pPr>
    </w:p>
    <w:p w14:paraId="4E3A2715" w14:textId="77777777" w:rsidR="004A2E1B" w:rsidRPr="004D71BB" w:rsidRDefault="004A2E1B" w:rsidP="00591FCC">
      <w:pPr>
        <w:spacing w:after="0"/>
        <w:ind w:left="340"/>
        <w:jc w:val="both"/>
        <w:rPr>
          <w:rFonts w:ascii="Times New Roman" w:eastAsia="Times New Roman" w:hAnsi="Times New Roman" w:cs="Times New Roman"/>
          <w:sz w:val="24"/>
          <w:szCs w:val="24"/>
          <w:lang w:eastAsia="sq-AL"/>
        </w:rPr>
      </w:pPr>
      <w:r w:rsidRPr="004D71BB">
        <w:rPr>
          <w:rFonts w:ascii="Times New Roman" w:eastAsia="Times New Roman" w:hAnsi="Times New Roman" w:cs="Times New Roman"/>
          <w:sz w:val="24"/>
          <w:szCs w:val="24"/>
          <w:lang w:eastAsia="sq-AL"/>
        </w:rPr>
        <w:t>ii) llogaria është e favorizuar nga pikëpamja tatimore, domethënë kontributet në llogari, të cilat në një kontekst tjetër do të ishin objekt tatimi, zbriten ose përjashtohen nga të ardhurat bruto të mbajtësit të llogarisë ose tatohen në nivele të reduktuara, ose tatimi mbi të ardhurat nga investimi nga llogaria shtyhet ose tatohet në nivele të reduktuara;</w:t>
      </w:r>
    </w:p>
    <w:p w14:paraId="27FA2779" w14:textId="77777777" w:rsidR="004A2E1B" w:rsidRPr="004D71BB" w:rsidRDefault="004A2E1B" w:rsidP="00591FCC">
      <w:pPr>
        <w:spacing w:after="0"/>
        <w:ind w:left="340"/>
        <w:jc w:val="both"/>
        <w:rPr>
          <w:rFonts w:ascii="Times New Roman" w:eastAsia="Times New Roman" w:hAnsi="Times New Roman" w:cs="Times New Roman"/>
          <w:sz w:val="24"/>
          <w:szCs w:val="24"/>
          <w:lang w:eastAsia="sq-AL"/>
        </w:rPr>
      </w:pPr>
      <w:r w:rsidRPr="004D71BB">
        <w:rPr>
          <w:rFonts w:ascii="Times New Roman" w:eastAsia="Times New Roman" w:hAnsi="Times New Roman" w:cs="Times New Roman"/>
          <w:sz w:val="24"/>
          <w:szCs w:val="24"/>
          <w:lang w:eastAsia="sq-AL"/>
        </w:rPr>
        <w:t>iii) lidhur me llogarinë kërkohet raportimi i informacionit pranë autoriteteve tatimore;</w:t>
      </w:r>
    </w:p>
    <w:p w14:paraId="42C91470" w14:textId="77777777" w:rsidR="004A2E1B" w:rsidRPr="004D71BB" w:rsidRDefault="004A2E1B" w:rsidP="00591FCC">
      <w:pPr>
        <w:spacing w:after="0"/>
        <w:ind w:left="340"/>
        <w:jc w:val="both"/>
        <w:rPr>
          <w:rFonts w:ascii="Times New Roman" w:eastAsia="Times New Roman" w:hAnsi="Times New Roman" w:cs="Times New Roman"/>
          <w:sz w:val="24"/>
          <w:szCs w:val="24"/>
          <w:lang w:eastAsia="sq-AL"/>
        </w:rPr>
      </w:pPr>
      <w:r w:rsidRPr="004D71BB">
        <w:rPr>
          <w:rFonts w:ascii="Times New Roman" w:eastAsia="Times New Roman" w:hAnsi="Times New Roman" w:cs="Times New Roman"/>
          <w:sz w:val="24"/>
          <w:szCs w:val="24"/>
          <w:lang w:eastAsia="sq-AL"/>
        </w:rPr>
        <w:t>iv) tërheqjet kushtëzohen me arritjen e moshës së specifikuar të pensionit të pleqërisë, invaliditetin ose vdekjen, ose, në të kundërt, zbatohen penalitete për tërheqjet e kryera përpara këtyre ngjarjeve të specifikuara; dhe</w:t>
      </w:r>
    </w:p>
    <w:p w14:paraId="3721F178" w14:textId="77777777" w:rsidR="004A2E1B" w:rsidRPr="004D71BB" w:rsidRDefault="004A2E1B" w:rsidP="00591FCC">
      <w:pPr>
        <w:spacing w:after="0"/>
        <w:ind w:left="340"/>
        <w:jc w:val="both"/>
        <w:rPr>
          <w:rFonts w:ascii="Times New Roman" w:eastAsia="Times New Roman" w:hAnsi="Times New Roman" w:cs="Times New Roman"/>
          <w:sz w:val="24"/>
          <w:szCs w:val="24"/>
          <w:lang w:eastAsia="sq-AL"/>
        </w:rPr>
      </w:pPr>
      <w:r w:rsidRPr="004D71BB">
        <w:rPr>
          <w:rFonts w:ascii="Times New Roman" w:eastAsia="Times New Roman" w:hAnsi="Times New Roman" w:cs="Times New Roman"/>
          <w:sz w:val="24"/>
          <w:szCs w:val="24"/>
          <w:lang w:eastAsia="sq-AL"/>
        </w:rPr>
        <w:t>v) kontributet vjetore nuk duhet të kalojnë 50 000 USD ose limiti maksimal i kontributeve gjatë gjithë jetës nuk duhet të kalojë 1 000 000 USD, duke zbatuar në çdo rast rregullat për totalizimin e llogarive dhe konvertimin e monedhës të përcaktuara në nenin 12 dhe në aktin nënligjor të nxjerrë në zbatim të këtij ligji.</w:t>
      </w:r>
    </w:p>
    <w:p w14:paraId="49C1A8E9" w14:textId="77777777" w:rsidR="004A2E1B" w:rsidRPr="004D71BB" w:rsidRDefault="004A2E1B" w:rsidP="00591FCC">
      <w:pPr>
        <w:spacing w:after="0"/>
        <w:ind w:left="340"/>
        <w:jc w:val="both"/>
        <w:rPr>
          <w:rFonts w:ascii="Times New Roman" w:eastAsia="Times New Roman" w:hAnsi="Times New Roman" w:cs="Times New Roman"/>
          <w:sz w:val="24"/>
          <w:szCs w:val="24"/>
          <w:lang w:eastAsia="sq-AL"/>
        </w:rPr>
      </w:pPr>
    </w:p>
    <w:p w14:paraId="2C3947D6" w14:textId="4496016E" w:rsidR="004A2E1B" w:rsidRPr="004D71BB" w:rsidRDefault="004A2E1B" w:rsidP="00591FCC">
      <w:pPr>
        <w:spacing w:after="0"/>
        <w:ind w:left="340"/>
        <w:jc w:val="both"/>
        <w:rPr>
          <w:rFonts w:ascii="Times New Roman" w:eastAsia="Times New Roman" w:hAnsi="Times New Roman" w:cs="Times New Roman"/>
          <w:sz w:val="24"/>
          <w:szCs w:val="24"/>
          <w:lang w:eastAsia="sq-AL"/>
        </w:rPr>
      </w:pPr>
      <w:r w:rsidRPr="004D71BB">
        <w:rPr>
          <w:rFonts w:ascii="Times New Roman" w:eastAsia="Times New Roman" w:hAnsi="Times New Roman" w:cs="Times New Roman"/>
          <w:sz w:val="24"/>
          <w:szCs w:val="24"/>
          <w:lang w:eastAsia="sq-AL"/>
        </w:rPr>
        <w:t>Një llogari financiare që përmbush gjithashtu kërkesat e nënndarjes “v” të shkronjës “a” të kësaj pike nuk do të konsiderohet se nuk i përmbush këto kërkesa vetëm sepse kjo llogari financiare mund të marrë aktive ose fonde të transferuara nga një ose më shumë llogari financiare që përmbushin kërkesat e shkronjave “a” ose “b” të kësaj pike, ose nga një ose më shumë fonde pensioni ose pleqërie që përmbushin kërkesat e përcaktuara në këtë ligj.</w:t>
      </w:r>
    </w:p>
    <w:p w14:paraId="6098DB44" w14:textId="77777777" w:rsidR="004A2E1B" w:rsidRPr="004D71BB" w:rsidRDefault="004A2E1B" w:rsidP="00591FCC">
      <w:pPr>
        <w:spacing w:after="0"/>
        <w:jc w:val="both"/>
        <w:rPr>
          <w:rFonts w:ascii="Times New Roman" w:eastAsia="Times New Roman" w:hAnsi="Times New Roman" w:cs="Times New Roman"/>
          <w:sz w:val="24"/>
          <w:szCs w:val="24"/>
          <w:lang w:eastAsia="sq-AL"/>
        </w:rPr>
      </w:pPr>
    </w:p>
    <w:p w14:paraId="2C859BE9" w14:textId="26D1FB0D" w:rsidR="004A2E1B" w:rsidRPr="004D71BB" w:rsidRDefault="004A2E1B" w:rsidP="00591FCC">
      <w:pPr>
        <w:spacing w:after="0"/>
        <w:jc w:val="both"/>
        <w:rPr>
          <w:rFonts w:ascii="Times New Roman" w:eastAsia="Times New Roman" w:hAnsi="Times New Roman" w:cs="Times New Roman"/>
          <w:sz w:val="24"/>
          <w:szCs w:val="24"/>
          <w:lang w:eastAsia="sq-AL"/>
        </w:rPr>
      </w:pPr>
      <w:r w:rsidRPr="004D71BB">
        <w:rPr>
          <w:rFonts w:ascii="Times New Roman" w:eastAsia="Times New Roman" w:hAnsi="Times New Roman" w:cs="Times New Roman"/>
          <w:sz w:val="24"/>
          <w:szCs w:val="24"/>
          <w:lang w:eastAsia="sq-AL"/>
        </w:rPr>
        <w:t>b) llogaria që përmbush të gjitha kërkesat e mëposhtme:</w:t>
      </w:r>
    </w:p>
    <w:p w14:paraId="6C394680" w14:textId="77777777" w:rsidR="004A2E1B" w:rsidRPr="004D71BB" w:rsidRDefault="004A2E1B" w:rsidP="00591FCC">
      <w:pPr>
        <w:spacing w:after="0"/>
        <w:jc w:val="both"/>
        <w:rPr>
          <w:rFonts w:ascii="Times New Roman" w:eastAsia="Times New Roman" w:hAnsi="Times New Roman" w:cs="Times New Roman"/>
          <w:sz w:val="24"/>
          <w:szCs w:val="24"/>
          <w:lang w:eastAsia="sq-AL"/>
        </w:rPr>
      </w:pPr>
    </w:p>
    <w:p w14:paraId="1CBAF1D8" w14:textId="4D9F1D71" w:rsidR="004A2E1B" w:rsidRPr="004D71BB" w:rsidRDefault="004A2E1B" w:rsidP="00591FCC">
      <w:pPr>
        <w:spacing w:after="0"/>
        <w:ind w:left="340"/>
        <w:jc w:val="both"/>
        <w:rPr>
          <w:rFonts w:ascii="Times New Roman" w:eastAsia="Times New Roman" w:hAnsi="Times New Roman" w:cs="Times New Roman"/>
          <w:sz w:val="24"/>
          <w:szCs w:val="24"/>
          <w:lang w:eastAsia="sq-AL"/>
        </w:rPr>
      </w:pPr>
      <w:r w:rsidRPr="004D71BB">
        <w:rPr>
          <w:rFonts w:ascii="Times New Roman" w:eastAsia="Times New Roman" w:hAnsi="Times New Roman" w:cs="Times New Roman"/>
          <w:sz w:val="24"/>
          <w:szCs w:val="24"/>
          <w:lang w:eastAsia="sq-AL"/>
        </w:rPr>
        <w:lastRenderedPageBreak/>
        <w:t>i) llogaria është objekt rregullimi si një instrument investimi për qëllime të ndryshme nga pensioni dhe tregtohet rregullisht në një treg të konsoliduar letrash me vlerë, ose llogaria është objekt rregullimi si instrument kursimi për qëllime të ndryshme nga pensioni;</w:t>
      </w:r>
    </w:p>
    <w:p w14:paraId="4ADCA7C9" w14:textId="77777777" w:rsidR="004A2E1B" w:rsidRPr="004D71BB" w:rsidRDefault="004A2E1B" w:rsidP="00591FCC">
      <w:pPr>
        <w:spacing w:after="0"/>
        <w:ind w:left="340"/>
        <w:jc w:val="both"/>
        <w:rPr>
          <w:rFonts w:ascii="Times New Roman" w:eastAsia="Times New Roman" w:hAnsi="Times New Roman" w:cs="Times New Roman"/>
          <w:sz w:val="24"/>
          <w:szCs w:val="24"/>
          <w:lang w:eastAsia="sq-AL"/>
        </w:rPr>
      </w:pPr>
      <w:r w:rsidRPr="004D71BB">
        <w:rPr>
          <w:rFonts w:ascii="Times New Roman" w:eastAsia="Times New Roman" w:hAnsi="Times New Roman" w:cs="Times New Roman"/>
          <w:sz w:val="24"/>
          <w:szCs w:val="24"/>
          <w:lang w:eastAsia="sq-AL"/>
        </w:rPr>
        <w:t>ii) llogaria është e favorizuar nga pikëpamja tatimore, domethënë kontributet në llogari, të cilat në një kontekst tjetër do të ishin objekt tatimi, zbriten ose përjashtohen nga të ardhurat bruto të mbajtësit të llogarisë ose tatohen në nivele të reduktuara, ose tatimi mbi të ardhurat nga investimi nga llogaria shtyhet ose tatohet në nivele të reduktuara;</w:t>
      </w:r>
    </w:p>
    <w:p w14:paraId="0E1DAC54" w14:textId="77777777" w:rsidR="004A2E1B" w:rsidRPr="004D71BB" w:rsidRDefault="004A2E1B" w:rsidP="00591FCC">
      <w:pPr>
        <w:spacing w:after="0"/>
        <w:ind w:left="340"/>
        <w:jc w:val="both"/>
        <w:rPr>
          <w:rFonts w:ascii="Times New Roman" w:eastAsia="Times New Roman" w:hAnsi="Times New Roman" w:cs="Times New Roman"/>
          <w:sz w:val="24"/>
          <w:szCs w:val="24"/>
          <w:lang w:eastAsia="sq-AL"/>
        </w:rPr>
      </w:pPr>
      <w:r w:rsidRPr="004D71BB">
        <w:rPr>
          <w:rFonts w:ascii="Times New Roman" w:eastAsia="Times New Roman" w:hAnsi="Times New Roman" w:cs="Times New Roman"/>
          <w:sz w:val="24"/>
          <w:szCs w:val="24"/>
          <w:lang w:eastAsia="sq-AL"/>
        </w:rPr>
        <w:t>iii) tërheqjet kushtëzohen nga përmbushja e kritereve specifike të lidhura me qëllimin e llogarisë së investimit ose kursimit, për shembull, dhënia e përfitimeve shëndetësore ose arsimore, ose zbatohen penalitete për tërheqjet e kryera përpara përmbushjes së këtyre kritereve; dhe</w:t>
      </w:r>
    </w:p>
    <w:p w14:paraId="2368D1FB" w14:textId="77777777" w:rsidR="004A2E1B" w:rsidRPr="004D71BB" w:rsidRDefault="004A2E1B" w:rsidP="00591FCC">
      <w:pPr>
        <w:spacing w:after="0"/>
        <w:ind w:left="340"/>
        <w:jc w:val="both"/>
        <w:rPr>
          <w:rFonts w:ascii="Times New Roman" w:eastAsia="Times New Roman" w:hAnsi="Times New Roman" w:cs="Times New Roman"/>
          <w:sz w:val="24"/>
          <w:szCs w:val="24"/>
          <w:lang w:eastAsia="sq-AL"/>
        </w:rPr>
      </w:pPr>
      <w:r w:rsidRPr="004D71BB">
        <w:rPr>
          <w:rFonts w:ascii="Times New Roman" w:eastAsia="Times New Roman" w:hAnsi="Times New Roman" w:cs="Times New Roman"/>
          <w:sz w:val="24"/>
          <w:szCs w:val="24"/>
          <w:lang w:eastAsia="sq-AL"/>
        </w:rPr>
        <w:t>iv) kontributet vjetore nuk e kalojnë limitin prej 50 000 USD, duke zbatuar rregullat për totalizimin e llogarive dhe konvertimin e monedhës të përcaktuara në nenin 12 dhe në aktin nënligjor të nxjerrë në zbatim të këtij ligji.</w:t>
      </w:r>
    </w:p>
    <w:p w14:paraId="074C5E42" w14:textId="77777777" w:rsidR="004A2E1B" w:rsidRPr="004D71BB" w:rsidRDefault="004A2E1B" w:rsidP="00591FCC">
      <w:pPr>
        <w:spacing w:after="0"/>
        <w:ind w:left="340"/>
        <w:jc w:val="both"/>
        <w:rPr>
          <w:rFonts w:ascii="Times New Roman" w:eastAsia="Times New Roman" w:hAnsi="Times New Roman" w:cs="Times New Roman"/>
          <w:sz w:val="24"/>
          <w:szCs w:val="24"/>
          <w:lang w:eastAsia="sq-AL"/>
        </w:rPr>
      </w:pPr>
      <w:r w:rsidRPr="004D71BB">
        <w:rPr>
          <w:rFonts w:ascii="Times New Roman" w:eastAsia="Times New Roman" w:hAnsi="Times New Roman" w:cs="Times New Roman"/>
          <w:sz w:val="24"/>
          <w:szCs w:val="24"/>
          <w:lang w:eastAsia="sq-AL"/>
        </w:rPr>
        <w:t>Një llogari financiare që përmbush gjithashtu kërkesat e nënndarjes “iv” të shkronjës “b” të kësaj pike nuk do të konsiderohet se nuk i përmbush këto kërkesa vetëm sepse kjo llogari financiare mund të marrë aktive ose fonde të transferuara nga një ose më shumë llogari financiare që përmbushin kërkesat e shkronjave “a” dhe “b” të kësaj pike, ose nga një ose më shumë fonde pensioni pleqërie ose pensioni që përmbushin kërkesat e përcaktuara në këtë ligj.</w:t>
      </w:r>
    </w:p>
    <w:p w14:paraId="08253D69" w14:textId="77777777" w:rsidR="004A2E1B" w:rsidRPr="004D71BB" w:rsidRDefault="004A2E1B" w:rsidP="00591FCC">
      <w:pPr>
        <w:spacing w:after="0"/>
        <w:jc w:val="both"/>
        <w:rPr>
          <w:rFonts w:ascii="Times New Roman" w:eastAsia="Times New Roman" w:hAnsi="Times New Roman" w:cs="Times New Roman"/>
          <w:sz w:val="24"/>
          <w:szCs w:val="24"/>
          <w:lang w:eastAsia="sq-AL"/>
        </w:rPr>
      </w:pPr>
    </w:p>
    <w:p w14:paraId="17C8B5D0" w14:textId="3990EEC8" w:rsidR="004A2E1B" w:rsidRPr="004D71BB" w:rsidRDefault="004A2E1B" w:rsidP="00591FCC">
      <w:pPr>
        <w:spacing w:after="0"/>
        <w:jc w:val="both"/>
        <w:rPr>
          <w:rFonts w:ascii="Times New Roman" w:eastAsia="Times New Roman" w:hAnsi="Times New Roman" w:cs="Times New Roman"/>
          <w:sz w:val="24"/>
          <w:szCs w:val="24"/>
          <w:lang w:eastAsia="sq-AL"/>
        </w:rPr>
      </w:pPr>
      <w:r w:rsidRPr="004D71BB">
        <w:rPr>
          <w:rFonts w:ascii="Times New Roman" w:eastAsia="Times New Roman" w:hAnsi="Times New Roman" w:cs="Times New Roman"/>
          <w:sz w:val="24"/>
          <w:szCs w:val="24"/>
          <w:lang w:eastAsia="sq-AL"/>
        </w:rPr>
        <w:t>c) kontrata e sigurimit të jetës me një periudhë mbulimi që përfundon përpara se individi i siguruar të arrijë moshën 90 vjeç, me kusht që kontrata të përmbushë kërkesat e mëposhtme:</w:t>
      </w:r>
    </w:p>
    <w:p w14:paraId="7F52E5A8" w14:textId="77777777" w:rsidR="004A2E1B" w:rsidRPr="004D71BB" w:rsidRDefault="004A2E1B" w:rsidP="00591FCC">
      <w:pPr>
        <w:spacing w:after="0"/>
        <w:jc w:val="both"/>
        <w:rPr>
          <w:rFonts w:ascii="Times New Roman" w:eastAsia="Times New Roman" w:hAnsi="Times New Roman" w:cs="Times New Roman"/>
          <w:sz w:val="24"/>
          <w:szCs w:val="24"/>
          <w:lang w:eastAsia="sq-AL"/>
        </w:rPr>
      </w:pPr>
    </w:p>
    <w:p w14:paraId="09F3AA02" w14:textId="29A0225C" w:rsidR="004A2E1B" w:rsidRPr="004D71BB" w:rsidRDefault="004A2E1B" w:rsidP="00591FCC">
      <w:pPr>
        <w:spacing w:after="0"/>
        <w:ind w:left="340"/>
        <w:jc w:val="both"/>
        <w:rPr>
          <w:rFonts w:ascii="Times New Roman" w:eastAsia="Times New Roman" w:hAnsi="Times New Roman" w:cs="Times New Roman"/>
          <w:sz w:val="24"/>
          <w:szCs w:val="24"/>
          <w:lang w:eastAsia="sq-AL"/>
        </w:rPr>
      </w:pPr>
      <w:r w:rsidRPr="004D71BB">
        <w:rPr>
          <w:rFonts w:ascii="Times New Roman" w:eastAsia="Times New Roman" w:hAnsi="Times New Roman" w:cs="Times New Roman"/>
          <w:sz w:val="24"/>
          <w:szCs w:val="24"/>
          <w:lang w:eastAsia="sq-AL"/>
        </w:rPr>
        <w:t>i) primet periodike, që nuk ulen me kalimin e kohës, paguhen të paktën çdo vit gjatë periudhës së ekzistencës së kontratës ose deri kur i siguruari të arrijë moshën 90 vjeç, cilado periudhë që është më e shkurtër;</w:t>
      </w:r>
    </w:p>
    <w:p w14:paraId="63CDC01A" w14:textId="77777777" w:rsidR="004A2E1B" w:rsidRPr="004D71BB" w:rsidRDefault="004A2E1B" w:rsidP="00591FCC">
      <w:pPr>
        <w:spacing w:after="0"/>
        <w:ind w:left="340"/>
        <w:jc w:val="both"/>
        <w:rPr>
          <w:rFonts w:ascii="Times New Roman" w:eastAsia="Times New Roman" w:hAnsi="Times New Roman" w:cs="Times New Roman"/>
          <w:sz w:val="24"/>
          <w:szCs w:val="24"/>
          <w:lang w:eastAsia="sq-AL"/>
        </w:rPr>
      </w:pPr>
      <w:r w:rsidRPr="004D71BB">
        <w:rPr>
          <w:rFonts w:ascii="Times New Roman" w:eastAsia="Times New Roman" w:hAnsi="Times New Roman" w:cs="Times New Roman"/>
          <w:sz w:val="24"/>
          <w:szCs w:val="24"/>
          <w:lang w:eastAsia="sq-AL"/>
        </w:rPr>
        <w:t>ii) kontrata nuk ka një vlerë kontrate në të cilën çdo person mund të ketë akses, nëpërmjet tërheqjes, huas ose ndryshe, pa e zgjidhur kontratën;</w:t>
      </w:r>
    </w:p>
    <w:p w14:paraId="674F9A2E" w14:textId="77777777" w:rsidR="004A2E1B" w:rsidRPr="004D71BB" w:rsidRDefault="004A2E1B" w:rsidP="00591FCC">
      <w:pPr>
        <w:spacing w:after="0"/>
        <w:ind w:left="340"/>
        <w:jc w:val="both"/>
        <w:rPr>
          <w:rFonts w:ascii="Times New Roman" w:eastAsia="Times New Roman" w:hAnsi="Times New Roman" w:cs="Times New Roman"/>
          <w:sz w:val="24"/>
          <w:szCs w:val="24"/>
          <w:lang w:eastAsia="sq-AL"/>
        </w:rPr>
      </w:pPr>
      <w:r w:rsidRPr="004D71BB">
        <w:rPr>
          <w:rFonts w:ascii="Times New Roman" w:eastAsia="Times New Roman" w:hAnsi="Times New Roman" w:cs="Times New Roman"/>
          <w:sz w:val="24"/>
          <w:szCs w:val="24"/>
          <w:lang w:eastAsia="sq-AL"/>
        </w:rPr>
        <w:t>iii) shuma, e ndryshme nga përfitimi në rast vdekjeje, që paguhet pas anulimit ose zgjidhjes së kontratës nuk mund të tejkalojë primet e përgjithshme të paguara për kontratën, minus shumën e shpenzimeve në rast vdekjeje ose sëmundjeje dhe tarifat e shpenzimeve, pavarësisht nëse janë vendosur realisht ose jo, për periudhën ose periudhat e ekzistencës së kontratës dhe çdo shumë të paguar përpara anulimit ose zgjidhjes së kontratës;</w:t>
      </w:r>
    </w:p>
    <w:p w14:paraId="73DAD6C3" w14:textId="77777777" w:rsidR="004A2E1B" w:rsidRPr="004D71BB" w:rsidRDefault="004A2E1B" w:rsidP="00591FCC">
      <w:pPr>
        <w:spacing w:after="0"/>
        <w:ind w:left="340"/>
        <w:jc w:val="both"/>
        <w:rPr>
          <w:rFonts w:ascii="Times New Roman" w:eastAsia="Times New Roman" w:hAnsi="Times New Roman" w:cs="Times New Roman"/>
          <w:sz w:val="24"/>
          <w:szCs w:val="24"/>
          <w:lang w:eastAsia="sq-AL"/>
        </w:rPr>
      </w:pPr>
      <w:r w:rsidRPr="004D71BB">
        <w:rPr>
          <w:rFonts w:ascii="Times New Roman" w:eastAsia="Times New Roman" w:hAnsi="Times New Roman" w:cs="Times New Roman"/>
          <w:sz w:val="24"/>
          <w:szCs w:val="24"/>
          <w:lang w:eastAsia="sq-AL"/>
        </w:rPr>
        <w:t>iv) kontrata nuk mbahet nga personi tek i cili transferohet për vlerën e saj.</w:t>
      </w:r>
    </w:p>
    <w:p w14:paraId="4DC38312" w14:textId="77777777" w:rsidR="004A2E1B" w:rsidRPr="004D71BB" w:rsidRDefault="004A2E1B" w:rsidP="00591FCC">
      <w:pPr>
        <w:spacing w:after="0"/>
        <w:jc w:val="both"/>
        <w:rPr>
          <w:rFonts w:ascii="Times New Roman" w:eastAsia="Times New Roman" w:hAnsi="Times New Roman" w:cs="Times New Roman"/>
          <w:sz w:val="24"/>
          <w:szCs w:val="24"/>
          <w:lang w:eastAsia="sq-AL"/>
        </w:rPr>
      </w:pPr>
    </w:p>
    <w:p w14:paraId="2D6DE0F1" w14:textId="577C11CB" w:rsidR="004A2E1B" w:rsidRPr="004D71BB" w:rsidRDefault="004A2E1B" w:rsidP="00591FCC">
      <w:pPr>
        <w:spacing w:after="0"/>
        <w:jc w:val="both"/>
        <w:rPr>
          <w:rFonts w:ascii="Times New Roman" w:eastAsia="Times New Roman" w:hAnsi="Times New Roman" w:cs="Times New Roman"/>
          <w:sz w:val="24"/>
          <w:szCs w:val="24"/>
          <w:lang w:eastAsia="sq-AL"/>
        </w:rPr>
      </w:pPr>
      <w:r w:rsidRPr="004D71BB">
        <w:rPr>
          <w:rFonts w:ascii="Times New Roman" w:eastAsia="Times New Roman" w:hAnsi="Times New Roman" w:cs="Times New Roman"/>
          <w:sz w:val="24"/>
          <w:szCs w:val="24"/>
          <w:lang w:eastAsia="sq-AL"/>
        </w:rPr>
        <w:t>ç) llogaria e mbajtur vetëm nga pasuria trashëgimore e një personi të vdekur, nëse dokumentacioni për këtë llogari përfshin një kopje të testamentit të personit të vdekur ose certifikatën e vdekjes;</w:t>
      </w:r>
    </w:p>
    <w:p w14:paraId="188E1745" w14:textId="77777777" w:rsidR="004A2E1B" w:rsidRPr="004D71BB" w:rsidRDefault="004A2E1B" w:rsidP="00591FCC">
      <w:pPr>
        <w:spacing w:after="0"/>
        <w:jc w:val="both"/>
        <w:rPr>
          <w:rFonts w:ascii="Times New Roman" w:eastAsia="Times New Roman" w:hAnsi="Times New Roman" w:cs="Times New Roman"/>
          <w:sz w:val="24"/>
          <w:szCs w:val="24"/>
          <w:lang w:eastAsia="sq-AL"/>
        </w:rPr>
      </w:pPr>
    </w:p>
    <w:p w14:paraId="6B5B38D1" w14:textId="320F85D5" w:rsidR="004A2E1B" w:rsidRPr="004D71BB" w:rsidRDefault="004A2E1B" w:rsidP="00591FCC">
      <w:pPr>
        <w:spacing w:after="0"/>
        <w:jc w:val="both"/>
        <w:rPr>
          <w:rFonts w:ascii="Times New Roman" w:eastAsia="Times New Roman" w:hAnsi="Times New Roman" w:cs="Times New Roman"/>
          <w:sz w:val="24"/>
          <w:szCs w:val="24"/>
          <w:lang w:eastAsia="sq-AL"/>
        </w:rPr>
      </w:pPr>
      <w:r w:rsidRPr="004D71BB">
        <w:rPr>
          <w:rFonts w:ascii="Times New Roman" w:eastAsia="Times New Roman" w:hAnsi="Times New Roman" w:cs="Times New Roman"/>
          <w:sz w:val="24"/>
          <w:szCs w:val="24"/>
          <w:lang w:eastAsia="sq-AL"/>
        </w:rPr>
        <w:t>d) llogaria e krijuar lidhur me secilën nga nënndarjet e mëposhtme:</w:t>
      </w:r>
    </w:p>
    <w:p w14:paraId="3D7C97B2" w14:textId="77777777" w:rsidR="004A2E1B" w:rsidRPr="004D71BB" w:rsidRDefault="004A2E1B" w:rsidP="00591FCC">
      <w:pPr>
        <w:spacing w:after="0"/>
        <w:jc w:val="both"/>
        <w:rPr>
          <w:rFonts w:ascii="Times New Roman" w:eastAsia="Times New Roman" w:hAnsi="Times New Roman" w:cs="Times New Roman"/>
          <w:sz w:val="24"/>
          <w:szCs w:val="24"/>
          <w:lang w:eastAsia="sq-AL"/>
        </w:rPr>
      </w:pPr>
    </w:p>
    <w:p w14:paraId="259F9DC4" w14:textId="4EC02C9E" w:rsidR="004A2E1B" w:rsidRPr="004D71BB" w:rsidRDefault="004A2E1B" w:rsidP="00591FCC">
      <w:pPr>
        <w:spacing w:after="0"/>
        <w:ind w:left="340"/>
        <w:jc w:val="both"/>
        <w:rPr>
          <w:rFonts w:ascii="Times New Roman" w:eastAsia="Times New Roman" w:hAnsi="Times New Roman" w:cs="Times New Roman"/>
          <w:sz w:val="24"/>
          <w:szCs w:val="24"/>
          <w:lang w:eastAsia="sq-AL"/>
        </w:rPr>
      </w:pPr>
      <w:r w:rsidRPr="004D71BB">
        <w:rPr>
          <w:rFonts w:ascii="Times New Roman" w:eastAsia="Times New Roman" w:hAnsi="Times New Roman" w:cs="Times New Roman"/>
          <w:sz w:val="24"/>
          <w:szCs w:val="24"/>
          <w:lang w:eastAsia="sq-AL"/>
        </w:rPr>
        <w:t>i) një urdhër ose vendim gjykate;</w:t>
      </w:r>
    </w:p>
    <w:p w14:paraId="77743B25" w14:textId="77777777" w:rsidR="004A2E1B" w:rsidRPr="004D71BB" w:rsidRDefault="004A2E1B" w:rsidP="00591FCC">
      <w:pPr>
        <w:spacing w:after="0"/>
        <w:ind w:left="340"/>
        <w:jc w:val="both"/>
        <w:rPr>
          <w:rFonts w:ascii="Times New Roman" w:eastAsia="Times New Roman" w:hAnsi="Times New Roman" w:cs="Times New Roman"/>
          <w:sz w:val="24"/>
          <w:szCs w:val="24"/>
          <w:lang w:eastAsia="sq-AL"/>
        </w:rPr>
      </w:pPr>
      <w:r w:rsidRPr="004D71BB">
        <w:rPr>
          <w:rFonts w:ascii="Times New Roman" w:eastAsia="Times New Roman" w:hAnsi="Times New Roman" w:cs="Times New Roman"/>
          <w:sz w:val="24"/>
          <w:szCs w:val="24"/>
          <w:lang w:eastAsia="sq-AL"/>
        </w:rPr>
        <w:lastRenderedPageBreak/>
        <w:t>ii) një shitje, shkëmbim ose qiradhënie e pasurisë së paluajtshme ose të luajtshme, me kusht që llogaria të përmbushë kërkesat e mëposhtme:</w:t>
      </w:r>
    </w:p>
    <w:p w14:paraId="410DFD91" w14:textId="77777777" w:rsidR="004A2E1B" w:rsidRPr="004D71BB" w:rsidRDefault="004A2E1B" w:rsidP="00591FCC">
      <w:pPr>
        <w:spacing w:after="0"/>
        <w:ind w:left="340"/>
        <w:jc w:val="both"/>
        <w:rPr>
          <w:rFonts w:ascii="Times New Roman" w:eastAsia="Times New Roman" w:hAnsi="Times New Roman" w:cs="Times New Roman"/>
          <w:sz w:val="24"/>
          <w:szCs w:val="24"/>
          <w:lang w:eastAsia="sq-AL"/>
        </w:rPr>
      </w:pPr>
      <w:r w:rsidRPr="004D71BB">
        <w:rPr>
          <w:rFonts w:ascii="Times New Roman" w:eastAsia="Times New Roman" w:hAnsi="Times New Roman" w:cs="Times New Roman"/>
          <w:sz w:val="24"/>
          <w:szCs w:val="24"/>
          <w:lang w:eastAsia="sq-AL"/>
        </w:rPr>
        <w:t>llogaria financohet vetëm nga depozitimi i një pagese në llogari si garanci ekzekutimi, në sasinë e mjaftueshme për të garantuar detyrimin e lidhur drejtpërdrejt me transaksionin, ose nga pagesa të ngjashme, ose financohet nga aktivet financiare të depozituara në llogari lidhur me shitjen, shkëmbimin ose qiradhënien e pasurisë;</w:t>
      </w:r>
    </w:p>
    <w:p w14:paraId="50C578B8" w14:textId="77777777" w:rsidR="004A2E1B" w:rsidRPr="004D71BB" w:rsidRDefault="004A2E1B" w:rsidP="00591FCC">
      <w:pPr>
        <w:spacing w:after="0"/>
        <w:ind w:left="340"/>
        <w:jc w:val="both"/>
        <w:rPr>
          <w:rFonts w:ascii="Times New Roman" w:eastAsia="Times New Roman" w:hAnsi="Times New Roman" w:cs="Times New Roman"/>
          <w:sz w:val="24"/>
          <w:szCs w:val="24"/>
          <w:lang w:eastAsia="sq-AL"/>
        </w:rPr>
      </w:pPr>
      <w:r w:rsidRPr="004D71BB">
        <w:rPr>
          <w:rFonts w:ascii="Times New Roman" w:eastAsia="Times New Roman" w:hAnsi="Times New Roman" w:cs="Times New Roman"/>
          <w:sz w:val="24"/>
          <w:szCs w:val="24"/>
          <w:lang w:eastAsia="sq-AL"/>
        </w:rPr>
        <w:t>llogaria krijohet dhe përdoret vetëm për të garantuar detyrimin e blerësit për të paguar çmimin e blerjes, të shitësit për të paguar çdo detyrim kontingjent ose të qiramarrësit apo qiradhënësit për të paguar çdo dëm lidhur me pasurinë e marrë ose dhënë me qira, siç është rënë dakord në kontratë;</w:t>
      </w:r>
    </w:p>
    <w:p w14:paraId="42B50AE7" w14:textId="77777777" w:rsidR="004A2E1B" w:rsidRPr="004D71BB" w:rsidRDefault="004A2E1B" w:rsidP="00591FCC">
      <w:pPr>
        <w:spacing w:after="0"/>
        <w:ind w:left="340"/>
        <w:jc w:val="both"/>
        <w:rPr>
          <w:rFonts w:ascii="Times New Roman" w:eastAsia="Times New Roman" w:hAnsi="Times New Roman" w:cs="Times New Roman"/>
          <w:sz w:val="24"/>
          <w:szCs w:val="24"/>
          <w:lang w:eastAsia="sq-AL"/>
        </w:rPr>
      </w:pPr>
      <w:r w:rsidRPr="004D71BB">
        <w:rPr>
          <w:rFonts w:ascii="Times New Roman" w:eastAsia="Times New Roman" w:hAnsi="Times New Roman" w:cs="Times New Roman"/>
          <w:sz w:val="24"/>
          <w:szCs w:val="24"/>
          <w:lang w:eastAsia="sq-AL"/>
        </w:rPr>
        <w:t>aktivet e llogarisë, duke përfshirë të ardhurat e fituara prej saj, do të paguhen ose shpërndahen në përfitim të blerësit, shitësit, qiramarrësit ose qiradhënësit, duke përfshirë përmbushjen e detyrimit të këtij personi, në momentin kur pasuria shitet, shkëmbehet ose hiqet dorë prej saj ose kur zgjidhet kontrata e qirasë;</w:t>
      </w:r>
    </w:p>
    <w:p w14:paraId="36701483" w14:textId="77777777" w:rsidR="004A2E1B" w:rsidRPr="004D71BB" w:rsidRDefault="004A2E1B" w:rsidP="00591FCC">
      <w:pPr>
        <w:spacing w:after="0"/>
        <w:ind w:left="340"/>
        <w:jc w:val="both"/>
        <w:rPr>
          <w:rFonts w:ascii="Times New Roman" w:eastAsia="Times New Roman" w:hAnsi="Times New Roman" w:cs="Times New Roman"/>
          <w:sz w:val="24"/>
          <w:szCs w:val="24"/>
          <w:lang w:eastAsia="sq-AL"/>
        </w:rPr>
      </w:pPr>
      <w:r w:rsidRPr="004D71BB">
        <w:rPr>
          <w:rFonts w:ascii="Times New Roman" w:eastAsia="Times New Roman" w:hAnsi="Times New Roman" w:cs="Times New Roman"/>
          <w:sz w:val="24"/>
          <w:szCs w:val="24"/>
          <w:lang w:eastAsia="sq-AL"/>
        </w:rPr>
        <w:t>llogaria nuk është një llogari marzhi ose e ngjashme me të, e krijuar për shitjen ose shkëmbimin e aktivit financiar; dhe</w:t>
      </w:r>
    </w:p>
    <w:p w14:paraId="04CFC235" w14:textId="77777777" w:rsidR="004A2E1B" w:rsidRPr="004D71BB" w:rsidRDefault="004A2E1B" w:rsidP="00591FCC">
      <w:pPr>
        <w:spacing w:after="0"/>
        <w:ind w:left="340"/>
        <w:jc w:val="both"/>
        <w:rPr>
          <w:rFonts w:ascii="Times New Roman" w:eastAsia="Times New Roman" w:hAnsi="Times New Roman" w:cs="Times New Roman"/>
          <w:sz w:val="24"/>
          <w:szCs w:val="24"/>
          <w:lang w:eastAsia="sq-AL"/>
        </w:rPr>
      </w:pPr>
      <w:r w:rsidRPr="004D71BB">
        <w:rPr>
          <w:rFonts w:ascii="Times New Roman" w:eastAsia="Times New Roman" w:hAnsi="Times New Roman" w:cs="Times New Roman"/>
          <w:sz w:val="24"/>
          <w:szCs w:val="24"/>
          <w:lang w:eastAsia="sq-AL"/>
        </w:rPr>
        <w:t>llogaria nuk lidhet me ndonjë llogari të përshkruar në shkronjën “e” të kësaj pike;</w:t>
      </w:r>
    </w:p>
    <w:p w14:paraId="315A0BD9" w14:textId="77777777" w:rsidR="004A2E1B" w:rsidRPr="004D71BB" w:rsidRDefault="004A2E1B" w:rsidP="00591FCC">
      <w:pPr>
        <w:spacing w:after="0"/>
        <w:ind w:left="340"/>
        <w:jc w:val="both"/>
        <w:rPr>
          <w:rFonts w:ascii="Times New Roman" w:eastAsia="Times New Roman" w:hAnsi="Times New Roman" w:cs="Times New Roman"/>
          <w:sz w:val="24"/>
          <w:szCs w:val="24"/>
          <w:lang w:eastAsia="sq-AL"/>
        </w:rPr>
      </w:pPr>
      <w:r w:rsidRPr="004D71BB">
        <w:rPr>
          <w:rFonts w:ascii="Times New Roman" w:eastAsia="Times New Roman" w:hAnsi="Times New Roman" w:cs="Times New Roman"/>
          <w:sz w:val="24"/>
          <w:szCs w:val="24"/>
          <w:lang w:eastAsia="sq-AL"/>
        </w:rPr>
        <w:t>iii) detyrimi i institucionit financiar që jep huan e garantuar nga pasuria e paluajtshme për të lënë mënjanë një pjesë të pagesës vetëm për shlyerjen e tatimeve ose sigurimeve të lidhura me pasurinë e paluajtshme në një moment tjetër;</w:t>
      </w:r>
    </w:p>
    <w:p w14:paraId="66855E32" w14:textId="77777777" w:rsidR="004A2E1B" w:rsidRPr="004D71BB" w:rsidRDefault="004A2E1B" w:rsidP="00591FCC">
      <w:pPr>
        <w:spacing w:after="0"/>
        <w:ind w:left="340"/>
        <w:jc w:val="both"/>
        <w:rPr>
          <w:rFonts w:ascii="Times New Roman" w:eastAsia="Times New Roman" w:hAnsi="Times New Roman" w:cs="Times New Roman"/>
          <w:sz w:val="24"/>
          <w:szCs w:val="24"/>
          <w:lang w:eastAsia="sq-AL"/>
        </w:rPr>
      </w:pPr>
      <w:r w:rsidRPr="004D71BB">
        <w:rPr>
          <w:rFonts w:ascii="Times New Roman" w:eastAsia="Times New Roman" w:hAnsi="Times New Roman" w:cs="Times New Roman"/>
          <w:sz w:val="24"/>
          <w:szCs w:val="24"/>
          <w:lang w:eastAsia="sq-AL"/>
        </w:rPr>
        <w:t>iv) detyrimi i institucionit financiar vetëm për të lehtësuar shlyerjen e tatimeve në një moment tjetër;</w:t>
      </w:r>
    </w:p>
    <w:p w14:paraId="257B8041" w14:textId="77777777" w:rsidR="004A2E1B" w:rsidRPr="004D71BB" w:rsidRDefault="004A2E1B" w:rsidP="00591FCC">
      <w:pPr>
        <w:spacing w:after="0"/>
        <w:ind w:left="340"/>
        <w:jc w:val="both"/>
        <w:rPr>
          <w:rFonts w:ascii="Times New Roman" w:eastAsia="Times New Roman" w:hAnsi="Times New Roman" w:cs="Times New Roman"/>
          <w:sz w:val="24"/>
          <w:szCs w:val="24"/>
          <w:lang w:eastAsia="sq-AL"/>
        </w:rPr>
      </w:pPr>
      <w:r w:rsidRPr="004D71BB">
        <w:rPr>
          <w:rFonts w:ascii="Times New Roman" w:eastAsia="Times New Roman" w:hAnsi="Times New Roman" w:cs="Times New Roman"/>
          <w:sz w:val="24"/>
          <w:szCs w:val="24"/>
          <w:lang w:eastAsia="sq-AL"/>
        </w:rPr>
        <w:t>v) themelimi ose zmadhimi i kapitalit të një shoqërie, me kusht që llogaria të përmbushë kërkesat e mëposhtme:</w:t>
      </w:r>
    </w:p>
    <w:p w14:paraId="0DF3FA29" w14:textId="77777777" w:rsidR="004A2E1B" w:rsidRPr="004D71BB" w:rsidRDefault="004A2E1B" w:rsidP="00591FCC">
      <w:pPr>
        <w:spacing w:after="0"/>
        <w:ind w:left="340"/>
        <w:jc w:val="both"/>
        <w:rPr>
          <w:rFonts w:ascii="Times New Roman" w:eastAsia="Times New Roman" w:hAnsi="Times New Roman" w:cs="Times New Roman"/>
          <w:sz w:val="24"/>
          <w:szCs w:val="24"/>
          <w:lang w:eastAsia="sq-AL"/>
        </w:rPr>
      </w:pPr>
      <w:r w:rsidRPr="004D71BB">
        <w:rPr>
          <w:rFonts w:ascii="Times New Roman" w:eastAsia="Times New Roman" w:hAnsi="Times New Roman" w:cs="Times New Roman"/>
          <w:sz w:val="24"/>
          <w:szCs w:val="24"/>
          <w:lang w:eastAsia="sq-AL"/>
        </w:rPr>
        <w:t>llogaria përdoret vetëm për depozitimin e kapitalit që përdoret për qëllime të themelimit ose zmadhimit të kapitalit të një shoqërie, siç parashikohet nga legjislacioni;</w:t>
      </w:r>
    </w:p>
    <w:p w14:paraId="63D0A161" w14:textId="77777777" w:rsidR="004A2E1B" w:rsidRPr="004D71BB" w:rsidRDefault="004A2E1B" w:rsidP="00591FCC">
      <w:pPr>
        <w:spacing w:after="0"/>
        <w:ind w:left="340"/>
        <w:jc w:val="both"/>
        <w:rPr>
          <w:rFonts w:ascii="Times New Roman" w:eastAsia="Times New Roman" w:hAnsi="Times New Roman" w:cs="Times New Roman"/>
          <w:sz w:val="24"/>
          <w:szCs w:val="24"/>
          <w:lang w:eastAsia="sq-AL"/>
        </w:rPr>
      </w:pPr>
      <w:r w:rsidRPr="004D71BB">
        <w:rPr>
          <w:rFonts w:ascii="Times New Roman" w:eastAsia="Times New Roman" w:hAnsi="Times New Roman" w:cs="Times New Roman"/>
          <w:sz w:val="24"/>
          <w:szCs w:val="24"/>
          <w:lang w:eastAsia="sq-AL"/>
        </w:rPr>
        <w:t>çdo shumë e mbajtur në llogari është e bllokuar deri kur institucioni financiar raportues të ketë marrë një konfirmim të pavarur lidhur me themelimin ose zmadhimin e kapitalit;</w:t>
      </w:r>
    </w:p>
    <w:p w14:paraId="55CBDFB4" w14:textId="77777777" w:rsidR="004A2E1B" w:rsidRPr="004D71BB" w:rsidRDefault="004A2E1B" w:rsidP="00591FCC">
      <w:pPr>
        <w:spacing w:after="0"/>
        <w:ind w:left="340"/>
        <w:jc w:val="both"/>
        <w:rPr>
          <w:rFonts w:ascii="Times New Roman" w:eastAsia="Times New Roman" w:hAnsi="Times New Roman" w:cs="Times New Roman"/>
          <w:sz w:val="24"/>
          <w:szCs w:val="24"/>
          <w:lang w:eastAsia="sq-AL"/>
        </w:rPr>
      </w:pPr>
      <w:r w:rsidRPr="004D71BB">
        <w:rPr>
          <w:rFonts w:ascii="Times New Roman" w:eastAsia="Times New Roman" w:hAnsi="Times New Roman" w:cs="Times New Roman"/>
          <w:sz w:val="24"/>
          <w:szCs w:val="24"/>
          <w:lang w:eastAsia="sq-AL"/>
        </w:rPr>
        <w:t>llogaria mbyllet ose shndërrohet në llogari në emër të shoqërisë pas themelimit ose zmadhimit të kapitalit;</w:t>
      </w:r>
    </w:p>
    <w:p w14:paraId="0951D196" w14:textId="77777777" w:rsidR="004A2E1B" w:rsidRPr="004D71BB" w:rsidRDefault="004A2E1B" w:rsidP="00591FCC">
      <w:pPr>
        <w:spacing w:after="0"/>
        <w:ind w:left="340"/>
        <w:jc w:val="both"/>
        <w:rPr>
          <w:rFonts w:ascii="Times New Roman" w:eastAsia="Times New Roman" w:hAnsi="Times New Roman" w:cs="Times New Roman"/>
          <w:sz w:val="24"/>
          <w:szCs w:val="24"/>
          <w:lang w:eastAsia="sq-AL"/>
        </w:rPr>
      </w:pPr>
      <w:r w:rsidRPr="004D71BB">
        <w:rPr>
          <w:rFonts w:ascii="Times New Roman" w:eastAsia="Times New Roman" w:hAnsi="Times New Roman" w:cs="Times New Roman"/>
          <w:sz w:val="24"/>
          <w:szCs w:val="24"/>
          <w:lang w:eastAsia="sq-AL"/>
        </w:rPr>
        <w:t>çdo rimbursim që rezulton nga mosrealizimi i themelimit ose zmadhimit të kapitalit, neto nga tarifat e ofruesve të shërbimit dhe tarifat e ngjashme, u bëhet vetëm personave që kanë kontribuar shumat; dhe</w:t>
      </w:r>
    </w:p>
    <w:p w14:paraId="22E22F20" w14:textId="484565FB" w:rsidR="004A2E1B" w:rsidRPr="004D71BB" w:rsidRDefault="004A2E1B" w:rsidP="00591FCC">
      <w:pPr>
        <w:spacing w:after="0"/>
        <w:ind w:left="340"/>
        <w:jc w:val="both"/>
        <w:rPr>
          <w:rFonts w:ascii="Times New Roman" w:eastAsia="Times New Roman" w:hAnsi="Times New Roman" w:cs="Times New Roman"/>
          <w:sz w:val="24"/>
          <w:szCs w:val="24"/>
          <w:lang w:eastAsia="sq-AL"/>
        </w:rPr>
      </w:pPr>
      <w:r w:rsidRPr="004D71BB">
        <w:rPr>
          <w:rFonts w:ascii="Times New Roman" w:eastAsia="Times New Roman" w:hAnsi="Times New Roman" w:cs="Times New Roman"/>
          <w:sz w:val="24"/>
          <w:szCs w:val="24"/>
          <w:lang w:eastAsia="sq-AL"/>
        </w:rPr>
        <w:t>llogaria është hapur jo më herët se 12 muajt e fundit;</w:t>
      </w:r>
    </w:p>
    <w:p w14:paraId="296625C7" w14:textId="77777777" w:rsidR="004A2E1B" w:rsidRPr="004D71BB" w:rsidRDefault="004A2E1B" w:rsidP="00591FCC">
      <w:pPr>
        <w:spacing w:after="0"/>
        <w:ind w:left="340"/>
        <w:jc w:val="both"/>
        <w:rPr>
          <w:rFonts w:ascii="Times New Roman" w:eastAsia="Times New Roman" w:hAnsi="Times New Roman" w:cs="Times New Roman"/>
          <w:sz w:val="24"/>
          <w:szCs w:val="24"/>
          <w:lang w:eastAsia="sq-AL"/>
        </w:rPr>
      </w:pPr>
    </w:p>
    <w:p w14:paraId="67610D59" w14:textId="77D26D14" w:rsidR="004A2E1B" w:rsidRPr="004D71BB" w:rsidRDefault="004A2E1B" w:rsidP="00591FCC">
      <w:pPr>
        <w:pStyle w:val="NormalWeb"/>
        <w:spacing w:line="276" w:lineRule="auto"/>
        <w:rPr>
          <w:lang w:val="sq-AL" w:eastAsia="sq-AL"/>
        </w:rPr>
      </w:pPr>
      <w:r w:rsidRPr="004D71BB">
        <w:rPr>
          <w:lang w:eastAsia="sq-AL"/>
        </w:rPr>
        <w:t xml:space="preserve">dh) një llogari depozite që përfaqëson të gjitha Paratë Elektronike, për qëllime të zbatimit të rregullave të Bashkimit Evropian, dhe Produktet e Specifikuara të Parasë Elektronike, për qëllime të zbatimit të Standardit të Përbashkët të Raportimit, të mbajtura për përfitimin e një klienti, </w:t>
      </w:r>
      <w:r w:rsidR="00575FC6" w:rsidRPr="004D71BB">
        <w:rPr>
          <w:lang w:val="sq-AL" w:eastAsia="sq-AL"/>
        </w:rPr>
        <w:t>nëse mesatarja lëvizëse 90-ditore e gjendjes ose vlerës së agreguar të llogarisë në fund të ditës, e llogaritur për çdo periudhë prej 90 ditësh radhazi, nuk tejkalon 10 000 USD në asnjë ditë gjatë vitit kalendarik ose periudhës tjetër të përshtatshme të raportimit.</w:t>
      </w:r>
    </w:p>
    <w:p w14:paraId="7E4A162D" w14:textId="34C7930C" w:rsidR="004A2E1B" w:rsidRPr="004D71BB" w:rsidRDefault="004A2E1B" w:rsidP="00591FCC">
      <w:pPr>
        <w:spacing w:after="0"/>
        <w:jc w:val="both"/>
        <w:rPr>
          <w:rFonts w:ascii="Times New Roman" w:eastAsia="Times New Roman" w:hAnsi="Times New Roman" w:cs="Times New Roman"/>
          <w:sz w:val="24"/>
          <w:szCs w:val="24"/>
          <w:lang w:eastAsia="sq-AL"/>
        </w:rPr>
      </w:pPr>
      <w:r w:rsidRPr="004D71BB">
        <w:rPr>
          <w:rFonts w:ascii="Times New Roman" w:eastAsia="Times New Roman" w:hAnsi="Times New Roman" w:cs="Times New Roman"/>
          <w:sz w:val="24"/>
          <w:szCs w:val="24"/>
          <w:lang w:eastAsia="sq-AL"/>
        </w:rPr>
        <w:t>e) llogaria e depozitës që përmbush kërkesat e mëposhtme:</w:t>
      </w:r>
    </w:p>
    <w:p w14:paraId="00549125" w14:textId="77777777" w:rsidR="004A2E1B" w:rsidRPr="004D71BB" w:rsidRDefault="004A2E1B" w:rsidP="00591FCC">
      <w:pPr>
        <w:spacing w:after="0"/>
        <w:jc w:val="both"/>
        <w:rPr>
          <w:rFonts w:ascii="Times New Roman" w:eastAsia="Times New Roman" w:hAnsi="Times New Roman" w:cs="Times New Roman"/>
          <w:sz w:val="24"/>
          <w:szCs w:val="24"/>
          <w:lang w:eastAsia="sq-AL"/>
        </w:rPr>
      </w:pPr>
    </w:p>
    <w:p w14:paraId="7B41C8FC" w14:textId="4151F5EE" w:rsidR="004A2E1B" w:rsidRPr="004D71BB" w:rsidRDefault="004A2E1B" w:rsidP="00591FCC">
      <w:pPr>
        <w:spacing w:after="0"/>
        <w:ind w:left="340"/>
        <w:jc w:val="both"/>
        <w:rPr>
          <w:rFonts w:ascii="Times New Roman" w:eastAsia="Times New Roman" w:hAnsi="Times New Roman" w:cs="Times New Roman"/>
          <w:sz w:val="24"/>
          <w:szCs w:val="24"/>
          <w:lang w:eastAsia="sq-AL"/>
        </w:rPr>
      </w:pPr>
      <w:r w:rsidRPr="004D71BB">
        <w:rPr>
          <w:rFonts w:ascii="Times New Roman" w:eastAsia="Times New Roman" w:hAnsi="Times New Roman" w:cs="Times New Roman"/>
          <w:sz w:val="24"/>
          <w:szCs w:val="24"/>
          <w:lang w:eastAsia="sq-AL"/>
        </w:rPr>
        <w:t>i) llogaria ekziston vetëm sepse klienti kryen një pagesë përtej balancës së caktuar, lidhur me një kartë krediti ose instrumente të tjera kredie të rinovueshme, dhe mbipagesa nuk i kthehet menjëherë klientit; dhe</w:t>
      </w:r>
    </w:p>
    <w:p w14:paraId="25C86981" w14:textId="77777777" w:rsidR="004A2E1B" w:rsidRPr="004D71BB" w:rsidRDefault="004A2E1B" w:rsidP="00591FCC">
      <w:pPr>
        <w:spacing w:after="0"/>
        <w:ind w:left="340"/>
        <w:jc w:val="both"/>
        <w:rPr>
          <w:rFonts w:ascii="Times New Roman" w:eastAsia="Times New Roman" w:hAnsi="Times New Roman" w:cs="Times New Roman"/>
          <w:sz w:val="24"/>
          <w:szCs w:val="24"/>
          <w:lang w:eastAsia="sq-AL"/>
        </w:rPr>
      </w:pPr>
      <w:r w:rsidRPr="004D71BB">
        <w:rPr>
          <w:rFonts w:ascii="Times New Roman" w:eastAsia="Times New Roman" w:hAnsi="Times New Roman" w:cs="Times New Roman"/>
          <w:sz w:val="24"/>
          <w:szCs w:val="24"/>
          <w:lang w:eastAsia="sq-AL"/>
        </w:rPr>
        <w:t>ii) duke filluar në ose përpara datës së referencës të zbatueshme për profilin përkatës, të përcaktuar në aktin nënligjor, institucioni financiar zbaton politika dhe procedura, qoftë për ta penguar klientin që të kryejë mbipagesa që tejkalojnë 50 000 USD, qoftë për të garantuar që çdo mbipagesë e klientit që tejkalon 50 000 USD i rimbursohet klientit brenda 60 ditëve dhe, në secilin rast, zbatohen rregullat për konvertimin e monedhës të përcaktuara në nenin 12 dhe në aktin nënligjor të nxjerrë në zbatim të këtij ligji. Për këtë qëllim, mbipagesa e klientit nuk u referohet balancave të kreditit që përfshijnë tarifa të kundërshtuara, por përfshin balancat e kreditit që vijnë si rezultat i kthimit të mallit.</w:t>
      </w:r>
    </w:p>
    <w:p w14:paraId="2E827909" w14:textId="77777777" w:rsidR="004A2E1B" w:rsidRPr="004D71BB" w:rsidRDefault="004A2E1B" w:rsidP="00591FCC">
      <w:pPr>
        <w:spacing w:after="0"/>
        <w:ind w:left="340"/>
        <w:jc w:val="both"/>
        <w:rPr>
          <w:rFonts w:ascii="Times New Roman" w:eastAsia="Times New Roman" w:hAnsi="Times New Roman" w:cs="Times New Roman"/>
          <w:sz w:val="24"/>
          <w:szCs w:val="24"/>
          <w:lang w:eastAsia="sq-AL"/>
        </w:rPr>
      </w:pPr>
    </w:p>
    <w:p w14:paraId="585D48EE" w14:textId="3592AA40" w:rsidR="003F3149" w:rsidRPr="004D71BB" w:rsidRDefault="004A2E1B" w:rsidP="00591FCC">
      <w:pPr>
        <w:pStyle w:val="NormalWeb"/>
        <w:spacing w:line="276" w:lineRule="auto"/>
        <w:jc w:val="both"/>
      </w:pPr>
      <w:r w:rsidRPr="004D71BB">
        <w:rPr>
          <w:lang w:eastAsia="sq-AL"/>
        </w:rPr>
        <w:t xml:space="preserve">ë) çdo llogari tjetër që paraqet rrezik të ulët për t’u përdorur për evazion tatimor, ka karakteristika në thelb të ngjashme me llogaritë e përshkruara në shkronjat “a” deri “e” të kësaj pike, përfshihet në listën e llogarive të përjashtuara të përcaktuar me akt nënligjor </w:t>
      </w:r>
      <w:r w:rsidR="003F3149" w:rsidRPr="004D71BB">
        <w:t>dhe statusi i saj si Llogari e Përjashtuar nuk cenon, për profilin e Bashkimit Evropian, qëllimet e Direktivës 2011/16/BE, të ndryshuar, dhe, për profilin e Standardit të Përbashkët të Raportimit, qëllimet e Standardit.</w:t>
      </w:r>
    </w:p>
    <w:p w14:paraId="3E5081AF" w14:textId="0DC3BD03" w:rsidR="00075E85" w:rsidRPr="004D71BB" w:rsidRDefault="003F3149" w:rsidP="00591FCC">
      <w:pPr>
        <w:spacing w:after="0"/>
        <w:jc w:val="both"/>
        <w:rPr>
          <w:rFonts w:ascii="Times New Roman" w:eastAsia="Times New Roman" w:hAnsi="Times New Roman" w:cs="Times New Roman"/>
          <w:sz w:val="24"/>
          <w:szCs w:val="24"/>
          <w:lang w:val="en-US"/>
        </w:rPr>
      </w:pPr>
      <w:r w:rsidRPr="004D71BB">
        <w:rPr>
          <w:rFonts w:ascii="Times New Roman" w:eastAsia="Times New Roman" w:hAnsi="Times New Roman" w:cs="Times New Roman"/>
          <w:sz w:val="24"/>
          <w:szCs w:val="24"/>
          <w:lang w:val="en-US"/>
        </w:rPr>
        <w:t xml:space="preserve"> </w:t>
      </w:r>
      <w:r w:rsidR="00FF5421" w:rsidRPr="004D71BB">
        <w:rPr>
          <w:rFonts w:ascii="Times New Roman" w:eastAsia="Times New Roman" w:hAnsi="Times New Roman" w:cs="Times New Roman"/>
          <w:sz w:val="24"/>
          <w:szCs w:val="24"/>
          <w:lang w:val="en-US"/>
        </w:rPr>
        <w:t xml:space="preserve">45. </w:t>
      </w:r>
      <w:r w:rsidR="00933949" w:rsidRPr="004D71BB">
        <w:rPr>
          <w:rFonts w:ascii="Times New Roman" w:eastAsia="Times New Roman" w:hAnsi="Times New Roman" w:cs="Times New Roman"/>
          <w:sz w:val="24"/>
          <w:szCs w:val="24"/>
          <w:lang w:val="en-US"/>
        </w:rPr>
        <w:t xml:space="preserve">“Llogari e re” </w:t>
      </w:r>
      <w:r w:rsidR="00075E85" w:rsidRPr="004D71BB">
        <w:rPr>
          <w:rFonts w:ascii="Times New Roman" w:hAnsi="Times New Roman" w:cs="Times New Roman"/>
          <w:sz w:val="24"/>
          <w:szCs w:val="24"/>
        </w:rPr>
        <w:t>është:</w:t>
      </w:r>
    </w:p>
    <w:p w14:paraId="318BF728" w14:textId="77777777" w:rsidR="00075E85" w:rsidRPr="004D71BB" w:rsidRDefault="00075E85" w:rsidP="00591FCC">
      <w:pPr>
        <w:pStyle w:val="NormalWeb"/>
        <w:spacing w:line="276" w:lineRule="auto"/>
        <w:jc w:val="both"/>
      </w:pPr>
      <w:r w:rsidRPr="004D71BB">
        <w:rPr>
          <w:rStyle w:val="Strong"/>
          <w:b w:val="0"/>
          <w:bCs w:val="0"/>
        </w:rPr>
        <w:t>a)</w:t>
      </w:r>
      <w:r w:rsidRPr="004D71BB">
        <w:t xml:space="preserve"> për profilin e Bashkimit Evropian, një Llogari Financiare e mbajtur nga një Institucion Financiar Raportues, e hapur </w:t>
      </w:r>
      <w:r w:rsidRPr="004D71BB">
        <w:rPr>
          <w:rStyle w:val="Strong"/>
          <w:b w:val="0"/>
          <w:bCs w:val="0"/>
        </w:rPr>
        <w:t>më ose pas 1 janarit 2016</w:t>
      </w:r>
      <w:r w:rsidRPr="004D71BB">
        <w:t xml:space="preserve">, ose, kur llogaria trajtohet si Llogari Financiare vetëm për shkak të ndryshimeve të Direktivës 2011/16/BE, të bëra me Direktivën (BE) 2023/2226, e hapur </w:t>
      </w:r>
      <w:r w:rsidRPr="004D71BB">
        <w:rPr>
          <w:rStyle w:val="Strong"/>
          <w:b w:val="0"/>
          <w:bCs w:val="0"/>
        </w:rPr>
        <w:t>më ose pas 1 janarit 2026</w:t>
      </w:r>
      <w:r w:rsidRPr="004D71BB">
        <w:t>;</w:t>
      </w:r>
    </w:p>
    <w:p w14:paraId="71150386" w14:textId="4309CC43" w:rsidR="00933949" w:rsidRPr="004D71BB" w:rsidRDefault="00075E85" w:rsidP="00591FCC">
      <w:pPr>
        <w:pStyle w:val="NormalWeb"/>
        <w:spacing w:line="276" w:lineRule="auto"/>
      </w:pPr>
      <w:r w:rsidRPr="004D71BB">
        <w:rPr>
          <w:rStyle w:val="Strong"/>
          <w:b w:val="0"/>
          <w:bCs w:val="0"/>
        </w:rPr>
        <w:t>b)</w:t>
      </w:r>
      <w:r w:rsidRPr="004D71BB">
        <w:t xml:space="preserve"> për profilin e Standardit të Përbashkët të Raportimit, një Llogari Financiare e mbajtur nga një Institucion Financiar Raportues, e hapur </w:t>
      </w:r>
      <w:r w:rsidRPr="004D71BB">
        <w:rPr>
          <w:rStyle w:val="Strong"/>
          <w:b w:val="0"/>
          <w:bCs w:val="0"/>
        </w:rPr>
        <w:t>më ose pas 1 janarit 2019</w:t>
      </w:r>
      <w:r w:rsidRPr="004D71BB">
        <w:t xml:space="preserve">, ose, kur llogaria trajtohet si Llogari Financiare vetëm për shkak të ndryshimeve të Standardit, e hapur </w:t>
      </w:r>
      <w:r w:rsidRPr="004D71BB">
        <w:rPr>
          <w:rStyle w:val="Strong"/>
          <w:b w:val="0"/>
          <w:bCs w:val="0"/>
        </w:rPr>
        <w:t>më ose pas 1 janarit 2026</w:t>
      </w:r>
      <w:r w:rsidRPr="004D71BB">
        <w:t>.</w:t>
      </w:r>
    </w:p>
    <w:p w14:paraId="4E350CF0" w14:textId="4C04F15B" w:rsidR="00933949" w:rsidRPr="004D71BB" w:rsidRDefault="00FF5421" w:rsidP="00591FCC">
      <w:pPr>
        <w:spacing w:before="100" w:beforeAutospacing="1" w:after="100" w:afterAutospacing="1"/>
        <w:jc w:val="both"/>
        <w:rPr>
          <w:rFonts w:ascii="Times New Roman" w:eastAsia="Times New Roman" w:hAnsi="Times New Roman" w:cs="Times New Roman"/>
          <w:sz w:val="24"/>
          <w:szCs w:val="24"/>
          <w:lang w:val="en-US"/>
        </w:rPr>
      </w:pPr>
      <w:r w:rsidRPr="004D71BB">
        <w:rPr>
          <w:rFonts w:ascii="Times New Roman" w:eastAsia="Times New Roman" w:hAnsi="Times New Roman" w:cs="Times New Roman"/>
          <w:sz w:val="24"/>
          <w:szCs w:val="24"/>
          <w:lang w:val="en-US"/>
        </w:rPr>
        <w:t xml:space="preserve">46. </w:t>
      </w:r>
      <w:r w:rsidR="00452605" w:rsidRPr="004D71BB">
        <w:rPr>
          <w:rFonts w:ascii="Times New Roman" w:eastAsia="Times New Roman" w:hAnsi="Times New Roman" w:cs="Times New Roman"/>
          <w:sz w:val="24"/>
          <w:szCs w:val="24"/>
          <w:lang w:val="en-US"/>
        </w:rPr>
        <w:t xml:space="preserve"> </w:t>
      </w:r>
      <w:r w:rsidR="00933949" w:rsidRPr="004D71BB">
        <w:rPr>
          <w:rFonts w:ascii="Times New Roman" w:eastAsia="Times New Roman" w:hAnsi="Times New Roman" w:cs="Times New Roman"/>
          <w:sz w:val="24"/>
          <w:szCs w:val="24"/>
          <w:lang w:val="en-US"/>
        </w:rPr>
        <w:t>“Llogari e re e njësisë ekonomike” është një llogari e re e mbajtur nga një ose më shumë njësi ekonomike.</w:t>
      </w:r>
    </w:p>
    <w:p w14:paraId="643E2455" w14:textId="45D1AEA8" w:rsidR="00933949" w:rsidRPr="004D71BB" w:rsidRDefault="00FF5421" w:rsidP="00591FCC">
      <w:pPr>
        <w:spacing w:before="100" w:beforeAutospacing="1" w:after="100" w:afterAutospacing="1"/>
        <w:jc w:val="both"/>
        <w:rPr>
          <w:rFonts w:ascii="Times New Roman" w:eastAsia="Times New Roman" w:hAnsi="Times New Roman" w:cs="Times New Roman"/>
          <w:sz w:val="24"/>
          <w:szCs w:val="24"/>
          <w:lang w:val="en-US"/>
        </w:rPr>
      </w:pPr>
      <w:r w:rsidRPr="004D71BB">
        <w:rPr>
          <w:rFonts w:ascii="Times New Roman" w:eastAsia="Times New Roman" w:hAnsi="Times New Roman" w:cs="Times New Roman"/>
          <w:sz w:val="24"/>
          <w:szCs w:val="24"/>
          <w:lang w:val="en-US"/>
        </w:rPr>
        <w:t xml:space="preserve">47. </w:t>
      </w:r>
      <w:r w:rsidR="00933949" w:rsidRPr="004D71BB">
        <w:rPr>
          <w:rFonts w:ascii="Times New Roman" w:eastAsia="Times New Roman" w:hAnsi="Times New Roman" w:cs="Times New Roman"/>
          <w:sz w:val="24"/>
          <w:szCs w:val="24"/>
          <w:lang w:val="en-US"/>
        </w:rPr>
        <w:t>“Llogari e re individuale” është një llogari e re e mbajtur nga një ose më shumë individë.</w:t>
      </w:r>
    </w:p>
    <w:p w14:paraId="3F04C638" w14:textId="1E0293C4" w:rsidR="00933949" w:rsidRPr="004D71BB" w:rsidRDefault="00FF5421" w:rsidP="00591FCC">
      <w:pPr>
        <w:spacing w:before="100" w:beforeAutospacing="1" w:after="100" w:afterAutospacing="1"/>
        <w:jc w:val="both"/>
        <w:rPr>
          <w:rFonts w:ascii="Times New Roman" w:eastAsia="Times New Roman" w:hAnsi="Times New Roman" w:cs="Times New Roman"/>
          <w:sz w:val="24"/>
          <w:szCs w:val="24"/>
          <w:lang w:val="en-US"/>
        </w:rPr>
      </w:pPr>
      <w:r w:rsidRPr="004D71BB">
        <w:rPr>
          <w:rFonts w:ascii="Times New Roman" w:eastAsia="Times New Roman" w:hAnsi="Times New Roman" w:cs="Times New Roman"/>
          <w:sz w:val="24"/>
          <w:szCs w:val="24"/>
          <w:lang w:val="en-US"/>
        </w:rPr>
        <w:t xml:space="preserve">48. </w:t>
      </w:r>
      <w:r w:rsidR="00933949" w:rsidRPr="004D71BB">
        <w:rPr>
          <w:rFonts w:ascii="Times New Roman" w:eastAsia="Times New Roman" w:hAnsi="Times New Roman" w:cs="Times New Roman"/>
          <w:sz w:val="24"/>
          <w:szCs w:val="24"/>
          <w:lang w:val="en-US"/>
        </w:rPr>
        <w:t>“Llogari financiare” është një llogari e mbajtur nga një institucion financiar dhe përfshin llogarinë e depozitës, llogarinë e kujdestarisë dhe:</w:t>
      </w:r>
    </w:p>
    <w:p w14:paraId="3535170E" w14:textId="77777777" w:rsidR="00933949" w:rsidRPr="004D71BB" w:rsidRDefault="00933949" w:rsidP="00591FCC">
      <w:pPr>
        <w:spacing w:before="100" w:beforeAutospacing="1" w:after="100" w:afterAutospacing="1"/>
        <w:jc w:val="both"/>
        <w:rPr>
          <w:rFonts w:ascii="Times New Roman" w:eastAsia="Times New Roman" w:hAnsi="Times New Roman" w:cs="Times New Roman"/>
          <w:sz w:val="24"/>
          <w:szCs w:val="24"/>
          <w:lang w:val="en-US"/>
        </w:rPr>
      </w:pPr>
      <w:r w:rsidRPr="004D71BB">
        <w:rPr>
          <w:rFonts w:ascii="Times New Roman" w:eastAsia="Times New Roman" w:hAnsi="Times New Roman" w:cs="Times New Roman"/>
          <w:sz w:val="24"/>
          <w:szCs w:val="24"/>
          <w:lang w:val="en-US"/>
        </w:rPr>
        <w:t>a) në rastin e një njësie ekonomike investimesh, çdo interes në kapital ose borxh në institucionin financiar. Pavarësisht nga sa më sipër, termi “llogari financiare” nuk përfshin asnjë interes në kapital ose borxh në një njësi ekonomike që është njësi ekonomike investimesh vetëm sepse ajo:</w:t>
      </w:r>
    </w:p>
    <w:p w14:paraId="50C23D37" w14:textId="77777777" w:rsidR="00933949" w:rsidRPr="004D71BB" w:rsidRDefault="00933949" w:rsidP="00591FCC">
      <w:pPr>
        <w:spacing w:before="100" w:beforeAutospacing="1" w:after="100" w:afterAutospacing="1"/>
        <w:jc w:val="both"/>
        <w:rPr>
          <w:rFonts w:ascii="Times New Roman" w:eastAsia="Times New Roman" w:hAnsi="Times New Roman" w:cs="Times New Roman"/>
          <w:sz w:val="24"/>
          <w:szCs w:val="24"/>
          <w:lang w:val="en-US"/>
        </w:rPr>
      </w:pPr>
      <w:r w:rsidRPr="004D71BB">
        <w:rPr>
          <w:rFonts w:ascii="Times New Roman" w:eastAsia="Times New Roman" w:hAnsi="Times New Roman" w:cs="Times New Roman"/>
          <w:sz w:val="24"/>
          <w:szCs w:val="24"/>
          <w:lang w:val="en-US"/>
        </w:rPr>
        <w:lastRenderedPageBreak/>
        <w:t>i) jep këshilla investimi dhe vepron për llogari të klientit; ose</w:t>
      </w:r>
    </w:p>
    <w:p w14:paraId="46B34B9C" w14:textId="77777777" w:rsidR="00933949" w:rsidRPr="004D71BB" w:rsidRDefault="00933949" w:rsidP="00591FCC">
      <w:pPr>
        <w:spacing w:before="100" w:beforeAutospacing="1" w:after="100" w:afterAutospacing="1"/>
        <w:jc w:val="both"/>
        <w:rPr>
          <w:rFonts w:ascii="Times New Roman" w:eastAsia="Times New Roman" w:hAnsi="Times New Roman" w:cs="Times New Roman"/>
          <w:sz w:val="24"/>
          <w:szCs w:val="24"/>
          <w:lang w:val="en-US"/>
        </w:rPr>
      </w:pPr>
      <w:r w:rsidRPr="004D71BB">
        <w:rPr>
          <w:rFonts w:ascii="Times New Roman" w:eastAsia="Times New Roman" w:hAnsi="Times New Roman" w:cs="Times New Roman"/>
          <w:sz w:val="24"/>
          <w:szCs w:val="24"/>
          <w:lang w:val="en-US"/>
        </w:rPr>
        <w:t>ii) menaxhon portofolin dhe vepron për llogari të klientit për qëllime të investimit, menaxhimit ose administrimit të aktiveve financiare të depozituara në emër të klientit te një institucion financiar i ndryshëm nga kjo njësi ekonomike;</w:t>
      </w:r>
    </w:p>
    <w:p w14:paraId="67687756" w14:textId="77777777" w:rsidR="00933949" w:rsidRPr="004D71BB" w:rsidRDefault="00933949" w:rsidP="00591FCC">
      <w:pPr>
        <w:spacing w:before="100" w:beforeAutospacing="1" w:after="100" w:afterAutospacing="1"/>
        <w:jc w:val="both"/>
        <w:rPr>
          <w:rFonts w:ascii="Times New Roman" w:eastAsia="Times New Roman" w:hAnsi="Times New Roman" w:cs="Times New Roman"/>
          <w:sz w:val="24"/>
          <w:szCs w:val="24"/>
          <w:lang w:val="en-US"/>
        </w:rPr>
      </w:pPr>
      <w:r w:rsidRPr="004D71BB">
        <w:rPr>
          <w:rFonts w:ascii="Times New Roman" w:eastAsia="Times New Roman" w:hAnsi="Times New Roman" w:cs="Times New Roman"/>
          <w:sz w:val="24"/>
          <w:szCs w:val="24"/>
          <w:lang w:val="en-US"/>
        </w:rPr>
        <w:t>b) në rastin e një institucioni financiar që nuk është përshkruar në shkronjën “a” të kësaj pike, çdo interes në kapital ose borxh në institucionin financiar, nëse lloji i interesit është përcaktuar me qëllim shmangien e raportimit në pajtim me këtë ligj;</w:t>
      </w:r>
    </w:p>
    <w:p w14:paraId="22E63861" w14:textId="4DB31FC6" w:rsidR="00991FB8" w:rsidRPr="004D71BB" w:rsidRDefault="00991FB8" w:rsidP="00591FCC">
      <w:pPr>
        <w:spacing w:before="100" w:beforeAutospacing="1" w:after="100" w:afterAutospacing="1"/>
        <w:jc w:val="both"/>
        <w:rPr>
          <w:rFonts w:ascii="Times New Roman" w:eastAsia="Times New Roman" w:hAnsi="Times New Roman" w:cs="Times New Roman"/>
          <w:sz w:val="24"/>
          <w:szCs w:val="24"/>
          <w:lang w:val="en-US"/>
        </w:rPr>
      </w:pPr>
      <w:r w:rsidRPr="004D71BB">
        <w:rPr>
          <w:rFonts w:ascii="Times New Roman" w:hAnsi="Times New Roman" w:cs="Times New Roman"/>
          <w:sz w:val="24"/>
          <w:szCs w:val="24"/>
        </w:rPr>
        <w:t>c) çdo Kontratë Sigurimi me Vlerë në Para të Gatshme dhe çdo Kontratë Pensioni Vjetor që lëshohet ose mbahet nga Institucioni Financiar, me përjashtim të një Kontrate Pensioni Vjetor të menjëhershme, të patransferueshme dhe jo të lidhur me investime, e lëshuar për një individ dhe që monetizon një përfitim pensioni pleqërie ose invaliditeti të dhënë nëpërmjet një Llogarie të Përjashtuar.</w:t>
      </w:r>
    </w:p>
    <w:p w14:paraId="6254ACE6" w14:textId="77777777" w:rsidR="00933949" w:rsidRPr="004D71BB" w:rsidRDefault="00933949" w:rsidP="00591FCC">
      <w:pPr>
        <w:spacing w:before="100" w:beforeAutospacing="1" w:after="100" w:afterAutospacing="1"/>
        <w:jc w:val="both"/>
        <w:rPr>
          <w:rFonts w:ascii="Times New Roman" w:eastAsia="Times New Roman" w:hAnsi="Times New Roman" w:cs="Times New Roman"/>
          <w:sz w:val="24"/>
          <w:szCs w:val="24"/>
          <w:lang w:val="en-US"/>
        </w:rPr>
      </w:pPr>
      <w:r w:rsidRPr="004D71BB">
        <w:rPr>
          <w:rFonts w:ascii="Times New Roman" w:eastAsia="Times New Roman" w:hAnsi="Times New Roman" w:cs="Times New Roman"/>
          <w:sz w:val="24"/>
          <w:szCs w:val="24"/>
          <w:lang w:val="en-US"/>
        </w:rPr>
        <w:t>Termi “llogari financiare” nuk përfshin asnjë llogari që është llogari e përjashtuar.</w:t>
      </w:r>
    </w:p>
    <w:p w14:paraId="6579DD47" w14:textId="5FD8BB73" w:rsidR="00933949" w:rsidRPr="004D71BB" w:rsidRDefault="00FF5421" w:rsidP="00591FCC">
      <w:pPr>
        <w:spacing w:before="100" w:beforeAutospacing="1" w:after="100" w:afterAutospacing="1"/>
        <w:jc w:val="both"/>
        <w:rPr>
          <w:rFonts w:ascii="Times New Roman" w:eastAsia="Times New Roman" w:hAnsi="Times New Roman" w:cs="Times New Roman"/>
          <w:sz w:val="24"/>
          <w:szCs w:val="24"/>
          <w:lang w:val="en-US"/>
        </w:rPr>
      </w:pPr>
      <w:r w:rsidRPr="004D71BB">
        <w:rPr>
          <w:rFonts w:ascii="Times New Roman" w:eastAsia="Times New Roman" w:hAnsi="Times New Roman" w:cs="Times New Roman"/>
          <w:sz w:val="24"/>
          <w:szCs w:val="24"/>
          <w:lang w:val="en-US"/>
        </w:rPr>
        <w:t xml:space="preserve">49. </w:t>
      </w:r>
      <w:r w:rsidR="00933949" w:rsidRPr="004D71BB">
        <w:rPr>
          <w:rFonts w:ascii="Times New Roman" w:eastAsia="Times New Roman" w:hAnsi="Times New Roman" w:cs="Times New Roman"/>
          <w:sz w:val="24"/>
          <w:szCs w:val="24"/>
          <w:lang w:val="en-US"/>
        </w:rPr>
        <w:t>“Llogari individuale paraekzistuese” është një llogari paraekzistuese e mbajtur nga një ose disa individë.</w:t>
      </w:r>
    </w:p>
    <w:p w14:paraId="0F2AD1F3" w14:textId="61FF85FF" w:rsidR="00933949" w:rsidRPr="004D71BB" w:rsidRDefault="00FF5421" w:rsidP="00591FCC">
      <w:pPr>
        <w:spacing w:before="100" w:beforeAutospacing="1" w:after="100" w:afterAutospacing="1"/>
        <w:jc w:val="both"/>
        <w:rPr>
          <w:rFonts w:ascii="Times New Roman" w:eastAsia="Times New Roman" w:hAnsi="Times New Roman" w:cs="Times New Roman"/>
          <w:sz w:val="24"/>
          <w:szCs w:val="24"/>
          <w:lang w:val="en-US"/>
        </w:rPr>
      </w:pPr>
      <w:r w:rsidRPr="004D71BB">
        <w:rPr>
          <w:rFonts w:ascii="Times New Roman" w:eastAsia="Times New Roman" w:hAnsi="Times New Roman" w:cs="Times New Roman"/>
          <w:sz w:val="24"/>
          <w:szCs w:val="24"/>
          <w:lang w:val="en-US"/>
        </w:rPr>
        <w:t xml:space="preserve">50. </w:t>
      </w:r>
      <w:r w:rsidR="00933949" w:rsidRPr="004D71BB">
        <w:rPr>
          <w:rFonts w:ascii="Times New Roman" w:eastAsia="Times New Roman" w:hAnsi="Times New Roman" w:cs="Times New Roman"/>
          <w:sz w:val="24"/>
          <w:szCs w:val="24"/>
          <w:lang w:val="en-US"/>
        </w:rPr>
        <w:t>“Llogari kujdestarie” është një llogari, e ndryshme nga kontratat e sigurimit ose kontratat e pensionit vjetor, që mban një ose më shumë aktive financiare në përfitim të një personi tjetër. Një marrëveshje për mbajtjen ose administrimin e instrumentit që mundëson kontrollin mbi një ose më shumë aktive financiare të lëshuara në formën e një kriptoaseti, për përfitimin e një personi tjetër, është gjithashtu një llogari kujdestarie, në masën që njësia ekonomike ka aftësinë të menaxhojë, të tregtojë ose të transferojë te palët e treta këto aktive financiare bazë për llogari të personit.</w:t>
      </w:r>
    </w:p>
    <w:p w14:paraId="768285C6" w14:textId="2279FA6C" w:rsidR="00075E85" w:rsidRPr="004D71BB" w:rsidRDefault="00FF5421" w:rsidP="00591FCC">
      <w:pPr>
        <w:pStyle w:val="pdq2pgselectionanchorcontainer"/>
        <w:spacing w:line="276" w:lineRule="auto"/>
      </w:pPr>
      <w:r w:rsidRPr="004D71BB">
        <w:t xml:space="preserve">51. </w:t>
      </w:r>
      <w:r w:rsidR="00933949" w:rsidRPr="004D71BB">
        <w:t xml:space="preserve">“Llogari me vlerë më të ulët” </w:t>
      </w:r>
      <w:r w:rsidR="00075E85" w:rsidRPr="004D71BB">
        <w:rPr>
          <w:rStyle w:val="Strong"/>
          <w:b w:val="0"/>
          <w:bCs w:val="0"/>
        </w:rPr>
        <w:t>është një Llogari Individuale Paraekzistuese me një balancë ose vlerë të përgjithshme që:</w:t>
      </w:r>
    </w:p>
    <w:p w14:paraId="085302C1" w14:textId="77777777" w:rsidR="00075E85" w:rsidRPr="004D71BB" w:rsidRDefault="00075E85" w:rsidP="00591FCC">
      <w:pPr>
        <w:pStyle w:val="NormalWeb"/>
        <w:spacing w:line="276" w:lineRule="auto"/>
      </w:pPr>
      <w:r w:rsidRPr="004D71BB">
        <w:t>a) për profilin e Bashkimit Evropian, më 31 dhjetor 2015 nuk tejkalon ekuivalentin e 1 000 000 USD;</w:t>
      </w:r>
    </w:p>
    <w:p w14:paraId="78C512FE" w14:textId="2CEB1E5B" w:rsidR="00933949" w:rsidRPr="004D71BB" w:rsidRDefault="00075E85" w:rsidP="00591FCC">
      <w:pPr>
        <w:pStyle w:val="NormalWeb"/>
        <w:spacing w:line="276" w:lineRule="auto"/>
      </w:pPr>
      <w:r w:rsidRPr="004D71BB">
        <w:t>b) për profilin e Standardit të Përbashkët të Raportimit, më 31 dhjetor 2018 nuk tejkalon 1 000 000 USD.</w:t>
      </w:r>
    </w:p>
    <w:p w14:paraId="73A12A3A" w14:textId="0141F63C" w:rsidR="00075E85" w:rsidRPr="004D71BB" w:rsidRDefault="00FF5421" w:rsidP="00591FCC">
      <w:pPr>
        <w:pStyle w:val="pdq2pgselectionanchorcontainer"/>
        <w:spacing w:line="276" w:lineRule="auto"/>
        <w:jc w:val="both"/>
      </w:pPr>
      <w:r w:rsidRPr="004D71BB">
        <w:t xml:space="preserve">52. </w:t>
      </w:r>
      <w:r w:rsidR="00933949" w:rsidRPr="004D71BB">
        <w:t xml:space="preserve">“Llogari me vlerë të madhe” </w:t>
      </w:r>
      <w:r w:rsidR="00075E85" w:rsidRPr="004D71BB">
        <w:rPr>
          <w:rStyle w:val="Strong"/>
          <w:b w:val="0"/>
          <w:bCs w:val="0"/>
        </w:rPr>
        <w:t>është një Llogari Individuale Paraekzistuese me një balancë ose vlerë të përgjithshme që:</w:t>
      </w:r>
    </w:p>
    <w:p w14:paraId="08DDF154" w14:textId="77777777" w:rsidR="00075E85" w:rsidRPr="004D71BB" w:rsidRDefault="00075E85" w:rsidP="00591FCC">
      <w:pPr>
        <w:pStyle w:val="NormalWeb"/>
        <w:spacing w:line="276" w:lineRule="auto"/>
      </w:pPr>
      <w:r w:rsidRPr="004D71BB">
        <w:t>a) për profilin e Bashkimit Evropian, tejkalon ekuivalentin e 1 000 000 USD më 31 dhjetor 2015 ose më 31 dhjetor të çdo viti pasues;</w:t>
      </w:r>
    </w:p>
    <w:p w14:paraId="3B76918F" w14:textId="54C95B8C" w:rsidR="00933949" w:rsidRPr="004D71BB" w:rsidRDefault="00075E85" w:rsidP="00591FCC">
      <w:pPr>
        <w:pStyle w:val="NormalWeb"/>
        <w:spacing w:line="276" w:lineRule="auto"/>
      </w:pPr>
      <w:r w:rsidRPr="004D71BB">
        <w:lastRenderedPageBreak/>
        <w:t>b) për profilin e Standardit të Përbashkët të Raportimit, tejkalon 1 000 000 USD më 31 dhjetor 2018 ose më 31 dhjetor të çdo viti pasues.</w:t>
      </w:r>
    </w:p>
    <w:p w14:paraId="0FECFF85" w14:textId="7EB39B1B" w:rsidR="00075E85" w:rsidRPr="004D71BB" w:rsidRDefault="00FF5421" w:rsidP="00591FCC">
      <w:pPr>
        <w:pStyle w:val="pdq2pgselectionanchorcontainer"/>
        <w:spacing w:line="276" w:lineRule="auto"/>
      </w:pPr>
      <w:r w:rsidRPr="004D71BB">
        <w:t xml:space="preserve">53. </w:t>
      </w:r>
      <w:r w:rsidR="00933949" w:rsidRPr="004D71BB">
        <w:t xml:space="preserve">“Llogari paraekzistuese” </w:t>
      </w:r>
      <w:r w:rsidR="00075E85" w:rsidRPr="004D71BB">
        <w:rPr>
          <w:rStyle w:val="Strong"/>
          <w:b w:val="0"/>
          <w:bCs w:val="0"/>
        </w:rPr>
        <w:t>është:</w:t>
      </w:r>
    </w:p>
    <w:p w14:paraId="12135308" w14:textId="77777777" w:rsidR="00075E85" w:rsidRPr="004D71BB" w:rsidRDefault="00075E85" w:rsidP="00591FCC">
      <w:pPr>
        <w:pStyle w:val="NormalWeb"/>
        <w:spacing w:line="276" w:lineRule="auto"/>
      </w:pPr>
      <w:r w:rsidRPr="004D71BB">
        <w:t>a) një Llogari Financiare e mbajtur nga një Institucion Financiar Raportues:</w:t>
      </w:r>
    </w:p>
    <w:p w14:paraId="0A6518DA" w14:textId="77777777" w:rsidR="00075E85" w:rsidRPr="004D71BB" w:rsidRDefault="00075E85" w:rsidP="00591FCC">
      <w:pPr>
        <w:pStyle w:val="NormalWeb"/>
        <w:spacing w:line="276" w:lineRule="auto"/>
      </w:pPr>
      <w:r w:rsidRPr="004D71BB">
        <w:t>i) për profilin e Bashkimit Evropian, më 31 dhjetor 2015 ose, kur llogaria trajtohet si Llogari Financiare vetëm për shkak të ndryshimeve të Direktivës 2011/16/BE, të bëra me Direktivën (BE) 2023/2226, më 31 dhjetor 2025;</w:t>
      </w:r>
    </w:p>
    <w:p w14:paraId="6377067C" w14:textId="77777777" w:rsidR="00075E85" w:rsidRPr="004D71BB" w:rsidRDefault="00075E85" w:rsidP="00591FCC">
      <w:pPr>
        <w:pStyle w:val="NormalWeb"/>
        <w:spacing w:line="276" w:lineRule="auto"/>
        <w:jc w:val="both"/>
      </w:pPr>
      <w:r w:rsidRPr="004D71BB">
        <w:t>ii) për profilin e Standardit të Përbashkët të Raportimit, më 31 dhjetor 2018 ose, kur llogaria trajtohet si Llogari Financiare vetëm për shkak të amendimeve në Standard, më 31 dhjetor 2025;</w:t>
      </w:r>
    </w:p>
    <w:p w14:paraId="6840B217" w14:textId="77777777" w:rsidR="00075E85" w:rsidRPr="004D71BB" w:rsidRDefault="00075E85" w:rsidP="00591FCC">
      <w:pPr>
        <w:pStyle w:val="NormalWeb"/>
        <w:spacing w:line="276" w:lineRule="auto"/>
        <w:jc w:val="both"/>
      </w:pPr>
      <w:r w:rsidRPr="004D71BB">
        <w:t>b) çdo Llogari Financiare të mbajtësit të llogarisë, pavarësisht nga data kur kjo Llogari Financiare është hapur, nëse:</w:t>
      </w:r>
    </w:p>
    <w:p w14:paraId="14FCFD8A" w14:textId="77777777" w:rsidR="00075E85" w:rsidRPr="004D71BB" w:rsidRDefault="00075E85" w:rsidP="00591FCC">
      <w:pPr>
        <w:pStyle w:val="NormalWeb"/>
        <w:spacing w:line="276" w:lineRule="auto"/>
        <w:jc w:val="both"/>
      </w:pPr>
      <w:r w:rsidRPr="004D71BB">
        <w:t>i) mbajtësi i llogarisë gjithashtu mban në Institucionin Financiar Raportues, ose në një Njësi Ekonomike të Lidhur që i përket të njëjtit juridiksion si Institucioni Financiar Raportues, një Llogari Financiare që është Llogari Paraekzistuese sipas shkronjës “a” të kësaj pike;</w:t>
      </w:r>
    </w:p>
    <w:p w14:paraId="48976129" w14:textId="4E77A406" w:rsidR="00075E85" w:rsidRPr="004D71BB" w:rsidRDefault="00075E85" w:rsidP="00591FCC">
      <w:pPr>
        <w:pStyle w:val="NormalWeb"/>
        <w:spacing w:line="276" w:lineRule="auto"/>
        <w:jc w:val="both"/>
      </w:pPr>
      <w:r w:rsidRPr="004D71BB">
        <w:t xml:space="preserve">ii) </w:t>
      </w:r>
      <w:r w:rsidR="00E95D97" w:rsidRPr="004D71BB">
        <w:t>Institucioni Financiar Raportues dhe, sipas rastit, Njësia Ekonomike e Lidhur e të njëjtit juridiksion, trajton të dyja Llogaritë Financiare të lartpërmendura dhe çdo Llogari tjetër Financiare të mbajtësit të llogarisë që trajtohet si Llogari Paraekzistuese në pajtim me këtë shkronjë, si një Llogari Financiare të vetme për përmbushjen e kërkesave lidhur me dijeninë ose arsyen për të ditur të përcaktuara në nenin 12, pika 1, dhe për përcaktimin e balancës ose vlerës së secilës Llogari Financiare gjatë zbatimit të pragjeve përkatëse;</w:t>
      </w:r>
    </w:p>
    <w:p w14:paraId="72774D6A" w14:textId="77777777" w:rsidR="00075E85" w:rsidRPr="004D71BB" w:rsidRDefault="00075E85" w:rsidP="00591FCC">
      <w:pPr>
        <w:pStyle w:val="NormalWeb"/>
        <w:spacing w:line="276" w:lineRule="auto"/>
        <w:jc w:val="both"/>
      </w:pPr>
      <w:r w:rsidRPr="004D71BB">
        <w:t>iii) në rastin e një Llogarie Financiare që është subjekt i procedurave të PPP/NJKT, Institucioni Financiar Raportues lejohet të plotësojë procedurat e PPP/NJKT për Llogarinë Financiare duke u mbështetur në procedurat e PPP/NJKT të kryera për Llogarinë Paraekzistuese sipas shkronjës “a” të kësaj pike; dhe</w:t>
      </w:r>
    </w:p>
    <w:p w14:paraId="3A596DC5" w14:textId="22B9DDD5" w:rsidR="00933949" w:rsidRPr="004D71BB" w:rsidRDefault="00075E85" w:rsidP="00591FCC">
      <w:pPr>
        <w:pStyle w:val="NormalWeb"/>
        <w:spacing w:line="276" w:lineRule="auto"/>
        <w:jc w:val="both"/>
      </w:pPr>
      <w:r w:rsidRPr="004D71BB">
        <w:t>iv) hapja e Llogarisë Financiare nuk kërkon dhënien e informacionit të ri, shtesë ose të ndryshuar nga mbajtësi i llogarisë, përveçse për qëllimet e këtij ligji.</w:t>
      </w:r>
    </w:p>
    <w:p w14:paraId="13D4E095" w14:textId="0DD921CD" w:rsidR="00933949" w:rsidRPr="004D71BB" w:rsidRDefault="00FF5421" w:rsidP="00591FCC">
      <w:pPr>
        <w:spacing w:before="100" w:beforeAutospacing="1" w:after="100" w:afterAutospacing="1"/>
        <w:jc w:val="both"/>
        <w:rPr>
          <w:rFonts w:ascii="Times New Roman" w:eastAsia="Times New Roman" w:hAnsi="Times New Roman" w:cs="Times New Roman"/>
          <w:sz w:val="24"/>
          <w:szCs w:val="24"/>
          <w:lang w:val="en-US"/>
        </w:rPr>
      </w:pPr>
      <w:r w:rsidRPr="004D71BB">
        <w:rPr>
          <w:rFonts w:ascii="Times New Roman" w:eastAsia="Times New Roman" w:hAnsi="Times New Roman" w:cs="Times New Roman"/>
          <w:sz w:val="24"/>
          <w:szCs w:val="24"/>
          <w:lang w:val="en-US"/>
        </w:rPr>
        <w:t xml:space="preserve">54. </w:t>
      </w:r>
      <w:r w:rsidR="00933949" w:rsidRPr="004D71BB">
        <w:rPr>
          <w:rFonts w:ascii="Times New Roman" w:eastAsia="Times New Roman" w:hAnsi="Times New Roman" w:cs="Times New Roman"/>
          <w:sz w:val="24"/>
          <w:szCs w:val="24"/>
          <w:lang w:val="en-US"/>
        </w:rPr>
        <w:t>“Llogari paraekzistuese e njësisë ekonomike” është një llogari paraekzistuese e mbajtur nga një ose më shumë njësi ekonomike.</w:t>
      </w:r>
    </w:p>
    <w:p w14:paraId="68B86894" w14:textId="099F55F1" w:rsidR="00933949" w:rsidRPr="004D71BB" w:rsidRDefault="00FF5421" w:rsidP="00591FCC">
      <w:pPr>
        <w:spacing w:before="100" w:beforeAutospacing="1" w:after="100" w:afterAutospacing="1"/>
        <w:jc w:val="both"/>
        <w:rPr>
          <w:rFonts w:ascii="Times New Roman" w:eastAsia="Times New Roman" w:hAnsi="Times New Roman" w:cs="Times New Roman"/>
          <w:sz w:val="24"/>
          <w:szCs w:val="24"/>
          <w:lang w:val="en-US"/>
        </w:rPr>
      </w:pPr>
      <w:r w:rsidRPr="004D71BB">
        <w:rPr>
          <w:rFonts w:ascii="Times New Roman" w:eastAsia="Times New Roman" w:hAnsi="Times New Roman" w:cs="Times New Roman"/>
          <w:sz w:val="24"/>
          <w:szCs w:val="24"/>
          <w:lang w:val="en-US"/>
        </w:rPr>
        <w:t xml:space="preserve">55. </w:t>
      </w:r>
      <w:r w:rsidR="00933949" w:rsidRPr="004D71BB">
        <w:rPr>
          <w:rFonts w:ascii="Times New Roman" w:eastAsia="Times New Roman" w:hAnsi="Times New Roman" w:cs="Times New Roman"/>
          <w:sz w:val="24"/>
          <w:szCs w:val="24"/>
          <w:lang w:val="en-US"/>
        </w:rPr>
        <w:t xml:space="preserve">“Mbajtës i llogarisë” është personi i listuar ose i identifikuar si mbajtësi i llogarisë financiare nga institucioni financiar që mban llogarinë. Personi, i ndryshëm nga institucioni financiar, që mban një llogari financiare në përfitim të ose për llogari të një personi tjetër si agjent, kujdestar, i emëruar, nënshkrues, këshilltar investimesh ose ndërmjetës, nuk trajtohet si </w:t>
      </w:r>
      <w:r w:rsidR="00933949" w:rsidRPr="004D71BB">
        <w:rPr>
          <w:rFonts w:ascii="Times New Roman" w:eastAsia="Times New Roman" w:hAnsi="Times New Roman" w:cs="Times New Roman"/>
          <w:sz w:val="24"/>
          <w:szCs w:val="24"/>
          <w:lang w:val="en-US"/>
        </w:rPr>
        <w:lastRenderedPageBreak/>
        <w:t>person që mban llogarinë për qëllime të këtij ligji dhe personi tjetër trajtohet si personi që mban llogarinë.</w:t>
      </w:r>
    </w:p>
    <w:p w14:paraId="0590D54E" w14:textId="77777777" w:rsidR="00933949" w:rsidRPr="004D71BB" w:rsidRDefault="00933949" w:rsidP="00591FCC">
      <w:pPr>
        <w:spacing w:before="100" w:beforeAutospacing="1" w:after="100" w:afterAutospacing="1"/>
        <w:jc w:val="both"/>
        <w:rPr>
          <w:rFonts w:ascii="Times New Roman" w:eastAsia="Times New Roman" w:hAnsi="Times New Roman" w:cs="Times New Roman"/>
          <w:sz w:val="24"/>
          <w:szCs w:val="24"/>
          <w:lang w:val="en-US"/>
        </w:rPr>
      </w:pPr>
      <w:r w:rsidRPr="004D71BB">
        <w:rPr>
          <w:rFonts w:ascii="Times New Roman" w:eastAsia="Times New Roman" w:hAnsi="Times New Roman" w:cs="Times New Roman"/>
          <w:sz w:val="24"/>
          <w:szCs w:val="24"/>
          <w:lang w:val="en-US"/>
        </w:rPr>
        <w:t>Në rastin e një kontrate sigurimi në vlerë në para të gatshme ose kontrate pensioni vjetor, mbajtësi i llogarisë është çdo person që ka të drejtë të ketë akses në vlerën në para të gatshme ose të ndryshojë përfituesin e kontratës. Nëse asnjë person nuk mund të ketë akses në vlerën në para të gatshme ose të ndryshojë përfituesin, mbajtësi i llogarisë është çdo person i emëruar si pronar në kontratë dhe çdo person mbi të cilin bie e drejta e pagesës sipas kushteve të kontratës. Menjëherë pas maturimit të kontratës së sigurimit në vlerë në para të gatshme ose kontratës së pensionit vjetor, çdo person që ka të drejtë të marrë pagesë sipas kontratës trajtohet si mbajtës llogarie.</w:t>
      </w:r>
    </w:p>
    <w:p w14:paraId="2053B527" w14:textId="77777777" w:rsidR="00933949" w:rsidRPr="004D71BB" w:rsidRDefault="00933949" w:rsidP="00591FCC">
      <w:pPr>
        <w:spacing w:before="100" w:beforeAutospacing="1" w:after="100" w:afterAutospacing="1"/>
        <w:jc w:val="both"/>
        <w:rPr>
          <w:rFonts w:ascii="Times New Roman" w:eastAsia="Times New Roman" w:hAnsi="Times New Roman" w:cs="Times New Roman"/>
          <w:sz w:val="24"/>
          <w:szCs w:val="24"/>
          <w:lang w:val="en-US"/>
        </w:rPr>
      </w:pPr>
      <w:r w:rsidRPr="004D71BB">
        <w:rPr>
          <w:rFonts w:ascii="Times New Roman" w:eastAsia="Times New Roman" w:hAnsi="Times New Roman" w:cs="Times New Roman"/>
          <w:sz w:val="24"/>
          <w:szCs w:val="24"/>
          <w:lang w:val="en-US"/>
        </w:rPr>
        <w:t>Personat që kanë të drejtën e aksesit në vlerën në para të gatshme ose të drejtën për të ndryshuar përfituesit e kontratës konsiderohen mbajtës të llogarisë në lidhje me kontratën e sigurimit në vlerë në para të gatshme, përveç rastit kur ata kanë hequr dorë përfundimisht, plotësisht dhe në mënyrë të pakthyeshme si nga e drejta e aksesit në vlerën në para të gatshme, ashtu edhe nga e drejta për të ndryshuar përfituesit e kontratës së sigurimit në vlerë në para të gatshme.</w:t>
      </w:r>
    </w:p>
    <w:p w14:paraId="46596C43" w14:textId="172D070C" w:rsidR="00933949" w:rsidRPr="004D71BB" w:rsidRDefault="00FF5421" w:rsidP="00591FCC">
      <w:pPr>
        <w:spacing w:before="100" w:beforeAutospacing="1" w:after="100" w:afterAutospacing="1"/>
        <w:jc w:val="both"/>
        <w:rPr>
          <w:rFonts w:ascii="Times New Roman" w:eastAsia="Times New Roman" w:hAnsi="Times New Roman" w:cs="Times New Roman"/>
          <w:sz w:val="24"/>
          <w:szCs w:val="24"/>
          <w:lang w:val="en-US"/>
        </w:rPr>
      </w:pPr>
      <w:r w:rsidRPr="004D71BB">
        <w:rPr>
          <w:rFonts w:ascii="Times New Roman" w:eastAsia="Times New Roman" w:hAnsi="Times New Roman" w:cs="Times New Roman"/>
          <w:sz w:val="24"/>
          <w:szCs w:val="24"/>
          <w:lang w:val="en-US"/>
        </w:rPr>
        <w:t xml:space="preserve">56. </w:t>
      </w:r>
      <w:r w:rsidR="00933949" w:rsidRPr="004D71BB">
        <w:rPr>
          <w:rFonts w:ascii="Times New Roman" w:eastAsia="Times New Roman" w:hAnsi="Times New Roman" w:cs="Times New Roman"/>
          <w:sz w:val="24"/>
          <w:szCs w:val="24"/>
          <w:lang w:val="en-US"/>
        </w:rPr>
        <w:t>“NFE” është çdo njësi ekonomike që nuk është institucion financiar.</w:t>
      </w:r>
    </w:p>
    <w:p w14:paraId="6F9B3109" w14:textId="16D7AFF7" w:rsidR="00933949" w:rsidRPr="004D71BB" w:rsidRDefault="00FF5421" w:rsidP="00591FCC">
      <w:pPr>
        <w:spacing w:before="100" w:beforeAutospacing="1" w:after="100" w:afterAutospacing="1"/>
        <w:jc w:val="both"/>
        <w:rPr>
          <w:rFonts w:ascii="Times New Roman" w:eastAsia="Times New Roman" w:hAnsi="Times New Roman" w:cs="Times New Roman"/>
          <w:sz w:val="24"/>
          <w:szCs w:val="24"/>
          <w:lang w:val="en-US"/>
        </w:rPr>
      </w:pPr>
      <w:r w:rsidRPr="004D71BB">
        <w:rPr>
          <w:rFonts w:ascii="Times New Roman" w:eastAsia="Times New Roman" w:hAnsi="Times New Roman" w:cs="Times New Roman"/>
          <w:sz w:val="24"/>
          <w:szCs w:val="24"/>
          <w:lang w:val="en-US"/>
        </w:rPr>
        <w:t xml:space="preserve">57. </w:t>
      </w:r>
      <w:r w:rsidR="00933949" w:rsidRPr="004D71BB">
        <w:rPr>
          <w:rFonts w:ascii="Times New Roman" w:eastAsia="Times New Roman" w:hAnsi="Times New Roman" w:cs="Times New Roman"/>
          <w:sz w:val="24"/>
          <w:szCs w:val="24"/>
          <w:lang w:val="en-US"/>
        </w:rPr>
        <w:t>“NFE aktive” është çdo NFE që përmbush të paktën një nga kriteret e mëposhtme:</w:t>
      </w:r>
    </w:p>
    <w:p w14:paraId="2FB51949" w14:textId="77777777" w:rsidR="00933949" w:rsidRPr="004D71BB" w:rsidRDefault="00933949" w:rsidP="00591FCC">
      <w:pPr>
        <w:spacing w:before="100" w:beforeAutospacing="1" w:after="100" w:afterAutospacing="1"/>
        <w:jc w:val="both"/>
        <w:rPr>
          <w:rFonts w:ascii="Times New Roman" w:eastAsia="Times New Roman" w:hAnsi="Times New Roman" w:cs="Times New Roman"/>
          <w:sz w:val="24"/>
          <w:szCs w:val="24"/>
          <w:lang w:val="en-US"/>
        </w:rPr>
      </w:pPr>
      <w:r w:rsidRPr="004D71BB">
        <w:rPr>
          <w:rFonts w:ascii="Times New Roman" w:eastAsia="Times New Roman" w:hAnsi="Times New Roman" w:cs="Times New Roman"/>
          <w:sz w:val="24"/>
          <w:szCs w:val="24"/>
          <w:lang w:val="en-US"/>
        </w:rPr>
        <w:t>a) më pak se 50 për qind e të ardhurave bruto të NFE-së për vitin kalendarik paraardhës ose një periudhë tjetër të përshtatshme raportimi janë të ardhura pasive dhe më pak se 50 për qind e aktiveve të mbajtura nga NFE-ja gjatë vitit kalendarik paraardhës ose një periudhe tjetër të përshtatshme raportimi janë aktive që prodhojnë ose mbahen për prodhimin e të ardhurave pasive;</w:t>
      </w:r>
    </w:p>
    <w:p w14:paraId="5197D877" w14:textId="77777777" w:rsidR="00933949" w:rsidRPr="004D71BB" w:rsidRDefault="00933949" w:rsidP="00591FCC">
      <w:pPr>
        <w:spacing w:before="100" w:beforeAutospacing="1" w:after="100" w:afterAutospacing="1"/>
        <w:jc w:val="both"/>
        <w:rPr>
          <w:rFonts w:ascii="Times New Roman" w:eastAsia="Times New Roman" w:hAnsi="Times New Roman" w:cs="Times New Roman"/>
          <w:sz w:val="24"/>
          <w:szCs w:val="24"/>
          <w:lang w:val="en-US"/>
        </w:rPr>
      </w:pPr>
      <w:r w:rsidRPr="004D71BB">
        <w:rPr>
          <w:rFonts w:ascii="Times New Roman" w:eastAsia="Times New Roman" w:hAnsi="Times New Roman" w:cs="Times New Roman"/>
          <w:sz w:val="24"/>
          <w:szCs w:val="24"/>
          <w:lang w:val="en-US"/>
        </w:rPr>
        <w:t>b) aksionet e NFE-së tregtohen rregullisht në një treg të konsoliduar letrash me vlerë ose NFE-ja është njësi ekonomike e lidhur me një njësi ekonomike, aksionet e së cilës tregtohen rregullisht në një treg të konsoliduar letrash me vlerë;</w:t>
      </w:r>
    </w:p>
    <w:p w14:paraId="495829FE" w14:textId="77777777" w:rsidR="00933949" w:rsidRPr="004D71BB" w:rsidRDefault="00933949" w:rsidP="00591FCC">
      <w:pPr>
        <w:spacing w:before="100" w:beforeAutospacing="1" w:after="100" w:afterAutospacing="1"/>
        <w:jc w:val="both"/>
        <w:rPr>
          <w:rFonts w:ascii="Times New Roman" w:eastAsia="Times New Roman" w:hAnsi="Times New Roman" w:cs="Times New Roman"/>
          <w:sz w:val="24"/>
          <w:szCs w:val="24"/>
          <w:lang w:val="en-US"/>
        </w:rPr>
      </w:pPr>
      <w:r w:rsidRPr="004D71BB">
        <w:rPr>
          <w:rFonts w:ascii="Times New Roman" w:eastAsia="Times New Roman" w:hAnsi="Times New Roman" w:cs="Times New Roman"/>
          <w:sz w:val="24"/>
          <w:szCs w:val="24"/>
          <w:lang w:val="en-US"/>
        </w:rPr>
        <w:t>c) NFE-ja është organ qeveritar, organizatë ndërkombëtare, bankë qendrore ose një njësi ekonomike e zotëruar plotësisht nga një ose më shumë prej tyre;</w:t>
      </w:r>
    </w:p>
    <w:p w14:paraId="564FCA2B" w14:textId="77777777" w:rsidR="00933949" w:rsidRPr="004D71BB" w:rsidRDefault="00933949" w:rsidP="00591FCC">
      <w:pPr>
        <w:spacing w:before="100" w:beforeAutospacing="1" w:after="100" w:afterAutospacing="1"/>
        <w:jc w:val="both"/>
        <w:rPr>
          <w:rFonts w:ascii="Times New Roman" w:eastAsia="Times New Roman" w:hAnsi="Times New Roman" w:cs="Times New Roman"/>
          <w:sz w:val="24"/>
          <w:szCs w:val="24"/>
          <w:lang w:val="en-US"/>
        </w:rPr>
      </w:pPr>
      <w:r w:rsidRPr="004D71BB">
        <w:rPr>
          <w:rFonts w:ascii="Times New Roman" w:eastAsia="Times New Roman" w:hAnsi="Times New Roman" w:cs="Times New Roman"/>
          <w:sz w:val="24"/>
          <w:szCs w:val="24"/>
          <w:lang w:val="en-US"/>
        </w:rPr>
        <w:t>ç) në thelb, të gjitha aktivitetet e NFE-së konsistojnë në mbajtjen, plotësisht ose pjesërisht, të aksioneve të qarkullueshme të një ose më shumë filialeve ose në ofrimin e financimit dhe shërbimeve për një ose më shumë filiale që angazhohen në tregti ose biznese të ndryshme nga biznesi i institucionit financiar, por njësia ekonomike nuk kualifikohet për këtë status nëse funksionon ose pretendon se funksionon si një fond investimi, i tillë si fond privat me kapital neto, fond me sipërmarrje kapitali, fond blerjeje me financim nga të tretë ose çdo instrument investimi, qëllimi i të cilit është blerja ose financimi i shoqërive dhe më pas mbajtja e interesave në ato shoqëri si aktive kapitali për qëllime investimi;</w:t>
      </w:r>
    </w:p>
    <w:p w14:paraId="4E0BA5BE" w14:textId="77777777" w:rsidR="00933949" w:rsidRPr="004D71BB" w:rsidRDefault="00933949" w:rsidP="00591FCC">
      <w:pPr>
        <w:spacing w:before="100" w:beforeAutospacing="1" w:after="100" w:afterAutospacing="1"/>
        <w:jc w:val="both"/>
        <w:rPr>
          <w:rFonts w:ascii="Times New Roman" w:eastAsia="Times New Roman" w:hAnsi="Times New Roman" w:cs="Times New Roman"/>
          <w:sz w:val="24"/>
          <w:szCs w:val="24"/>
          <w:lang w:val="en-US"/>
        </w:rPr>
      </w:pPr>
      <w:r w:rsidRPr="004D71BB">
        <w:rPr>
          <w:rFonts w:ascii="Times New Roman" w:eastAsia="Times New Roman" w:hAnsi="Times New Roman" w:cs="Times New Roman"/>
          <w:sz w:val="24"/>
          <w:szCs w:val="24"/>
          <w:lang w:val="en-US"/>
        </w:rPr>
        <w:lastRenderedPageBreak/>
        <w:t>d) NFE-ja ende nuk po operon një biznes dhe nuk ka asnjë historik të mëparshëm operimi, por po investon kapital në aktive me synimin për të operuar një biznes të ndryshëm nga ai i institucionit financiar, me kusht që NFE-ja nuk kualifikohet për këtë përjashtim pas datës që është 24 muaj pas datës së organizimit fillestar të NFE-së;</w:t>
      </w:r>
    </w:p>
    <w:p w14:paraId="2FE246DC" w14:textId="77777777" w:rsidR="00933949" w:rsidRPr="004D71BB" w:rsidRDefault="00933949" w:rsidP="00591FCC">
      <w:pPr>
        <w:spacing w:before="100" w:beforeAutospacing="1" w:after="100" w:afterAutospacing="1"/>
        <w:jc w:val="both"/>
        <w:rPr>
          <w:rFonts w:ascii="Times New Roman" w:eastAsia="Times New Roman" w:hAnsi="Times New Roman" w:cs="Times New Roman"/>
          <w:sz w:val="24"/>
          <w:szCs w:val="24"/>
          <w:lang w:val="en-US"/>
        </w:rPr>
      </w:pPr>
      <w:r w:rsidRPr="004D71BB">
        <w:rPr>
          <w:rFonts w:ascii="Times New Roman" w:eastAsia="Times New Roman" w:hAnsi="Times New Roman" w:cs="Times New Roman"/>
          <w:sz w:val="24"/>
          <w:szCs w:val="24"/>
          <w:lang w:val="en-US"/>
        </w:rPr>
        <w:t>dh) NFE-ja nuk ka qenë institucion financiar në pesë vitet e fundit dhe është në procesin e likuidimit të aktiveve të saj ose po riorganizohet me qëllim vijimin ose rifillimin e operacioneve në një biznes të ndryshëm nga ai i institucionit financiar;</w:t>
      </w:r>
    </w:p>
    <w:p w14:paraId="16C541C9" w14:textId="77777777" w:rsidR="00933949" w:rsidRPr="004D71BB" w:rsidRDefault="00933949" w:rsidP="00591FCC">
      <w:pPr>
        <w:spacing w:before="100" w:beforeAutospacing="1" w:after="100" w:afterAutospacing="1"/>
        <w:jc w:val="both"/>
        <w:rPr>
          <w:rFonts w:ascii="Times New Roman" w:eastAsia="Times New Roman" w:hAnsi="Times New Roman" w:cs="Times New Roman"/>
          <w:sz w:val="24"/>
          <w:szCs w:val="24"/>
          <w:lang w:val="en-US"/>
        </w:rPr>
      </w:pPr>
      <w:r w:rsidRPr="004D71BB">
        <w:rPr>
          <w:rFonts w:ascii="Times New Roman" w:eastAsia="Times New Roman" w:hAnsi="Times New Roman" w:cs="Times New Roman"/>
          <w:sz w:val="24"/>
          <w:szCs w:val="24"/>
          <w:lang w:val="en-US"/>
        </w:rPr>
        <w:t>e) NFE-ja angazhohet kryesisht në financimin dhe mbrojtjen e transaksioneve me ose për njësitë ekonomike të lidhura që nuk janë institucione financiare dhe nuk i ofron shërbime financimi ose mbrojtjeje asnjë njësie ekonomike që nuk është njësi ekonomike e lidhur, me kusht që grupi i çdo njësie ekonomike të tillë të lidhur të jetë kryesisht i angazhuar në një biznes të ndryshëm nga ai i institucionit financiar; ose</w:t>
      </w:r>
    </w:p>
    <w:p w14:paraId="28798A06" w14:textId="77777777" w:rsidR="00933949" w:rsidRPr="004D71BB" w:rsidRDefault="00933949" w:rsidP="00591FCC">
      <w:pPr>
        <w:spacing w:before="100" w:beforeAutospacing="1" w:after="100" w:afterAutospacing="1"/>
        <w:jc w:val="both"/>
        <w:rPr>
          <w:rFonts w:ascii="Times New Roman" w:eastAsia="Times New Roman" w:hAnsi="Times New Roman" w:cs="Times New Roman"/>
          <w:sz w:val="24"/>
          <w:szCs w:val="24"/>
          <w:lang w:val="en-US"/>
        </w:rPr>
      </w:pPr>
      <w:r w:rsidRPr="004D71BB">
        <w:rPr>
          <w:rFonts w:ascii="Times New Roman" w:eastAsia="Times New Roman" w:hAnsi="Times New Roman" w:cs="Times New Roman"/>
          <w:sz w:val="24"/>
          <w:szCs w:val="24"/>
          <w:lang w:val="en-US"/>
        </w:rPr>
        <w:t>ë) NFE-ja përmbush të gjitha kërkesat e mëposhtme:</w:t>
      </w:r>
    </w:p>
    <w:p w14:paraId="59B0BF07" w14:textId="77777777" w:rsidR="00933949" w:rsidRPr="004D71BB" w:rsidRDefault="00933949" w:rsidP="00591FCC">
      <w:pPr>
        <w:spacing w:before="100" w:beforeAutospacing="1" w:after="100" w:afterAutospacing="1"/>
        <w:jc w:val="both"/>
        <w:rPr>
          <w:rFonts w:ascii="Times New Roman" w:eastAsia="Times New Roman" w:hAnsi="Times New Roman" w:cs="Times New Roman"/>
          <w:sz w:val="24"/>
          <w:szCs w:val="24"/>
          <w:lang w:val="en-US"/>
        </w:rPr>
      </w:pPr>
      <w:r w:rsidRPr="004D71BB">
        <w:rPr>
          <w:rFonts w:ascii="Times New Roman" w:eastAsia="Times New Roman" w:hAnsi="Times New Roman" w:cs="Times New Roman"/>
          <w:sz w:val="24"/>
          <w:szCs w:val="24"/>
          <w:lang w:val="en-US"/>
        </w:rPr>
        <w:t>i) ajo është themeluar dhe funksionon në juridiksionin e saj të rezidencës vetëm për qëllime fetare, bamirësie, shkencore, artistike, kulturore, atletike ose arsimore, ose është themeluar dhe funksionon në juridiksionin e saj të rezidencës dhe është një organizatë profesionale, ligë biznesi, dhomë tregtie, organizatë pune, organizatë bujqësore ose hortikulturore, ligë civile ose një organizatë që funksionon ekskluzivisht për promovimin e mirëqenies sociale;</w:t>
      </w:r>
    </w:p>
    <w:p w14:paraId="6C9D47E2" w14:textId="77777777" w:rsidR="00933949" w:rsidRPr="004D71BB" w:rsidRDefault="00933949" w:rsidP="00591FCC">
      <w:pPr>
        <w:spacing w:before="100" w:beforeAutospacing="1" w:after="100" w:afterAutospacing="1"/>
        <w:jc w:val="both"/>
        <w:rPr>
          <w:rFonts w:ascii="Times New Roman" w:eastAsia="Times New Roman" w:hAnsi="Times New Roman" w:cs="Times New Roman"/>
          <w:sz w:val="24"/>
          <w:szCs w:val="24"/>
          <w:lang w:val="en-US"/>
        </w:rPr>
      </w:pPr>
      <w:r w:rsidRPr="004D71BB">
        <w:rPr>
          <w:rFonts w:ascii="Times New Roman" w:eastAsia="Times New Roman" w:hAnsi="Times New Roman" w:cs="Times New Roman"/>
          <w:sz w:val="24"/>
          <w:szCs w:val="24"/>
          <w:lang w:val="en-US"/>
        </w:rPr>
        <w:t>ii) ajo është e përjashtuar nga tatimi mbi të ardhurat në juridiksionin e saj të rezidencës;</w:t>
      </w:r>
    </w:p>
    <w:p w14:paraId="68DB88DC" w14:textId="77777777" w:rsidR="00933949" w:rsidRPr="004D71BB" w:rsidRDefault="00933949" w:rsidP="00591FCC">
      <w:pPr>
        <w:spacing w:before="100" w:beforeAutospacing="1" w:after="100" w:afterAutospacing="1"/>
        <w:jc w:val="both"/>
        <w:rPr>
          <w:rFonts w:ascii="Times New Roman" w:eastAsia="Times New Roman" w:hAnsi="Times New Roman" w:cs="Times New Roman"/>
          <w:sz w:val="24"/>
          <w:szCs w:val="24"/>
          <w:lang w:val="en-US"/>
        </w:rPr>
      </w:pPr>
      <w:r w:rsidRPr="004D71BB">
        <w:rPr>
          <w:rFonts w:ascii="Times New Roman" w:eastAsia="Times New Roman" w:hAnsi="Times New Roman" w:cs="Times New Roman"/>
          <w:sz w:val="24"/>
          <w:szCs w:val="24"/>
          <w:lang w:val="en-US"/>
        </w:rPr>
        <w:t>iii) ajo nuk ka aksionarë ose anëtarë të cilët kanë interes pronësor ose përfitimi në të ardhurat ose aktivet e saj;</w:t>
      </w:r>
    </w:p>
    <w:p w14:paraId="491E3F28" w14:textId="77777777" w:rsidR="00933949" w:rsidRPr="004D71BB" w:rsidRDefault="00933949" w:rsidP="00591FCC">
      <w:pPr>
        <w:spacing w:before="100" w:beforeAutospacing="1" w:after="100" w:afterAutospacing="1"/>
        <w:jc w:val="both"/>
        <w:rPr>
          <w:rFonts w:ascii="Times New Roman" w:eastAsia="Times New Roman" w:hAnsi="Times New Roman" w:cs="Times New Roman"/>
          <w:sz w:val="24"/>
          <w:szCs w:val="24"/>
          <w:lang w:val="en-US"/>
        </w:rPr>
      </w:pPr>
      <w:r w:rsidRPr="004D71BB">
        <w:rPr>
          <w:rFonts w:ascii="Times New Roman" w:eastAsia="Times New Roman" w:hAnsi="Times New Roman" w:cs="Times New Roman"/>
          <w:sz w:val="24"/>
          <w:szCs w:val="24"/>
          <w:lang w:val="en-US"/>
        </w:rPr>
        <w:t>iv) ligjet në fuqi të juridiksionit të rezidencës së NFE-së ose dokumentet e krijimit të NFE-së nuk lejojnë shpërndarjen ose kalimin e të ardhurave apo aktiveve në përfitim të personave privatë ose të një njësie ekonomike jobamirëse, përveçse në pajtim me kryerjen e aktiviteteve të bamirësisë të NFE-së ose si pagesë e një kompensimi të arsyeshëm për shërbimet e ofruara ose si pagesë që përfaqëson vlerën e drejtë në treg të pasurisë që ka blerë NFE-ja; dhe</w:t>
      </w:r>
    </w:p>
    <w:p w14:paraId="2869B634" w14:textId="77777777" w:rsidR="00933949" w:rsidRPr="004D71BB" w:rsidRDefault="00933949" w:rsidP="00591FCC">
      <w:pPr>
        <w:spacing w:before="100" w:beforeAutospacing="1" w:after="100" w:afterAutospacing="1"/>
        <w:jc w:val="both"/>
        <w:rPr>
          <w:rFonts w:ascii="Times New Roman" w:eastAsia="Times New Roman" w:hAnsi="Times New Roman" w:cs="Times New Roman"/>
          <w:sz w:val="24"/>
          <w:szCs w:val="24"/>
          <w:lang w:val="en-US"/>
        </w:rPr>
      </w:pPr>
      <w:r w:rsidRPr="004D71BB">
        <w:rPr>
          <w:rFonts w:ascii="Times New Roman" w:eastAsia="Times New Roman" w:hAnsi="Times New Roman" w:cs="Times New Roman"/>
          <w:sz w:val="24"/>
          <w:szCs w:val="24"/>
          <w:lang w:val="en-US"/>
        </w:rPr>
        <w:t>v) ligjet në fuqi të juridiksionit të rezidencës së NFE-së ose dokumentet e krijimit të NFE-së kërkojnë që pas likuidimit ose shpërbërjes së NFE-së, të gjitha aktivet e saj t’i shpërndahen një organi qeveritar ose organizate tjetër jofitimprurëse ose t’i rikthehen qeverisë së juridiksionit të rezidencës së NFE-së apo çdo nënndarjeje politike të saj.</w:t>
      </w:r>
    </w:p>
    <w:p w14:paraId="5F98BDB1" w14:textId="644DC380" w:rsidR="002C1BDE" w:rsidRPr="004D71BB" w:rsidRDefault="00FF5421" w:rsidP="00591FCC">
      <w:pPr>
        <w:spacing w:before="100" w:beforeAutospacing="1" w:after="100" w:afterAutospacing="1"/>
        <w:jc w:val="both"/>
        <w:rPr>
          <w:rFonts w:ascii="Times New Roman" w:eastAsia="Times New Roman" w:hAnsi="Times New Roman" w:cs="Times New Roman"/>
          <w:sz w:val="24"/>
          <w:szCs w:val="24"/>
          <w:lang w:eastAsia="sq-AL"/>
        </w:rPr>
      </w:pPr>
      <w:r w:rsidRPr="004D71BB">
        <w:rPr>
          <w:rFonts w:ascii="Times New Roman" w:eastAsia="Times New Roman" w:hAnsi="Times New Roman" w:cs="Times New Roman"/>
          <w:sz w:val="24"/>
          <w:szCs w:val="24"/>
          <w:lang w:val="en-US"/>
        </w:rPr>
        <w:t xml:space="preserve">58. </w:t>
      </w:r>
      <w:r w:rsidR="00933949" w:rsidRPr="004D71BB">
        <w:rPr>
          <w:rFonts w:ascii="Times New Roman" w:eastAsia="Times New Roman" w:hAnsi="Times New Roman" w:cs="Times New Roman"/>
          <w:sz w:val="24"/>
          <w:szCs w:val="24"/>
          <w:lang w:val="en-US"/>
        </w:rPr>
        <w:t>“NFE pasive”</w:t>
      </w:r>
      <w:r w:rsidR="002C1BDE" w:rsidRPr="004D71BB">
        <w:rPr>
          <w:rFonts w:ascii="Times New Roman" w:eastAsia="Times New Roman" w:hAnsi="Times New Roman" w:cs="Times New Roman"/>
          <w:sz w:val="24"/>
          <w:szCs w:val="24"/>
          <w:lang w:val="en-US"/>
        </w:rPr>
        <w:t xml:space="preserve"> </w:t>
      </w:r>
      <w:r w:rsidR="002C1BDE" w:rsidRPr="004D71BB">
        <w:rPr>
          <w:rFonts w:ascii="Times New Roman" w:eastAsia="Times New Roman" w:hAnsi="Times New Roman" w:cs="Times New Roman"/>
          <w:sz w:val="24"/>
          <w:szCs w:val="24"/>
          <w:lang w:eastAsia="sq-AL"/>
        </w:rPr>
        <w:t>është:</w:t>
      </w:r>
    </w:p>
    <w:p w14:paraId="7A7FA61B" w14:textId="6A6A2E37" w:rsidR="00933949" w:rsidRPr="004D71BB" w:rsidRDefault="002C1BDE" w:rsidP="00591FCC">
      <w:pPr>
        <w:spacing w:before="100" w:beforeAutospacing="1" w:after="100" w:afterAutospacing="1"/>
        <w:rPr>
          <w:rFonts w:ascii="Times New Roman" w:eastAsia="Times New Roman" w:hAnsi="Times New Roman" w:cs="Times New Roman"/>
          <w:sz w:val="24"/>
          <w:szCs w:val="24"/>
          <w:lang w:eastAsia="sq-AL"/>
        </w:rPr>
      </w:pPr>
      <w:r w:rsidRPr="004D71BB">
        <w:rPr>
          <w:rFonts w:ascii="Times New Roman" w:eastAsia="Times New Roman" w:hAnsi="Times New Roman" w:cs="Times New Roman"/>
          <w:sz w:val="24"/>
          <w:szCs w:val="24"/>
          <w:lang w:eastAsia="sq-AL"/>
        </w:rPr>
        <w:t>a) çdo NFE që nuk është NFE aktive; ose</w:t>
      </w:r>
      <w:r w:rsidRPr="004D71BB">
        <w:rPr>
          <w:rFonts w:ascii="Times New Roman" w:eastAsia="Times New Roman" w:hAnsi="Times New Roman" w:cs="Times New Roman"/>
          <w:sz w:val="24"/>
          <w:szCs w:val="24"/>
          <w:lang w:eastAsia="sq-AL"/>
        </w:rPr>
        <w:br/>
        <w:t>b) një Njësi Ekonomike In</w:t>
      </w:r>
      <w:r w:rsidR="00526BFF" w:rsidRPr="004D71BB">
        <w:rPr>
          <w:rFonts w:ascii="Times New Roman" w:eastAsia="Times New Roman" w:hAnsi="Times New Roman" w:cs="Times New Roman"/>
          <w:sz w:val="24"/>
          <w:szCs w:val="24"/>
          <w:lang w:eastAsia="sq-AL"/>
        </w:rPr>
        <w:t>vestimi e përshkruar në pikën 26</w:t>
      </w:r>
      <w:r w:rsidRPr="004D71BB">
        <w:rPr>
          <w:rFonts w:ascii="Times New Roman" w:eastAsia="Times New Roman" w:hAnsi="Times New Roman" w:cs="Times New Roman"/>
          <w:sz w:val="24"/>
          <w:szCs w:val="24"/>
          <w:lang w:eastAsia="sq-AL"/>
        </w:rPr>
        <w:t>, shkronja ‘b’, të këtij neni, që nuk është Institucion Financiar i një Juridiksioni Pjesëmarrës.</w:t>
      </w:r>
    </w:p>
    <w:p w14:paraId="00CC52D2" w14:textId="22F4FB05" w:rsidR="00B2454F" w:rsidRPr="004D71BB" w:rsidRDefault="00FF5421" w:rsidP="00591FCC">
      <w:pPr>
        <w:pStyle w:val="pdq2pgselectionanchorcontainer"/>
        <w:spacing w:line="276" w:lineRule="auto"/>
      </w:pPr>
      <w:r w:rsidRPr="004D71BB">
        <w:lastRenderedPageBreak/>
        <w:t xml:space="preserve">59. </w:t>
      </w:r>
      <w:r w:rsidR="00B2454F" w:rsidRPr="004D71BB">
        <w:rPr>
          <w:rStyle w:val="Strong"/>
          <w:b w:val="0"/>
          <w:bCs w:val="0"/>
        </w:rPr>
        <w:t>“Njësi ekonomike”</w:t>
      </w:r>
      <w:r w:rsidR="00B2454F" w:rsidRPr="004D71BB">
        <w:t xml:space="preserve"> është personi juridik ose struktura juridike, si korporata, partneriteti, trusti ose fondacioni.</w:t>
      </w:r>
    </w:p>
    <w:p w14:paraId="3991E056" w14:textId="77777777" w:rsidR="00B2454F" w:rsidRPr="004D71BB" w:rsidRDefault="00B2454F" w:rsidP="00591FCC">
      <w:pPr>
        <w:pStyle w:val="NormalWeb"/>
        <w:spacing w:line="276" w:lineRule="auto"/>
      </w:pPr>
      <w:r w:rsidRPr="004D71BB">
        <w:t>Njësia ekonomike është “njësi ekonomike e lidhur” me një njësi tjetër, nëse:</w:t>
      </w:r>
    </w:p>
    <w:p w14:paraId="2C5816DD" w14:textId="77777777" w:rsidR="00B2454F" w:rsidRPr="004D71BB" w:rsidRDefault="00B2454F" w:rsidP="00591FCC">
      <w:pPr>
        <w:pStyle w:val="NormalWeb"/>
        <w:spacing w:line="276" w:lineRule="auto"/>
      </w:pPr>
      <w:r w:rsidRPr="004D71BB">
        <w:t>a) njëra prej njësive kontrollon tjetrën; ose</w:t>
      </w:r>
    </w:p>
    <w:p w14:paraId="4A71F680" w14:textId="77777777" w:rsidR="00B2454F" w:rsidRPr="004D71BB" w:rsidRDefault="00B2454F" w:rsidP="00591FCC">
      <w:pPr>
        <w:pStyle w:val="NormalWeb"/>
        <w:spacing w:line="276" w:lineRule="auto"/>
      </w:pPr>
      <w:r w:rsidRPr="004D71BB">
        <w:t>b) të dyja njësitë janë nën kontroll të përbashkët; ose</w:t>
      </w:r>
    </w:p>
    <w:p w14:paraId="110A5AA7" w14:textId="0C7C208A" w:rsidR="00B2454F" w:rsidRPr="004D71BB" w:rsidRDefault="00B2454F" w:rsidP="00591FCC">
      <w:pPr>
        <w:pStyle w:val="NormalWeb"/>
        <w:spacing w:line="276" w:lineRule="auto"/>
      </w:pPr>
      <w:r w:rsidRPr="004D71BB">
        <w:t>c) të dyja njësitë janë Njësi Ekonomike Inve</w:t>
      </w:r>
      <w:r w:rsidR="00DA4FEB" w:rsidRPr="004D71BB">
        <w:t>stimi të përshkruara në pikën 26</w:t>
      </w:r>
      <w:r w:rsidRPr="004D71BB">
        <w:t>, shkronja “b”, të këtij neni, janë nën menaxhim të përbashkët dhe ky menaxhim përmbush detyrimet e vigjilencës së duhur të këtyre njësive.</w:t>
      </w:r>
    </w:p>
    <w:p w14:paraId="55447D73" w14:textId="77777777" w:rsidR="00B2454F" w:rsidRPr="004D71BB" w:rsidRDefault="00B2454F" w:rsidP="00591FCC">
      <w:pPr>
        <w:pStyle w:val="NormalWeb"/>
        <w:spacing w:line="276" w:lineRule="auto"/>
        <w:jc w:val="both"/>
      </w:pPr>
      <w:r w:rsidRPr="004D71BB">
        <w:rPr>
          <w:rStyle w:val="Strong"/>
          <w:b w:val="0"/>
          <w:bCs w:val="0"/>
        </w:rPr>
        <w:t>Për këtë qëllim, kontrolli përfshin pronësinë e drejtpërdrejtë ose të tërthortë të më shumë se 50 për qind të votave dhe të vlerës në një njësi ekonomike.</w:t>
      </w:r>
    </w:p>
    <w:p w14:paraId="76B54180" w14:textId="6EBF8506" w:rsidR="00933949" w:rsidRPr="004D71BB" w:rsidRDefault="00FF5421" w:rsidP="00591FCC">
      <w:pPr>
        <w:spacing w:before="100" w:beforeAutospacing="1" w:after="100" w:afterAutospacing="1"/>
        <w:jc w:val="both"/>
        <w:rPr>
          <w:rFonts w:ascii="Times New Roman" w:eastAsia="Times New Roman" w:hAnsi="Times New Roman" w:cs="Times New Roman"/>
          <w:sz w:val="24"/>
          <w:szCs w:val="24"/>
          <w:lang w:val="en-US"/>
        </w:rPr>
      </w:pPr>
      <w:r w:rsidRPr="004D71BB">
        <w:rPr>
          <w:rFonts w:ascii="Times New Roman" w:eastAsia="Times New Roman" w:hAnsi="Times New Roman" w:cs="Times New Roman"/>
          <w:sz w:val="24"/>
          <w:szCs w:val="24"/>
          <w:lang w:val="en-US"/>
        </w:rPr>
        <w:t xml:space="preserve">60. </w:t>
      </w:r>
      <w:r w:rsidR="00933949" w:rsidRPr="004D71BB">
        <w:rPr>
          <w:rFonts w:ascii="Times New Roman" w:eastAsia="Times New Roman" w:hAnsi="Times New Roman" w:cs="Times New Roman"/>
          <w:sz w:val="24"/>
          <w:szCs w:val="24"/>
          <w:lang w:val="en-US"/>
        </w:rPr>
        <w:t xml:space="preserve">“Numër identifikues i tatimpaguesit (TIN)” </w:t>
      </w:r>
      <w:r w:rsidR="00DF44F9" w:rsidRPr="004D71BB">
        <w:rPr>
          <w:rFonts w:ascii="Times New Roman" w:hAnsi="Times New Roman" w:cs="Times New Roman"/>
          <w:sz w:val="24"/>
          <w:szCs w:val="24"/>
        </w:rPr>
        <w:t>është numri i identifikimit tatimor i lëshuar nga juridiksioni përkatës ose, kur një numër i tillë nuk ekziston, ekuivalenti funksional i tij. Për Republikën e Shqipërisë, TIN është NIPT/NUIS për personat e regjistruar dhe numri personal i identifikimit për individët, sipas legjislacionit shqiptar.</w:t>
      </w:r>
    </w:p>
    <w:p w14:paraId="229ED31F" w14:textId="45EDCC9D" w:rsidR="00933949" w:rsidRPr="004D71BB" w:rsidRDefault="00FF5421" w:rsidP="00591FCC">
      <w:pPr>
        <w:spacing w:before="100" w:beforeAutospacing="1" w:after="100" w:afterAutospacing="1"/>
        <w:jc w:val="both"/>
        <w:rPr>
          <w:rFonts w:ascii="Times New Roman" w:eastAsia="Times New Roman" w:hAnsi="Times New Roman" w:cs="Times New Roman"/>
          <w:sz w:val="24"/>
          <w:szCs w:val="24"/>
          <w:lang w:val="en-US"/>
        </w:rPr>
      </w:pPr>
      <w:r w:rsidRPr="004D71BB">
        <w:rPr>
          <w:rFonts w:ascii="Times New Roman" w:eastAsia="Times New Roman" w:hAnsi="Times New Roman" w:cs="Times New Roman"/>
          <w:sz w:val="24"/>
          <w:szCs w:val="24"/>
          <w:lang w:val="en-US"/>
        </w:rPr>
        <w:t xml:space="preserve">61. </w:t>
      </w:r>
      <w:r w:rsidR="00933949" w:rsidRPr="004D71BB">
        <w:rPr>
          <w:rFonts w:ascii="Times New Roman" w:eastAsia="Times New Roman" w:hAnsi="Times New Roman" w:cs="Times New Roman"/>
          <w:sz w:val="24"/>
          <w:szCs w:val="24"/>
          <w:lang w:val="en-US"/>
        </w:rPr>
        <w:t>“Organ qeveritar” është qeveria e një juridiksioni, çdo nënndarje politike e një juridiksioni, që përfshin shtetin, provincën, qarkun ose bashkinë, ose çdo agjenci ose organizëm që i përket plotësisht juridiksionit ose një ose më shumë prej të lartpërmendurave, ku secila prej tyre përbën një “organ qeveritar”. Kjo kategori përbëhet nga pjesët integrale, njësitë e kontrolluara dhe nënndarjet politike të një juridiksioni.</w:t>
      </w:r>
    </w:p>
    <w:p w14:paraId="42161D69" w14:textId="77777777" w:rsidR="00933949" w:rsidRPr="004D71BB" w:rsidRDefault="00933949" w:rsidP="00591FCC">
      <w:pPr>
        <w:spacing w:before="100" w:beforeAutospacing="1" w:after="100" w:afterAutospacing="1"/>
        <w:jc w:val="both"/>
        <w:rPr>
          <w:rFonts w:ascii="Times New Roman" w:eastAsia="Times New Roman" w:hAnsi="Times New Roman" w:cs="Times New Roman"/>
          <w:sz w:val="24"/>
          <w:szCs w:val="24"/>
          <w:lang w:val="en-US"/>
        </w:rPr>
      </w:pPr>
      <w:r w:rsidRPr="004D71BB">
        <w:rPr>
          <w:rFonts w:ascii="Times New Roman" w:eastAsia="Times New Roman" w:hAnsi="Times New Roman" w:cs="Times New Roman"/>
          <w:sz w:val="24"/>
          <w:szCs w:val="24"/>
          <w:lang w:val="en-US"/>
        </w:rPr>
        <w:t>a) “Pjesë integrale” e një juridiksioni është çdo person, organizatë, agjenci, byro, fond, organizëm ose organ tjetër, pavarësisht emërtimit, që përbën një autoritet qeverisës të një juridiksioni. Fitimet neto të autoritetit qeverisës duhet të kreditohen në llogarinë e tij ose në llogari të tjera të juridiksionit, ku asnjë pjesë e tyre nuk do të shkojë në përfitim të asnjë personi privat. Pjesa integrale nuk përfshin asnjë individ që mund të jetë sovran, zyrtar ose administrator që vepron në cilësinë private ose personale.</w:t>
      </w:r>
    </w:p>
    <w:p w14:paraId="6573141E" w14:textId="77777777" w:rsidR="00933949" w:rsidRPr="004D71BB" w:rsidRDefault="00933949" w:rsidP="00591FCC">
      <w:pPr>
        <w:spacing w:before="100" w:beforeAutospacing="1" w:after="100" w:afterAutospacing="1"/>
        <w:jc w:val="both"/>
        <w:rPr>
          <w:rFonts w:ascii="Times New Roman" w:eastAsia="Times New Roman" w:hAnsi="Times New Roman" w:cs="Times New Roman"/>
          <w:sz w:val="24"/>
          <w:szCs w:val="24"/>
          <w:lang w:val="en-US"/>
        </w:rPr>
      </w:pPr>
      <w:r w:rsidRPr="004D71BB">
        <w:rPr>
          <w:rFonts w:ascii="Times New Roman" w:eastAsia="Times New Roman" w:hAnsi="Times New Roman" w:cs="Times New Roman"/>
          <w:sz w:val="24"/>
          <w:szCs w:val="24"/>
          <w:lang w:val="en-US"/>
        </w:rPr>
        <w:t>b) “Njësi e kontrolluar” është njësia që është e ndarë në formë nga juridiksioni ose që ndryshe përbën një njësi juridike të veçantë, me kusht që:</w:t>
      </w:r>
    </w:p>
    <w:p w14:paraId="0AD7ADF9" w14:textId="77777777" w:rsidR="00933949" w:rsidRPr="004D71BB" w:rsidRDefault="00933949" w:rsidP="00591FCC">
      <w:pPr>
        <w:spacing w:before="100" w:beforeAutospacing="1" w:after="100" w:afterAutospacing="1"/>
        <w:jc w:val="both"/>
        <w:rPr>
          <w:rFonts w:ascii="Times New Roman" w:eastAsia="Times New Roman" w:hAnsi="Times New Roman" w:cs="Times New Roman"/>
          <w:sz w:val="24"/>
          <w:szCs w:val="24"/>
          <w:lang w:val="en-US"/>
        </w:rPr>
      </w:pPr>
      <w:r w:rsidRPr="004D71BB">
        <w:rPr>
          <w:rFonts w:ascii="Times New Roman" w:eastAsia="Times New Roman" w:hAnsi="Times New Roman" w:cs="Times New Roman"/>
          <w:sz w:val="24"/>
          <w:szCs w:val="24"/>
          <w:lang w:val="en-US"/>
        </w:rPr>
        <w:t>i) njësia të jetë plotësisht e zotëruar ose e kontrolluar nga një ose më shumë organe qeveritare, në mënyrë të drejtpërdrejtë ose nëpërmjet një ose më shumë njësive të kontrolluara;</w:t>
      </w:r>
    </w:p>
    <w:p w14:paraId="0F39F297" w14:textId="77777777" w:rsidR="00933949" w:rsidRPr="004D71BB" w:rsidRDefault="00933949" w:rsidP="00591FCC">
      <w:pPr>
        <w:spacing w:before="100" w:beforeAutospacing="1" w:after="100" w:afterAutospacing="1"/>
        <w:jc w:val="both"/>
        <w:rPr>
          <w:rFonts w:ascii="Times New Roman" w:eastAsia="Times New Roman" w:hAnsi="Times New Roman" w:cs="Times New Roman"/>
          <w:sz w:val="24"/>
          <w:szCs w:val="24"/>
          <w:lang w:val="en-US"/>
        </w:rPr>
      </w:pPr>
      <w:r w:rsidRPr="004D71BB">
        <w:rPr>
          <w:rFonts w:ascii="Times New Roman" w:eastAsia="Times New Roman" w:hAnsi="Times New Roman" w:cs="Times New Roman"/>
          <w:sz w:val="24"/>
          <w:szCs w:val="24"/>
          <w:lang w:val="en-US"/>
        </w:rPr>
        <w:t>ii) fitimet neto të njësisë të kreditohen në llogarinë e saj ose në llogaritë e një ose më shumë organeve qeveritare, ku asnjë pjesë e tyre nuk do të shkojë në përfitim të asnjë personi privat; dhe</w:t>
      </w:r>
    </w:p>
    <w:p w14:paraId="3D1C491F" w14:textId="77777777" w:rsidR="00933949" w:rsidRPr="004D71BB" w:rsidRDefault="00933949" w:rsidP="00591FCC">
      <w:pPr>
        <w:spacing w:before="100" w:beforeAutospacing="1" w:after="100" w:afterAutospacing="1"/>
        <w:jc w:val="both"/>
        <w:rPr>
          <w:rFonts w:ascii="Times New Roman" w:eastAsia="Times New Roman" w:hAnsi="Times New Roman" w:cs="Times New Roman"/>
          <w:sz w:val="24"/>
          <w:szCs w:val="24"/>
          <w:lang w:val="en-US"/>
        </w:rPr>
      </w:pPr>
      <w:r w:rsidRPr="004D71BB">
        <w:rPr>
          <w:rFonts w:ascii="Times New Roman" w:eastAsia="Times New Roman" w:hAnsi="Times New Roman" w:cs="Times New Roman"/>
          <w:sz w:val="24"/>
          <w:szCs w:val="24"/>
          <w:lang w:val="en-US"/>
        </w:rPr>
        <w:lastRenderedPageBreak/>
        <w:t>iii) në momentin e shpërbërjes, aktivet e njësisë t’i atribuohen një ose më shumë organeve qeveritare.</w:t>
      </w:r>
    </w:p>
    <w:p w14:paraId="012E01EF" w14:textId="77777777" w:rsidR="00933949" w:rsidRPr="004D71BB" w:rsidRDefault="00933949" w:rsidP="00591FCC">
      <w:pPr>
        <w:spacing w:before="100" w:beforeAutospacing="1" w:after="100" w:afterAutospacing="1"/>
        <w:jc w:val="both"/>
        <w:rPr>
          <w:rFonts w:ascii="Times New Roman" w:eastAsia="Times New Roman" w:hAnsi="Times New Roman" w:cs="Times New Roman"/>
          <w:sz w:val="24"/>
          <w:szCs w:val="24"/>
          <w:lang w:val="en-US"/>
        </w:rPr>
      </w:pPr>
      <w:r w:rsidRPr="004D71BB">
        <w:rPr>
          <w:rFonts w:ascii="Times New Roman" w:eastAsia="Times New Roman" w:hAnsi="Times New Roman" w:cs="Times New Roman"/>
          <w:sz w:val="24"/>
          <w:szCs w:val="24"/>
          <w:lang w:val="en-US"/>
        </w:rPr>
        <w:t>c) Të ardhurat nuk konsiderohen se shkojnë në përfitim të personave privatë nëse këta persona janë përfituesit e synuar të një programi qeveritar dhe veprimtaritë e programit kryhen për publikun e gjerë për mirëqenien e përbashkët ose lidhen me administrimin e disa fazave të qeverisë. Megjithatë, pavarësisht nga sa më sipër, të ardhurat konsiderohen se shkojnë në përfitim të personave privatë nëse të ardhurat vijnë si rezultat i përdorimit të një organi qeveritar për të kryer një aktivitet tregtar, si aktiviteti bankar tregtar që u ofron shërbime financiare personave privatë.</w:t>
      </w:r>
    </w:p>
    <w:p w14:paraId="5D0CCEDE" w14:textId="7454CF8C" w:rsidR="00933949" w:rsidRPr="004D71BB" w:rsidRDefault="00FF5421" w:rsidP="00591FCC">
      <w:pPr>
        <w:spacing w:before="100" w:beforeAutospacing="1" w:after="100" w:afterAutospacing="1"/>
        <w:jc w:val="both"/>
        <w:rPr>
          <w:rFonts w:ascii="Times New Roman" w:eastAsia="Times New Roman" w:hAnsi="Times New Roman" w:cs="Times New Roman"/>
          <w:sz w:val="24"/>
          <w:szCs w:val="24"/>
          <w:lang w:val="en-US"/>
        </w:rPr>
      </w:pPr>
      <w:r w:rsidRPr="004D71BB">
        <w:rPr>
          <w:rFonts w:ascii="Times New Roman" w:eastAsia="Times New Roman" w:hAnsi="Times New Roman" w:cs="Times New Roman"/>
          <w:sz w:val="24"/>
          <w:szCs w:val="24"/>
          <w:lang w:val="en-US"/>
        </w:rPr>
        <w:t xml:space="preserve">62. </w:t>
      </w:r>
      <w:r w:rsidR="00933949" w:rsidRPr="004D71BB">
        <w:rPr>
          <w:rFonts w:ascii="Times New Roman" w:eastAsia="Times New Roman" w:hAnsi="Times New Roman" w:cs="Times New Roman"/>
          <w:sz w:val="24"/>
          <w:szCs w:val="24"/>
          <w:lang w:val="en-US"/>
        </w:rPr>
        <w:t>“Organizatë ndërkombëtare” është çdo organizatë ndërkombëtare ose agjenci apo organizëm i zotëruar plotësisht prej saj. Kjo kategori përfshin çdo organizatë ndërqeveritare, duke përfshirë organizatat mbikombëtare:</w:t>
      </w:r>
    </w:p>
    <w:p w14:paraId="4F68F876" w14:textId="77777777" w:rsidR="00933949" w:rsidRPr="004D71BB" w:rsidRDefault="00933949" w:rsidP="00591FCC">
      <w:pPr>
        <w:spacing w:before="100" w:beforeAutospacing="1" w:after="100" w:afterAutospacing="1"/>
        <w:jc w:val="both"/>
        <w:rPr>
          <w:rFonts w:ascii="Times New Roman" w:eastAsia="Times New Roman" w:hAnsi="Times New Roman" w:cs="Times New Roman"/>
          <w:sz w:val="24"/>
          <w:szCs w:val="24"/>
          <w:lang w:val="en-US"/>
        </w:rPr>
      </w:pPr>
      <w:r w:rsidRPr="004D71BB">
        <w:rPr>
          <w:rFonts w:ascii="Times New Roman" w:eastAsia="Times New Roman" w:hAnsi="Times New Roman" w:cs="Times New Roman"/>
          <w:sz w:val="24"/>
          <w:szCs w:val="24"/>
          <w:lang w:val="en-US"/>
        </w:rPr>
        <w:t>a) që përbëhet kryesisht nga qeveritë;</w:t>
      </w:r>
    </w:p>
    <w:p w14:paraId="091095B2" w14:textId="77777777" w:rsidR="00933949" w:rsidRPr="004D71BB" w:rsidRDefault="00933949" w:rsidP="00591FCC">
      <w:pPr>
        <w:spacing w:before="100" w:beforeAutospacing="1" w:after="100" w:afterAutospacing="1"/>
        <w:jc w:val="both"/>
        <w:rPr>
          <w:rFonts w:ascii="Times New Roman" w:eastAsia="Times New Roman" w:hAnsi="Times New Roman" w:cs="Times New Roman"/>
          <w:sz w:val="24"/>
          <w:szCs w:val="24"/>
          <w:lang w:val="en-US"/>
        </w:rPr>
      </w:pPr>
      <w:r w:rsidRPr="004D71BB">
        <w:rPr>
          <w:rFonts w:ascii="Times New Roman" w:eastAsia="Times New Roman" w:hAnsi="Times New Roman" w:cs="Times New Roman"/>
          <w:sz w:val="24"/>
          <w:szCs w:val="24"/>
          <w:lang w:val="en-US"/>
        </w:rPr>
        <w:t>b) që ka në fuqi një marrëveshje për selinë ose një marrëveshje të ngjashme në thelb me juridiksionin; dhe</w:t>
      </w:r>
    </w:p>
    <w:p w14:paraId="5C4B846F" w14:textId="77777777" w:rsidR="00933949" w:rsidRPr="004D71BB" w:rsidRDefault="00933949" w:rsidP="00591FCC">
      <w:pPr>
        <w:spacing w:before="100" w:beforeAutospacing="1" w:after="100" w:afterAutospacing="1"/>
        <w:jc w:val="both"/>
        <w:rPr>
          <w:rFonts w:ascii="Times New Roman" w:eastAsia="Times New Roman" w:hAnsi="Times New Roman" w:cs="Times New Roman"/>
          <w:sz w:val="24"/>
          <w:szCs w:val="24"/>
          <w:lang w:val="en-US"/>
        </w:rPr>
      </w:pPr>
      <w:r w:rsidRPr="004D71BB">
        <w:rPr>
          <w:rFonts w:ascii="Times New Roman" w:eastAsia="Times New Roman" w:hAnsi="Times New Roman" w:cs="Times New Roman"/>
          <w:sz w:val="24"/>
          <w:szCs w:val="24"/>
          <w:lang w:val="en-US"/>
        </w:rPr>
        <w:t>c) të ardhurat e së cilës nuk shkojnë në përfitim të personave privatë.</w:t>
      </w:r>
    </w:p>
    <w:p w14:paraId="18438F42" w14:textId="6743C276" w:rsidR="00EC24AE" w:rsidRPr="004D71BB" w:rsidRDefault="00FF5421" w:rsidP="00591FCC">
      <w:pPr>
        <w:spacing w:before="100" w:beforeAutospacing="1" w:after="100" w:afterAutospacing="1"/>
        <w:jc w:val="both"/>
        <w:rPr>
          <w:rFonts w:ascii="Times New Roman" w:eastAsia="Times New Roman" w:hAnsi="Times New Roman" w:cs="Times New Roman"/>
          <w:sz w:val="24"/>
          <w:szCs w:val="24"/>
          <w:lang w:val="en-US"/>
        </w:rPr>
      </w:pPr>
      <w:r w:rsidRPr="004D71BB">
        <w:rPr>
          <w:rFonts w:ascii="Times New Roman" w:eastAsia="Times New Roman" w:hAnsi="Times New Roman" w:cs="Times New Roman"/>
          <w:sz w:val="24"/>
          <w:szCs w:val="24"/>
          <w:lang w:val="en-US"/>
        </w:rPr>
        <w:t xml:space="preserve">63. </w:t>
      </w:r>
      <w:r w:rsidR="00933949" w:rsidRPr="004D71BB">
        <w:rPr>
          <w:rFonts w:ascii="Times New Roman" w:eastAsia="Times New Roman" w:hAnsi="Times New Roman" w:cs="Times New Roman"/>
          <w:sz w:val="24"/>
          <w:szCs w:val="24"/>
          <w:lang w:val="en-US"/>
        </w:rPr>
        <w:t>“Person i juridiksionit të raportueshëm” është individi ose njësia ekonomike që është rezidente në një juridiksion të raportueshëm, në bazë të legjislacionit tatimor të këtij juridiksioni, ose pasuria e trashëgimlënësit që ka qenë rezident i një juridiksioni të raportueshëm. Për këtë qëllim, njësia ekonomike, e tillë si partneriteti, partneriteti me përgjegjësi të kufizuara ose strukturat ligjore të ngjashme që nuk kanë rezidencë për qëllime tatimore, trajtohet si rezidente në juridiksionin ku ndodhet vendi i menaxhimit efektiv të saj.</w:t>
      </w:r>
    </w:p>
    <w:p w14:paraId="28FCE840" w14:textId="4ADB52D8" w:rsidR="00933949" w:rsidRPr="004D71BB" w:rsidRDefault="00FF5421" w:rsidP="00591FCC">
      <w:pPr>
        <w:spacing w:before="100" w:beforeAutospacing="1" w:after="100" w:afterAutospacing="1"/>
        <w:jc w:val="both"/>
        <w:rPr>
          <w:rFonts w:ascii="Times New Roman" w:eastAsia="Times New Roman" w:hAnsi="Times New Roman" w:cs="Times New Roman"/>
          <w:sz w:val="24"/>
          <w:szCs w:val="24"/>
          <w:lang w:val="en-US"/>
        </w:rPr>
      </w:pPr>
      <w:r w:rsidRPr="004D71BB">
        <w:rPr>
          <w:rFonts w:ascii="Times New Roman" w:eastAsia="Times New Roman" w:hAnsi="Times New Roman" w:cs="Times New Roman"/>
          <w:sz w:val="24"/>
          <w:szCs w:val="24"/>
          <w:lang w:val="en-US"/>
        </w:rPr>
        <w:t xml:space="preserve">64. </w:t>
      </w:r>
      <w:r w:rsidR="00933949" w:rsidRPr="004D71BB">
        <w:rPr>
          <w:rFonts w:ascii="Times New Roman" w:eastAsia="Times New Roman" w:hAnsi="Times New Roman" w:cs="Times New Roman"/>
          <w:sz w:val="24"/>
          <w:szCs w:val="24"/>
          <w:lang w:val="en-US"/>
        </w:rPr>
        <w:t xml:space="preserve">“Persona kontrollues” janë personat fizikë që ushtrojnë kontroll mbi një njësi ekonomike. Në rastin e një trusti, ky term nënkupton krijuesin e trustit, administratorin e trustit, </w:t>
      </w:r>
      <w:r w:rsidR="008908A9" w:rsidRPr="004D71BB">
        <w:rPr>
          <w:rFonts w:ascii="Times New Roman" w:eastAsia="Times New Roman" w:hAnsi="Times New Roman" w:cs="Times New Roman"/>
          <w:sz w:val="24"/>
          <w:szCs w:val="24"/>
          <w:lang w:val="en-US"/>
        </w:rPr>
        <w:t>mbro</w:t>
      </w:r>
      <w:r w:rsidR="00933949" w:rsidRPr="004D71BB">
        <w:rPr>
          <w:rFonts w:ascii="Times New Roman" w:eastAsia="Times New Roman" w:hAnsi="Times New Roman" w:cs="Times New Roman"/>
          <w:sz w:val="24"/>
          <w:szCs w:val="24"/>
          <w:lang w:val="en-US"/>
        </w:rPr>
        <w:t xml:space="preserve">jtësin, nëse ka, përfituesin ose kategoritë e përfituesve dhe çdo person tjetër fizik që ushtron </w:t>
      </w:r>
      <w:r w:rsidR="003B5A05" w:rsidRPr="004D71BB">
        <w:rPr>
          <w:rStyle w:val="Strong"/>
          <w:rFonts w:ascii="Times New Roman" w:hAnsi="Times New Roman" w:cs="Times New Roman"/>
          <w:b w:val="0"/>
          <w:bCs w:val="0"/>
          <w:sz w:val="24"/>
          <w:szCs w:val="24"/>
        </w:rPr>
        <w:t>kontroll efektiv përfundimtar</w:t>
      </w:r>
      <w:r w:rsidR="003B5A05" w:rsidRPr="004D71BB">
        <w:rPr>
          <w:rFonts w:ascii="Times New Roman" w:hAnsi="Times New Roman" w:cs="Times New Roman"/>
          <w:sz w:val="24"/>
          <w:szCs w:val="24"/>
        </w:rPr>
        <w:t xml:space="preserve"> </w:t>
      </w:r>
      <w:r w:rsidR="00933949" w:rsidRPr="004D71BB">
        <w:rPr>
          <w:rFonts w:ascii="Times New Roman" w:eastAsia="Times New Roman" w:hAnsi="Times New Roman" w:cs="Times New Roman"/>
          <w:sz w:val="24"/>
          <w:szCs w:val="24"/>
          <w:lang w:val="en-US"/>
        </w:rPr>
        <w:t>mbi trustin. Në rastin e një strukture juridike të ndryshme nga trusti, ky term nënkupton personat në pozicione të barasvlershme ose të ngjashme. Termi “persona kontrollues” interpretohet në mënyrë të pajtueshme me rekomandimet e Task Forcës për Veprimin Financiar dhe legjislacionin shqiptar në fuqi kundër pastrimit të parave.</w:t>
      </w:r>
    </w:p>
    <w:p w14:paraId="09669ABF" w14:textId="5D72AB8B" w:rsidR="00933949" w:rsidRPr="004D71BB" w:rsidRDefault="00FF5421" w:rsidP="00591FCC">
      <w:pPr>
        <w:spacing w:before="100" w:beforeAutospacing="1" w:after="100" w:afterAutospacing="1"/>
        <w:jc w:val="both"/>
        <w:rPr>
          <w:rFonts w:ascii="Times New Roman" w:eastAsia="Times New Roman" w:hAnsi="Times New Roman" w:cs="Times New Roman"/>
          <w:sz w:val="24"/>
          <w:szCs w:val="24"/>
          <w:lang w:val="en-US"/>
        </w:rPr>
      </w:pPr>
      <w:r w:rsidRPr="004D71BB">
        <w:rPr>
          <w:rFonts w:ascii="Times New Roman" w:eastAsia="Times New Roman" w:hAnsi="Times New Roman" w:cs="Times New Roman"/>
          <w:sz w:val="24"/>
          <w:szCs w:val="24"/>
          <w:lang w:val="en-US"/>
        </w:rPr>
        <w:t xml:space="preserve">65. </w:t>
      </w:r>
      <w:r w:rsidR="00933949" w:rsidRPr="004D71BB">
        <w:rPr>
          <w:rFonts w:ascii="Times New Roman" w:eastAsia="Times New Roman" w:hAnsi="Times New Roman" w:cs="Times New Roman"/>
          <w:sz w:val="24"/>
          <w:szCs w:val="24"/>
          <w:lang w:val="en-US"/>
        </w:rPr>
        <w:t>“Procedurat për PPP/NJKT” (AML/KYC) janë procedurat e vigjilencës së duhur ndaj klientit të institucionit financiar raportues, në bazë të kërkesave për parandalimin e pastrimit të parave ose kërkesave të ngjashme, ndaj të cilave ky institucion financiar raportues është objekt.</w:t>
      </w:r>
    </w:p>
    <w:p w14:paraId="404B4D68" w14:textId="712791FA" w:rsidR="00933949" w:rsidRPr="004D71BB" w:rsidRDefault="00FF5421" w:rsidP="00591FCC">
      <w:pPr>
        <w:spacing w:before="100" w:beforeAutospacing="1" w:after="100" w:afterAutospacing="1"/>
        <w:jc w:val="both"/>
        <w:rPr>
          <w:rFonts w:ascii="Times New Roman" w:eastAsia="Times New Roman" w:hAnsi="Times New Roman" w:cs="Times New Roman"/>
          <w:sz w:val="24"/>
          <w:szCs w:val="24"/>
          <w:lang w:val="en-US"/>
        </w:rPr>
      </w:pPr>
      <w:r w:rsidRPr="004D71BB">
        <w:rPr>
          <w:rFonts w:ascii="Times New Roman" w:eastAsia="Times New Roman" w:hAnsi="Times New Roman" w:cs="Times New Roman"/>
          <w:sz w:val="24"/>
          <w:szCs w:val="24"/>
          <w:lang w:val="en-US"/>
        </w:rPr>
        <w:t xml:space="preserve">66. </w:t>
      </w:r>
      <w:r w:rsidR="00933949" w:rsidRPr="004D71BB">
        <w:rPr>
          <w:rFonts w:ascii="Times New Roman" w:eastAsia="Times New Roman" w:hAnsi="Times New Roman" w:cs="Times New Roman"/>
          <w:sz w:val="24"/>
          <w:szCs w:val="24"/>
          <w:lang w:val="en-US"/>
        </w:rPr>
        <w:t xml:space="preserve">“Shërbim Qeveritar Verifikimi” </w:t>
      </w:r>
      <w:r w:rsidR="00DB4D47" w:rsidRPr="004D71BB">
        <w:rPr>
          <w:rFonts w:ascii="Times New Roman" w:hAnsi="Times New Roman" w:cs="Times New Roman"/>
          <w:sz w:val="24"/>
          <w:szCs w:val="24"/>
        </w:rPr>
        <w:t>për qëllimet e profilit të Standardit të Përbashkët të Raportimit, është një proces elektronik i mundësuar nga një juridiksion raportues për Institucionet Financiare Raportuese, për qëllime të verifikimit të identitetit dhe rezidencës tatimore të një Mbajtësi Llogarie ose Personi Kontrollues.</w:t>
      </w:r>
    </w:p>
    <w:p w14:paraId="23E55537" w14:textId="21A6447E" w:rsidR="00933949" w:rsidRPr="004D71BB" w:rsidRDefault="00FF5421" w:rsidP="00591FCC">
      <w:pPr>
        <w:spacing w:before="100" w:beforeAutospacing="1" w:after="100" w:afterAutospacing="1"/>
        <w:jc w:val="both"/>
        <w:rPr>
          <w:rFonts w:ascii="Times New Roman" w:eastAsia="Times New Roman" w:hAnsi="Times New Roman" w:cs="Times New Roman"/>
          <w:sz w:val="24"/>
          <w:szCs w:val="24"/>
          <w:lang w:val="en-US"/>
        </w:rPr>
      </w:pPr>
      <w:r w:rsidRPr="004D71BB">
        <w:rPr>
          <w:rFonts w:ascii="Times New Roman" w:eastAsia="Times New Roman" w:hAnsi="Times New Roman" w:cs="Times New Roman"/>
          <w:sz w:val="24"/>
          <w:szCs w:val="24"/>
          <w:lang w:val="en-US"/>
        </w:rPr>
        <w:lastRenderedPageBreak/>
        <w:t xml:space="preserve">67. </w:t>
      </w:r>
      <w:r w:rsidR="00933949" w:rsidRPr="004D71BB">
        <w:rPr>
          <w:rFonts w:ascii="Times New Roman" w:eastAsia="Times New Roman" w:hAnsi="Times New Roman" w:cs="Times New Roman"/>
          <w:sz w:val="24"/>
          <w:szCs w:val="24"/>
          <w:lang w:val="en-US"/>
        </w:rPr>
        <w:t>“Sistem i standardizuar i kodimit të industrisë” është një sistem kodimi i përdorur për klasifikimin e objekteve sipas llojit të biznesit për qëllime të ndryshme nga qëllimet tatimore.</w:t>
      </w:r>
    </w:p>
    <w:p w14:paraId="3002EEEE" w14:textId="6FE0A2F0" w:rsidR="00933949" w:rsidRPr="004D71BB" w:rsidRDefault="00FF5421" w:rsidP="00591FCC">
      <w:pPr>
        <w:spacing w:before="100" w:beforeAutospacing="1" w:after="100" w:afterAutospacing="1"/>
        <w:jc w:val="both"/>
        <w:rPr>
          <w:rFonts w:ascii="Times New Roman" w:eastAsia="Times New Roman" w:hAnsi="Times New Roman" w:cs="Times New Roman"/>
          <w:sz w:val="24"/>
          <w:szCs w:val="24"/>
          <w:lang w:val="en-US"/>
        </w:rPr>
      </w:pPr>
      <w:r w:rsidRPr="004D71BB">
        <w:rPr>
          <w:rFonts w:ascii="Times New Roman" w:eastAsia="Times New Roman" w:hAnsi="Times New Roman" w:cs="Times New Roman"/>
          <w:sz w:val="24"/>
          <w:szCs w:val="24"/>
          <w:lang w:val="en-US"/>
        </w:rPr>
        <w:t xml:space="preserve">68. </w:t>
      </w:r>
      <w:r w:rsidR="00256F4F" w:rsidRPr="004D71BB">
        <w:rPr>
          <w:rFonts w:ascii="Times New Roman" w:eastAsia="Times New Roman" w:hAnsi="Times New Roman" w:cs="Times New Roman"/>
          <w:sz w:val="24"/>
          <w:szCs w:val="24"/>
          <w:lang w:val="en-US"/>
        </w:rPr>
        <w:t xml:space="preserve"> </w:t>
      </w:r>
      <w:r w:rsidR="00933949" w:rsidRPr="004D71BB">
        <w:rPr>
          <w:rFonts w:ascii="Times New Roman" w:eastAsia="Times New Roman" w:hAnsi="Times New Roman" w:cs="Times New Roman"/>
          <w:sz w:val="24"/>
          <w:szCs w:val="24"/>
          <w:lang w:val="en-US"/>
        </w:rPr>
        <w:t>“Shoqëri sigurimesh e specifikuar” është çdo njësi ekonomike që është shoqëri sigurimi, ose shoqëri kontrolluese e një shoqërie sigurimi, që lëshon ose është e detyruar të kryejë pagesa lidhur me kontratat e sigurimit në vlerë në para të gatshme ose kontratat e pensionit vjetor.</w:t>
      </w:r>
    </w:p>
    <w:p w14:paraId="7B94F307" w14:textId="6DDB8FE0" w:rsidR="00933949" w:rsidRPr="004D71BB" w:rsidRDefault="00FF5421" w:rsidP="00591FCC">
      <w:pPr>
        <w:spacing w:before="100" w:beforeAutospacing="1" w:after="100" w:afterAutospacing="1"/>
        <w:jc w:val="both"/>
        <w:rPr>
          <w:rFonts w:ascii="Times New Roman" w:eastAsia="Times New Roman" w:hAnsi="Times New Roman" w:cs="Times New Roman"/>
          <w:sz w:val="24"/>
          <w:szCs w:val="24"/>
          <w:lang w:val="en-US"/>
        </w:rPr>
      </w:pPr>
      <w:r w:rsidRPr="004D71BB">
        <w:rPr>
          <w:rFonts w:ascii="Times New Roman" w:eastAsia="Times New Roman" w:hAnsi="Times New Roman" w:cs="Times New Roman"/>
          <w:sz w:val="24"/>
          <w:szCs w:val="24"/>
          <w:lang w:val="en-US"/>
        </w:rPr>
        <w:t xml:space="preserve">69. </w:t>
      </w:r>
      <w:r w:rsidR="007A5968" w:rsidRPr="004D71BB">
        <w:rPr>
          <w:rFonts w:ascii="Times New Roman" w:eastAsia="Times New Roman" w:hAnsi="Times New Roman" w:cs="Times New Roman"/>
          <w:sz w:val="24"/>
          <w:szCs w:val="24"/>
          <w:lang w:val="en-US"/>
        </w:rPr>
        <w:t>“</w:t>
      </w:r>
      <w:r w:rsidR="00933949" w:rsidRPr="004D71BB">
        <w:rPr>
          <w:rFonts w:ascii="Times New Roman" w:eastAsia="Times New Roman" w:hAnsi="Times New Roman" w:cs="Times New Roman"/>
          <w:sz w:val="24"/>
          <w:szCs w:val="24"/>
          <w:lang w:val="en-US"/>
        </w:rPr>
        <w:t>Vlerë në para të gatshme” është shuma më e madhe e shumave vijuese:</w:t>
      </w:r>
    </w:p>
    <w:p w14:paraId="1C3C5A31" w14:textId="77777777" w:rsidR="00933949" w:rsidRPr="004D71BB" w:rsidRDefault="00933949" w:rsidP="00591FCC">
      <w:pPr>
        <w:spacing w:before="100" w:beforeAutospacing="1" w:after="100" w:afterAutospacing="1"/>
        <w:jc w:val="both"/>
        <w:rPr>
          <w:rFonts w:ascii="Times New Roman" w:eastAsia="Times New Roman" w:hAnsi="Times New Roman" w:cs="Times New Roman"/>
          <w:sz w:val="24"/>
          <w:szCs w:val="24"/>
          <w:lang w:val="en-US"/>
        </w:rPr>
      </w:pPr>
      <w:r w:rsidRPr="004D71BB">
        <w:rPr>
          <w:rFonts w:ascii="Times New Roman" w:eastAsia="Times New Roman" w:hAnsi="Times New Roman" w:cs="Times New Roman"/>
          <w:sz w:val="24"/>
          <w:szCs w:val="24"/>
          <w:lang w:val="en-US"/>
        </w:rPr>
        <w:t>a) shuma që mbajtësi i policës ka të drejtë të marrë menjëherë pas mbylljes vullnetare ose zgjidhjes së kontratës, e përcaktuar pa llogaritur zbritjen e mundshme në formë penalizimi për mbylljen vullnetare ose huanë mbi policën; dhe</w:t>
      </w:r>
    </w:p>
    <w:p w14:paraId="525CCD03" w14:textId="77777777" w:rsidR="00933949" w:rsidRPr="004D71BB" w:rsidRDefault="00933949" w:rsidP="00591FCC">
      <w:pPr>
        <w:spacing w:before="100" w:beforeAutospacing="1" w:after="100" w:afterAutospacing="1"/>
        <w:jc w:val="both"/>
        <w:rPr>
          <w:rFonts w:ascii="Times New Roman" w:eastAsia="Times New Roman" w:hAnsi="Times New Roman" w:cs="Times New Roman"/>
          <w:sz w:val="24"/>
          <w:szCs w:val="24"/>
          <w:lang w:val="en-US"/>
        </w:rPr>
      </w:pPr>
      <w:r w:rsidRPr="004D71BB">
        <w:rPr>
          <w:rFonts w:ascii="Times New Roman" w:eastAsia="Times New Roman" w:hAnsi="Times New Roman" w:cs="Times New Roman"/>
          <w:sz w:val="24"/>
          <w:szCs w:val="24"/>
          <w:lang w:val="en-US"/>
        </w:rPr>
        <w:t>b) shuma që mbajtësi i policës mund të marrë hua sipas kontratës ose lidhur me të.</w:t>
      </w:r>
    </w:p>
    <w:p w14:paraId="4D31C34E" w14:textId="77777777" w:rsidR="00933949" w:rsidRPr="004D71BB" w:rsidRDefault="00933949" w:rsidP="00591FCC">
      <w:pPr>
        <w:spacing w:before="100" w:beforeAutospacing="1" w:after="100" w:afterAutospacing="1"/>
        <w:jc w:val="both"/>
        <w:rPr>
          <w:rFonts w:ascii="Times New Roman" w:eastAsia="Times New Roman" w:hAnsi="Times New Roman" w:cs="Times New Roman"/>
          <w:sz w:val="24"/>
          <w:szCs w:val="24"/>
          <w:lang w:val="en-US"/>
        </w:rPr>
      </w:pPr>
      <w:r w:rsidRPr="004D71BB">
        <w:rPr>
          <w:rFonts w:ascii="Times New Roman" w:eastAsia="Times New Roman" w:hAnsi="Times New Roman" w:cs="Times New Roman"/>
          <w:sz w:val="24"/>
          <w:szCs w:val="24"/>
          <w:lang w:val="en-US"/>
        </w:rPr>
        <w:t>Pavarësisht nga sa më sipër, termi “vlerë në para të gatshme” nuk përfshin shumën që paguhet sipas kontratës së sigurimit:</w:t>
      </w:r>
    </w:p>
    <w:p w14:paraId="091E71AA" w14:textId="77777777" w:rsidR="00933949" w:rsidRPr="004D71BB" w:rsidRDefault="00933949" w:rsidP="00591FCC">
      <w:pPr>
        <w:spacing w:before="100" w:beforeAutospacing="1" w:after="100" w:afterAutospacing="1"/>
        <w:jc w:val="both"/>
        <w:rPr>
          <w:rFonts w:ascii="Times New Roman" w:eastAsia="Times New Roman" w:hAnsi="Times New Roman" w:cs="Times New Roman"/>
          <w:sz w:val="24"/>
          <w:szCs w:val="24"/>
          <w:lang w:val="en-US"/>
        </w:rPr>
      </w:pPr>
      <w:r w:rsidRPr="004D71BB">
        <w:rPr>
          <w:rFonts w:ascii="Times New Roman" w:eastAsia="Times New Roman" w:hAnsi="Times New Roman" w:cs="Times New Roman"/>
          <w:sz w:val="24"/>
          <w:szCs w:val="24"/>
          <w:lang w:val="en-US"/>
        </w:rPr>
        <w:t>i) vetëm për shkak të vdekjes së individit të siguruar sipas kontratës së sigurimit të jetës;</w:t>
      </w:r>
    </w:p>
    <w:p w14:paraId="6FFB3091" w14:textId="77777777" w:rsidR="00933949" w:rsidRPr="004D71BB" w:rsidRDefault="00933949" w:rsidP="00591FCC">
      <w:pPr>
        <w:spacing w:before="100" w:beforeAutospacing="1" w:after="100" w:afterAutospacing="1"/>
        <w:jc w:val="both"/>
        <w:rPr>
          <w:rFonts w:ascii="Times New Roman" w:eastAsia="Times New Roman" w:hAnsi="Times New Roman" w:cs="Times New Roman"/>
          <w:sz w:val="24"/>
          <w:szCs w:val="24"/>
          <w:lang w:val="en-US"/>
        </w:rPr>
      </w:pPr>
      <w:r w:rsidRPr="004D71BB">
        <w:rPr>
          <w:rFonts w:ascii="Times New Roman" w:eastAsia="Times New Roman" w:hAnsi="Times New Roman" w:cs="Times New Roman"/>
          <w:sz w:val="24"/>
          <w:szCs w:val="24"/>
          <w:lang w:val="en-US"/>
        </w:rPr>
        <w:t>ii) në formën e përfitimit personal nga lëndimi ose sëmundja ose të përfitimeve të tjera që zhdëmtojnë humbjen ekonomike të pësuar për shkak të ndodhjes së një ngjarjeje ndaj së cilës është siguruar;</w:t>
      </w:r>
    </w:p>
    <w:p w14:paraId="12831228" w14:textId="327436C0" w:rsidR="00933949" w:rsidRPr="004D71BB" w:rsidRDefault="00933949" w:rsidP="00591FCC">
      <w:pPr>
        <w:pStyle w:val="NormalWeb"/>
        <w:spacing w:line="276" w:lineRule="auto"/>
        <w:jc w:val="both"/>
      </w:pPr>
      <w:r w:rsidRPr="004D71BB">
        <w:t xml:space="preserve">iii) në formën e rimbursimit të një primi të paguar më parë, minus kostot e shpenzimeve të sigurimit, pavarësisht nëse vendosen apo jo, sipas një kontrate sigurimi, të ndryshme nga kontrata e sigurimit të jetës të lidhur me një investim ose kontrata e pensionit vjetor, për shkak të anulimit ose zgjidhjes së kontratës, uljes së rrezikut të ekspozimit gjatë periudhës së veprimit të kontratës </w:t>
      </w:r>
      <w:r w:rsidR="00CC42F9" w:rsidRPr="004D71BB">
        <w:t>ose si rezultat i korrigjimit të një regjistrimi kontabël ose të një gabimi të ngjashëm lidhur me primin e kontratës;</w:t>
      </w:r>
    </w:p>
    <w:p w14:paraId="495C362A" w14:textId="5EE79AE6" w:rsidR="00933949" w:rsidRPr="004D71BB" w:rsidRDefault="00933949" w:rsidP="00591FCC">
      <w:pPr>
        <w:spacing w:before="100" w:beforeAutospacing="1" w:after="100" w:afterAutospacing="1"/>
        <w:jc w:val="both"/>
        <w:rPr>
          <w:rFonts w:ascii="Times New Roman" w:eastAsia="Times New Roman" w:hAnsi="Times New Roman" w:cs="Times New Roman"/>
          <w:sz w:val="24"/>
          <w:szCs w:val="24"/>
          <w:lang w:val="en-US"/>
        </w:rPr>
      </w:pPr>
      <w:r w:rsidRPr="004D71BB">
        <w:rPr>
          <w:rFonts w:ascii="Times New Roman" w:eastAsia="Times New Roman" w:hAnsi="Times New Roman" w:cs="Times New Roman"/>
          <w:sz w:val="24"/>
          <w:szCs w:val="24"/>
          <w:lang w:val="en-US"/>
        </w:rPr>
        <w:t xml:space="preserve">iv) në formën e dividendit të mbajtësit të policës, të ndryshëm nga dividendi në zgjidhjen e kontratës, </w:t>
      </w:r>
      <w:r w:rsidR="00240149" w:rsidRPr="004D71BB">
        <w:rPr>
          <w:rFonts w:ascii="Times New Roman" w:eastAsia="Times New Roman" w:hAnsi="Times New Roman" w:cs="Times New Roman"/>
          <w:sz w:val="24"/>
          <w:szCs w:val="24"/>
          <w:lang w:eastAsia="sq-AL"/>
        </w:rPr>
        <w:t>me kusht që dividendi të lidhet me një kontratë sigurimi sipas së cilës të vetmet përfitime të pagueshme janë ato të përshkruara në nënndarjen ‘ii’ të kësaj pike</w:t>
      </w:r>
      <w:r w:rsidRPr="004D71BB">
        <w:rPr>
          <w:rFonts w:ascii="Times New Roman" w:eastAsia="Times New Roman" w:hAnsi="Times New Roman" w:cs="Times New Roman"/>
          <w:sz w:val="24"/>
          <w:szCs w:val="24"/>
          <w:lang w:val="en-US"/>
        </w:rPr>
        <w:t>; ose</w:t>
      </w:r>
    </w:p>
    <w:p w14:paraId="7196B47C" w14:textId="77777777" w:rsidR="00933949" w:rsidRPr="004D71BB" w:rsidRDefault="00933949" w:rsidP="00591FCC">
      <w:pPr>
        <w:spacing w:before="100" w:beforeAutospacing="1" w:after="100" w:afterAutospacing="1"/>
        <w:jc w:val="both"/>
        <w:rPr>
          <w:rFonts w:ascii="Times New Roman" w:eastAsia="Times New Roman" w:hAnsi="Times New Roman" w:cs="Times New Roman"/>
          <w:sz w:val="24"/>
          <w:szCs w:val="24"/>
          <w:lang w:val="en-US"/>
        </w:rPr>
      </w:pPr>
      <w:r w:rsidRPr="004D71BB">
        <w:rPr>
          <w:rFonts w:ascii="Times New Roman" w:eastAsia="Times New Roman" w:hAnsi="Times New Roman" w:cs="Times New Roman"/>
          <w:sz w:val="24"/>
          <w:szCs w:val="24"/>
          <w:lang w:val="en-US"/>
        </w:rPr>
        <w:t>v) në formën e kthimit të primit të parapaguar ose të depozitës së primit për kontratën e sigurimit për të cilën primi paguhet të paktën çdo vit, nëse shuma e primit të parapaguar ose e depozitës së primit nuk e kalon primin vijues vjetor që do të paguhet sipas kontratës.</w:t>
      </w:r>
    </w:p>
    <w:p w14:paraId="3D96E0F9" w14:textId="46D61380" w:rsidR="00933949" w:rsidRPr="004D71BB" w:rsidRDefault="00FF5421" w:rsidP="00591FCC">
      <w:pPr>
        <w:spacing w:before="100" w:beforeAutospacing="1" w:after="100" w:afterAutospacing="1"/>
        <w:jc w:val="both"/>
        <w:rPr>
          <w:rFonts w:ascii="Times New Roman" w:eastAsia="Times New Roman" w:hAnsi="Times New Roman" w:cs="Times New Roman"/>
          <w:sz w:val="24"/>
          <w:szCs w:val="24"/>
          <w:lang w:val="en-US"/>
        </w:rPr>
      </w:pPr>
      <w:r w:rsidRPr="004D71BB">
        <w:rPr>
          <w:rFonts w:ascii="Times New Roman" w:eastAsia="Times New Roman" w:hAnsi="Times New Roman" w:cs="Times New Roman"/>
          <w:sz w:val="24"/>
          <w:szCs w:val="24"/>
          <w:lang w:val="en-US"/>
        </w:rPr>
        <w:t xml:space="preserve">70. </w:t>
      </w:r>
      <w:r w:rsidR="00933949" w:rsidRPr="004D71BB">
        <w:rPr>
          <w:rFonts w:ascii="Times New Roman" w:eastAsia="Times New Roman" w:hAnsi="Times New Roman" w:cs="Times New Roman"/>
          <w:sz w:val="24"/>
          <w:szCs w:val="24"/>
          <w:lang w:val="en-US"/>
        </w:rPr>
        <w:t>“Rrjeti CCN” ka të njëjtin kuptim sipas përcaktimit në ligjin “Për bashkëpunimin administrativ në fushën e tatimeve dhe shkëmbimin e informacionit tatimor”.</w:t>
      </w:r>
    </w:p>
    <w:p w14:paraId="604187E6" w14:textId="2487E1F2" w:rsidR="00933949" w:rsidRPr="004D71BB" w:rsidRDefault="00FF5421" w:rsidP="00591FCC">
      <w:pPr>
        <w:spacing w:before="100" w:beforeAutospacing="1" w:after="100" w:afterAutospacing="1"/>
        <w:jc w:val="both"/>
        <w:rPr>
          <w:rFonts w:ascii="Times New Roman" w:eastAsia="Times New Roman" w:hAnsi="Times New Roman" w:cs="Times New Roman"/>
          <w:sz w:val="24"/>
          <w:szCs w:val="24"/>
          <w:lang w:val="en-US"/>
        </w:rPr>
      </w:pPr>
      <w:r w:rsidRPr="004D71BB">
        <w:rPr>
          <w:rFonts w:ascii="Times New Roman" w:eastAsia="Times New Roman" w:hAnsi="Times New Roman" w:cs="Times New Roman"/>
          <w:sz w:val="24"/>
          <w:szCs w:val="24"/>
          <w:lang w:val="en-US"/>
        </w:rPr>
        <w:t xml:space="preserve">71. </w:t>
      </w:r>
      <w:r w:rsidR="00933949" w:rsidRPr="004D71BB">
        <w:rPr>
          <w:rFonts w:ascii="Times New Roman" w:eastAsia="Times New Roman" w:hAnsi="Times New Roman" w:cs="Times New Roman"/>
          <w:sz w:val="24"/>
          <w:szCs w:val="24"/>
          <w:lang w:val="en-US"/>
        </w:rPr>
        <w:t>“Shkelje e të dhënave” ka të njëjtin kuptim sipas përcaktimit në ligjin “Për bashkëpunimin administrativ në fushën e tatimeve dhe shkëmbimin e informacionit tatimor”.</w:t>
      </w:r>
    </w:p>
    <w:p w14:paraId="4D075B6B" w14:textId="1B319D2F" w:rsidR="00933949" w:rsidRPr="004D71BB" w:rsidRDefault="00FF5421" w:rsidP="00591FCC">
      <w:pPr>
        <w:spacing w:before="100" w:beforeAutospacing="1" w:after="100" w:afterAutospacing="1"/>
        <w:jc w:val="both"/>
        <w:rPr>
          <w:rFonts w:ascii="Times New Roman" w:eastAsia="Times New Roman" w:hAnsi="Times New Roman" w:cs="Times New Roman"/>
          <w:sz w:val="24"/>
          <w:szCs w:val="24"/>
          <w:lang w:val="en-US"/>
        </w:rPr>
      </w:pPr>
      <w:r w:rsidRPr="004D71BB">
        <w:rPr>
          <w:rFonts w:ascii="Times New Roman" w:eastAsia="Times New Roman" w:hAnsi="Times New Roman" w:cs="Times New Roman"/>
          <w:sz w:val="24"/>
          <w:szCs w:val="24"/>
          <w:lang w:val="en-US"/>
        </w:rPr>
        <w:lastRenderedPageBreak/>
        <w:t xml:space="preserve">72. </w:t>
      </w:r>
      <w:r w:rsidR="00933949" w:rsidRPr="004D71BB">
        <w:rPr>
          <w:rFonts w:ascii="Times New Roman" w:eastAsia="Times New Roman" w:hAnsi="Times New Roman" w:cs="Times New Roman"/>
          <w:sz w:val="24"/>
          <w:szCs w:val="24"/>
          <w:lang w:val="en-US"/>
        </w:rPr>
        <w:t>“Shkëmbim automatik” është komunikimi sistematik i informacionit të paracaktuar, pa kërkesë paraprake, në intervale të paracaktuara. Për shkëmbimet me shtetet anëtare të Bashkimit Evropian zbatohen gjithashtu përkufizimi dhe rregullat e parashikuara në ligjin “Për bashkëpunimin administrativ në fushën e tatimeve dhe shkëmbimin e informacionit tatimor”.</w:t>
      </w:r>
    </w:p>
    <w:p w14:paraId="4251DACF" w14:textId="1EC6678B" w:rsidR="008B000A" w:rsidRPr="004D71BB" w:rsidRDefault="00B601BF" w:rsidP="00591FCC">
      <w:pPr>
        <w:pStyle w:val="NormalWeb"/>
        <w:spacing w:line="276" w:lineRule="auto"/>
      </w:pPr>
      <w:r w:rsidRPr="004D71BB">
        <w:t xml:space="preserve">73. </w:t>
      </w:r>
      <w:r w:rsidR="008B000A" w:rsidRPr="004D71BB">
        <w:t>“Shërbim identifikimi” për qëllime të profilit të Bashkimit Evropian, është një proces elektronik i vënë në dispozicion pa pagesë nga një shtet anëtar ose nga Bashkimi Evropian për një Institucion Financiar Raportues, me qëllim përcaktimin e identitetit dhe rezidencës tatimore të një Mbajtësi Llogarie ose Personi Kontrollues.</w:t>
      </w:r>
    </w:p>
    <w:p w14:paraId="72D8A75D" w14:textId="77777777" w:rsidR="00392A9A" w:rsidRPr="00591FCC" w:rsidRDefault="00392A9A" w:rsidP="00591FCC">
      <w:pPr>
        <w:spacing w:after="0"/>
        <w:jc w:val="center"/>
        <w:rPr>
          <w:rFonts w:ascii="Times New Roman" w:hAnsi="Times New Roman" w:cs="Times New Roman"/>
          <w:sz w:val="24"/>
          <w:szCs w:val="24"/>
        </w:rPr>
      </w:pPr>
    </w:p>
    <w:p w14:paraId="782197B6" w14:textId="6BD464D7" w:rsidR="000A71CD" w:rsidRPr="00591FCC" w:rsidRDefault="00834F1C" w:rsidP="00591FCC">
      <w:pPr>
        <w:spacing w:after="0"/>
        <w:jc w:val="center"/>
        <w:rPr>
          <w:rFonts w:ascii="Times New Roman" w:hAnsi="Times New Roman" w:cs="Times New Roman"/>
          <w:sz w:val="24"/>
          <w:szCs w:val="24"/>
        </w:rPr>
      </w:pPr>
      <w:r w:rsidRPr="00591FCC">
        <w:rPr>
          <w:rFonts w:ascii="Times New Roman" w:hAnsi="Times New Roman" w:cs="Times New Roman"/>
          <w:sz w:val="24"/>
          <w:szCs w:val="24"/>
        </w:rPr>
        <w:t>KREU</w:t>
      </w:r>
      <w:r w:rsidR="0071058D" w:rsidRPr="00591FCC">
        <w:rPr>
          <w:rFonts w:ascii="Times New Roman" w:hAnsi="Times New Roman" w:cs="Times New Roman"/>
          <w:sz w:val="24"/>
          <w:szCs w:val="24"/>
        </w:rPr>
        <w:t xml:space="preserve"> II</w:t>
      </w:r>
    </w:p>
    <w:p w14:paraId="782197B8" w14:textId="77777777" w:rsidR="00531076" w:rsidRPr="00591FCC" w:rsidRDefault="0071058D" w:rsidP="00591FCC">
      <w:pPr>
        <w:spacing w:after="0"/>
        <w:jc w:val="center"/>
        <w:rPr>
          <w:rFonts w:ascii="Times New Roman" w:hAnsi="Times New Roman" w:cs="Times New Roman"/>
          <w:sz w:val="24"/>
          <w:szCs w:val="24"/>
        </w:rPr>
      </w:pPr>
      <w:r w:rsidRPr="00591FCC">
        <w:rPr>
          <w:rFonts w:ascii="Times New Roman" w:hAnsi="Times New Roman" w:cs="Times New Roman"/>
          <w:sz w:val="24"/>
          <w:szCs w:val="24"/>
        </w:rPr>
        <w:t xml:space="preserve">DETYRIMI </w:t>
      </w:r>
      <w:r w:rsidR="0016097F" w:rsidRPr="00591FCC">
        <w:rPr>
          <w:rFonts w:ascii="Times New Roman" w:hAnsi="Times New Roman" w:cs="Times New Roman"/>
          <w:sz w:val="24"/>
          <w:szCs w:val="24"/>
        </w:rPr>
        <w:t>P</w:t>
      </w:r>
      <w:r w:rsidR="00C855F4" w:rsidRPr="00591FCC">
        <w:rPr>
          <w:rFonts w:ascii="Times New Roman" w:hAnsi="Times New Roman" w:cs="Times New Roman"/>
          <w:sz w:val="24"/>
          <w:szCs w:val="24"/>
        </w:rPr>
        <w:t>Ë</w:t>
      </w:r>
      <w:r w:rsidR="0016097F" w:rsidRPr="00591FCC">
        <w:rPr>
          <w:rFonts w:ascii="Times New Roman" w:hAnsi="Times New Roman" w:cs="Times New Roman"/>
          <w:sz w:val="24"/>
          <w:szCs w:val="24"/>
        </w:rPr>
        <w:t>R</w:t>
      </w:r>
      <w:r w:rsidRPr="00591FCC">
        <w:rPr>
          <w:rFonts w:ascii="Times New Roman" w:hAnsi="Times New Roman" w:cs="Times New Roman"/>
          <w:sz w:val="24"/>
          <w:szCs w:val="24"/>
        </w:rPr>
        <w:t xml:space="preserve"> RAPORTIM</w:t>
      </w:r>
    </w:p>
    <w:p w14:paraId="782197B9" w14:textId="77777777" w:rsidR="0049385C" w:rsidRPr="00591FCC" w:rsidRDefault="0049385C" w:rsidP="00591FCC">
      <w:pPr>
        <w:spacing w:after="0"/>
        <w:jc w:val="center"/>
        <w:rPr>
          <w:rFonts w:ascii="Times New Roman" w:hAnsi="Times New Roman" w:cs="Times New Roman"/>
          <w:sz w:val="24"/>
          <w:szCs w:val="24"/>
        </w:rPr>
      </w:pPr>
    </w:p>
    <w:p w14:paraId="782197BA" w14:textId="4C24EA14" w:rsidR="00531076" w:rsidRPr="002D72DD" w:rsidRDefault="005C5C6A" w:rsidP="00591FCC">
      <w:pPr>
        <w:spacing w:after="0"/>
        <w:jc w:val="center"/>
        <w:rPr>
          <w:rFonts w:ascii="Times New Roman" w:hAnsi="Times New Roman" w:cs="Times New Roman"/>
          <w:b/>
          <w:bCs/>
          <w:sz w:val="24"/>
          <w:szCs w:val="24"/>
        </w:rPr>
      </w:pPr>
      <w:r w:rsidRPr="002D72DD">
        <w:rPr>
          <w:rFonts w:ascii="Times New Roman" w:hAnsi="Times New Roman" w:cs="Times New Roman"/>
          <w:b/>
          <w:bCs/>
          <w:sz w:val="24"/>
          <w:szCs w:val="24"/>
        </w:rPr>
        <w:t>Neni 6</w:t>
      </w:r>
    </w:p>
    <w:p w14:paraId="782197BC" w14:textId="77777777" w:rsidR="00531076" w:rsidRPr="00591FCC" w:rsidRDefault="00531076" w:rsidP="00591FCC">
      <w:pPr>
        <w:spacing w:after="0"/>
        <w:jc w:val="center"/>
        <w:rPr>
          <w:rFonts w:ascii="Times New Roman" w:hAnsi="Times New Roman" w:cs="Times New Roman"/>
          <w:b/>
          <w:sz w:val="24"/>
          <w:szCs w:val="24"/>
        </w:rPr>
      </w:pPr>
      <w:r w:rsidRPr="00591FCC">
        <w:rPr>
          <w:rFonts w:ascii="Times New Roman" w:hAnsi="Times New Roman" w:cs="Times New Roman"/>
          <w:b/>
          <w:sz w:val="24"/>
          <w:szCs w:val="24"/>
        </w:rPr>
        <w:t>Raportimi tek Autoriteti Kompetent</w:t>
      </w:r>
    </w:p>
    <w:p w14:paraId="782197BD" w14:textId="77777777" w:rsidR="00AA7118" w:rsidRPr="00591FCC" w:rsidRDefault="00AA7118" w:rsidP="00591FCC">
      <w:pPr>
        <w:spacing w:after="0"/>
        <w:ind w:firstLine="284"/>
        <w:jc w:val="both"/>
        <w:rPr>
          <w:rFonts w:ascii="Times New Roman" w:hAnsi="Times New Roman" w:cs="Times New Roman"/>
          <w:sz w:val="24"/>
          <w:szCs w:val="24"/>
        </w:rPr>
      </w:pPr>
    </w:p>
    <w:p w14:paraId="39EE3BEF" w14:textId="4DC4428D" w:rsidR="007F0D27" w:rsidRPr="00591FCC" w:rsidRDefault="002D6DE0" w:rsidP="00591FCC">
      <w:pPr>
        <w:pStyle w:val="ListParagraph"/>
        <w:numPr>
          <w:ilvl w:val="2"/>
          <w:numId w:val="4"/>
        </w:numPr>
        <w:spacing w:after="0"/>
        <w:ind w:left="360"/>
        <w:jc w:val="both"/>
        <w:rPr>
          <w:rFonts w:ascii="Times New Roman" w:hAnsi="Times New Roman" w:cs="Times New Roman"/>
          <w:sz w:val="24"/>
          <w:szCs w:val="24"/>
        </w:rPr>
      </w:pPr>
      <w:r w:rsidRPr="00591FCC">
        <w:rPr>
          <w:rFonts w:ascii="Times New Roman" w:hAnsi="Times New Roman" w:cs="Times New Roman"/>
          <w:sz w:val="24"/>
          <w:szCs w:val="24"/>
        </w:rPr>
        <w:t xml:space="preserve">Çdo institucion financiar raportues në Republikën e Shqipërisë i raporton Autoritetit </w:t>
      </w:r>
      <w:r w:rsidR="002E2B98" w:rsidRPr="00591FCC">
        <w:rPr>
          <w:rFonts w:ascii="Times New Roman" w:hAnsi="Times New Roman" w:cs="Times New Roman"/>
          <w:sz w:val="24"/>
          <w:szCs w:val="24"/>
        </w:rPr>
        <w:t xml:space="preserve"> </w:t>
      </w:r>
      <w:r w:rsidR="00C16748" w:rsidRPr="00591FCC">
        <w:rPr>
          <w:rFonts w:ascii="Times New Roman" w:hAnsi="Times New Roman" w:cs="Times New Roman"/>
          <w:sz w:val="24"/>
          <w:szCs w:val="24"/>
        </w:rPr>
        <w:t>K</w:t>
      </w:r>
      <w:r w:rsidRPr="00591FCC">
        <w:rPr>
          <w:rFonts w:ascii="Times New Roman" w:hAnsi="Times New Roman" w:cs="Times New Roman"/>
          <w:sz w:val="24"/>
          <w:szCs w:val="24"/>
        </w:rPr>
        <w:t xml:space="preserve">ompetent, për çdo vit kalendarik ose periudhë tjetër të përshtatshme raportuese, informacionin e kërkuar për çdo llogari të raportueshme, </w:t>
      </w:r>
      <w:r w:rsidR="00B14DCB" w:rsidRPr="00591FCC">
        <w:rPr>
          <w:rFonts w:ascii="Times New Roman" w:hAnsi="Times New Roman" w:cs="Times New Roman"/>
          <w:sz w:val="24"/>
          <w:szCs w:val="24"/>
        </w:rPr>
        <w:t xml:space="preserve">sipas </w:t>
      </w:r>
      <w:r w:rsidRPr="00591FCC">
        <w:rPr>
          <w:rFonts w:ascii="Times New Roman" w:hAnsi="Times New Roman" w:cs="Times New Roman"/>
          <w:sz w:val="24"/>
          <w:szCs w:val="24"/>
        </w:rPr>
        <w:t>kët</w:t>
      </w:r>
      <w:r w:rsidR="00C16748" w:rsidRPr="00591FCC">
        <w:rPr>
          <w:rFonts w:ascii="Times New Roman" w:hAnsi="Times New Roman" w:cs="Times New Roman"/>
          <w:sz w:val="24"/>
          <w:szCs w:val="24"/>
        </w:rPr>
        <w:t>ij</w:t>
      </w:r>
      <w:r w:rsidRPr="00591FCC">
        <w:rPr>
          <w:rFonts w:ascii="Times New Roman" w:hAnsi="Times New Roman" w:cs="Times New Roman"/>
          <w:sz w:val="24"/>
          <w:szCs w:val="24"/>
        </w:rPr>
        <w:t xml:space="preserve"> ligj</w:t>
      </w:r>
      <w:r w:rsidR="00C16748" w:rsidRPr="00591FCC">
        <w:rPr>
          <w:rFonts w:ascii="Times New Roman" w:hAnsi="Times New Roman" w:cs="Times New Roman"/>
          <w:sz w:val="24"/>
          <w:szCs w:val="24"/>
        </w:rPr>
        <w:t xml:space="preserve">i </w:t>
      </w:r>
      <w:r w:rsidRPr="00591FCC">
        <w:rPr>
          <w:rFonts w:ascii="Times New Roman" w:hAnsi="Times New Roman" w:cs="Times New Roman"/>
          <w:sz w:val="24"/>
          <w:szCs w:val="24"/>
        </w:rPr>
        <w:t>dhe akte</w:t>
      </w:r>
      <w:r w:rsidR="001E0810" w:rsidRPr="00591FCC">
        <w:rPr>
          <w:rFonts w:ascii="Times New Roman" w:hAnsi="Times New Roman" w:cs="Times New Roman"/>
          <w:sz w:val="24"/>
          <w:szCs w:val="24"/>
        </w:rPr>
        <w:t>ve</w:t>
      </w:r>
      <w:r w:rsidRPr="00591FCC">
        <w:rPr>
          <w:rFonts w:ascii="Times New Roman" w:hAnsi="Times New Roman" w:cs="Times New Roman"/>
          <w:sz w:val="24"/>
          <w:szCs w:val="24"/>
        </w:rPr>
        <w:t xml:space="preserve"> nënligjore në zbatim të tij, jo më vonë se data 30 maj e vitit që pason përfundimin e periudhës së raportimit. Informacioni që raportohet përfshin elementet e përcaktuara në këtë ligj, si dhe elementet e tjera të përcaktuara në aktet nënligjore në zbatim të tij.</w:t>
      </w:r>
    </w:p>
    <w:p w14:paraId="782197BF" w14:textId="241C080D" w:rsidR="0006733A" w:rsidRPr="00591FCC" w:rsidRDefault="00341D66" w:rsidP="00591FCC">
      <w:pPr>
        <w:pStyle w:val="ListParagraph"/>
        <w:numPr>
          <w:ilvl w:val="2"/>
          <w:numId w:val="4"/>
        </w:numPr>
        <w:spacing w:after="0"/>
        <w:ind w:left="360"/>
        <w:jc w:val="both"/>
        <w:rPr>
          <w:rFonts w:ascii="Times New Roman" w:hAnsi="Times New Roman" w:cs="Times New Roman"/>
          <w:sz w:val="24"/>
          <w:szCs w:val="24"/>
        </w:rPr>
      </w:pPr>
      <w:r w:rsidRPr="00591FCC">
        <w:rPr>
          <w:rFonts w:ascii="Times New Roman" w:hAnsi="Times New Roman" w:cs="Times New Roman"/>
          <w:sz w:val="24"/>
          <w:szCs w:val="24"/>
        </w:rPr>
        <w:t>N</w:t>
      </w:r>
      <w:r w:rsidR="005865B9" w:rsidRPr="00591FCC">
        <w:rPr>
          <w:rFonts w:ascii="Times New Roman" w:hAnsi="Times New Roman" w:cs="Times New Roman"/>
          <w:sz w:val="24"/>
          <w:szCs w:val="24"/>
        </w:rPr>
        <w:t>ë</w:t>
      </w:r>
      <w:r w:rsidRPr="00591FCC">
        <w:rPr>
          <w:rFonts w:ascii="Times New Roman" w:hAnsi="Times New Roman" w:cs="Times New Roman"/>
          <w:sz w:val="24"/>
          <w:szCs w:val="24"/>
        </w:rPr>
        <w:t xml:space="preserve">se </w:t>
      </w:r>
      <w:r w:rsidR="00AA7118" w:rsidRPr="00591FCC">
        <w:rPr>
          <w:rFonts w:ascii="Times New Roman" w:hAnsi="Times New Roman" w:cs="Times New Roman"/>
          <w:sz w:val="24"/>
          <w:szCs w:val="24"/>
        </w:rPr>
        <w:t>institucioni financiar raportues</w:t>
      </w:r>
      <w:r w:rsidR="00943756" w:rsidRPr="00591FCC">
        <w:rPr>
          <w:rFonts w:ascii="Times New Roman" w:hAnsi="Times New Roman" w:cs="Times New Roman"/>
          <w:sz w:val="24"/>
          <w:szCs w:val="24"/>
        </w:rPr>
        <w:t>,</w:t>
      </w:r>
      <w:r w:rsidR="00AB41E2" w:rsidRPr="00591FCC">
        <w:rPr>
          <w:rFonts w:ascii="Times New Roman" w:hAnsi="Times New Roman" w:cs="Times New Roman"/>
          <w:sz w:val="24"/>
          <w:szCs w:val="24"/>
        </w:rPr>
        <w:t xml:space="preserve"> </w:t>
      </w:r>
      <w:r w:rsidRPr="00591FCC">
        <w:rPr>
          <w:rFonts w:ascii="Times New Roman" w:hAnsi="Times New Roman" w:cs="Times New Roman"/>
          <w:sz w:val="24"/>
          <w:szCs w:val="24"/>
        </w:rPr>
        <w:t>pas aplikimit t</w:t>
      </w:r>
      <w:r w:rsidR="005865B9" w:rsidRPr="00591FCC">
        <w:rPr>
          <w:rFonts w:ascii="Times New Roman" w:hAnsi="Times New Roman" w:cs="Times New Roman"/>
          <w:sz w:val="24"/>
          <w:szCs w:val="24"/>
        </w:rPr>
        <w:t>ë</w:t>
      </w:r>
      <w:r w:rsidRPr="00591FCC">
        <w:rPr>
          <w:rFonts w:ascii="Times New Roman" w:hAnsi="Times New Roman" w:cs="Times New Roman"/>
          <w:sz w:val="24"/>
          <w:szCs w:val="24"/>
        </w:rPr>
        <w:t xml:space="preserve"> procedurave t</w:t>
      </w:r>
      <w:r w:rsidR="005865B9" w:rsidRPr="00591FCC">
        <w:rPr>
          <w:rFonts w:ascii="Times New Roman" w:hAnsi="Times New Roman" w:cs="Times New Roman"/>
          <w:sz w:val="24"/>
          <w:szCs w:val="24"/>
        </w:rPr>
        <w:t>ë</w:t>
      </w:r>
      <w:r w:rsidR="00952922" w:rsidRPr="00591FCC">
        <w:rPr>
          <w:rFonts w:ascii="Times New Roman" w:hAnsi="Times New Roman" w:cs="Times New Roman"/>
          <w:sz w:val="24"/>
          <w:szCs w:val="24"/>
        </w:rPr>
        <w:t xml:space="preserve"> </w:t>
      </w:r>
      <w:r w:rsidR="00225FBE" w:rsidRPr="00591FCC">
        <w:rPr>
          <w:rFonts w:ascii="Times New Roman" w:hAnsi="Times New Roman" w:cs="Times New Roman"/>
          <w:sz w:val="24"/>
          <w:szCs w:val="24"/>
        </w:rPr>
        <w:t>vigj</w:t>
      </w:r>
      <w:r w:rsidR="00DD5A50" w:rsidRPr="00591FCC">
        <w:rPr>
          <w:rFonts w:ascii="Times New Roman" w:hAnsi="Times New Roman" w:cs="Times New Roman"/>
          <w:sz w:val="24"/>
          <w:szCs w:val="24"/>
        </w:rPr>
        <w:t>ilencës s</w:t>
      </w:r>
      <w:r w:rsidR="005865B9" w:rsidRPr="00591FCC">
        <w:rPr>
          <w:rFonts w:ascii="Times New Roman" w:hAnsi="Times New Roman" w:cs="Times New Roman"/>
          <w:sz w:val="24"/>
          <w:szCs w:val="24"/>
        </w:rPr>
        <w:t xml:space="preserve">ë </w:t>
      </w:r>
      <w:r w:rsidR="00F11E1B" w:rsidRPr="00591FCC">
        <w:rPr>
          <w:rFonts w:ascii="Times New Roman" w:hAnsi="Times New Roman" w:cs="Times New Roman"/>
          <w:sz w:val="24"/>
          <w:szCs w:val="24"/>
        </w:rPr>
        <w:t>d</w:t>
      </w:r>
      <w:r w:rsidR="005865B9" w:rsidRPr="00591FCC">
        <w:rPr>
          <w:rFonts w:ascii="Times New Roman" w:hAnsi="Times New Roman" w:cs="Times New Roman"/>
          <w:sz w:val="24"/>
          <w:szCs w:val="24"/>
        </w:rPr>
        <w:t>uhur</w:t>
      </w:r>
      <w:r w:rsidR="0006733A" w:rsidRPr="00591FCC">
        <w:rPr>
          <w:rFonts w:ascii="Times New Roman" w:hAnsi="Times New Roman" w:cs="Times New Roman"/>
          <w:sz w:val="24"/>
          <w:szCs w:val="24"/>
        </w:rPr>
        <w:t>,</w:t>
      </w:r>
      <w:r w:rsidRPr="00591FCC">
        <w:rPr>
          <w:rFonts w:ascii="Times New Roman" w:hAnsi="Times New Roman" w:cs="Times New Roman"/>
          <w:sz w:val="24"/>
          <w:szCs w:val="24"/>
        </w:rPr>
        <w:t xml:space="preserve"> t</w:t>
      </w:r>
      <w:r w:rsidR="005865B9" w:rsidRPr="00591FCC">
        <w:rPr>
          <w:rFonts w:ascii="Times New Roman" w:hAnsi="Times New Roman" w:cs="Times New Roman"/>
          <w:sz w:val="24"/>
          <w:szCs w:val="24"/>
        </w:rPr>
        <w:t>ë</w:t>
      </w:r>
      <w:r w:rsidRPr="00591FCC">
        <w:rPr>
          <w:rFonts w:ascii="Times New Roman" w:hAnsi="Times New Roman" w:cs="Times New Roman"/>
          <w:sz w:val="24"/>
          <w:szCs w:val="24"/>
        </w:rPr>
        <w:t xml:space="preserve"> p</w:t>
      </w:r>
      <w:r w:rsidR="005865B9" w:rsidRPr="00591FCC">
        <w:rPr>
          <w:rFonts w:ascii="Times New Roman" w:hAnsi="Times New Roman" w:cs="Times New Roman"/>
          <w:sz w:val="24"/>
          <w:szCs w:val="24"/>
        </w:rPr>
        <w:t>ë</w:t>
      </w:r>
      <w:r w:rsidR="00E26DD9" w:rsidRPr="00591FCC">
        <w:rPr>
          <w:rFonts w:ascii="Times New Roman" w:hAnsi="Times New Roman" w:cs="Times New Roman"/>
          <w:sz w:val="24"/>
          <w:szCs w:val="24"/>
        </w:rPr>
        <w:t>rcaktuara sipas këtij ligji dhe aktit nënligjor</w:t>
      </w:r>
      <w:r w:rsidR="0006733A" w:rsidRPr="00591FCC">
        <w:rPr>
          <w:rFonts w:ascii="Times New Roman" w:hAnsi="Times New Roman" w:cs="Times New Roman"/>
          <w:sz w:val="24"/>
          <w:szCs w:val="24"/>
        </w:rPr>
        <w:t>,</w:t>
      </w:r>
      <w:r w:rsidR="00E26DD9" w:rsidRPr="00591FCC">
        <w:rPr>
          <w:rFonts w:ascii="Times New Roman" w:hAnsi="Times New Roman" w:cs="Times New Roman"/>
          <w:sz w:val="24"/>
          <w:szCs w:val="24"/>
        </w:rPr>
        <w:t xml:space="preserve"> </w:t>
      </w:r>
      <w:r w:rsidRPr="00591FCC">
        <w:rPr>
          <w:rFonts w:ascii="Times New Roman" w:hAnsi="Times New Roman" w:cs="Times New Roman"/>
          <w:sz w:val="24"/>
          <w:szCs w:val="24"/>
        </w:rPr>
        <w:t>p</w:t>
      </w:r>
      <w:r w:rsidR="005865B9" w:rsidRPr="00591FCC">
        <w:rPr>
          <w:rFonts w:ascii="Times New Roman" w:hAnsi="Times New Roman" w:cs="Times New Roman"/>
          <w:sz w:val="24"/>
          <w:szCs w:val="24"/>
        </w:rPr>
        <w:t>ë</w:t>
      </w:r>
      <w:r w:rsidRPr="00591FCC">
        <w:rPr>
          <w:rFonts w:ascii="Times New Roman" w:hAnsi="Times New Roman" w:cs="Times New Roman"/>
          <w:sz w:val="24"/>
          <w:szCs w:val="24"/>
        </w:rPr>
        <w:t>r nj</w:t>
      </w:r>
      <w:r w:rsidR="005865B9" w:rsidRPr="00591FCC">
        <w:rPr>
          <w:rFonts w:ascii="Times New Roman" w:hAnsi="Times New Roman" w:cs="Times New Roman"/>
          <w:sz w:val="24"/>
          <w:szCs w:val="24"/>
        </w:rPr>
        <w:t>ë</w:t>
      </w:r>
      <w:r w:rsidRPr="00591FCC">
        <w:rPr>
          <w:rFonts w:ascii="Times New Roman" w:hAnsi="Times New Roman" w:cs="Times New Roman"/>
          <w:sz w:val="24"/>
          <w:szCs w:val="24"/>
        </w:rPr>
        <w:t xml:space="preserve"> vit kalendarik</w:t>
      </w:r>
      <w:r w:rsidR="0006733A" w:rsidRPr="00591FCC">
        <w:rPr>
          <w:rFonts w:ascii="Times New Roman" w:hAnsi="Times New Roman" w:cs="Times New Roman"/>
          <w:sz w:val="24"/>
          <w:szCs w:val="24"/>
        </w:rPr>
        <w:t xml:space="preserve"> </w:t>
      </w:r>
      <w:r w:rsidRPr="00591FCC">
        <w:rPr>
          <w:rFonts w:ascii="Times New Roman" w:hAnsi="Times New Roman" w:cs="Times New Roman"/>
          <w:sz w:val="24"/>
          <w:szCs w:val="24"/>
        </w:rPr>
        <w:t>nuk identifikon asnj</w:t>
      </w:r>
      <w:r w:rsidR="005865B9" w:rsidRPr="00591FCC">
        <w:rPr>
          <w:rFonts w:ascii="Times New Roman" w:hAnsi="Times New Roman" w:cs="Times New Roman"/>
          <w:sz w:val="24"/>
          <w:szCs w:val="24"/>
        </w:rPr>
        <w:t>ë</w:t>
      </w:r>
      <w:r w:rsidRPr="00591FCC">
        <w:rPr>
          <w:rFonts w:ascii="Times New Roman" w:hAnsi="Times New Roman" w:cs="Times New Roman"/>
          <w:sz w:val="24"/>
          <w:szCs w:val="24"/>
        </w:rPr>
        <w:t xml:space="preserve"> llogari si </w:t>
      </w:r>
      <w:r w:rsidR="00943756" w:rsidRPr="00591FCC">
        <w:rPr>
          <w:rFonts w:ascii="Times New Roman" w:hAnsi="Times New Roman" w:cs="Times New Roman"/>
          <w:sz w:val="24"/>
          <w:szCs w:val="24"/>
        </w:rPr>
        <w:t>l</w:t>
      </w:r>
      <w:r w:rsidR="00A54B7E" w:rsidRPr="00591FCC">
        <w:rPr>
          <w:rFonts w:ascii="Times New Roman" w:hAnsi="Times New Roman" w:cs="Times New Roman"/>
          <w:sz w:val="24"/>
          <w:szCs w:val="24"/>
        </w:rPr>
        <w:t xml:space="preserve">logari </w:t>
      </w:r>
      <w:r w:rsidR="0006733A" w:rsidRPr="00591FCC">
        <w:rPr>
          <w:rFonts w:ascii="Times New Roman" w:hAnsi="Times New Roman" w:cs="Times New Roman"/>
          <w:sz w:val="24"/>
          <w:szCs w:val="24"/>
        </w:rPr>
        <w:t>të r</w:t>
      </w:r>
      <w:r w:rsidRPr="00591FCC">
        <w:rPr>
          <w:rFonts w:ascii="Times New Roman" w:hAnsi="Times New Roman" w:cs="Times New Roman"/>
          <w:sz w:val="24"/>
          <w:szCs w:val="24"/>
        </w:rPr>
        <w:t>aportueshme, d</w:t>
      </w:r>
      <w:r w:rsidR="005865B9" w:rsidRPr="00591FCC">
        <w:rPr>
          <w:rFonts w:ascii="Times New Roman" w:hAnsi="Times New Roman" w:cs="Times New Roman"/>
          <w:sz w:val="24"/>
          <w:szCs w:val="24"/>
        </w:rPr>
        <w:t>ë</w:t>
      </w:r>
      <w:r w:rsidR="00F525DD" w:rsidRPr="00591FCC">
        <w:rPr>
          <w:rFonts w:ascii="Times New Roman" w:hAnsi="Times New Roman" w:cs="Times New Roman"/>
          <w:sz w:val="24"/>
          <w:szCs w:val="24"/>
        </w:rPr>
        <w:t>rgo</w:t>
      </w:r>
      <w:r w:rsidR="00DD5A50" w:rsidRPr="00591FCC">
        <w:rPr>
          <w:rFonts w:ascii="Times New Roman" w:hAnsi="Times New Roman" w:cs="Times New Roman"/>
          <w:sz w:val="24"/>
          <w:szCs w:val="24"/>
        </w:rPr>
        <w:t>n</w:t>
      </w:r>
      <w:r w:rsidR="00952922" w:rsidRPr="00591FCC">
        <w:rPr>
          <w:rFonts w:ascii="Times New Roman" w:hAnsi="Times New Roman" w:cs="Times New Roman"/>
          <w:sz w:val="24"/>
          <w:szCs w:val="24"/>
        </w:rPr>
        <w:t xml:space="preserve"> </w:t>
      </w:r>
      <w:r w:rsidR="00DD5A50" w:rsidRPr="00591FCC">
        <w:rPr>
          <w:rFonts w:ascii="Times New Roman" w:hAnsi="Times New Roman" w:cs="Times New Roman"/>
          <w:sz w:val="24"/>
          <w:szCs w:val="24"/>
        </w:rPr>
        <w:t>brenda afatit të përcaktuar në pikën 1</w:t>
      </w:r>
      <w:r w:rsidR="0006733A" w:rsidRPr="00591FCC">
        <w:rPr>
          <w:rFonts w:ascii="Times New Roman" w:hAnsi="Times New Roman" w:cs="Times New Roman"/>
          <w:sz w:val="24"/>
          <w:szCs w:val="24"/>
        </w:rPr>
        <w:t>,</w:t>
      </w:r>
      <w:r w:rsidR="00DD5A50" w:rsidRPr="00591FCC">
        <w:rPr>
          <w:rFonts w:ascii="Times New Roman" w:hAnsi="Times New Roman" w:cs="Times New Roman"/>
          <w:sz w:val="24"/>
          <w:szCs w:val="24"/>
        </w:rPr>
        <w:t xml:space="preserve"> të këtij neni</w:t>
      </w:r>
      <w:r w:rsidR="0006733A" w:rsidRPr="00591FCC">
        <w:rPr>
          <w:rFonts w:ascii="Times New Roman" w:hAnsi="Times New Roman" w:cs="Times New Roman"/>
          <w:sz w:val="24"/>
          <w:szCs w:val="24"/>
        </w:rPr>
        <w:t>,</w:t>
      </w:r>
      <w:r w:rsidR="00DD5A50" w:rsidRPr="00591FCC">
        <w:rPr>
          <w:rFonts w:ascii="Times New Roman" w:hAnsi="Times New Roman" w:cs="Times New Roman"/>
          <w:sz w:val="24"/>
          <w:szCs w:val="24"/>
        </w:rPr>
        <w:t xml:space="preserve"> pranë </w:t>
      </w:r>
      <w:r w:rsidR="00F537BE" w:rsidRPr="00591FCC">
        <w:rPr>
          <w:rFonts w:ascii="Times New Roman" w:hAnsi="Times New Roman" w:cs="Times New Roman"/>
          <w:sz w:val="24"/>
          <w:szCs w:val="24"/>
        </w:rPr>
        <w:t>Autoritetit K</w:t>
      </w:r>
      <w:r w:rsidR="00225FBE" w:rsidRPr="00591FCC">
        <w:rPr>
          <w:rFonts w:ascii="Times New Roman" w:hAnsi="Times New Roman" w:cs="Times New Roman"/>
          <w:sz w:val="24"/>
          <w:szCs w:val="24"/>
        </w:rPr>
        <w:t>o</w:t>
      </w:r>
      <w:r w:rsidR="008F76C4" w:rsidRPr="00591FCC">
        <w:rPr>
          <w:rFonts w:ascii="Times New Roman" w:hAnsi="Times New Roman" w:cs="Times New Roman"/>
          <w:sz w:val="24"/>
          <w:szCs w:val="24"/>
        </w:rPr>
        <w:t>mpetent</w:t>
      </w:r>
      <w:r w:rsidR="0006733A" w:rsidRPr="00591FCC">
        <w:rPr>
          <w:rFonts w:ascii="Times New Roman" w:hAnsi="Times New Roman" w:cs="Times New Roman"/>
          <w:sz w:val="24"/>
          <w:szCs w:val="24"/>
        </w:rPr>
        <w:t>,</w:t>
      </w:r>
      <w:r w:rsidR="008F76C4" w:rsidRPr="00591FCC">
        <w:rPr>
          <w:rFonts w:ascii="Times New Roman" w:hAnsi="Times New Roman" w:cs="Times New Roman"/>
          <w:sz w:val="24"/>
          <w:szCs w:val="24"/>
        </w:rPr>
        <w:t xml:space="preserve"> </w:t>
      </w:r>
      <w:r w:rsidRPr="00591FCC">
        <w:rPr>
          <w:rFonts w:ascii="Times New Roman" w:hAnsi="Times New Roman" w:cs="Times New Roman"/>
          <w:sz w:val="24"/>
          <w:szCs w:val="24"/>
        </w:rPr>
        <w:t>nj</w:t>
      </w:r>
      <w:r w:rsidR="005865B9" w:rsidRPr="00591FCC">
        <w:rPr>
          <w:rFonts w:ascii="Times New Roman" w:hAnsi="Times New Roman" w:cs="Times New Roman"/>
          <w:sz w:val="24"/>
          <w:szCs w:val="24"/>
        </w:rPr>
        <w:t>ë</w:t>
      </w:r>
      <w:r w:rsidRPr="00591FCC">
        <w:rPr>
          <w:rFonts w:ascii="Times New Roman" w:hAnsi="Times New Roman" w:cs="Times New Roman"/>
          <w:sz w:val="24"/>
          <w:szCs w:val="24"/>
        </w:rPr>
        <w:t xml:space="preserve"> deklarat</w:t>
      </w:r>
      <w:r w:rsidR="005865B9" w:rsidRPr="00591FCC">
        <w:rPr>
          <w:rFonts w:ascii="Times New Roman" w:hAnsi="Times New Roman" w:cs="Times New Roman"/>
          <w:sz w:val="24"/>
          <w:szCs w:val="24"/>
        </w:rPr>
        <w:t>ë</w:t>
      </w:r>
      <w:r w:rsidR="0006733A" w:rsidRPr="00591FCC">
        <w:rPr>
          <w:rFonts w:ascii="Times New Roman" w:hAnsi="Times New Roman" w:cs="Times New Roman"/>
          <w:sz w:val="24"/>
          <w:szCs w:val="24"/>
        </w:rPr>
        <w:t>,</w:t>
      </w:r>
      <w:r w:rsidR="00952922" w:rsidRPr="00591FCC">
        <w:rPr>
          <w:rFonts w:ascii="Times New Roman" w:hAnsi="Times New Roman" w:cs="Times New Roman"/>
          <w:sz w:val="24"/>
          <w:szCs w:val="24"/>
        </w:rPr>
        <w:t xml:space="preserve"> </w:t>
      </w:r>
      <w:r w:rsidR="00A54B7E" w:rsidRPr="00591FCC">
        <w:rPr>
          <w:rFonts w:ascii="Times New Roman" w:hAnsi="Times New Roman" w:cs="Times New Roman"/>
          <w:sz w:val="24"/>
          <w:szCs w:val="24"/>
        </w:rPr>
        <w:t>e cila</w:t>
      </w:r>
      <w:r w:rsidRPr="00591FCC">
        <w:rPr>
          <w:rFonts w:ascii="Times New Roman" w:hAnsi="Times New Roman" w:cs="Times New Roman"/>
          <w:sz w:val="24"/>
          <w:szCs w:val="24"/>
        </w:rPr>
        <w:t xml:space="preserve"> konfirmon</w:t>
      </w:r>
      <w:r w:rsidR="00A54B7E" w:rsidRPr="00591FCC">
        <w:rPr>
          <w:rFonts w:ascii="Times New Roman" w:hAnsi="Times New Roman" w:cs="Times New Roman"/>
          <w:sz w:val="24"/>
          <w:szCs w:val="24"/>
        </w:rPr>
        <w:t xml:space="preserve"> mospasjen e nj</w:t>
      </w:r>
      <w:r w:rsidR="005865B9" w:rsidRPr="00591FCC">
        <w:rPr>
          <w:rFonts w:ascii="Times New Roman" w:hAnsi="Times New Roman" w:cs="Times New Roman"/>
          <w:sz w:val="24"/>
          <w:szCs w:val="24"/>
        </w:rPr>
        <w:t>ë</w:t>
      </w:r>
      <w:r w:rsidR="00A54B7E" w:rsidRPr="00591FCC">
        <w:rPr>
          <w:rFonts w:ascii="Times New Roman" w:hAnsi="Times New Roman" w:cs="Times New Roman"/>
          <w:sz w:val="24"/>
          <w:szCs w:val="24"/>
        </w:rPr>
        <w:t xml:space="preserve"> </w:t>
      </w:r>
      <w:r w:rsidR="0006733A" w:rsidRPr="00591FCC">
        <w:rPr>
          <w:rFonts w:ascii="Times New Roman" w:hAnsi="Times New Roman" w:cs="Times New Roman"/>
          <w:sz w:val="24"/>
          <w:szCs w:val="24"/>
        </w:rPr>
        <w:t xml:space="preserve">llogarie të raportueshme për vitin raportues. </w:t>
      </w:r>
    </w:p>
    <w:p w14:paraId="782197C0" w14:textId="7C3E1F4A" w:rsidR="0006733A" w:rsidRPr="00591FCC" w:rsidRDefault="002E2B98" w:rsidP="00591FCC">
      <w:pPr>
        <w:pStyle w:val="ListParagraph"/>
        <w:numPr>
          <w:ilvl w:val="2"/>
          <w:numId w:val="4"/>
        </w:numPr>
        <w:spacing w:after="0"/>
        <w:ind w:left="360"/>
        <w:jc w:val="both"/>
        <w:rPr>
          <w:rFonts w:ascii="Times New Roman" w:hAnsi="Times New Roman" w:cs="Times New Roman"/>
          <w:sz w:val="24"/>
          <w:szCs w:val="24"/>
        </w:rPr>
      </w:pPr>
      <w:r w:rsidRPr="00591FCC">
        <w:rPr>
          <w:rFonts w:ascii="Times New Roman" w:hAnsi="Times New Roman" w:cs="Times New Roman"/>
          <w:sz w:val="24"/>
          <w:szCs w:val="24"/>
        </w:rPr>
        <w:t>I</w:t>
      </w:r>
      <w:r w:rsidR="00D410CF" w:rsidRPr="00591FCC">
        <w:rPr>
          <w:rFonts w:ascii="Times New Roman" w:hAnsi="Times New Roman" w:cs="Times New Roman"/>
          <w:sz w:val="24"/>
          <w:szCs w:val="24"/>
        </w:rPr>
        <w:t>nformacioni duhet të dërgohet elektronikisht, sipas një formati të standardizuar, duke përdorur teknologjinë e përshtatshme, në përputhje me aktet nënligjore në zbatim të këtij ligji.</w:t>
      </w:r>
    </w:p>
    <w:p w14:paraId="29BAEFB8" w14:textId="77777777" w:rsidR="00BB7E95" w:rsidRPr="00591FCC" w:rsidRDefault="00BB7E95" w:rsidP="00591FCC">
      <w:pPr>
        <w:spacing w:before="100" w:beforeAutospacing="1" w:after="100" w:afterAutospacing="1"/>
        <w:jc w:val="center"/>
        <w:rPr>
          <w:rFonts w:ascii="Times New Roman" w:eastAsia="Times New Roman" w:hAnsi="Times New Roman" w:cs="Times New Roman"/>
          <w:b/>
          <w:sz w:val="24"/>
          <w:szCs w:val="24"/>
          <w:lang w:val="en-US"/>
        </w:rPr>
      </w:pPr>
      <w:r w:rsidRPr="00591FCC">
        <w:rPr>
          <w:rFonts w:ascii="Times New Roman" w:eastAsia="Times New Roman" w:hAnsi="Times New Roman" w:cs="Times New Roman"/>
          <w:b/>
          <w:sz w:val="24"/>
          <w:szCs w:val="24"/>
          <w:lang w:val="en-US"/>
        </w:rPr>
        <w:t>Neni 7</w:t>
      </w:r>
      <w:r w:rsidRPr="00591FCC">
        <w:rPr>
          <w:rFonts w:ascii="Times New Roman" w:eastAsia="Times New Roman" w:hAnsi="Times New Roman" w:cs="Times New Roman"/>
          <w:b/>
          <w:sz w:val="24"/>
          <w:szCs w:val="24"/>
          <w:lang w:val="en-US"/>
        </w:rPr>
        <w:br/>
        <w:t>Vigjilenca e duhur</w:t>
      </w:r>
    </w:p>
    <w:p w14:paraId="038B2D7B" w14:textId="77777777" w:rsidR="00BB7E95" w:rsidRPr="00591FCC" w:rsidRDefault="00BB7E95" w:rsidP="00591FCC">
      <w:pPr>
        <w:numPr>
          <w:ilvl w:val="0"/>
          <w:numId w:val="5"/>
        </w:numPr>
        <w:spacing w:before="100" w:beforeAutospacing="1" w:after="100" w:afterAutospacing="1"/>
        <w:jc w:val="both"/>
        <w:rPr>
          <w:rFonts w:ascii="Times New Roman" w:eastAsia="Times New Roman" w:hAnsi="Times New Roman" w:cs="Times New Roman"/>
          <w:sz w:val="24"/>
          <w:szCs w:val="24"/>
          <w:lang w:val="en-US"/>
        </w:rPr>
      </w:pPr>
      <w:r w:rsidRPr="00591FCC">
        <w:rPr>
          <w:rFonts w:ascii="Times New Roman" w:eastAsia="Times New Roman" w:hAnsi="Times New Roman" w:cs="Times New Roman"/>
          <w:sz w:val="24"/>
          <w:szCs w:val="24"/>
          <w:lang w:val="en-US"/>
        </w:rPr>
        <w:t>Institucionet financiare raportuese zbatojnë procedurat e vigjilencës së duhur për identifikimin e Llogarive të Raportueshme dhe të Personave të Raportueshëm, në përputhje me këtë ligj.</w:t>
      </w:r>
    </w:p>
    <w:p w14:paraId="6F87C321" w14:textId="77777777" w:rsidR="00917A54" w:rsidRDefault="00BB7E95" w:rsidP="00917A54">
      <w:pPr>
        <w:numPr>
          <w:ilvl w:val="0"/>
          <w:numId w:val="5"/>
        </w:numPr>
        <w:spacing w:before="100" w:beforeAutospacing="1" w:after="0"/>
        <w:jc w:val="both"/>
        <w:rPr>
          <w:rFonts w:ascii="Times New Roman" w:eastAsia="Times New Roman" w:hAnsi="Times New Roman" w:cs="Times New Roman"/>
          <w:sz w:val="24"/>
          <w:szCs w:val="24"/>
          <w:lang w:val="en-US"/>
        </w:rPr>
      </w:pPr>
      <w:r w:rsidRPr="00591FCC">
        <w:rPr>
          <w:rFonts w:ascii="Times New Roman" w:eastAsia="Times New Roman" w:hAnsi="Times New Roman" w:cs="Times New Roman"/>
          <w:sz w:val="24"/>
          <w:szCs w:val="24"/>
          <w:lang w:val="en-US"/>
        </w:rPr>
        <w:t>Për qëllimet e procedurave të vigjilencës së duhur, institucionet financiare raportuese zbatojnë rregulla të veçanta për:</w:t>
      </w:r>
    </w:p>
    <w:p w14:paraId="0D5C6DAD" w14:textId="4655C0B0" w:rsidR="00BB7E95" w:rsidRPr="00591FCC" w:rsidRDefault="00BB7E95" w:rsidP="00917A54">
      <w:pPr>
        <w:spacing w:before="100" w:beforeAutospacing="1" w:after="0"/>
        <w:ind w:left="360"/>
        <w:rPr>
          <w:rFonts w:ascii="Times New Roman" w:eastAsia="Times New Roman" w:hAnsi="Times New Roman" w:cs="Times New Roman"/>
          <w:sz w:val="24"/>
          <w:szCs w:val="24"/>
          <w:lang w:val="en-US"/>
        </w:rPr>
      </w:pPr>
      <w:r w:rsidRPr="00591FCC">
        <w:rPr>
          <w:rFonts w:ascii="Times New Roman" w:eastAsia="Times New Roman" w:hAnsi="Times New Roman" w:cs="Times New Roman"/>
          <w:sz w:val="24"/>
          <w:szCs w:val="24"/>
          <w:lang w:val="en-US"/>
        </w:rPr>
        <w:t>a) Llogaritë Individuale Paraekzistuese;</w:t>
      </w:r>
      <w:r w:rsidRPr="00591FCC">
        <w:rPr>
          <w:rFonts w:ascii="Times New Roman" w:eastAsia="Times New Roman" w:hAnsi="Times New Roman" w:cs="Times New Roman"/>
          <w:sz w:val="24"/>
          <w:szCs w:val="24"/>
          <w:lang w:val="en-US"/>
        </w:rPr>
        <w:br/>
        <w:t>b) Llogaritë Individuale të Reja;</w:t>
      </w:r>
      <w:r w:rsidRPr="00591FCC">
        <w:rPr>
          <w:rFonts w:ascii="Times New Roman" w:eastAsia="Times New Roman" w:hAnsi="Times New Roman" w:cs="Times New Roman"/>
          <w:sz w:val="24"/>
          <w:szCs w:val="24"/>
          <w:lang w:val="en-US"/>
        </w:rPr>
        <w:br/>
      </w:r>
      <w:r w:rsidRPr="00591FCC">
        <w:rPr>
          <w:rFonts w:ascii="Times New Roman" w:eastAsia="Times New Roman" w:hAnsi="Times New Roman" w:cs="Times New Roman"/>
          <w:sz w:val="24"/>
          <w:szCs w:val="24"/>
          <w:lang w:val="en-US"/>
        </w:rPr>
        <w:lastRenderedPageBreak/>
        <w:t>c) Llogaritë e Njësive Ekonomike Paraekzistuese; dhe</w:t>
      </w:r>
      <w:r w:rsidRPr="00591FCC">
        <w:rPr>
          <w:rFonts w:ascii="Times New Roman" w:eastAsia="Times New Roman" w:hAnsi="Times New Roman" w:cs="Times New Roman"/>
          <w:sz w:val="24"/>
          <w:szCs w:val="24"/>
          <w:lang w:val="en-US"/>
        </w:rPr>
        <w:br/>
        <w:t>ç) Llogaritë e Reja të Njësive Ekonomike.</w:t>
      </w:r>
    </w:p>
    <w:p w14:paraId="2DE83CD9" w14:textId="77777777" w:rsidR="00BB7E95" w:rsidRPr="00591FCC" w:rsidRDefault="00BB7E95" w:rsidP="00591FCC">
      <w:pPr>
        <w:numPr>
          <w:ilvl w:val="0"/>
          <w:numId w:val="5"/>
        </w:numPr>
        <w:spacing w:before="100" w:beforeAutospacing="1" w:after="100" w:afterAutospacing="1"/>
        <w:jc w:val="both"/>
        <w:rPr>
          <w:rFonts w:ascii="Times New Roman" w:eastAsia="Times New Roman" w:hAnsi="Times New Roman" w:cs="Times New Roman"/>
          <w:sz w:val="24"/>
          <w:szCs w:val="24"/>
          <w:lang w:val="en-US"/>
        </w:rPr>
      </w:pPr>
      <w:r w:rsidRPr="00591FCC">
        <w:rPr>
          <w:rFonts w:ascii="Times New Roman" w:eastAsia="Times New Roman" w:hAnsi="Times New Roman" w:cs="Times New Roman"/>
          <w:sz w:val="24"/>
          <w:szCs w:val="24"/>
          <w:lang w:val="en-US"/>
        </w:rPr>
        <w:t>Institucioni financiar raportues duhet të marrë një vetëdeklarim të vlefshëm në rastet kur kërkohet nga ky ligj. Vetëdeklarimi mund të jetë pjesë e dokumentacionit për hapjen e llogarisë.</w:t>
      </w:r>
    </w:p>
    <w:p w14:paraId="417310BF" w14:textId="77777777" w:rsidR="00BB7E95" w:rsidRPr="00591FCC" w:rsidRDefault="00BB7E95" w:rsidP="00591FCC">
      <w:pPr>
        <w:numPr>
          <w:ilvl w:val="0"/>
          <w:numId w:val="5"/>
        </w:numPr>
        <w:spacing w:before="100" w:beforeAutospacing="1" w:after="100" w:afterAutospacing="1"/>
        <w:jc w:val="both"/>
        <w:rPr>
          <w:rFonts w:ascii="Times New Roman" w:eastAsia="Times New Roman" w:hAnsi="Times New Roman" w:cs="Times New Roman"/>
          <w:sz w:val="24"/>
          <w:szCs w:val="24"/>
          <w:lang w:val="en-US"/>
        </w:rPr>
      </w:pPr>
      <w:r w:rsidRPr="00591FCC">
        <w:rPr>
          <w:rFonts w:ascii="Times New Roman" w:eastAsia="Times New Roman" w:hAnsi="Times New Roman" w:cs="Times New Roman"/>
          <w:sz w:val="24"/>
          <w:szCs w:val="24"/>
          <w:lang w:val="en-US"/>
        </w:rPr>
        <w:t>Institucioni financiar raportues duhet të konfirmojë arsyeshmërinë e vetëdeklarimit, duke u bazuar në informacionin që disponon ose që merr në lidhje me hapjen ose mbajtjen e llogarisë, përfshirë dokumentacionin e mbledhur në përputhje me procedurat për parandalimin e pastrimit të parave dhe financimin e terrorizmit.</w:t>
      </w:r>
    </w:p>
    <w:p w14:paraId="765646E6" w14:textId="77777777" w:rsidR="00BB7E95" w:rsidRPr="00591FCC" w:rsidRDefault="00BB7E95" w:rsidP="00591FCC">
      <w:pPr>
        <w:numPr>
          <w:ilvl w:val="0"/>
          <w:numId w:val="5"/>
        </w:numPr>
        <w:spacing w:before="100" w:beforeAutospacing="1" w:after="100" w:afterAutospacing="1"/>
        <w:jc w:val="both"/>
        <w:rPr>
          <w:rFonts w:ascii="Times New Roman" w:eastAsia="Times New Roman" w:hAnsi="Times New Roman" w:cs="Times New Roman"/>
          <w:sz w:val="24"/>
          <w:szCs w:val="24"/>
          <w:lang w:val="en-US"/>
        </w:rPr>
      </w:pPr>
      <w:r w:rsidRPr="00591FCC">
        <w:rPr>
          <w:rFonts w:ascii="Times New Roman" w:eastAsia="Times New Roman" w:hAnsi="Times New Roman" w:cs="Times New Roman"/>
          <w:sz w:val="24"/>
          <w:szCs w:val="24"/>
          <w:lang w:val="en-US"/>
        </w:rPr>
        <w:t>Një institucion financiar raportues nuk mund të mbështetet në një vetëdeklarim ose në evidenca shkresore kur ka dijeni ose ka arsye të dijë se vetëdeklarimi ose evidencat shkresore janë të pasakta ose jo të besueshme.</w:t>
      </w:r>
    </w:p>
    <w:p w14:paraId="66EAEBC0" w14:textId="32A043B1" w:rsidR="00BB7E95" w:rsidRPr="00591FCC" w:rsidRDefault="00BB7E95" w:rsidP="00591FCC">
      <w:pPr>
        <w:numPr>
          <w:ilvl w:val="0"/>
          <w:numId w:val="5"/>
        </w:numPr>
        <w:spacing w:before="100" w:beforeAutospacing="1" w:after="100" w:afterAutospacing="1"/>
        <w:jc w:val="both"/>
        <w:rPr>
          <w:rFonts w:ascii="Times New Roman" w:eastAsia="Times New Roman" w:hAnsi="Times New Roman" w:cs="Times New Roman"/>
          <w:sz w:val="24"/>
          <w:szCs w:val="24"/>
          <w:lang w:val="en-US"/>
        </w:rPr>
      </w:pPr>
      <w:r w:rsidRPr="00591FCC">
        <w:rPr>
          <w:rFonts w:ascii="Times New Roman" w:eastAsia="Times New Roman" w:hAnsi="Times New Roman" w:cs="Times New Roman"/>
          <w:sz w:val="24"/>
          <w:szCs w:val="24"/>
          <w:lang w:val="en-US"/>
        </w:rPr>
        <w:t>Institucionet financiare raportuese marrin në konsideratë çdo ndryshim në rrethanat që mund të ndikojë në statusin e mbajtësit të llogarisë ose të personit kontrollues dhe, në rast të një ndryshimi të tillë, rishikojnë statusin e llogarisë dhe zbatojnë procedurat përkatëse të vigjilencës së duhur.</w:t>
      </w:r>
    </w:p>
    <w:p w14:paraId="49519D70" w14:textId="51B9BF86" w:rsidR="00B72CF7" w:rsidRPr="00591FCC" w:rsidRDefault="00B72CF7" w:rsidP="00591FCC">
      <w:pPr>
        <w:numPr>
          <w:ilvl w:val="0"/>
          <w:numId w:val="5"/>
        </w:numPr>
        <w:spacing w:before="100" w:beforeAutospacing="1" w:after="100" w:afterAutospacing="1"/>
        <w:jc w:val="both"/>
        <w:rPr>
          <w:rFonts w:ascii="Times New Roman" w:eastAsia="Times New Roman" w:hAnsi="Times New Roman" w:cs="Times New Roman"/>
          <w:sz w:val="24"/>
          <w:szCs w:val="24"/>
          <w:lang w:val="en-US"/>
        </w:rPr>
      </w:pPr>
      <w:r w:rsidRPr="00591FCC">
        <w:rPr>
          <w:rFonts w:ascii="Times New Roman" w:eastAsia="Times New Roman" w:hAnsi="Times New Roman" w:cs="Times New Roman"/>
          <w:sz w:val="24"/>
          <w:szCs w:val="24"/>
          <w:lang w:eastAsia="sq-AL"/>
        </w:rPr>
        <w:t>Për përcaktimin e Personave Kontrollues të një njësie ekonomike, institucioni financiar raportues mund të mbështetet në informacionin e mbledhur dhe të mbajtur në përputhje me procedurat për parandalimin e pastrimit të parave dhe financimin e terrorizmit sipas legjislacionit shqiptar në fuqi. Nëse institucioni financiar raportues nuk i nënshtrohet ligjërisht zbatimit të këtyre procedurave, ai zbaton procedura thelbësisht të ngjashme për qëllimin e përcaktimit të Personave Kontrollues.</w:t>
      </w:r>
    </w:p>
    <w:p w14:paraId="3BA52352" w14:textId="77777777" w:rsidR="00BB7E95" w:rsidRPr="00591FCC" w:rsidRDefault="00BB7E95" w:rsidP="00591FCC">
      <w:pPr>
        <w:numPr>
          <w:ilvl w:val="0"/>
          <w:numId w:val="5"/>
        </w:numPr>
        <w:spacing w:before="100" w:beforeAutospacing="1" w:after="100" w:afterAutospacing="1"/>
        <w:jc w:val="both"/>
        <w:rPr>
          <w:rFonts w:ascii="Times New Roman" w:eastAsia="Times New Roman" w:hAnsi="Times New Roman" w:cs="Times New Roman"/>
          <w:sz w:val="24"/>
          <w:szCs w:val="24"/>
          <w:lang w:val="en-US"/>
        </w:rPr>
      </w:pPr>
      <w:r w:rsidRPr="00591FCC">
        <w:rPr>
          <w:rFonts w:ascii="Times New Roman" w:eastAsia="Times New Roman" w:hAnsi="Times New Roman" w:cs="Times New Roman"/>
          <w:sz w:val="24"/>
          <w:szCs w:val="24"/>
          <w:lang w:val="en-US"/>
        </w:rPr>
        <w:t>Institucionet financiare raportuese mbajnë evidencat e hapave të ndërmarrë dhe të informacionit të përdorur për përmbushjen e detyrimeve të raportimit dhe të vigjilencës së duhur, për periudhën e përcaktuar në këtë ligj.</w:t>
      </w:r>
    </w:p>
    <w:p w14:paraId="4948C280" w14:textId="1F107504" w:rsidR="00BB7E95" w:rsidRPr="00591FCC" w:rsidRDefault="00BB7E95" w:rsidP="00591FCC">
      <w:pPr>
        <w:numPr>
          <w:ilvl w:val="0"/>
          <w:numId w:val="5"/>
        </w:numPr>
        <w:spacing w:before="100" w:beforeAutospacing="1" w:after="100" w:afterAutospacing="1"/>
        <w:jc w:val="both"/>
        <w:rPr>
          <w:rFonts w:ascii="Times New Roman" w:eastAsia="Times New Roman" w:hAnsi="Times New Roman" w:cs="Times New Roman"/>
          <w:sz w:val="24"/>
          <w:szCs w:val="24"/>
          <w:lang w:val="en-US"/>
        </w:rPr>
      </w:pPr>
      <w:r w:rsidRPr="00591FCC">
        <w:rPr>
          <w:rFonts w:ascii="Times New Roman" w:eastAsia="Times New Roman" w:hAnsi="Times New Roman" w:cs="Times New Roman"/>
          <w:sz w:val="24"/>
          <w:szCs w:val="24"/>
          <w:lang w:val="en-US"/>
        </w:rPr>
        <w:t>Rregullat e hollësishme për zbatimin e procedurave të vigjilencës së duhur, përfshirë formatin dhe përmbajtjen e vetëdeklarimit, dokumentacionin mbështetës, treguesit, mënyrën e kërkimit dhe verifikimit të informacionit, përcaktohen me akt nënligjor në zbatim të këtij ligji.</w:t>
      </w:r>
    </w:p>
    <w:p w14:paraId="5565E2C2" w14:textId="3F15250C" w:rsidR="0040427B" w:rsidRPr="00591FCC" w:rsidRDefault="0040427B" w:rsidP="00591FCC">
      <w:pPr>
        <w:numPr>
          <w:ilvl w:val="0"/>
          <w:numId w:val="5"/>
        </w:numPr>
        <w:spacing w:before="100" w:beforeAutospacing="1" w:after="100" w:afterAutospacing="1"/>
        <w:jc w:val="both"/>
        <w:rPr>
          <w:rFonts w:ascii="Times New Roman" w:eastAsia="Times New Roman" w:hAnsi="Times New Roman" w:cs="Times New Roman"/>
          <w:sz w:val="24"/>
          <w:szCs w:val="24"/>
          <w:lang w:val="en-US"/>
        </w:rPr>
      </w:pPr>
      <w:r w:rsidRPr="00591FCC">
        <w:rPr>
          <w:rFonts w:ascii="Times New Roman" w:hAnsi="Times New Roman" w:cs="Times New Roman"/>
          <w:sz w:val="24"/>
          <w:szCs w:val="24"/>
        </w:rPr>
        <w:t>Institucioni financiar raportues informon çdo individ të interesuar se informacioni që lidhet me të do të mblidhet, përpunohet dhe transmetohet për qëllimet e këtij ligji dhe i jep informacionin që i takon nga kontrolluesi i të dhënave në kohë të mjaftueshme për ushtrimin e të drejtave të tij dhe, në çdo rast, përpara raportimit të informacionit, në përputhje me legjislacionin për mbrojtjen e të dhënave personale.</w:t>
      </w:r>
    </w:p>
    <w:p w14:paraId="293B1F5E" w14:textId="5FDCC594" w:rsidR="009A3D6A" w:rsidRPr="00591FCC" w:rsidRDefault="009A3D6A" w:rsidP="00591FCC">
      <w:pPr>
        <w:numPr>
          <w:ilvl w:val="0"/>
          <w:numId w:val="5"/>
        </w:numPr>
        <w:spacing w:before="100" w:beforeAutospacing="1" w:after="100" w:afterAutospacing="1"/>
        <w:jc w:val="both"/>
        <w:rPr>
          <w:rFonts w:ascii="Times New Roman" w:eastAsia="Times New Roman" w:hAnsi="Times New Roman" w:cs="Times New Roman"/>
          <w:sz w:val="24"/>
          <w:szCs w:val="24"/>
          <w:lang w:val="en-US"/>
        </w:rPr>
      </w:pPr>
      <w:r w:rsidRPr="00591FCC">
        <w:rPr>
          <w:rFonts w:ascii="Times New Roman" w:eastAsia="Times New Roman" w:hAnsi="Times New Roman" w:cs="Times New Roman"/>
          <w:sz w:val="24"/>
          <w:szCs w:val="24"/>
          <w:lang w:eastAsia="sq-AL"/>
        </w:rPr>
        <w:t>Mbajtësi i llogarisë, Personi Kontrollues ose personi tjetër të cilit i kërkohet vetëdeklarim, informacion ose dokumentacion sipas këtij ligji ka detyrimin ta japë atë të plotë, të saktë dhe të vërtetë dhe të njoftojë pa vonesë institucionin financiar raportues për çdo ndryshim të rrethanave që e bën informacionin e mëparshëm të pasaktë ose jo të besueshëm.</w:t>
      </w:r>
    </w:p>
    <w:p w14:paraId="075A8DCF" w14:textId="77777777" w:rsidR="00BB7E95" w:rsidRPr="00591FCC" w:rsidRDefault="00BB7E95" w:rsidP="00591FCC">
      <w:pPr>
        <w:spacing w:before="100" w:beforeAutospacing="1" w:after="100" w:afterAutospacing="1"/>
        <w:jc w:val="center"/>
        <w:rPr>
          <w:rFonts w:ascii="Times New Roman" w:eastAsia="Times New Roman" w:hAnsi="Times New Roman" w:cs="Times New Roman"/>
          <w:b/>
          <w:sz w:val="24"/>
          <w:szCs w:val="24"/>
          <w:lang w:val="en-US"/>
        </w:rPr>
      </w:pPr>
      <w:r w:rsidRPr="00591FCC">
        <w:rPr>
          <w:rFonts w:ascii="Times New Roman" w:eastAsia="Times New Roman" w:hAnsi="Times New Roman" w:cs="Times New Roman"/>
          <w:b/>
          <w:sz w:val="24"/>
          <w:szCs w:val="24"/>
          <w:lang w:val="en-US"/>
        </w:rPr>
        <w:t>Neni 8</w:t>
      </w:r>
      <w:r w:rsidRPr="00591FCC">
        <w:rPr>
          <w:rFonts w:ascii="Times New Roman" w:eastAsia="Times New Roman" w:hAnsi="Times New Roman" w:cs="Times New Roman"/>
          <w:b/>
          <w:sz w:val="24"/>
          <w:szCs w:val="24"/>
          <w:lang w:val="en-US"/>
        </w:rPr>
        <w:br/>
        <w:t>Vigjilenca e duhur për Llogaritë Individuale Paraekzistuese</w:t>
      </w:r>
    </w:p>
    <w:p w14:paraId="37FEE17E" w14:textId="77777777" w:rsidR="00BB7E95" w:rsidRPr="00591FCC" w:rsidRDefault="00BB7E95" w:rsidP="00591FCC">
      <w:pPr>
        <w:numPr>
          <w:ilvl w:val="0"/>
          <w:numId w:val="6"/>
        </w:numPr>
        <w:spacing w:before="100" w:beforeAutospacing="1" w:after="100" w:afterAutospacing="1"/>
        <w:jc w:val="both"/>
        <w:rPr>
          <w:rFonts w:ascii="Times New Roman" w:eastAsia="Times New Roman" w:hAnsi="Times New Roman" w:cs="Times New Roman"/>
          <w:sz w:val="24"/>
          <w:szCs w:val="24"/>
          <w:lang w:val="en-US"/>
        </w:rPr>
      </w:pPr>
      <w:r w:rsidRPr="00591FCC">
        <w:rPr>
          <w:rFonts w:ascii="Times New Roman" w:eastAsia="Times New Roman" w:hAnsi="Times New Roman" w:cs="Times New Roman"/>
          <w:sz w:val="24"/>
          <w:szCs w:val="24"/>
          <w:lang w:val="en-US"/>
        </w:rPr>
        <w:lastRenderedPageBreak/>
        <w:t>Për qëllime të identifikimit të Llogarive të Raportueshme, institucioni financiar raportues zbaton procedurat e vigjilencës së duhur për Llogaritë Individuale Paraekzistuese.</w:t>
      </w:r>
    </w:p>
    <w:p w14:paraId="481D6774" w14:textId="478F869F" w:rsidR="00BB7E95" w:rsidRPr="00591FCC" w:rsidRDefault="00BB7E95" w:rsidP="00591FCC">
      <w:pPr>
        <w:numPr>
          <w:ilvl w:val="0"/>
          <w:numId w:val="6"/>
        </w:numPr>
        <w:spacing w:before="100" w:beforeAutospacing="1" w:after="100" w:afterAutospacing="1"/>
        <w:jc w:val="both"/>
        <w:rPr>
          <w:rFonts w:ascii="Times New Roman" w:eastAsia="Times New Roman" w:hAnsi="Times New Roman" w:cs="Times New Roman"/>
          <w:sz w:val="24"/>
          <w:szCs w:val="24"/>
          <w:lang w:val="en-US"/>
        </w:rPr>
      </w:pPr>
      <w:r w:rsidRPr="00591FCC">
        <w:rPr>
          <w:rFonts w:ascii="Times New Roman" w:eastAsia="Times New Roman" w:hAnsi="Times New Roman" w:cs="Times New Roman"/>
          <w:sz w:val="24"/>
          <w:szCs w:val="24"/>
          <w:lang w:val="en-US"/>
        </w:rPr>
        <w:t>Për një Llogari Individuale Paraekzistuese me vlerë</w:t>
      </w:r>
      <w:r w:rsidR="005D647C" w:rsidRPr="00591FCC">
        <w:rPr>
          <w:rFonts w:ascii="Times New Roman" w:eastAsia="Times New Roman" w:hAnsi="Times New Roman" w:cs="Times New Roman"/>
          <w:sz w:val="24"/>
          <w:szCs w:val="24"/>
          <w:lang w:val="en-US"/>
        </w:rPr>
        <w:t xml:space="preserve"> më</w:t>
      </w:r>
      <w:r w:rsidRPr="00591FCC">
        <w:rPr>
          <w:rFonts w:ascii="Times New Roman" w:eastAsia="Times New Roman" w:hAnsi="Times New Roman" w:cs="Times New Roman"/>
          <w:sz w:val="24"/>
          <w:szCs w:val="24"/>
          <w:lang w:val="en-US"/>
        </w:rPr>
        <w:t xml:space="preserve"> të ulët, institucioni financiar raportues përcakton rezidencën tatimore të mbajtësit të llogarisë duke përdorur informacionin e disponueshëm, përfshirë adresën aktuale të vendbanimit të mbështetur në evidenca shkresore, kur është e zbatueshme.</w:t>
      </w:r>
    </w:p>
    <w:p w14:paraId="2B16AE53" w14:textId="77777777" w:rsidR="00BB7E95" w:rsidRPr="00591FCC" w:rsidRDefault="00BB7E95" w:rsidP="00591FCC">
      <w:pPr>
        <w:numPr>
          <w:ilvl w:val="0"/>
          <w:numId w:val="6"/>
        </w:numPr>
        <w:spacing w:before="100" w:beforeAutospacing="1" w:after="100" w:afterAutospacing="1"/>
        <w:jc w:val="both"/>
        <w:rPr>
          <w:rFonts w:ascii="Times New Roman" w:eastAsia="Times New Roman" w:hAnsi="Times New Roman" w:cs="Times New Roman"/>
          <w:sz w:val="24"/>
          <w:szCs w:val="24"/>
          <w:lang w:val="en-US"/>
        </w:rPr>
      </w:pPr>
      <w:r w:rsidRPr="00591FCC">
        <w:rPr>
          <w:rFonts w:ascii="Times New Roman" w:eastAsia="Times New Roman" w:hAnsi="Times New Roman" w:cs="Times New Roman"/>
          <w:sz w:val="24"/>
          <w:szCs w:val="24"/>
          <w:lang w:val="en-US"/>
        </w:rPr>
        <w:t>Kur institucioni financiar raportues nuk mund të mbështetet në adresën aktuale të vendbanimit të mbajtësit të llogarisë, ai shqyrton të dhënat e kërkueshme në mënyrë elektronike që disponon për treguesit e rezidencës tatimore të përcaktuar në aktin nënligjor në zbatim të këtij ligji.</w:t>
      </w:r>
    </w:p>
    <w:p w14:paraId="202A702F" w14:textId="52704458" w:rsidR="00BB7E95" w:rsidRPr="00591FCC" w:rsidRDefault="00BB7E95" w:rsidP="00591FCC">
      <w:pPr>
        <w:numPr>
          <w:ilvl w:val="0"/>
          <w:numId w:val="6"/>
        </w:numPr>
        <w:spacing w:before="100" w:beforeAutospacing="1" w:after="100" w:afterAutospacing="1"/>
        <w:jc w:val="both"/>
        <w:rPr>
          <w:rFonts w:ascii="Times New Roman" w:eastAsia="Times New Roman" w:hAnsi="Times New Roman" w:cs="Times New Roman"/>
          <w:sz w:val="24"/>
          <w:szCs w:val="24"/>
          <w:lang w:val="en-US"/>
        </w:rPr>
      </w:pPr>
      <w:r w:rsidRPr="00591FCC">
        <w:rPr>
          <w:rFonts w:ascii="Times New Roman" w:eastAsia="Times New Roman" w:hAnsi="Times New Roman" w:cs="Times New Roman"/>
          <w:sz w:val="24"/>
          <w:szCs w:val="24"/>
          <w:lang w:val="en-US"/>
        </w:rPr>
        <w:t xml:space="preserve">Për Llogaritë Individuale </w:t>
      </w:r>
      <w:r w:rsidR="005D647C" w:rsidRPr="00591FCC">
        <w:rPr>
          <w:rFonts w:ascii="Times New Roman" w:eastAsia="Times New Roman" w:hAnsi="Times New Roman" w:cs="Times New Roman"/>
          <w:sz w:val="24"/>
          <w:szCs w:val="24"/>
          <w:lang w:val="en-US"/>
        </w:rPr>
        <w:t>Paraekzistuese me vlerë të madhe</w:t>
      </w:r>
      <w:r w:rsidRPr="00591FCC">
        <w:rPr>
          <w:rFonts w:ascii="Times New Roman" w:eastAsia="Times New Roman" w:hAnsi="Times New Roman" w:cs="Times New Roman"/>
          <w:sz w:val="24"/>
          <w:szCs w:val="24"/>
          <w:lang w:val="en-US"/>
        </w:rPr>
        <w:t>, institucioni financiar raportues zbaton procedura të zgjeruara të shqyrtimit, përfshirë shqyrtimin e të dhënave të kërkueshme në mënyrë elektronike dhe, kur është e nevojshme, shqyrtimin e dokumentacionit shkresor.</w:t>
      </w:r>
    </w:p>
    <w:p w14:paraId="171E803C" w14:textId="77777777" w:rsidR="00BB7E95" w:rsidRPr="00591FCC" w:rsidRDefault="00BB7E95" w:rsidP="00591FCC">
      <w:pPr>
        <w:numPr>
          <w:ilvl w:val="0"/>
          <w:numId w:val="6"/>
        </w:numPr>
        <w:spacing w:before="100" w:beforeAutospacing="1" w:after="100" w:afterAutospacing="1"/>
        <w:jc w:val="both"/>
        <w:rPr>
          <w:rFonts w:ascii="Times New Roman" w:eastAsia="Times New Roman" w:hAnsi="Times New Roman" w:cs="Times New Roman"/>
          <w:sz w:val="24"/>
          <w:szCs w:val="24"/>
          <w:lang w:val="en-US"/>
        </w:rPr>
      </w:pPr>
      <w:r w:rsidRPr="00591FCC">
        <w:rPr>
          <w:rFonts w:ascii="Times New Roman" w:eastAsia="Times New Roman" w:hAnsi="Times New Roman" w:cs="Times New Roman"/>
          <w:sz w:val="24"/>
          <w:szCs w:val="24"/>
          <w:lang w:val="en-US"/>
        </w:rPr>
        <w:t>Kur informacioni i disponueshëm identifikon një ose më shumë tregues që lidhen me një juridiksion raportues, institucioni financiar raportues e trajton llogarinë si Llogari të Raportueshme në lidhje me atë juridiksion, përveç rasteve kur zbatohet një nga përjashtimet e parashikuara në këtë ligj ose aktin nënligjor në zbatim të tij.</w:t>
      </w:r>
    </w:p>
    <w:p w14:paraId="082A4A61" w14:textId="77777777" w:rsidR="00BB7E95" w:rsidRPr="00591FCC" w:rsidRDefault="00BB7E95" w:rsidP="00591FCC">
      <w:pPr>
        <w:numPr>
          <w:ilvl w:val="0"/>
          <w:numId w:val="6"/>
        </w:numPr>
        <w:spacing w:before="100" w:beforeAutospacing="1" w:after="100" w:afterAutospacing="1"/>
        <w:jc w:val="both"/>
        <w:rPr>
          <w:rFonts w:ascii="Times New Roman" w:eastAsia="Times New Roman" w:hAnsi="Times New Roman" w:cs="Times New Roman"/>
          <w:sz w:val="24"/>
          <w:szCs w:val="24"/>
          <w:lang w:val="en-US"/>
        </w:rPr>
      </w:pPr>
      <w:r w:rsidRPr="00591FCC">
        <w:rPr>
          <w:rFonts w:ascii="Times New Roman" w:eastAsia="Times New Roman" w:hAnsi="Times New Roman" w:cs="Times New Roman"/>
          <w:sz w:val="24"/>
          <w:szCs w:val="24"/>
          <w:lang w:val="en-US"/>
        </w:rPr>
        <w:t>Kur një institucion financiar raportues nuk mund të përcaktojë rezidencën tatimore të mbajtësit të llogarisë nëpërmjet procedurave të përcaktuara në këtë nen, llogaria trajtohet në përputhje me rregullat e përcaktuara për llogaritë e padokumentuara.</w:t>
      </w:r>
    </w:p>
    <w:p w14:paraId="597410C7" w14:textId="77777777" w:rsidR="00BB7E95" w:rsidRPr="00591FCC" w:rsidRDefault="00BB7E95" w:rsidP="00591FCC">
      <w:pPr>
        <w:numPr>
          <w:ilvl w:val="0"/>
          <w:numId w:val="6"/>
        </w:numPr>
        <w:spacing w:before="100" w:beforeAutospacing="1" w:after="100" w:afterAutospacing="1"/>
        <w:jc w:val="both"/>
        <w:rPr>
          <w:rFonts w:ascii="Times New Roman" w:eastAsia="Times New Roman" w:hAnsi="Times New Roman" w:cs="Times New Roman"/>
          <w:sz w:val="24"/>
          <w:szCs w:val="24"/>
          <w:lang w:val="en-US"/>
        </w:rPr>
      </w:pPr>
      <w:r w:rsidRPr="00591FCC">
        <w:rPr>
          <w:rFonts w:ascii="Times New Roman" w:eastAsia="Times New Roman" w:hAnsi="Times New Roman" w:cs="Times New Roman"/>
          <w:sz w:val="24"/>
          <w:szCs w:val="24"/>
          <w:lang w:val="en-US"/>
        </w:rPr>
        <w:t>Institucioni financiar raportues duhet të zbatojë procedura për identifikimin e ndryshimit të rrethanave, përfshirë detyrimin e menaxherit të marrëdhënies me klientin, kur është i zbatueshëm, për të identifikuar ndryshimet në rrethanat që lidhen me llogarinë.</w:t>
      </w:r>
    </w:p>
    <w:p w14:paraId="54B47C35" w14:textId="77777777" w:rsidR="00BB7E95" w:rsidRPr="00591FCC" w:rsidRDefault="00BB7E95" w:rsidP="00591FCC">
      <w:pPr>
        <w:numPr>
          <w:ilvl w:val="0"/>
          <w:numId w:val="6"/>
        </w:numPr>
        <w:spacing w:before="100" w:beforeAutospacing="1" w:after="100" w:afterAutospacing="1"/>
        <w:jc w:val="both"/>
        <w:rPr>
          <w:rFonts w:ascii="Times New Roman" w:eastAsia="Times New Roman" w:hAnsi="Times New Roman" w:cs="Times New Roman"/>
          <w:sz w:val="24"/>
          <w:szCs w:val="24"/>
          <w:lang w:val="en-US"/>
        </w:rPr>
      </w:pPr>
      <w:r w:rsidRPr="00591FCC">
        <w:rPr>
          <w:rFonts w:ascii="Times New Roman" w:eastAsia="Times New Roman" w:hAnsi="Times New Roman" w:cs="Times New Roman"/>
          <w:sz w:val="24"/>
          <w:szCs w:val="24"/>
          <w:lang w:val="en-US"/>
        </w:rPr>
        <w:t>Një Llogari Individuale Paraekzistuese e identifikuar si Llogari e Raportueshme trajtohet si e tillë në vitet pasuese, përveç rastit kur mbajtësi i llogarisë nuk është më Person i Raportueshëm.</w:t>
      </w:r>
    </w:p>
    <w:p w14:paraId="2B0DD5E5" w14:textId="77777777" w:rsidR="00BB7E95" w:rsidRPr="00591FCC" w:rsidRDefault="00BB7E95" w:rsidP="00591FCC">
      <w:pPr>
        <w:numPr>
          <w:ilvl w:val="0"/>
          <w:numId w:val="6"/>
        </w:numPr>
        <w:spacing w:before="100" w:beforeAutospacing="1" w:after="100" w:afterAutospacing="1"/>
        <w:jc w:val="both"/>
        <w:rPr>
          <w:rFonts w:ascii="Times New Roman" w:eastAsia="Times New Roman" w:hAnsi="Times New Roman" w:cs="Times New Roman"/>
          <w:sz w:val="24"/>
          <w:szCs w:val="24"/>
          <w:lang w:val="en-US"/>
        </w:rPr>
      </w:pPr>
      <w:r w:rsidRPr="00591FCC">
        <w:rPr>
          <w:rFonts w:ascii="Times New Roman" w:eastAsia="Times New Roman" w:hAnsi="Times New Roman" w:cs="Times New Roman"/>
          <w:sz w:val="24"/>
          <w:szCs w:val="24"/>
          <w:lang w:val="en-US"/>
        </w:rPr>
        <w:t>Pragjet monetare, treguesit, procedurat e shqyrtimit, përjashtimet, afatet dhe rregullat për llogaritë e padokumentuara përcaktohen me akt nënligjor në zbatim të këtij ligji.</w:t>
      </w:r>
    </w:p>
    <w:p w14:paraId="4CD38776" w14:textId="77777777" w:rsidR="00BB7E95" w:rsidRPr="00591FCC" w:rsidRDefault="00BB7E95" w:rsidP="00591FCC">
      <w:pPr>
        <w:spacing w:before="100" w:beforeAutospacing="1" w:after="100" w:afterAutospacing="1"/>
        <w:jc w:val="center"/>
        <w:rPr>
          <w:rFonts w:ascii="Times New Roman" w:eastAsia="Times New Roman" w:hAnsi="Times New Roman" w:cs="Times New Roman"/>
          <w:b/>
          <w:sz w:val="24"/>
          <w:szCs w:val="24"/>
          <w:lang w:val="en-US"/>
        </w:rPr>
      </w:pPr>
      <w:r w:rsidRPr="00591FCC">
        <w:rPr>
          <w:rFonts w:ascii="Times New Roman" w:eastAsia="Times New Roman" w:hAnsi="Times New Roman" w:cs="Times New Roman"/>
          <w:b/>
          <w:sz w:val="24"/>
          <w:szCs w:val="24"/>
          <w:lang w:val="en-US"/>
        </w:rPr>
        <w:t>Neni 9</w:t>
      </w:r>
      <w:r w:rsidRPr="00591FCC">
        <w:rPr>
          <w:rFonts w:ascii="Times New Roman" w:eastAsia="Times New Roman" w:hAnsi="Times New Roman" w:cs="Times New Roman"/>
          <w:b/>
          <w:sz w:val="24"/>
          <w:szCs w:val="24"/>
          <w:lang w:val="en-US"/>
        </w:rPr>
        <w:br/>
        <w:t>Vigjilenca e duhur për Llogaritë Individuale të Reja</w:t>
      </w:r>
    </w:p>
    <w:p w14:paraId="6A008877" w14:textId="77777777" w:rsidR="00BB7E95" w:rsidRPr="00591FCC" w:rsidRDefault="00BB7E95" w:rsidP="00591FCC">
      <w:pPr>
        <w:numPr>
          <w:ilvl w:val="0"/>
          <w:numId w:val="7"/>
        </w:numPr>
        <w:spacing w:before="100" w:beforeAutospacing="1" w:after="100" w:afterAutospacing="1"/>
        <w:jc w:val="both"/>
        <w:rPr>
          <w:rFonts w:ascii="Times New Roman" w:eastAsia="Times New Roman" w:hAnsi="Times New Roman" w:cs="Times New Roman"/>
          <w:sz w:val="24"/>
          <w:szCs w:val="24"/>
          <w:lang w:val="en-US"/>
        </w:rPr>
      </w:pPr>
      <w:r w:rsidRPr="00591FCC">
        <w:rPr>
          <w:rFonts w:ascii="Times New Roman" w:eastAsia="Times New Roman" w:hAnsi="Times New Roman" w:cs="Times New Roman"/>
          <w:sz w:val="24"/>
          <w:szCs w:val="24"/>
          <w:lang w:val="en-US"/>
        </w:rPr>
        <w:t>Me rastin e hapjes së një Llogarie Individuale të Re, institucioni financiar raportues merr nga mbajtësi i llogarisë një vetëdeklarim të vlefshëm që i mundëson përcaktimin e rezidencës ose rezidencave të mbajtësit të llogarisë për qëllime tatimore.</w:t>
      </w:r>
    </w:p>
    <w:p w14:paraId="31802BD3" w14:textId="77777777" w:rsidR="00BB7E95" w:rsidRPr="00591FCC" w:rsidRDefault="00BB7E95" w:rsidP="00591FCC">
      <w:pPr>
        <w:numPr>
          <w:ilvl w:val="0"/>
          <w:numId w:val="7"/>
        </w:numPr>
        <w:spacing w:before="100" w:beforeAutospacing="1" w:after="100" w:afterAutospacing="1"/>
        <w:jc w:val="both"/>
        <w:rPr>
          <w:rFonts w:ascii="Times New Roman" w:eastAsia="Times New Roman" w:hAnsi="Times New Roman" w:cs="Times New Roman"/>
          <w:sz w:val="24"/>
          <w:szCs w:val="24"/>
          <w:lang w:val="en-US"/>
        </w:rPr>
      </w:pPr>
      <w:r w:rsidRPr="00591FCC">
        <w:rPr>
          <w:rFonts w:ascii="Times New Roman" w:eastAsia="Times New Roman" w:hAnsi="Times New Roman" w:cs="Times New Roman"/>
          <w:sz w:val="24"/>
          <w:szCs w:val="24"/>
          <w:lang w:val="en-US"/>
        </w:rPr>
        <w:t>Vetëdeklarimi duhet të lejojë institucionin financiar raportues të konfirmojë arsyeshmërinë e tij në bazë të informacionit të marrë në lidhje me hapjen e llogarisë, përfshirë dokumentacionin e mbledhur në përputhje me procedurat për parandalimin e pastrimit të parave dhe financimin e terrorizmit.</w:t>
      </w:r>
    </w:p>
    <w:p w14:paraId="79DACBB6" w14:textId="77777777" w:rsidR="006639E1" w:rsidRPr="00591FCC" w:rsidRDefault="00BB7E95" w:rsidP="00FC5543">
      <w:pPr>
        <w:numPr>
          <w:ilvl w:val="0"/>
          <w:numId w:val="7"/>
        </w:numPr>
        <w:spacing w:before="100" w:beforeAutospacing="1" w:after="0"/>
        <w:jc w:val="both"/>
        <w:rPr>
          <w:rFonts w:ascii="Times New Roman" w:eastAsia="Times New Roman" w:hAnsi="Times New Roman" w:cs="Times New Roman"/>
          <w:sz w:val="24"/>
          <w:szCs w:val="24"/>
          <w:lang w:val="en-US"/>
        </w:rPr>
      </w:pPr>
      <w:r w:rsidRPr="00591FCC">
        <w:rPr>
          <w:rFonts w:ascii="Times New Roman" w:eastAsia="Times New Roman" w:hAnsi="Times New Roman" w:cs="Times New Roman"/>
          <w:sz w:val="24"/>
          <w:szCs w:val="24"/>
          <w:lang w:val="en-US"/>
        </w:rPr>
        <w:t>Një vetëdeklarim për një Llogari Individuale të Re është i vlefshëm kur:</w:t>
      </w:r>
    </w:p>
    <w:p w14:paraId="1D1E1B64" w14:textId="5D6A7D7A" w:rsidR="00BB7E95" w:rsidRPr="00591FCC" w:rsidRDefault="00BB7E95" w:rsidP="00FC5543">
      <w:pPr>
        <w:spacing w:after="0"/>
        <w:ind w:left="720"/>
        <w:rPr>
          <w:rFonts w:ascii="Times New Roman" w:eastAsia="Times New Roman" w:hAnsi="Times New Roman" w:cs="Times New Roman"/>
          <w:sz w:val="24"/>
          <w:szCs w:val="24"/>
          <w:lang w:val="en-US"/>
        </w:rPr>
      </w:pPr>
      <w:r w:rsidRPr="00591FCC">
        <w:rPr>
          <w:rFonts w:ascii="Times New Roman" w:eastAsia="Times New Roman" w:hAnsi="Times New Roman" w:cs="Times New Roman"/>
          <w:sz w:val="24"/>
          <w:szCs w:val="24"/>
          <w:lang w:val="en-US"/>
        </w:rPr>
        <w:t>a) është nënshkruar ose është konfirmuar në mënyrë tjetër nga mbajtësi i llogarisë;</w:t>
      </w:r>
      <w:r w:rsidRPr="00591FCC">
        <w:rPr>
          <w:rFonts w:ascii="Times New Roman" w:eastAsia="Times New Roman" w:hAnsi="Times New Roman" w:cs="Times New Roman"/>
          <w:sz w:val="24"/>
          <w:szCs w:val="24"/>
          <w:lang w:val="en-US"/>
        </w:rPr>
        <w:br/>
        <w:t>b) është i datuar jo më vonë se data e marrjes së tij;</w:t>
      </w:r>
      <w:r w:rsidRPr="00591FCC">
        <w:rPr>
          <w:rFonts w:ascii="Times New Roman" w:eastAsia="Times New Roman" w:hAnsi="Times New Roman" w:cs="Times New Roman"/>
          <w:sz w:val="24"/>
          <w:szCs w:val="24"/>
          <w:lang w:val="en-US"/>
        </w:rPr>
        <w:br/>
        <w:t>c) përmban emrin e mbajtësit të llogarisë;</w:t>
      </w:r>
      <w:r w:rsidRPr="00591FCC">
        <w:rPr>
          <w:rFonts w:ascii="Times New Roman" w:eastAsia="Times New Roman" w:hAnsi="Times New Roman" w:cs="Times New Roman"/>
          <w:sz w:val="24"/>
          <w:szCs w:val="24"/>
          <w:lang w:val="en-US"/>
        </w:rPr>
        <w:br/>
      </w:r>
      <w:r w:rsidRPr="00591FCC">
        <w:rPr>
          <w:rFonts w:ascii="Times New Roman" w:eastAsia="Times New Roman" w:hAnsi="Times New Roman" w:cs="Times New Roman"/>
          <w:sz w:val="24"/>
          <w:szCs w:val="24"/>
          <w:lang w:val="en-US"/>
        </w:rPr>
        <w:lastRenderedPageBreak/>
        <w:t>ç) përmban adresën e vendbanimit;</w:t>
      </w:r>
      <w:r w:rsidRPr="00591FCC">
        <w:rPr>
          <w:rFonts w:ascii="Times New Roman" w:eastAsia="Times New Roman" w:hAnsi="Times New Roman" w:cs="Times New Roman"/>
          <w:sz w:val="24"/>
          <w:szCs w:val="24"/>
          <w:lang w:val="en-US"/>
        </w:rPr>
        <w:br/>
        <w:t>d) përmban juridiksionin ose juridiksionet e rezidencës për qëllime tatimore;</w:t>
      </w:r>
      <w:r w:rsidRPr="00591FCC">
        <w:rPr>
          <w:rFonts w:ascii="Times New Roman" w:eastAsia="Times New Roman" w:hAnsi="Times New Roman" w:cs="Times New Roman"/>
          <w:sz w:val="24"/>
          <w:szCs w:val="24"/>
          <w:lang w:val="en-US"/>
        </w:rPr>
        <w:br/>
        <w:t xml:space="preserve">dh) </w:t>
      </w:r>
      <w:r w:rsidR="000E5EF1" w:rsidRPr="00591FCC">
        <w:rPr>
          <w:rFonts w:ascii="Times New Roman" w:hAnsi="Times New Roman" w:cs="Times New Roman"/>
          <w:sz w:val="24"/>
          <w:szCs w:val="24"/>
        </w:rPr>
        <w:t>përmban TIN-in për çdo juridiksion raportues të rezidencës, kur kërkohet sipas rregullave të profilit përkatës; dhe</w:t>
      </w:r>
      <w:r w:rsidRPr="00591FCC">
        <w:rPr>
          <w:rFonts w:ascii="Times New Roman" w:eastAsia="Times New Roman" w:hAnsi="Times New Roman" w:cs="Times New Roman"/>
          <w:sz w:val="24"/>
          <w:szCs w:val="24"/>
          <w:lang w:val="en-US"/>
        </w:rPr>
        <w:br/>
        <w:t>e) përmban datën e lindjes.</w:t>
      </w:r>
    </w:p>
    <w:p w14:paraId="270D87B9" w14:textId="77777777" w:rsidR="00BB7E95" w:rsidRPr="00591FCC" w:rsidRDefault="00BB7E95" w:rsidP="00591FCC">
      <w:pPr>
        <w:numPr>
          <w:ilvl w:val="0"/>
          <w:numId w:val="7"/>
        </w:numPr>
        <w:spacing w:before="100" w:beforeAutospacing="1" w:after="100" w:afterAutospacing="1"/>
        <w:jc w:val="both"/>
        <w:rPr>
          <w:rFonts w:ascii="Times New Roman" w:eastAsia="Times New Roman" w:hAnsi="Times New Roman" w:cs="Times New Roman"/>
          <w:sz w:val="24"/>
          <w:szCs w:val="24"/>
          <w:lang w:val="en-US"/>
        </w:rPr>
      </w:pPr>
      <w:r w:rsidRPr="00591FCC">
        <w:rPr>
          <w:rFonts w:ascii="Times New Roman" w:eastAsia="Times New Roman" w:hAnsi="Times New Roman" w:cs="Times New Roman"/>
          <w:sz w:val="24"/>
          <w:szCs w:val="24"/>
          <w:lang w:val="en-US"/>
        </w:rPr>
        <w:t>Nëse vetëdeklarimi përcakton se mbajtësi i llogarisë është rezident për qëllime tatimore në një juridiksion raportues, institucioni financiar raportues e trajton llogarinë si Llogari të Raportueshme dhe merr informacionin e kërkuar sipas këtij ligji.</w:t>
      </w:r>
    </w:p>
    <w:p w14:paraId="4D1C871E" w14:textId="77777777" w:rsidR="00BB7E95" w:rsidRPr="00591FCC" w:rsidRDefault="00BB7E95" w:rsidP="00591FCC">
      <w:pPr>
        <w:numPr>
          <w:ilvl w:val="0"/>
          <w:numId w:val="7"/>
        </w:numPr>
        <w:spacing w:before="100" w:beforeAutospacing="1" w:after="100" w:afterAutospacing="1"/>
        <w:jc w:val="both"/>
        <w:rPr>
          <w:rFonts w:ascii="Times New Roman" w:eastAsia="Times New Roman" w:hAnsi="Times New Roman" w:cs="Times New Roman"/>
          <w:sz w:val="24"/>
          <w:szCs w:val="24"/>
          <w:lang w:val="en-US"/>
        </w:rPr>
      </w:pPr>
      <w:r w:rsidRPr="00591FCC">
        <w:rPr>
          <w:rFonts w:ascii="Times New Roman" w:eastAsia="Times New Roman" w:hAnsi="Times New Roman" w:cs="Times New Roman"/>
          <w:sz w:val="24"/>
          <w:szCs w:val="24"/>
          <w:lang w:val="en-US"/>
        </w:rPr>
        <w:t>Nëse një ndryshim në rrethana bën që institucioni financiar raportues të dijë ose të ketë arsye të dijë se vetëdeklarimi fillestar është i pasaktë ose jo i besueshëm, institucioni financiar raportues nuk mund të mbështetet më në vetëdeklarimin fillestar dhe duhet të marrë një vetëdeklarim të ri të vlefshëm ose dokumentacionin e nevojshëm për të përcaktuar rezidencën ose rezidencat tatimore të mbajtësit të llogarisë.</w:t>
      </w:r>
    </w:p>
    <w:p w14:paraId="15E1D3CA" w14:textId="77777777" w:rsidR="00BB7E95" w:rsidRPr="00591FCC" w:rsidRDefault="00BB7E95" w:rsidP="00591FCC">
      <w:pPr>
        <w:spacing w:before="100" w:beforeAutospacing="1" w:after="100" w:afterAutospacing="1"/>
        <w:jc w:val="center"/>
        <w:rPr>
          <w:rFonts w:ascii="Times New Roman" w:eastAsia="Times New Roman" w:hAnsi="Times New Roman" w:cs="Times New Roman"/>
          <w:b/>
          <w:sz w:val="24"/>
          <w:szCs w:val="24"/>
          <w:lang w:val="en-US"/>
        </w:rPr>
      </w:pPr>
      <w:r w:rsidRPr="00591FCC">
        <w:rPr>
          <w:rFonts w:ascii="Times New Roman" w:eastAsia="Times New Roman" w:hAnsi="Times New Roman" w:cs="Times New Roman"/>
          <w:b/>
          <w:sz w:val="24"/>
          <w:szCs w:val="24"/>
          <w:lang w:val="en-US"/>
        </w:rPr>
        <w:t>Neni 10</w:t>
      </w:r>
      <w:r w:rsidRPr="00591FCC">
        <w:rPr>
          <w:rFonts w:ascii="Times New Roman" w:eastAsia="Times New Roman" w:hAnsi="Times New Roman" w:cs="Times New Roman"/>
          <w:b/>
          <w:sz w:val="24"/>
          <w:szCs w:val="24"/>
          <w:lang w:val="en-US"/>
        </w:rPr>
        <w:br/>
        <w:t>Vigjilenca e duhur për Llogaritë e Njësive Ekonomike Paraekzistuese</w:t>
      </w:r>
    </w:p>
    <w:p w14:paraId="1386BB96" w14:textId="77777777" w:rsidR="00BB7E95" w:rsidRPr="00591FCC" w:rsidRDefault="00BB7E95" w:rsidP="00591FCC">
      <w:pPr>
        <w:numPr>
          <w:ilvl w:val="0"/>
          <w:numId w:val="8"/>
        </w:numPr>
        <w:spacing w:before="100" w:beforeAutospacing="1" w:after="100" w:afterAutospacing="1"/>
        <w:jc w:val="both"/>
        <w:rPr>
          <w:rFonts w:ascii="Times New Roman" w:eastAsia="Times New Roman" w:hAnsi="Times New Roman" w:cs="Times New Roman"/>
          <w:sz w:val="24"/>
          <w:szCs w:val="24"/>
          <w:lang w:val="en-US"/>
        </w:rPr>
      </w:pPr>
      <w:r w:rsidRPr="00591FCC">
        <w:rPr>
          <w:rFonts w:ascii="Times New Roman" w:eastAsia="Times New Roman" w:hAnsi="Times New Roman" w:cs="Times New Roman"/>
          <w:sz w:val="24"/>
          <w:szCs w:val="24"/>
          <w:lang w:val="en-US"/>
        </w:rPr>
        <w:t>Për qëllime të identifikimit të Llogarive të Raportueshme, institucioni financiar raportues zbaton procedurat e vigjilencës së duhur për Llogaritë e Njësive Ekonomike Paraekzistuese.</w:t>
      </w:r>
    </w:p>
    <w:p w14:paraId="3E7B74AA" w14:textId="77777777" w:rsidR="006E03DC" w:rsidRPr="00591FCC" w:rsidRDefault="00BB7E95" w:rsidP="00FC5543">
      <w:pPr>
        <w:numPr>
          <w:ilvl w:val="0"/>
          <w:numId w:val="8"/>
        </w:numPr>
        <w:spacing w:before="100" w:beforeAutospacing="1" w:after="0"/>
        <w:jc w:val="both"/>
        <w:rPr>
          <w:rFonts w:ascii="Times New Roman" w:eastAsia="Times New Roman" w:hAnsi="Times New Roman" w:cs="Times New Roman"/>
          <w:sz w:val="24"/>
          <w:szCs w:val="24"/>
          <w:lang w:val="en-US"/>
        </w:rPr>
      </w:pPr>
      <w:r w:rsidRPr="00591FCC">
        <w:rPr>
          <w:rFonts w:ascii="Times New Roman" w:eastAsia="Times New Roman" w:hAnsi="Times New Roman" w:cs="Times New Roman"/>
          <w:sz w:val="24"/>
          <w:szCs w:val="24"/>
          <w:lang w:val="en-US"/>
        </w:rPr>
        <w:t>Një Llogari e Njësisë Ekonomike Paraekzistuese, që plotëson kushtet për t’iu nënshtruar shqyrtimit, shqyrtohet për të përcaktuar nëse mbahet nga:</w:t>
      </w:r>
    </w:p>
    <w:p w14:paraId="32D71CBF" w14:textId="67631728" w:rsidR="00BB7E95" w:rsidRPr="00591FCC" w:rsidRDefault="00BB7E95" w:rsidP="00FC5543">
      <w:pPr>
        <w:spacing w:before="100" w:beforeAutospacing="1" w:after="0"/>
        <w:ind w:left="360"/>
        <w:rPr>
          <w:rFonts w:ascii="Times New Roman" w:eastAsia="Times New Roman" w:hAnsi="Times New Roman" w:cs="Times New Roman"/>
          <w:sz w:val="24"/>
          <w:szCs w:val="24"/>
          <w:lang w:val="en-US"/>
        </w:rPr>
      </w:pPr>
      <w:r w:rsidRPr="00591FCC">
        <w:rPr>
          <w:rFonts w:ascii="Times New Roman" w:eastAsia="Times New Roman" w:hAnsi="Times New Roman" w:cs="Times New Roman"/>
          <w:sz w:val="24"/>
          <w:szCs w:val="24"/>
          <w:lang w:val="en-US"/>
        </w:rPr>
        <w:t>a) një ose më shumë Persona të Raportueshëm; ose</w:t>
      </w:r>
      <w:r w:rsidRPr="00591FCC">
        <w:rPr>
          <w:rFonts w:ascii="Times New Roman" w:eastAsia="Times New Roman" w:hAnsi="Times New Roman" w:cs="Times New Roman"/>
          <w:sz w:val="24"/>
          <w:szCs w:val="24"/>
          <w:lang w:val="en-US"/>
        </w:rPr>
        <w:br/>
        <w:t>b) një Njësi Ekonomike Jofinanciare Pasive me një ose më shumë Persona Kontrollues që janë Persona të Raportueshëm.</w:t>
      </w:r>
    </w:p>
    <w:p w14:paraId="01768828" w14:textId="77777777" w:rsidR="00BB7E95" w:rsidRPr="00591FCC" w:rsidRDefault="00BB7E95" w:rsidP="00591FCC">
      <w:pPr>
        <w:numPr>
          <w:ilvl w:val="0"/>
          <w:numId w:val="8"/>
        </w:numPr>
        <w:spacing w:before="100" w:beforeAutospacing="1" w:after="100" w:afterAutospacing="1"/>
        <w:jc w:val="both"/>
        <w:rPr>
          <w:rFonts w:ascii="Times New Roman" w:eastAsia="Times New Roman" w:hAnsi="Times New Roman" w:cs="Times New Roman"/>
          <w:sz w:val="24"/>
          <w:szCs w:val="24"/>
          <w:lang w:val="en-US"/>
        </w:rPr>
      </w:pPr>
      <w:r w:rsidRPr="00591FCC">
        <w:rPr>
          <w:rFonts w:ascii="Times New Roman" w:eastAsia="Times New Roman" w:hAnsi="Times New Roman" w:cs="Times New Roman"/>
          <w:sz w:val="24"/>
          <w:szCs w:val="24"/>
          <w:lang w:val="en-US"/>
        </w:rPr>
        <w:t>Për përcaktimin e rezidencës së njësisë ekonomike, institucioni financiar raportues shqyrton informacionin që disponon për qëllime rregullatore ose të marrëdhënies me klientin, përfshirë informacionin e mbledhur në përputhje me procedurat për parandalimin e pastrimit të parave dhe financimin e terrorizmit.</w:t>
      </w:r>
    </w:p>
    <w:p w14:paraId="59151EC2" w14:textId="77777777" w:rsidR="006E03DC" w:rsidRPr="00591FCC" w:rsidRDefault="00BB7E95" w:rsidP="00591FCC">
      <w:pPr>
        <w:numPr>
          <w:ilvl w:val="0"/>
          <w:numId w:val="8"/>
        </w:numPr>
        <w:spacing w:before="100" w:beforeAutospacing="1" w:after="100" w:afterAutospacing="1"/>
        <w:jc w:val="both"/>
        <w:rPr>
          <w:rFonts w:ascii="Times New Roman" w:eastAsia="Times New Roman" w:hAnsi="Times New Roman" w:cs="Times New Roman"/>
          <w:sz w:val="24"/>
          <w:szCs w:val="24"/>
          <w:lang w:val="en-US"/>
        </w:rPr>
      </w:pPr>
      <w:r w:rsidRPr="00591FCC">
        <w:rPr>
          <w:rFonts w:ascii="Times New Roman" w:eastAsia="Times New Roman" w:hAnsi="Times New Roman" w:cs="Times New Roman"/>
          <w:sz w:val="24"/>
          <w:szCs w:val="24"/>
          <w:lang w:val="en-US"/>
        </w:rPr>
        <w:t>Nëse informacioni tregon se mbajtësi i llogarisë është rezident në një juridiksion raportues, llogaria trajtohet si Llogari e Raportueshme, përveçse kur institucioni financiar raportues:</w:t>
      </w:r>
    </w:p>
    <w:p w14:paraId="1A9669AB" w14:textId="6FB0E131" w:rsidR="00FC5543" w:rsidRDefault="00BB7E95" w:rsidP="00FC5543">
      <w:pPr>
        <w:spacing w:before="100" w:beforeAutospacing="1" w:after="100" w:afterAutospacing="1"/>
        <w:ind w:left="360"/>
        <w:jc w:val="both"/>
        <w:rPr>
          <w:rFonts w:ascii="Times New Roman" w:eastAsia="Times New Roman" w:hAnsi="Times New Roman" w:cs="Times New Roman"/>
          <w:sz w:val="24"/>
          <w:szCs w:val="24"/>
          <w:lang w:val="en-US"/>
        </w:rPr>
      </w:pPr>
      <w:r w:rsidRPr="00591FCC">
        <w:rPr>
          <w:rFonts w:ascii="Times New Roman" w:eastAsia="Times New Roman" w:hAnsi="Times New Roman" w:cs="Times New Roman"/>
          <w:sz w:val="24"/>
          <w:szCs w:val="24"/>
          <w:lang w:val="en-US"/>
        </w:rPr>
        <w:t>a) merr një vetëdeklarim nga mbajtësi i llogarisë; ose</w:t>
      </w:r>
    </w:p>
    <w:p w14:paraId="08E1F8D3" w14:textId="176097EB" w:rsidR="00AC4B90" w:rsidRPr="00591FCC" w:rsidRDefault="00BB7E95" w:rsidP="00FC5543">
      <w:pPr>
        <w:spacing w:before="100" w:beforeAutospacing="1" w:after="100" w:afterAutospacing="1"/>
        <w:ind w:left="360"/>
        <w:jc w:val="both"/>
        <w:rPr>
          <w:rFonts w:ascii="Times New Roman" w:eastAsia="Times New Roman" w:hAnsi="Times New Roman" w:cs="Times New Roman"/>
          <w:sz w:val="24"/>
          <w:szCs w:val="24"/>
          <w:lang w:val="en-US"/>
        </w:rPr>
      </w:pPr>
      <w:r w:rsidRPr="00591FCC">
        <w:rPr>
          <w:rFonts w:ascii="Times New Roman" w:eastAsia="Times New Roman" w:hAnsi="Times New Roman" w:cs="Times New Roman"/>
          <w:sz w:val="24"/>
          <w:szCs w:val="24"/>
          <w:lang w:val="en-US"/>
        </w:rPr>
        <w:t>b) përcakton në mënyrë të arsyeshme, bazuar në informacionin që disponon ose që është publikisht i disponueshëm, se mbajtësi i llogarisë nuk është Person i Raportueshëm.</w:t>
      </w:r>
    </w:p>
    <w:p w14:paraId="1997217A" w14:textId="7753DFEB" w:rsidR="00AC4B90" w:rsidRPr="00591FCC" w:rsidRDefault="00AC4B90" w:rsidP="00591FCC">
      <w:pPr>
        <w:pStyle w:val="ListParagraph"/>
        <w:numPr>
          <w:ilvl w:val="0"/>
          <w:numId w:val="8"/>
        </w:numPr>
        <w:spacing w:before="100" w:beforeAutospacing="1" w:after="100" w:afterAutospacing="1"/>
        <w:jc w:val="both"/>
        <w:rPr>
          <w:rFonts w:ascii="Times New Roman" w:eastAsia="Times New Roman" w:hAnsi="Times New Roman" w:cs="Times New Roman"/>
          <w:sz w:val="24"/>
          <w:szCs w:val="24"/>
          <w:lang w:val="en-US"/>
        </w:rPr>
      </w:pPr>
      <w:r w:rsidRPr="00591FCC">
        <w:rPr>
          <w:rFonts w:ascii="Times New Roman" w:eastAsia="Times New Roman" w:hAnsi="Times New Roman" w:cs="Times New Roman"/>
          <w:sz w:val="24"/>
          <w:szCs w:val="24"/>
          <w:lang w:eastAsia="sq-AL"/>
        </w:rPr>
        <w:t xml:space="preserve">Për të përcaktuar nëse mbajtësi i llogarisë është një NFE pasive, institucioni financiar raportues merr një vetëdeklarim nga mbajtësi i llogarisë për përcaktimin e statusit të tij, përveçse kur informacioni që disponon ose që është publikisht i disponueshëm i mundëson të përcaktojë në mënyrë të arsyeshme se mbajtësi i llogarisë është një NFE aktive ose një </w:t>
      </w:r>
      <w:r w:rsidRPr="00591FCC">
        <w:rPr>
          <w:rFonts w:ascii="Times New Roman" w:eastAsia="Times New Roman" w:hAnsi="Times New Roman" w:cs="Times New Roman"/>
          <w:sz w:val="24"/>
          <w:szCs w:val="24"/>
          <w:lang w:eastAsia="sq-AL"/>
        </w:rPr>
        <w:lastRenderedPageBreak/>
        <w:t>Institucion Financiar, i ndryshëm nga një Njësi Ekonomike Investimi e llojit që, për shkak se nuk është Institucion Financiar i një Juridiksioni Pjesëmarrës, trajtohet si NFE pasive.</w:t>
      </w:r>
    </w:p>
    <w:p w14:paraId="75B84285" w14:textId="77777777" w:rsidR="00BB7E95" w:rsidRPr="00591FCC" w:rsidRDefault="00BB7E95" w:rsidP="00591FCC">
      <w:pPr>
        <w:numPr>
          <w:ilvl w:val="0"/>
          <w:numId w:val="8"/>
        </w:numPr>
        <w:spacing w:before="100" w:beforeAutospacing="1" w:after="100" w:afterAutospacing="1"/>
        <w:jc w:val="both"/>
        <w:rPr>
          <w:rFonts w:ascii="Times New Roman" w:eastAsia="Times New Roman" w:hAnsi="Times New Roman" w:cs="Times New Roman"/>
          <w:sz w:val="24"/>
          <w:szCs w:val="24"/>
          <w:lang w:val="en-US"/>
        </w:rPr>
      </w:pPr>
      <w:r w:rsidRPr="00591FCC">
        <w:rPr>
          <w:rFonts w:ascii="Times New Roman" w:eastAsia="Times New Roman" w:hAnsi="Times New Roman" w:cs="Times New Roman"/>
          <w:sz w:val="24"/>
          <w:szCs w:val="24"/>
          <w:lang w:val="en-US"/>
        </w:rPr>
        <w:t>Institucioni financiar raportues përcakton Personat Kontrollues të Njësisë Ekonomike Jofinanciare Pasive dhe rezidencën e tyre për qëllime tatimore.</w:t>
      </w:r>
    </w:p>
    <w:p w14:paraId="38DCEA18" w14:textId="7A619BDC" w:rsidR="00BB7E95" w:rsidRPr="00591FCC" w:rsidRDefault="00BB7E95" w:rsidP="00591FCC">
      <w:pPr>
        <w:numPr>
          <w:ilvl w:val="0"/>
          <w:numId w:val="8"/>
        </w:numPr>
        <w:spacing w:before="100" w:beforeAutospacing="1" w:after="100" w:afterAutospacing="1"/>
        <w:jc w:val="both"/>
        <w:rPr>
          <w:rFonts w:ascii="Times New Roman" w:eastAsia="Times New Roman" w:hAnsi="Times New Roman" w:cs="Times New Roman"/>
          <w:sz w:val="24"/>
          <w:szCs w:val="24"/>
          <w:lang w:val="en-US"/>
        </w:rPr>
      </w:pPr>
      <w:r w:rsidRPr="00591FCC">
        <w:rPr>
          <w:rFonts w:ascii="Times New Roman" w:eastAsia="Times New Roman" w:hAnsi="Times New Roman" w:cs="Times New Roman"/>
          <w:sz w:val="24"/>
          <w:szCs w:val="24"/>
          <w:lang w:val="en-US"/>
        </w:rPr>
        <w:t>Për përcaktimin e Personave Kontrollues, institucioni financiar raportues mund të mbështetet në informacionin e mbledhur dhe të mbajtur në përputhje me procedurat për parandalimin e pastrimit të parave dhe financimin e terrorizmit, në përputhje me pikën 7 të nenit 7 të këtij ligji.</w:t>
      </w:r>
    </w:p>
    <w:p w14:paraId="0DA533B9" w14:textId="4BA0A029" w:rsidR="00AC4B90" w:rsidRPr="00591FCC" w:rsidRDefault="00AC4B90" w:rsidP="00591FCC">
      <w:pPr>
        <w:pStyle w:val="ListParagraph"/>
        <w:numPr>
          <w:ilvl w:val="0"/>
          <w:numId w:val="8"/>
        </w:numPr>
        <w:spacing w:before="100" w:beforeAutospacing="1" w:after="100" w:afterAutospacing="1"/>
        <w:jc w:val="both"/>
        <w:rPr>
          <w:rFonts w:ascii="Times New Roman" w:eastAsia="Times New Roman" w:hAnsi="Times New Roman" w:cs="Times New Roman"/>
          <w:sz w:val="24"/>
          <w:szCs w:val="24"/>
          <w:lang w:eastAsia="sq-AL"/>
        </w:rPr>
      </w:pPr>
      <w:r w:rsidRPr="00591FCC">
        <w:rPr>
          <w:rFonts w:ascii="Times New Roman" w:eastAsia="Times New Roman" w:hAnsi="Times New Roman" w:cs="Times New Roman"/>
          <w:sz w:val="24"/>
          <w:szCs w:val="24"/>
          <w:lang w:eastAsia="sq-AL"/>
        </w:rPr>
        <w:t>Për përcaktimin nëse një Person Kontrollues i një NFE-je pasive është Person i Raportueshëm, institucioni financiar raportues mund të mbështetet në informacionin e mbledhur dhe të mbajtur sipas procedurave PPP/NJKT, kur Llogaria e Njësisë Ekonomike Paraekzistuese ka balancë ose vlerë të agreguar që nuk tejkalon ekuivalentin në monedhën vendase të 1 000 000 USD; kur ky prag tejkalohet, institucioni financiar raportues mbështetet në një vetëdeklarim nga mbajtësi i llogarisë ose nga Personi Kontrollues.</w:t>
      </w:r>
    </w:p>
    <w:p w14:paraId="32F2FE01" w14:textId="77777777" w:rsidR="00BB7E95" w:rsidRPr="00591FCC" w:rsidRDefault="00BB7E95" w:rsidP="00591FCC">
      <w:pPr>
        <w:numPr>
          <w:ilvl w:val="0"/>
          <w:numId w:val="8"/>
        </w:numPr>
        <w:spacing w:before="100" w:beforeAutospacing="1" w:after="100" w:afterAutospacing="1"/>
        <w:jc w:val="both"/>
        <w:rPr>
          <w:rFonts w:ascii="Times New Roman" w:eastAsia="Times New Roman" w:hAnsi="Times New Roman" w:cs="Times New Roman"/>
          <w:sz w:val="24"/>
          <w:szCs w:val="24"/>
          <w:lang w:val="en-US"/>
        </w:rPr>
      </w:pPr>
      <w:r w:rsidRPr="00591FCC">
        <w:rPr>
          <w:rFonts w:ascii="Times New Roman" w:eastAsia="Times New Roman" w:hAnsi="Times New Roman" w:cs="Times New Roman"/>
          <w:sz w:val="24"/>
          <w:szCs w:val="24"/>
          <w:lang w:val="en-US"/>
        </w:rPr>
        <w:t>Nëse ndonjë Person Kontrollues i një Njësie Ekonomike Jofinanciare Pasive është Person i Raportueshëm, llogaria trajtohet si Llogari e Raportueshme.</w:t>
      </w:r>
    </w:p>
    <w:p w14:paraId="2F074275" w14:textId="77777777" w:rsidR="00BB7E95" w:rsidRPr="00591FCC" w:rsidRDefault="00BB7E95" w:rsidP="00591FCC">
      <w:pPr>
        <w:numPr>
          <w:ilvl w:val="0"/>
          <w:numId w:val="8"/>
        </w:numPr>
        <w:spacing w:before="100" w:beforeAutospacing="1" w:after="100" w:afterAutospacing="1"/>
        <w:jc w:val="both"/>
        <w:rPr>
          <w:rFonts w:ascii="Times New Roman" w:eastAsia="Times New Roman" w:hAnsi="Times New Roman" w:cs="Times New Roman"/>
          <w:sz w:val="24"/>
          <w:szCs w:val="24"/>
          <w:lang w:val="en-US"/>
        </w:rPr>
      </w:pPr>
      <w:r w:rsidRPr="00591FCC">
        <w:rPr>
          <w:rFonts w:ascii="Times New Roman" w:eastAsia="Times New Roman" w:hAnsi="Times New Roman" w:cs="Times New Roman"/>
          <w:sz w:val="24"/>
          <w:szCs w:val="24"/>
          <w:lang w:val="en-US"/>
        </w:rPr>
        <w:t>Një ndryshim në rrethana që bën që institucioni financiar raportues të dijë ose të ketë arsye të dijë se vetëdeklarimi ose dokumentacioni tjetër është i pasaktë ose jo i besueshëm sjell detyrimin për të ripërcaktuar statusin e llogarisë në përputhje me këtë nen.</w:t>
      </w:r>
    </w:p>
    <w:p w14:paraId="448D5107" w14:textId="5373B526" w:rsidR="00BB7E95" w:rsidRPr="00591FCC" w:rsidRDefault="00BB7E95" w:rsidP="00591FCC">
      <w:pPr>
        <w:numPr>
          <w:ilvl w:val="0"/>
          <w:numId w:val="8"/>
        </w:numPr>
        <w:spacing w:before="100" w:beforeAutospacing="1" w:after="100" w:afterAutospacing="1"/>
        <w:jc w:val="both"/>
        <w:rPr>
          <w:rFonts w:ascii="Times New Roman" w:eastAsia="Times New Roman" w:hAnsi="Times New Roman" w:cs="Times New Roman"/>
          <w:sz w:val="24"/>
          <w:szCs w:val="24"/>
          <w:lang w:val="en-US"/>
        </w:rPr>
      </w:pPr>
      <w:r w:rsidRPr="00591FCC">
        <w:rPr>
          <w:rFonts w:ascii="Times New Roman" w:eastAsia="Times New Roman" w:hAnsi="Times New Roman" w:cs="Times New Roman"/>
          <w:sz w:val="24"/>
          <w:szCs w:val="24"/>
          <w:lang w:val="en-US"/>
        </w:rPr>
        <w:t xml:space="preserve">Një Llogari e Njësisë Ekonomike Paraekzistuese me balancë ose vlerë që nuk tejkalon pragun e përcaktuar </w:t>
      </w:r>
      <w:r w:rsidR="00F77F3F" w:rsidRPr="00591FCC">
        <w:rPr>
          <w:rFonts w:ascii="Times New Roman" w:eastAsia="Times New Roman" w:hAnsi="Times New Roman" w:cs="Times New Roman"/>
          <w:sz w:val="24"/>
          <w:szCs w:val="24"/>
          <w:lang w:val="en-US"/>
        </w:rPr>
        <w:t xml:space="preserve">në </w:t>
      </w:r>
      <w:r w:rsidR="00F77F3F" w:rsidRPr="00591FCC">
        <w:rPr>
          <w:rFonts w:ascii="Times New Roman" w:hAnsi="Times New Roman" w:cs="Times New Roman"/>
          <w:sz w:val="24"/>
          <w:szCs w:val="24"/>
        </w:rPr>
        <w:t>aktin nënligjor të nxjerrë në zbatim të këtij ligji</w:t>
      </w:r>
      <w:r w:rsidRPr="00591FCC">
        <w:rPr>
          <w:rFonts w:ascii="Times New Roman" w:eastAsia="Times New Roman" w:hAnsi="Times New Roman" w:cs="Times New Roman"/>
          <w:sz w:val="24"/>
          <w:szCs w:val="24"/>
          <w:lang w:val="en-US"/>
        </w:rPr>
        <w:t xml:space="preserve"> nuk është e detyruar t’i nënshtrohet shqyrtimit, identifikimit ose raportimit deri në momentin kur balanca ose vlera e saj tejkalon këtë prag, përveçse kur institucioni financiar raportues zgjedh të zbatojë procedurat e vigjilencës së duhur edhe për këto llogari.</w:t>
      </w:r>
    </w:p>
    <w:p w14:paraId="7C6A612A" w14:textId="77777777" w:rsidR="00BB7E95" w:rsidRPr="00591FCC" w:rsidRDefault="00BB7E95" w:rsidP="00591FCC">
      <w:pPr>
        <w:numPr>
          <w:ilvl w:val="0"/>
          <w:numId w:val="8"/>
        </w:numPr>
        <w:spacing w:before="100" w:beforeAutospacing="1" w:after="100" w:afterAutospacing="1"/>
        <w:rPr>
          <w:rFonts w:ascii="Times New Roman" w:eastAsia="Times New Roman" w:hAnsi="Times New Roman" w:cs="Times New Roman"/>
          <w:b/>
          <w:sz w:val="24"/>
          <w:szCs w:val="24"/>
          <w:lang w:val="en-US"/>
        </w:rPr>
      </w:pPr>
      <w:r w:rsidRPr="00591FCC">
        <w:rPr>
          <w:rFonts w:ascii="Times New Roman" w:eastAsia="Times New Roman" w:hAnsi="Times New Roman" w:cs="Times New Roman"/>
          <w:sz w:val="24"/>
          <w:szCs w:val="24"/>
          <w:lang w:val="en-US"/>
        </w:rPr>
        <w:t>Pragjet monetare, datat e referencës, afatet e shqyrtimit dhe procedurat e hollësishme për Llogaritë e Njësive Ekonomike Paraekzistuese përcaktohen me akt nënligjor në zbatim të këtij ligji.</w:t>
      </w:r>
    </w:p>
    <w:p w14:paraId="181E907B" w14:textId="77777777" w:rsidR="00BB7E95" w:rsidRPr="00591FCC" w:rsidRDefault="00BB7E95" w:rsidP="00591FCC">
      <w:pPr>
        <w:spacing w:before="100" w:beforeAutospacing="1" w:after="100" w:afterAutospacing="1"/>
        <w:jc w:val="center"/>
        <w:rPr>
          <w:rFonts w:ascii="Times New Roman" w:eastAsia="Times New Roman" w:hAnsi="Times New Roman" w:cs="Times New Roman"/>
          <w:b/>
          <w:sz w:val="24"/>
          <w:szCs w:val="24"/>
          <w:lang w:val="en-US"/>
        </w:rPr>
      </w:pPr>
      <w:r w:rsidRPr="00591FCC">
        <w:rPr>
          <w:rFonts w:ascii="Times New Roman" w:eastAsia="Times New Roman" w:hAnsi="Times New Roman" w:cs="Times New Roman"/>
          <w:b/>
          <w:sz w:val="24"/>
          <w:szCs w:val="24"/>
          <w:lang w:val="en-US"/>
        </w:rPr>
        <w:t>Neni 11</w:t>
      </w:r>
      <w:r w:rsidRPr="00591FCC">
        <w:rPr>
          <w:rFonts w:ascii="Times New Roman" w:eastAsia="Times New Roman" w:hAnsi="Times New Roman" w:cs="Times New Roman"/>
          <w:b/>
          <w:sz w:val="24"/>
          <w:szCs w:val="24"/>
          <w:lang w:val="en-US"/>
        </w:rPr>
        <w:br/>
        <w:t>Vigjilenca e duhur për Llogaritë e Reja të Njësive Ekonomike</w:t>
      </w:r>
    </w:p>
    <w:p w14:paraId="67997AD9" w14:textId="77777777" w:rsidR="00BB7E95" w:rsidRPr="00591FCC" w:rsidRDefault="00BB7E95" w:rsidP="00591FCC">
      <w:pPr>
        <w:numPr>
          <w:ilvl w:val="0"/>
          <w:numId w:val="9"/>
        </w:numPr>
        <w:spacing w:before="100" w:beforeAutospacing="1" w:after="100" w:afterAutospacing="1"/>
        <w:jc w:val="both"/>
        <w:rPr>
          <w:rFonts w:ascii="Times New Roman" w:eastAsia="Times New Roman" w:hAnsi="Times New Roman" w:cs="Times New Roman"/>
          <w:sz w:val="24"/>
          <w:szCs w:val="24"/>
          <w:lang w:val="en-US"/>
        </w:rPr>
      </w:pPr>
      <w:r w:rsidRPr="00591FCC">
        <w:rPr>
          <w:rFonts w:ascii="Times New Roman" w:eastAsia="Times New Roman" w:hAnsi="Times New Roman" w:cs="Times New Roman"/>
          <w:sz w:val="24"/>
          <w:szCs w:val="24"/>
          <w:lang w:val="en-US"/>
        </w:rPr>
        <w:t>Me rastin e hapjes së një Llogarie të Re të Njësisë Ekonomike, institucioni financiar raportues merr një vetëdeklarim të vlefshëm që i mundëson përcaktimin e rezidencës ose rezidencave të njësisë ekonomike për qëllime tatimore dhe konfirmon arsyeshmërinë e këtij vetëdeklarimi në bazë të informacionit të marrë në lidhje me hapjen e llogarisë, përfshirë dokumentacionin e mbledhur në përputhje me procedurat për parandalimin e pastrimit të parave dhe financimin e terrorizmit.</w:t>
      </w:r>
    </w:p>
    <w:p w14:paraId="060AD192" w14:textId="77777777" w:rsidR="00BB7E95" w:rsidRPr="00591FCC" w:rsidRDefault="00BB7E95" w:rsidP="00591FCC">
      <w:pPr>
        <w:numPr>
          <w:ilvl w:val="0"/>
          <w:numId w:val="9"/>
        </w:numPr>
        <w:spacing w:before="100" w:beforeAutospacing="1" w:after="100" w:afterAutospacing="1"/>
        <w:jc w:val="both"/>
        <w:rPr>
          <w:rFonts w:ascii="Times New Roman" w:eastAsia="Times New Roman" w:hAnsi="Times New Roman" w:cs="Times New Roman"/>
          <w:sz w:val="24"/>
          <w:szCs w:val="24"/>
          <w:lang w:val="en-US"/>
        </w:rPr>
      </w:pPr>
      <w:r w:rsidRPr="00591FCC">
        <w:rPr>
          <w:rFonts w:ascii="Times New Roman" w:eastAsia="Times New Roman" w:hAnsi="Times New Roman" w:cs="Times New Roman"/>
          <w:sz w:val="24"/>
          <w:szCs w:val="24"/>
          <w:lang w:val="en-US"/>
        </w:rPr>
        <w:t>Nëse njësia ekonomike deklaron se nuk ka rezidencë për qëllime tatimore, institucioni financiar raportues mund të mbështetet në adresën e selisë kryesore të njësisë ekonomike për përcaktimin e rezidencës së mbajtësit të llogarisë.</w:t>
      </w:r>
    </w:p>
    <w:p w14:paraId="15E4186C" w14:textId="77777777" w:rsidR="00B078AC" w:rsidRPr="00591FCC" w:rsidRDefault="00BB7E95" w:rsidP="00591FCC">
      <w:pPr>
        <w:numPr>
          <w:ilvl w:val="0"/>
          <w:numId w:val="9"/>
        </w:numPr>
        <w:spacing w:before="100" w:beforeAutospacing="1" w:after="100" w:afterAutospacing="1"/>
        <w:jc w:val="both"/>
        <w:rPr>
          <w:rFonts w:ascii="Times New Roman" w:eastAsia="Times New Roman" w:hAnsi="Times New Roman" w:cs="Times New Roman"/>
          <w:sz w:val="24"/>
          <w:szCs w:val="24"/>
          <w:lang w:val="en-US"/>
        </w:rPr>
      </w:pPr>
      <w:r w:rsidRPr="00591FCC">
        <w:rPr>
          <w:rFonts w:ascii="Times New Roman" w:eastAsia="Times New Roman" w:hAnsi="Times New Roman" w:cs="Times New Roman"/>
          <w:sz w:val="24"/>
          <w:szCs w:val="24"/>
          <w:lang w:val="en-US"/>
        </w:rPr>
        <w:t xml:space="preserve">Nëse vetëdeklarimi tregon se mbajtësi i llogarisë është rezident në një juridiksion raportues, institucioni financiar raportues e trajton llogarinë si Llogari të Raportueshme, përveçse kur përcakton në mënyrë të arsyeshme, bazuar në informacionin që disponon ose që është </w:t>
      </w:r>
      <w:r w:rsidRPr="00591FCC">
        <w:rPr>
          <w:rFonts w:ascii="Times New Roman" w:eastAsia="Times New Roman" w:hAnsi="Times New Roman" w:cs="Times New Roman"/>
          <w:sz w:val="24"/>
          <w:szCs w:val="24"/>
          <w:lang w:val="en-US"/>
        </w:rPr>
        <w:lastRenderedPageBreak/>
        <w:t>publikisht i disponueshëm, se mbajtësi i llogarisë nuk është Person i Raportueshëm në lidhje me atë juridiksion.</w:t>
      </w:r>
    </w:p>
    <w:p w14:paraId="240A97FA" w14:textId="1806FABC" w:rsidR="00BB7E95" w:rsidRPr="00591FCC" w:rsidRDefault="00AC4B90" w:rsidP="00591FCC">
      <w:pPr>
        <w:numPr>
          <w:ilvl w:val="0"/>
          <w:numId w:val="9"/>
        </w:numPr>
        <w:spacing w:before="100" w:beforeAutospacing="1" w:after="100" w:afterAutospacing="1"/>
        <w:jc w:val="both"/>
        <w:rPr>
          <w:rFonts w:ascii="Times New Roman" w:eastAsia="Times New Roman" w:hAnsi="Times New Roman" w:cs="Times New Roman"/>
          <w:sz w:val="24"/>
          <w:szCs w:val="24"/>
          <w:lang w:val="en-US"/>
        </w:rPr>
      </w:pPr>
      <w:r w:rsidRPr="00591FCC">
        <w:rPr>
          <w:rFonts w:ascii="Times New Roman" w:eastAsia="Times New Roman" w:hAnsi="Times New Roman" w:cs="Times New Roman"/>
          <w:sz w:val="24"/>
          <w:szCs w:val="24"/>
          <w:lang w:eastAsia="sq-AL"/>
        </w:rPr>
        <w:t>Për të përcaktuar nëse mbajtësi i llogarisë është një NFE pasive, institucioni financiar raportues mbështetet në një vetëdeklarim nga mbajtësi i llogarisë për përcaktimin e statusit të tij, përveçse kur informacioni që disponon ose që është publikisht i disponueshëm i mundëson të përcaktojë në mënyrë të arsyeshme se mbajtësi i llogarisë është një NFE aktive ose një Institucion Financiar, i ndryshëm nga një Njësi Ekonomike Investimi që duhet të trajtohet si NFE pasive sipas këtij ligji.</w:t>
      </w:r>
      <w:r w:rsidR="00BB7E95" w:rsidRPr="00591FCC">
        <w:rPr>
          <w:rFonts w:ascii="Times New Roman" w:eastAsia="Times New Roman" w:hAnsi="Times New Roman" w:cs="Times New Roman"/>
          <w:sz w:val="24"/>
          <w:szCs w:val="24"/>
          <w:lang w:val="en-US"/>
        </w:rPr>
        <w:t>Nëse mbajtësi i llogarisë është Njësi Ekonomike Jofinanciare Pasive, institucioni financiar raportues përcakton Personat Kontrollues të saj dhe rezidencën e tyre për qëllime tatimore.</w:t>
      </w:r>
    </w:p>
    <w:p w14:paraId="4575121C" w14:textId="77777777" w:rsidR="00BB7E95" w:rsidRPr="00591FCC" w:rsidRDefault="00BB7E95" w:rsidP="00591FCC">
      <w:pPr>
        <w:numPr>
          <w:ilvl w:val="0"/>
          <w:numId w:val="9"/>
        </w:numPr>
        <w:spacing w:before="100" w:beforeAutospacing="1" w:after="100" w:afterAutospacing="1"/>
        <w:jc w:val="both"/>
        <w:rPr>
          <w:rFonts w:ascii="Times New Roman" w:eastAsia="Times New Roman" w:hAnsi="Times New Roman" w:cs="Times New Roman"/>
          <w:sz w:val="24"/>
          <w:szCs w:val="24"/>
          <w:lang w:val="en-US"/>
        </w:rPr>
      </w:pPr>
      <w:r w:rsidRPr="00591FCC">
        <w:rPr>
          <w:rFonts w:ascii="Times New Roman" w:eastAsia="Times New Roman" w:hAnsi="Times New Roman" w:cs="Times New Roman"/>
          <w:sz w:val="24"/>
          <w:szCs w:val="24"/>
          <w:lang w:val="en-US"/>
        </w:rPr>
        <w:t>Për përcaktimin e Personave Kontrollues, institucioni financiar raportues mund të mbështetet në informacionin e mbledhur dhe të mbajtur në përputhje me procedurat për parandalimin e pastrimit të parave dhe financimin e terrorizmit, në përputhje me pikën 7 të nenit 7 të këtij ligji.</w:t>
      </w:r>
    </w:p>
    <w:p w14:paraId="3744902B" w14:textId="77777777" w:rsidR="00BB7E95" w:rsidRPr="00591FCC" w:rsidRDefault="00BB7E95" w:rsidP="00591FCC">
      <w:pPr>
        <w:numPr>
          <w:ilvl w:val="0"/>
          <w:numId w:val="9"/>
        </w:numPr>
        <w:spacing w:before="100" w:beforeAutospacing="1" w:after="100" w:afterAutospacing="1"/>
        <w:jc w:val="both"/>
        <w:rPr>
          <w:rFonts w:ascii="Times New Roman" w:eastAsia="Times New Roman" w:hAnsi="Times New Roman" w:cs="Times New Roman"/>
          <w:sz w:val="24"/>
          <w:szCs w:val="24"/>
          <w:lang w:val="en-US"/>
        </w:rPr>
      </w:pPr>
      <w:r w:rsidRPr="00591FCC">
        <w:rPr>
          <w:rFonts w:ascii="Times New Roman" w:eastAsia="Times New Roman" w:hAnsi="Times New Roman" w:cs="Times New Roman"/>
          <w:sz w:val="24"/>
          <w:szCs w:val="24"/>
          <w:lang w:val="en-US"/>
        </w:rPr>
        <w:t>Për përcaktimin nëse një Person Kontrollues i një Njësie Ekonomike Jofinanciare Pasive është Person i Raportueshëm, institucioni financiar raportues mbështetet në një vetëdeklarim nga mbajtësi i llogarisë ose nga Personi Kontrollues.</w:t>
      </w:r>
    </w:p>
    <w:p w14:paraId="5C5B8CD9" w14:textId="77777777" w:rsidR="00BB7E95" w:rsidRPr="00591FCC" w:rsidRDefault="00BB7E95" w:rsidP="00591FCC">
      <w:pPr>
        <w:numPr>
          <w:ilvl w:val="0"/>
          <w:numId w:val="9"/>
        </w:numPr>
        <w:spacing w:before="100" w:beforeAutospacing="1" w:after="100" w:afterAutospacing="1"/>
        <w:jc w:val="both"/>
        <w:rPr>
          <w:rFonts w:ascii="Times New Roman" w:eastAsia="Times New Roman" w:hAnsi="Times New Roman" w:cs="Times New Roman"/>
          <w:sz w:val="24"/>
          <w:szCs w:val="24"/>
          <w:lang w:val="en-US"/>
        </w:rPr>
      </w:pPr>
      <w:r w:rsidRPr="00591FCC">
        <w:rPr>
          <w:rFonts w:ascii="Times New Roman" w:eastAsia="Times New Roman" w:hAnsi="Times New Roman" w:cs="Times New Roman"/>
          <w:sz w:val="24"/>
          <w:szCs w:val="24"/>
          <w:lang w:val="en-US"/>
        </w:rPr>
        <w:t>Nëse një ose më shumë Persona Kontrollues të një Njësie Ekonomike Jofinanciare Pasive janë Persona të Raportueshëm, llogaria trajtohet si Llogari e Raportueshme.</w:t>
      </w:r>
    </w:p>
    <w:p w14:paraId="3F3748C2" w14:textId="77777777" w:rsidR="00BB7E95" w:rsidRPr="00591FCC" w:rsidRDefault="00BB7E95" w:rsidP="00591FCC">
      <w:pPr>
        <w:numPr>
          <w:ilvl w:val="0"/>
          <w:numId w:val="9"/>
        </w:numPr>
        <w:spacing w:before="100" w:beforeAutospacing="1" w:after="100" w:afterAutospacing="1"/>
        <w:jc w:val="both"/>
        <w:rPr>
          <w:rFonts w:ascii="Times New Roman" w:eastAsia="Times New Roman" w:hAnsi="Times New Roman" w:cs="Times New Roman"/>
          <w:sz w:val="24"/>
          <w:szCs w:val="24"/>
          <w:lang w:val="en-US"/>
        </w:rPr>
      </w:pPr>
      <w:r w:rsidRPr="00591FCC">
        <w:rPr>
          <w:rFonts w:ascii="Times New Roman" w:eastAsia="Times New Roman" w:hAnsi="Times New Roman" w:cs="Times New Roman"/>
          <w:sz w:val="24"/>
          <w:szCs w:val="24"/>
          <w:lang w:val="en-US"/>
        </w:rPr>
        <w:t>Nëse një ndryshim në rrethana bën që institucioni financiar raportues të dijë ose të ketë arsye të dijë se vetëdeklarimi ose dokumentacioni tjetër është i pasaktë ose jo i besueshëm, ai nuk mund të mbështetet më në dokumentacionin fillestar dhe duhet të ripërcaktojë statusin e llogarisë në përputhje me këtë ligj.</w:t>
      </w:r>
    </w:p>
    <w:p w14:paraId="46EF11D8" w14:textId="77777777" w:rsidR="00BB7E95" w:rsidRPr="00591FCC" w:rsidRDefault="00BB7E95" w:rsidP="00591FCC">
      <w:pPr>
        <w:numPr>
          <w:ilvl w:val="0"/>
          <w:numId w:val="9"/>
        </w:numPr>
        <w:spacing w:before="100" w:beforeAutospacing="1" w:after="100" w:afterAutospacing="1"/>
        <w:jc w:val="both"/>
        <w:rPr>
          <w:rFonts w:ascii="Times New Roman" w:eastAsia="Times New Roman" w:hAnsi="Times New Roman" w:cs="Times New Roman"/>
          <w:sz w:val="24"/>
          <w:szCs w:val="24"/>
          <w:lang w:val="en-US"/>
        </w:rPr>
      </w:pPr>
      <w:r w:rsidRPr="00591FCC">
        <w:rPr>
          <w:rFonts w:ascii="Times New Roman" w:eastAsia="Times New Roman" w:hAnsi="Times New Roman" w:cs="Times New Roman"/>
          <w:sz w:val="24"/>
          <w:szCs w:val="24"/>
          <w:lang w:val="en-US"/>
        </w:rPr>
        <w:t>Vetëdeklarimi i marrë për një Llogari të Re të Njësisë Ekonomike duhet të jetë i vlefshëm dhe të përmbajë informacionin e nevojshëm për përcaktimin e rezidencës tatimore të njësisë ekonomike dhe, sipas rastit, të Personave Kontrollues.</w:t>
      </w:r>
    </w:p>
    <w:p w14:paraId="5C8C5D5D" w14:textId="77777777" w:rsidR="00BB7E95" w:rsidRPr="00591FCC" w:rsidRDefault="00BB7E95" w:rsidP="00591FCC">
      <w:pPr>
        <w:spacing w:before="100" w:beforeAutospacing="1" w:after="100" w:afterAutospacing="1"/>
        <w:jc w:val="center"/>
        <w:rPr>
          <w:rFonts w:ascii="Times New Roman" w:eastAsia="Times New Roman" w:hAnsi="Times New Roman" w:cs="Times New Roman"/>
          <w:b/>
          <w:sz w:val="24"/>
          <w:szCs w:val="24"/>
          <w:lang w:val="en-US"/>
        </w:rPr>
      </w:pPr>
      <w:r w:rsidRPr="00591FCC">
        <w:rPr>
          <w:rFonts w:ascii="Times New Roman" w:eastAsia="Times New Roman" w:hAnsi="Times New Roman" w:cs="Times New Roman"/>
          <w:b/>
          <w:sz w:val="24"/>
          <w:szCs w:val="24"/>
          <w:lang w:val="en-US"/>
        </w:rPr>
        <w:t>Neni 12</w:t>
      </w:r>
      <w:r w:rsidRPr="00591FCC">
        <w:rPr>
          <w:rFonts w:ascii="Times New Roman" w:eastAsia="Times New Roman" w:hAnsi="Times New Roman" w:cs="Times New Roman"/>
          <w:b/>
          <w:sz w:val="24"/>
          <w:szCs w:val="24"/>
          <w:lang w:val="en-US"/>
        </w:rPr>
        <w:br/>
        <w:t>Rregulla të veçanta të vigjilencës së duhur</w:t>
      </w:r>
    </w:p>
    <w:p w14:paraId="0FE6A715" w14:textId="77777777" w:rsidR="00BB7E95" w:rsidRPr="00591FCC" w:rsidRDefault="00BB7E95" w:rsidP="00591FCC">
      <w:pPr>
        <w:numPr>
          <w:ilvl w:val="0"/>
          <w:numId w:val="10"/>
        </w:numPr>
        <w:spacing w:before="100" w:beforeAutospacing="1" w:after="100" w:afterAutospacing="1"/>
        <w:jc w:val="both"/>
        <w:rPr>
          <w:rFonts w:ascii="Times New Roman" w:eastAsia="Times New Roman" w:hAnsi="Times New Roman" w:cs="Times New Roman"/>
          <w:sz w:val="24"/>
          <w:szCs w:val="24"/>
          <w:lang w:val="en-US"/>
        </w:rPr>
      </w:pPr>
      <w:r w:rsidRPr="00591FCC">
        <w:rPr>
          <w:rFonts w:ascii="Times New Roman" w:eastAsia="Times New Roman" w:hAnsi="Times New Roman" w:cs="Times New Roman"/>
          <w:sz w:val="24"/>
          <w:szCs w:val="24"/>
          <w:lang w:val="en-US"/>
        </w:rPr>
        <w:t>Një institucion financiar raportues nuk mund të mbështetet në një vetëdeklarim ose në evidenca shkresore nëse ka dijeni ose ka arsye të dijë se ato janë të pasakta ose jo të besueshme.</w:t>
      </w:r>
    </w:p>
    <w:p w14:paraId="1EA4927E" w14:textId="77777777" w:rsidR="00BB7E95" w:rsidRPr="00591FCC" w:rsidRDefault="00BB7E95" w:rsidP="00591FCC">
      <w:pPr>
        <w:numPr>
          <w:ilvl w:val="0"/>
          <w:numId w:val="10"/>
        </w:numPr>
        <w:spacing w:before="100" w:beforeAutospacing="1" w:after="100" w:afterAutospacing="1"/>
        <w:jc w:val="both"/>
        <w:rPr>
          <w:rFonts w:ascii="Times New Roman" w:eastAsia="Times New Roman" w:hAnsi="Times New Roman" w:cs="Times New Roman"/>
          <w:sz w:val="24"/>
          <w:szCs w:val="24"/>
          <w:lang w:val="en-US"/>
        </w:rPr>
      </w:pPr>
      <w:r w:rsidRPr="00591FCC">
        <w:rPr>
          <w:rFonts w:ascii="Times New Roman" w:eastAsia="Times New Roman" w:hAnsi="Times New Roman" w:cs="Times New Roman"/>
          <w:sz w:val="24"/>
          <w:szCs w:val="24"/>
          <w:lang w:val="en-US"/>
        </w:rPr>
        <w:t>Ndryshimi i rrethanave përfshin çdo ndryshim që sjell shtimin e informacionit të rëndësishëm për statusin e një personi ose që bie ndesh me statusin e deklaruar prej tij, si dhe çdo ndryshim ose shtim të informacionit në llogarinë e mbajtësit të llogarisë ose në një llogari të lidhur me të, kur ky ndryshim ose shtim ndikon në statusin e mbajtësit të llogarisë.</w:t>
      </w:r>
    </w:p>
    <w:p w14:paraId="2A94B8A7" w14:textId="77777777" w:rsidR="00BB7E95" w:rsidRPr="00591FCC" w:rsidRDefault="00BB7E95" w:rsidP="00591FCC">
      <w:pPr>
        <w:numPr>
          <w:ilvl w:val="0"/>
          <w:numId w:val="10"/>
        </w:numPr>
        <w:spacing w:before="100" w:beforeAutospacing="1" w:after="100" w:afterAutospacing="1"/>
        <w:jc w:val="both"/>
        <w:rPr>
          <w:rFonts w:ascii="Times New Roman" w:eastAsia="Times New Roman" w:hAnsi="Times New Roman" w:cs="Times New Roman"/>
          <w:sz w:val="24"/>
          <w:szCs w:val="24"/>
          <w:lang w:val="en-US"/>
        </w:rPr>
      </w:pPr>
      <w:r w:rsidRPr="00591FCC">
        <w:rPr>
          <w:rFonts w:ascii="Times New Roman" w:eastAsia="Times New Roman" w:hAnsi="Times New Roman" w:cs="Times New Roman"/>
          <w:sz w:val="24"/>
          <w:szCs w:val="24"/>
          <w:lang w:val="en-US"/>
        </w:rPr>
        <w:t>Kur institucioni financiar raportues është mbështetur në adresën e vendbanimit ose në evidenca shkresore për përcaktimin e rezidencës tatimore dhe një ndryshim në rrethana bën që ai të dijë ose të ketë arsye të dijë se evidencat fillestare janë të pasakta ose jo të besueshme, institucioni financiar raportues merr vetëdeklarim dhe evidenca të reja shkresore për përcaktimin e rezidencës tatimore.</w:t>
      </w:r>
    </w:p>
    <w:p w14:paraId="267CA015" w14:textId="77777777" w:rsidR="00BB7E95" w:rsidRPr="00591FCC" w:rsidRDefault="00BB7E95" w:rsidP="00591FCC">
      <w:pPr>
        <w:numPr>
          <w:ilvl w:val="0"/>
          <w:numId w:val="10"/>
        </w:numPr>
        <w:spacing w:before="100" w:beforeAutospacing="1" w:after="100" w:afterAutospacing="1"/>
        <w:jc w:val="both"/>
        <w:rPr>
          <w:rFonts w:ascii="Times New Roman" w:eastAsia="Times New Roman" w:hAnsi="Times New Roman" w:cs="Times New Roman"/>
          <w:sz w:val="24"/>
          <w:szCs w:val="24"/>
          <w:lang w:val="en-US"/>
        </w:rPr>
      </w:pPr>
      <w:r w:rsidRPr="00591FCC">
        <w:rPr>
          <w:rFonts w:ascii="Times New Roman" w:eastAsia="Times New Roman" w:hAnsi="Times New Roman" w:cs="Times New Roman"/>
          <w:sz w:val="24"/>
          <w:szCs w:val="24"/>
          <w:lang w:val="en-US"/>
        </w:rPr>
        <w:t xml:space="preserve">Nëse vetëdeklarimi dhe evidencat e reja shkresore nuk mund të merren brenda afatit të përcaktuar në aktin nënligjor, institucioni financiar raportues zbaton procedurën për </w:t>
      </w:r>
      <w:r w:rsidRPr="00591FCC">
        <w:rPr>
          <w:rFonts w:ascii="Times New Roman" w:eastAsia="Times New Roman" w:hAnsi="Times New Roman" w:cs="Times New Roman"/>
          <w:sz w:val="24"/>
          <w:szCs w:val="24"/>
          <w:lang w:val="en-US"/>
        </w:rPr>
        <w:lastRenderedPageBreak/>
        <w:t>kërkimin elektronik të informacionit dhe rregullat e tjera të përcaktuara për Llogaritë Individuale Paraekzistuese.</w:t>
      </w:r>
    </w:p>
    <w:p w14:paraId="16160F10" w14:textId="77777777" w:rsidR="00BB7E95" w:rsidRPr="00591FCC" w:rsidRDefault="00BB7E95" w:rsidP="00591FCC">
      <w:pPr>
        <w:numPr>
          <w:ilvl w:val="0"/>
          <w:numId w:val="10"/>
        </w:numPr>
        <w:spacing w:before="100" w:beforeAutospacing="1" w:after="100" w:afterAutospacing="1"/>
        <w:jc w:val="both"/>
        <w:rPr>
          <w:rFonts w:ascii="Times New Roman" w:eastAsia="Times New Roman" w:hAnsi="Times New Roman" w:cs="Times New Roman"/>
          <w:sz w:val="24"/>
          <w:szCs w:val="24"/>
          <w:lang w:val="en-US"/>
        </w:rPr>
      </w:pPr>
      <w:r w:rsidRPr="00591FCC">
        <w:rPr>
          <w:rFonts w:ascii="Times New Roman" w:eastAsia="Times New Roman" w:hAnsi="Times New Roman" w:cs="Times New Roman"/>
          <w:sz w:val="24"/>
          <w:szCs w:val="24"/>
          <w:lang w:val="en-US"/>
        </w:rPr>
        <w:t>Për qëllime të përcaktimit të balancës ose vlerës totale të llogarive financiare të mbajtura nga një individ ose një njësi ekonomike, institucioni financiar raportues mbledh llogaritë financiare të mbajtura nga ai institucion ose nga një Njësi Ekonomike e Lidhur, në masën që sistemet e tij të kompjuterizuara i lidhin llogaritë dhe mundësojnë mbledhjen e balancave ose vlerave.</w:t>
      </w:r>
    </w:p>
    <w:p w14:paraId="674C8C96" w14:textId="01BD52EA" w:rsidR="00BB7E95" w:rsidRPr="00591FCC" w:rsidRDefault="00BB7E95" w:rsidP="00591FCC">
      <w:pPr>
        <w:numPr>
          <w:ilvl w:val="0"/>
          <w:numId w:val="10"/>
        </w:numPr>
        <w:spacing w:before="100" w:beforeAutospacing="1" w:after="100" w:afterAutospacing="1"/>
        <w:jc w:val="both"/>
        <w:rPr>
          <w:rFonts w:ascii="Times New Roman" w:eastAsia="Times New Roman" w:hAnsi="Times New Roman" w:cs="Times New Roman"/>
          <w:sz w:val="24"/>
          <w:szCs w:val="24"/>
          <w:lang w:val="en-US"/>
        </w:rPr>
      </w:pPr>
      <w:r w:rsidRPr="00591FCC">
        <w:rPr>
          <w:rFonts w:ascii="Times New Roman" w:eastAsia="Times New Roman" w:hAnsi="Times New Roman" w:cs="Times New Roman"/>
          <w:sz w:val="24"/>
          <w:szCs w:val="24"/>
          <w:lang w:val="en-US"/>
        </w:rPr>
        <w:t>Për qëllime të përcaktimit nëse një llogari është Llogari me Vlerë të</w:t>
      </w:r>
      <w:r w:rsidR="00383B2F" w:rsidRPr="00591FCC">
        <w:rPr>
          <w:rFonts w:ascii="Times New Roman" w:eastAsia="Times New Roman" w:hAnsi="Times New Roman" w:cs="Times New Roman"/>
          <w:sz w:val="24"/>
          <w:szCs w:val="24"/>
          <w:lang w:val="en-US"/>
        </w:rPr>
        <w:t xml:space="preserve"> madhe</w:t>
      </w:r>
      <w:r w:rsidRPr="00591FCC">
        <w:rPr>
          <w:rFonts w:ascii="Times New Roman" w:eastAsia="Times New Roman" w:hAnsi="Times New Roman" w:cs="Times New Roman"/>
          <w:sz w:val="24"/>
          <w:szCs w:val="24"/>
          <w:lang w:val="en-US"/>
        </w:rPr>
        <w:t xml:space="preserve">, institucioni financiar raportues mbledh, sipas rastit, edhe llogaritë për të cilat një menaxher i marrëdhënies me klientin ka dijeni ose ka arsye të dijë se janë në pronësi të drejtpërdrejtë ose të tërthortë, </w:t>
      </w:r>
      <w:r w:rsidR="0061432E" w:rsidRPr="00591FCC">
        <w:rPr>
          <w:rFonts w:ascii="Times New Roman" w:eastAsia="Times New Roman" w:hAnsi="Times New Roman" w:cs="Times New Roman"/>
          <w:sz w:val="24"/>
          <w:szCs w:val="24"/>
          <w:lang w:eastAsia="sq-AL"/>
        </w:rPr>
        <w:t xml:space="preserve">të kontrolluara ose të krijuara, drejtpërdrejt ose tërthorazi, nga i njëjti person, </w:t>
      </w:r>
      <w:r w:rsidR="0061432E" w:rsidRPr="00591FCC">
        <w:rPr>
          <w:rFonts w:ascii="Times New Roman" w:eastAsia="Times New Roman" w:hAnsi="Times New Roman" w:cs="Times New Roman"/>
          <w:bCs/>
          <w:sz w:val="24"/>
          <w:szCs w:val="24"/>
          <w:lang w:eastAsia="sq-AL"/>
        </w:rPr>
        <w:t>përveç rasteve kur janë krijuar në cilësi fiduciare</w:t>
      </w:r>
      <w:r w:rsidRPr="00591FCC">
        <w:rPr>
          <w:rFonts w:ascii="Times New Roman" w:eastAsia="Times New Roman" w:hAnsi="Times New Roman" w:cs="Times New Roman"/>
          <w:sz w:val="24"/>
          <w:szCs w:val="24"/>
          <w:lang w:val="en-US"/>
        </w:rPr>
        <w:t>.</w:t>
      </w:r>
    </w:p>
    <w:p w14:paraId="7EBA4409" w14:textId="77777777" w:rsidR="00BB7E95" w:rsidRPr="00591FCC" w:rsidRDefault="00BB7E95" w:rsidP="00591FCC">
      <w:pPr>
        <w:numPr>
          <w:ilvl w:val="0"/>
          <w:numId w:val="10"/>
        </w:numPr>
        <w:spacing w:before="100" w:beforeAutospacing="1" w:after="100" w:afterAutospacing="1"/>
        <w:jc w:val="both"/>
        <w:rPr>
          <w:rFonts w:ascii="Times New Roman" w:eastAsia="Times New Roman" w:hAnsi="Times New Roman" w:cs="Times New Roman"/>
          <w:sz w:val="24"/>
          <w:szCs w:val="24"/>
          <w:lang w:val="en-US"/>
        </w:rPr>
      </w:pPr>
      <w:r w:rsidRPr="00591FCC">
        <w:rPr>
          <w:rFonts w:ascii="Times New Roman" w:eastAsia="Times New Roman" w:hAnsi="Times New Roman" w:cs="Times New Roman"/>
          <w:sz w:val="24"/>
          <w:szCs w:val="24"/>
          <w:lang w:val="en-US"/>
        </w:rPr>
        <w:t>Për qëllimet e këtij ligji, shumat e shprehura në dollarë amerikanë konsiderohen se përfshijnë ekuivalentin në monedhën vendase ose në monedha të tjera, sipas kursit të këmbimit të përcaktuar në aktin nënligjor.</w:t>
      </w:r>
    </w:p>
    <w:p w14:paraId="4AD0FC8A" w14:textId="77777777" w:rsidR="00BB7E95" w:rsidRPr="00591FCC" w:rsidRDefault="00BB7E95" w:rsidP="00591FCC">
      <w:pPr>
        <w:numPr>
          <w:ilvl w:val="0"/>
          <w:numId w:val="10"/>
        </w:numPr>
        <w:spacing w:before="100" w:beforeAutospacing="1" w:after="100" w:afterAutospacing="1"/>
        <w:jc w:val="both"/>
        <w:rPr>
          <w:rFonts w:ascii="Times New Roman" w:eastAsia="Times New Roman" w:hAnsi="Times New Roman" w:cs="Times New Roman"/>
          <w:sz w:val="24"/>
          <w:szCs w:val="24"/>
          <w:lang w:val="en-US"/>
        </w:rPr>
      </w:pPr>
      <w:r w:rsidRPr="00591FCC">
        <w:rPr>
          <w:rFonts w:ascii="Times New Roman" w:eastAsia="Times New Roman" w:hAnsi="Times New Roman" w:cs="Times New Roman"/>
          <w:sz w:val="24"/>
          <w:szCs w:val="24"/>
          <w:lang w:val="en-US"/>
        </w:rPr>
        <w:t>Një llogari me balancë ose vlerë negative konsiderohet se ka balancë ose vlerë zero për qëllimet e këtij ligji.</w:t>
      </w:r>
    </w:p>
    <w:p w14:paraId="4E7509EE" w14:textId="77777777" w:rsidR="00BB7E95" w:rsidRPr="00591FCC" w:rsidRDefault="00BB7E95" w:rsidP="00591FCC">
      <w:pPr>
        <w:numPr>
          <w:ilvl w:val="0"/>
          <w:numId w:val="10"/>
        </w:numPr>
        <w:spacing w:before="100" w:beforeAutospacing="1" w:after="100" w:afterAutospacing="1"/>
        <w:jc w:val="both"/>
        <w:rPr>
          <w:rFonts w:ascii="Times New Roman" w:eastAsia="Times New Roman" w:hAnsi="Times New Roman" w:cs="Times New Roman"/>
          <w:sz w:val="24"/>
          <w:szCs w:val="24"/>
          <w:lang w:val="en-US"/>
        </w:rPr>
      </w:pPr>
      <w:r w:rsidRPr="00591FCC">
        <w:rPr>
          <w:rFonts w:ascii="Times New Roman" w:eastAsia="Times New Roman" w:hAnsi="Times New Roman" w:cs="Times New Roman"/>
          <w:sz w:val="24"/>
          <w:szCs w:val="24"/>
          <w:lang w:val="en-US"/>
        </w:rPr>
        <w:t>Një institucion financiar raportues mund të përdorë një ofrues shërbimi për përmbushjen e detyrimeve të raportimit dhe të vigjilencës së duhur, kur kjo lejohet nga legjislacioni në fuqi, por përgjegjësia për përmbushjen e këtyre detyrimeve mbetet e institucionit financiar raportues.</w:t>
      </w:r>
    </w:p>
    <w:p w14:paraId="7B0ADA75" w14:textId="5C9C8C0B" w:rsidR="00BB7E95" w:rsidRPr="00591FCC" w:rsidRDefault="00BB7E95" w:rsidP="00591FCC">
      <w:pPr>
        <w:numPr>
          <w:ilvl w:val="0"/>
          <w:numId w:val="10"/>
        </w:numPr>
        <w:spacing w:before="100" w:beforeAutospacing="1" w:after="100" w:afterAutospacing="1"/>
        <w:jc w:val="both"/>
        <w:rPr>
          <w:rFonts w:ascii="Times New Roman" w:eastAsia="Times New Roman" w:hAnsi="Times New Roman" w:cs="Times New Roman"/>
          <w:sz w:val="24"/>
          <w:szCs w:val="24"/>
          <w:lang w:val="en-US"/>
        </w:rPr>
      </w:pPr>
      <w:r w:rsidRPr="00591FCC">
        <w:rPr>
          <w:rFonts w:ascii="Times New Roman" w:eastAsia="Times New Roman" w:hAnsi="Times New Roman" w:cs="Times New Roman"/>
          <w:sz w:val="24"/>
          <w:szCs w:val="24"/>
          <w:lang w:val="en-US"/>
        </w:rPr>
        <w:t>Rregullat e hollësishme për procedurat e ndryshimit të rrethanave, mbledhjen e llogarive, rregullat e monedhës, llogaritë me balancë negative dhe përdorimin e ofruesve të shërbimit përcaktohen me akt nënligjor në zbatim të këtij ligji.</w:t>
      </w:r>
    </w:p>
    <w:p w14:paraId="7CB5760E" w14:textId="2E6EB65E" w:rsidR="00E27BA8" w:rsidRPr="00591FCC" w:rsidRDefault="00E27BA8" w:rsidP="00591FCC">
      <w:pPr>
        <w:numPr>
          <w:ilvl w:val="0"/>
          <w:numId w:val="10"/>
        </w:numPr>
        <w:spacing w:before="100" w:beforeAutospacing="1" w:after="100" w:afterAutospacing="1"/>
        <w:jc w:val="both"/>
        <w:rPr>
          <w:rFonts w:ascii="Times New Roman" w:eastAsia="Times New Roman" w:hAnsi="Times New Roman" w:cs="Times New Roman"/>
          <w:sz w:val="24"/>
          <w:szCs w:val="24"/>
          <w:lang w:val="en-US"/>
        </w:rPr>
      </w:pPr>
      <w:r w:rsidRPr="00591FCC">
        <w:rPr>
          <w:rFonts w:ascii="Times New Roman" w:hAnsi="Times New Roman" w:cs="Times New Roman"/>
          <w:sz w:val="24"/>
          <w:szCs w:val="24"/>
        </w:rPr>
        <w:t>Në rrethana të jashtëzakonshme, kur një vetëdeklarim nuk mund të merret nga institucioni financiar raportues për një Llogari të Re në kohë për përmbushjen e detyrimeve të vigjilencës së duhur dhe raportimit për periudhën gjatë së cilës është hapur llogaria, institucioni financiar raportues zbaton përkohësisht procedurat përkatëse të vigjilencës së duhur për Llogaritë Paraekzistuese, deri në marrjen dhe validimin e vetëdeklarimit. Pavarësisht kësaj, për qëllime raportimi llogaria trajtohet si Llogari e Re.</w:t>
      </w:r>
    </w:p>
    <w:p w14:paraId="685704FE" w14:textId="212D2EC2" w:rsidR="002179B7" w:rsidRPr="00591FCC" w:rsidRDefault="002179B7" w:rsidP="00591FCC">
      <w:pPr>
        <w:numPr>
          <w:ilvl w:val="0"/>
          <w:numId w:val="10"/>
        </w:numPr>
        <w:spacing w:before="100" w:beforeAutospacing="1" w:after="100" w:afterAutospacing="1"/>
        <w:jc w:val="both"/>
        <w:rPr>
          <w:rFonts w:ascii="Times New Roman" w:eastAsia="Times New Roman" w:hAnsi="Times New Roman" w:cs="Times New Roman"/>
          <w:sz w:val="24"/>
          <w:szCs w:val="24"/>
          <w:lang w:val="en-US"/>
        </w:rPr>
      </w:pPr>
      <w:r w:rsidRPr="00591FCC">
        <w:rPr>
          <w:rFonts w:ascii="Times New Roman" w:hAnsi="Times New Roman" w:cs="Times New Roman"/>
          <w:sz w:val="24"/>
          <w:szCs w:val="24"/>
        </w:rPr>
        <w:t>Procedurat alternative të vigjilencës së duhur për kontratat e sigurimit me vlerë në para dhe kontratat e pensionit vjetor, përfshirë kontratat e sigurimit dhe të pensionit vjetor në grup, përcaktohen me aktin nënligjor të nxjerrë në zbatim të këtij ligji.</w:t>
      </w:r>
    </w:p>
    <w:p w14:paraId="32368FA9" w14:textId="77777777" w:rsidR="00570F20" w:rsidRPr="00591FCC" w:rsidRDefault="00570F20" w:rsidP="00591FCC">
      <w:pPr>
        <w:spacing w:before="100" w:beforeAutospacing="1" w:after="100" w:afterAutospacing="1"/>
        <w:jc w:val="center"/>
        <w:rPr>
          <w:rFonts w:ascii="Times New Roman" w:eastAsia="Times New Roman" w:hAnsi="Times New Roman" w:cs="Times New Roman"/>
          <w:sz w:val="24"/>
          <w:szCs w:val="24"/>
          <w:lang w:val="en-US"/>
        </w:rPr>
      </w:pPr>
      <w:r w:rsidRPr="00591FCC">
        <w:rPr>
          <w:rFonts w:ascii="Times New Roman" w:eastAsia="Times New Roman" w:hAnsi="Times New Roman" w:cs="Times New Roman"/>
          <w:b/>
          <w:bCs/>
          <w:sz w:val="24"/>
          <w:szCs w:val="24"/>
          <w:lang w:val="en-US"/>
        </w:rPr>
        <w:t>Neni 13</w:t>
      </w:r>
      <w:r w:rsidRPr="00591FCC">
        <w:rPr>
          <w:rFonts w:ascii="Times New Roman" w:eastAsia="Times New Roman" w:hAnsi="Times New Roman" w:cs="Times New Roman"/>
          <w:sz w:val="24"/>
          <w:szCs w:val="24"/>
          <w:lang w:val="en-US"/>
        </w:rPr>
        <w:br/>
      </w:r>
      <w:r w:rsidRPr="00591FCC">
        <w:rPr>
          <w:rFonts w:ascii="Times New Roman" w:eastAsia="Times New Roman" w:hAnsi="Times New Roman" w:cs="Times New Roman"/>
          <w:b/>
          <w:bCs/>
          <w:sz w:val="24"/>
          <w:szCs w:val="24"/>
          <w:lang w:val="en-US"/>
        </w:rPr>
        <w:t>Ndarja e informacionit brenda të njëjtit grup ose me ofruesit e shërbimit palë e tretë</w:t>
      </w:r>
    </w:p>
    <w:p w14:paraId="72321F98" w14:textId="77777777" w:rsidR="00570F20" w:rsidRPr="00591FCC" w:rsidRDefault="00570F20" w:rsidP="00591FCC">
      <w:pPr>
        <w:numPr>
          <w:ilvl w:val="0"/>
          <w:numId w:val="11"/>
        </w:numPr>
        <w:spacing w:before="100" w:beforeAutospacing="1" w:after="100" w:afterAutospacing="1"/>
        <w:jc w:val="both"/>
        <w:rPr>
          <w:rFonts w:ascii="Times New Roman" w:eastAsia="Times New Roman" w:hAnsi="Times New Roman" w:cs="Times New Roman"/>
          <w:sz w:val="24"/>
          <w:szCs w:val="24"/>
          <w:lang w:val="en-US"/>
        </w:rPr>
      </w:pPr>
      <w:r w:rsidRPr="00591FCC">
        <w:rPr>
          <w:rFonts w:ascii="Times New Roman" w:eastAsia="Times New Roman" w:hAnsi="Times New Roman" w:cs="Times New Roman"/>
          <w:sz w:val="24"/>
          <w:szCs w:val="24"/>
          <w:lang w:val="en-US"/>
        </w:rPr>
        <w:t>Institucionet financiare raportuese në Republikën e Shqipërisë mund të përdorin ofrues të shërbimeve, palë të treta, ose institucione të tjera financiare që janë pjesë e të njëjtit grup, për përmbushjen e detyrimeve të mbledhjes së informacionit, raportimit dhe vigjilencës së duhur, të parashikuara në këtë ligj dhe aktet nënligjore në zbatim të tij.</w:t>
      </w:r>
    </w:p>
    <w:p w14:paraId="07F30092" w14:textId="77777777" w:rsidR="00570F20" w:rsidRPr="00591FCC" w:rsidRDefault="00570F20" w:rsidP="00591FCC">
      <w:pPr>
        <w:numPr>
          <w:ilvl w:val="0"/>
          <w:numId w:val="11"/>
        </w:numPr>
        <w:spacing w:before="100" w:beforeAutospacing="1" w:after="100" w:afterAutospacing="1"/>
        <w:jc w:val="both"/>
        <w:rPr>
          <w:rFonts w:ascii="Times New Roman" w:eastAsia="Times New Roman" w:hAnsi="Times New Roman" w:cs="Times New Roman"/>
          <w:sz w:val="24"/>
          <w:szCs w:val="24"/>
          <w:lang w:val="en-US"/>
        </w:rPr>
      </w:pPr>
      <w:r w:rsidRPr="00591FCC">
        <w:rPr>
          <w:rFonts w:ascii="Times New Roman" w:eastAsia="Times New Roman" w:hAnsi="Times New Roman" w:cs="Times New Roman"/>
          <w:sz w:val="24"/>
          <w:szCs w:val="24"/>
          <w:lang w:val="en-US"/>
        </w:rPr>
        <w:t xml:space="preserve">Ofruesit e shërbimeve, palë të treta, që mbajnë dokumentacionin dhe informacionin e nevojshëm për përmbushjen e detyrimeve të mbledhjes së informacionit, të vigjilencës së </w:t>
      </w:r>
      <w:r w:rsidRPr="00591FCC">
        <w:rPr>
          <w:rFonts w:ascii="Times New Roman" w:eastAsia="Times New Roman" w:hAnsi="Times New Roman" w:cs="Times New Roman"/>
          <w:sz w:val="24"/>
          <w:szCs w:val="24"/>
          <w:lang w:val="en-US"/>
        </w:rPr>
        <w:lastRenderedPageBreak/>
        <w:t>duhur dhe të raportimit, mund t’ia vënë në dispozicion këtë informacion dhe dokumentacion institucionit financiar raportues përkatës.</w:t>
      </w:r>
    </w:p>
    <w:p w14:paraId="1069A3F4" w14:textId="77777777" w:rsidR="00570F20" w:rsidRPr="00591FCC" w:rsidRDefault="00570F20" w:rsidP="00591FCC">
      <w:pPr>
        <w:numPr>
          <w:ilvl w:val="0"/>
          <w:numId w:val="11"/>
        </w:numPr>
        <w:spacing w:before="100" w:beforeAutospacing="1" w:after="100" w:afterAutospacing="1"/>
        <w:jc w:val="both"/>
        <w:rPr>
          <w:rFonts w:ascii="Times New Roman" w:eastAsia="Times New Roman" w:hAnsi="Times New Roman" w:cs="Times New Roman"/>
          <w:sz w:val="24"/>
          <w:szCs w:val="24"/>
          <w:lang w:val="en-US"/>
        </w:rPr>
      </w:pPr>
      <w:r w:rsidRPr="00591FCC">
        <w:rPr>
          <w:rFonts w:ascii="Times New Roman" w:eastAsia="Times New Roman" w:hAnsi="Times New Roman" w:cs="Times New Roman"/>
          <w:sz w:val="24"/>
          <w:szCs w:val="24"/>
          <w:lang w:val="en-US"/>
        </w:rPr>
        <w:t>Përdorimi i ofruesve të shërbimeve, palë të treta, ose i institucioneve të tjera financiare të të njëjtit grup, nuk e çliron institucionin financiar raportues nga përgjegjësia për përmbushjen e detyrimeve të raportimit dhe të vigjilencës së duhur sipas këtij ligji dhe akteve nënligjore në zbatim të tij.</w:t>
      </w:r>
    </w:p>
    <w:p w14:paraId="3FC382FC" w14:textId="77777777" w:rsidR="00570F20" w:rsidRPr="00591FCC" w:rsidRDefault="00570F20" w:rsidP="00591FCC">
      <w:pPr>
        <w:spacing w:before="100" w:beforeAutospacing="1" w:after="100" w:afterAutospacing="1"/>
        <w:jc w:val="center"/>
        <w:rPr>
          <w:rFonts w:ascii="Times New Roman" w:eastAsia="Times New Roman" w:hAnsi="Times New Roman" w:cs="Times New Roman"/>
          <w:sz w:val="24"/>
          <w:szCs w:val="24"/>
          <w:lang w:val="en-US"/>
        </w:rPr>
      </w:pPr>
      <w:r w:rsidRPr="00591FCC">
        <w:rPr>
          <w:rFonts w:ascii="Times New Roman" w:eastAsia="Times New Roman" w:hAnsi="Times New Roman" w:cs="Times New Roman"/>
          <w:b/>
          <w:bCs/>
          <w:sz w:val="24"/>
          <w:szCs w:val="24"/>
          <w:lang w:val="en-US"/>
        </w:rPr>
        <w:t>Neni 14</w:t>
      </w:r>
      <w:r w:rsidRPr="00591FCC">
        <w:rPr>
          <w:rFonts w:ascii="Times New Roman" w:eastAsia="Times New Roman" w:hAnsi="Times New Roman" w:cs="Times New Roman"/>
          <w:sz w:val="24"/>
          <w:szCs w:val="24"/>
          <w:lang w:val="en-US"/>
        </w:rPr>
        <w:br/>
      </w:r>
      <w:r w:rsidRPr="00591FCC">
        <w:rPr>
          <w:rFonts w:ascii="Times New Roman" w:eastAsia="Times New Roman" w:hAnsi="Times New Roman" w:cs="Times New Roman"/>
          <w:b/>
          <w:bCs/>
          <w:sz w:val="24"/>
          <w:szCs w:val="24"/>
          <w:lang w:val="en-US"/>
        </w:rPr>
        <w:t>Detyrat dhe kompetencat e Autoritetit Kompetent</w:t>
      </w:r>
    </w:p>
    <w:p w14:paraId="4A84D1FE" w14:textId="77777777" w:rsidR="00570F20" w:rsidRPr="00591FCC" w:rsidRDefault="00570F20" w:rsidP="00591FCC">
      <w:pPr>
        <w:numPr>
          <w:ilvl w:val="0"/>
          <w:numId w:val="12"/>
        </w:numPr>
        <w:spacing w:before="100" w:beforeAutospacing="1" w:after="100" w:afterAutospacing="1"/>
        <w:jc w:val="both"/>
        <w:rPr>
          <w:rFonts w:ascii="Times New Roman" w:eastAsia="Times New Roman" w:hAnsi="Times New Roman" w:cs="Times New Roman"/>
          <w:sz w:val="24"/>
          <w:szCs w:val="24"/>
          <w:lang w:val="en-US"/>
        </w:rPr>
      </w:pPr>
      <w:r w:rsidRPr="00591FCC">
        <w:rPr>
          <w:rFonts w:ascii="Times New Roman" w:eastAsia="Times New Roman" w:hAnsi="Times New Roman" w:cs="Times New Roman"/>
          <w:sz w:val="24"/>
          <w:szCs w:val="24"/>
          <w:lang w:val="en-US"/>
        </w:rPr>
        <w:t>Autoriteti Kompetent, nëpërmjet strukturave të tij të varësisë, mund të kërkojë informacion nga çdo institucion financiar raportues në Republikën e Shqipërisë. Me lajmërim paraprak, ai mund të hyjë në ambientet ku ushtrohet veprimtaria ekonomike e tij, me qëllim verifikimin e përmbushjes së detyrimeve të përcaktuara në këtë ligj.</w:t>
      </w:r>
    </w:p>
    <w:p w14:paraId="6478CBF2" w14:textId="77777777" w:rsidR="00570F20" w:rsidRPr="00591FCC" w:rsidRDefault="00570F20" w:rsidP="00591FCC">
      <w:pPr>
        <w:numPr>
          <w:ilvl w:val="0"/>
          <w:numId w:val="12"/>
        </w:numPr>
        <w:spacing w:before="100" w:beforeAutospacing="1" w:after="100" w:afterAutospacing="1"/>
        <w:jc w:val="both"/>
        <w:rPr>
          <w:rFonts w:ascii="Times New Roman" w:eastAsia="Times New Roman" w:hAnsi="Times New Roman" w:cs="Times New Roman"/>
          <w:sz w:val="24"/>
          <w:szCs w:val="24"/>
          <w:lang w:val="en-US"/>
        </w:rPr>
      </w:pPr>
      <w:r w:rsidRPr="00591FCC">
        <w:rPr>
          <w:rFonts w:ascii="Times New Roman" w:eastAsia="Times New Roman" w:hAnsi="Times New Roman" w:cs="Times New Roman"/>
          <w:sz w:val="24"/>
          <w:szCs w:val="24"/>
          <w:lang w:val="en-US"/>
        </w:rPr>
        <w:t>Brenda 15 ditëve pune nga paraqitja e kërkesës me shkrim të Autoritetit Kompetent, institucioni financiar raportues i vë në dispozicion regjistrimet ose të dhënat e mbajtura sipas nenit 15 të këtij ligji, si dhe çdo dokument tjetër që kërkohet për të kryer verifikimin e përmbushjes së detyrimeve të përcaktuara në këtë ligj.</w:t>
      </w:r>
    </w:p>
    <w:p w14:paraId="656A82CE" w14:textId="0FCD3DAF" w:rsidR="00570F20" w:rsidRPr="00591FCC" w:rsidRDefault="00570F20" w:rsidP="00591FCC">
      <w:pPr>
        <w:numPr>
          <w:ilvl w:val="0"/>
          <w:numId w:val="12"/>
        </w:numPr>
        <w:spacing w:before="100" w:beforeAutospacing="1" w:after="100" w:afterAutospacing="1"/>
        <w:jc w:val="both"/>
        <w:rPr>
          <w:rFonts w:ascii="Times New Roman" w:eastAsia="Times New Roman" w:hAnsi="Times New Roman" w:cs="Times New Roman"/>
          <w:sz w:val="24"/>
          <w:szCs w:val="24"/>
          <w:lang w:val="en-US"/>
        </w:rPr>
      </w:pPr>
      <w:r w:rsidRPr="00591FCC">
        <w:rPr>
          <w:rFonts w:ascii="Times New Roman" w:eastAsia="Times New Roman" w:hAnsi="Times New Roman" w:cs="Times New Roman"/>
          <w:sz w:val="24"/>
          <w:szCs w:val="24"/>
          <w:lang w:val="en-US"/>
        </w:rPr>
        <w:t>Me kërkesë të Autoritetit Kompetent, një institucion financiar raportues në Republikën e Shqipërisë duhet të japë shpjegime shtesë. Informacioni shtesë, veç detyrimeve të tjera, përmban:</w:t>
      </w:r>
    </w:p>
    <w:p w14:paraId="0934F87B" w14:textId="0E6575F2" w:rsidR="00570F20" w:rsidRPr="00591FCC" w:rsidRDefault="00570F20" w:rsidP="00FC5543">
      <w:pPr>
        <w:spacing w:before="100" w:beforeAutospacing="1" w:after="100" w:afterAutospacing="1"/>
        <w:ind w:left="360"/>
        <w:jc w:val="both"/>
        <w:rPr>
          <w:rFonts w:ascii="Times New Roman" w:eastAsia="Times New Roman" w:hAnsi="Times New Roman" w:cs="Times New Roman"/>
          <w:sz w:val="24"/>
          <w:szCs w:val="24"/>
          <w:lang w:val="en-US"/>
        </w:rPr>
      </w:pPr>
      <w:r w:rsidRPr="00591FCC">
        <w:rPr>
          <w:rFonts w:ascii="Times New Roman" w:eastAsia="Times New Roman" w:hAnsi="Times New Roman" w:cs="Times New Roman"/>
          <w:sz w:val="24"/>
          <w:szCs w:val="24"/>
          <w:lang w:val="en-US"/>
        </w:rPr>
        <w:t>a) plotësimin, nënshkrimin dhe kthimin e pyetësorëve ose kërkesave të tjera me shkrim për informacion nga Autoriteti Kompetent brenda 15 ditëve pune nga data e marrjes së kërkesës;</w:t>
      </w:r>
      <w:r w:rsidRPr="00591FCC">
        <w:rPr>
          <w:rFonts w:ascii="Times New Roman" w:eastAsia="Times New Roman" w:hAnsi="Times New Roman" w:cs="Times New Roman"/>
          <w:sz w:val="24"/>
          <w:szCs w:val="24"/>
          <w:lang w:val="en-US"/>
        </w:rPr>
        <w:br/>
        <w:t>b) takimin me punonjësit e Autoritetit Kompetent gjatë orarit të punës, dhënien e përgjigjeve për pyetjet e adresuara, si dhe të informacionit lidhur me zbatimin e këtij ligji.</w:t>
      </w:r>
    </w:p>
    <w:p w14:paraId="502D39EF" w14:textId="77777777" w:rsidR="00570F20" w:rsidRPr="00591FCC" w:rsidRDefault="00570F20" w:rsidP="00591FCC">
      <w:pPr>
        <w:numPr>
          <w:ilvl w:val="0"/>
          <w:numId w:val="12"/>
        </w:numPr>
        <w:spacing w:before="100" w:beforeAutospacing="1" w:after="100" w:afterAutospacing="1"/>
        <w:jc w:val="both"/>
        <w:rPr>
          <w:rFonts w:ascii="Times New Roman" w:eastAsia="Times New Roman" w:hAnsi="Times New Roman" w:cs="Times New Roman"/>
          <w:sz w:val="24"/>
          <w:szCs w:val="24"/>
          <w:lang w:val="en-US"/>
        </w:rPr>
      </w:pPr>
      <w:r w:rsidRPr="00591FCC">
        <w:rPr>
          <w:rFonts w:ascii="Times New Roman" w:eastAsia="Times New Roman" w:hAnsi="Times New Roman" w:cs="Times New Roman"/>
          <w:sz w:val="24"/>
          <w:szCs w:val="24"/>
          <w:lang w:val="en-US"/>
        </w:rPr>
        <w:t>Kur Autoriteti Kompetent ka arsye të besojë se një gabim ka çuar në informacion të pasaktë ose të paplotë, ose se raportimi apo procedurat e vigjilencës së duhur nuk janë në përputhje me kërkesat e zbatueshme, ai njofton institucionin financiar raportues dhe i kërkon korrigjimin, plotësimin ose ridorëzimin e informacionit brenda një afati të përcaktuar.</w:t>
      </w:r>
    </w:p>
    <w:p w14:paraId="721468F4" w14:textId="77777777" w:rsidR="00570F20" w:rsidRPr="00591FCC" w:rsidRDefault="00570F20" w:rsidP="00591FCC">
      <w:pPr>
        <w:numPr>
          <w:ilvl w:val="0"/>
          <w:numId w:val="12"/>
        </w:numPr>
        <w:spacing w:before="100" w:beforeAutospacing="1" w:after="100" w:afterAutospacing="1"/>
        <w:jc w:val="both"/>
        <w:rPr>
          <w:rFonts w:ascii="Times New Roman" w:eastAsia="Times New Roman" w:hAnsi="Times New Roman" w:cs="Times New Roman"/>
          <w:sz w:val="24"/>
          <w:szCs w:val="24"/>
          <w:lang w:val="en-US"/>
        </w:rPr>
      </w:pPr>
      <w:r w:rsidRPr="00591FCC">
        <w:rPr>
          <w:rFonts w:ascii="Times New Roman" w:eastAsia="Times New Roman" w:hAnsi="Times New Roman" w:cs="Times New Roman"/>
          <w:sz w:val="24"/>
          <w:szCs w:val="24"/>
          <w:lang w:val="en-US"/>
        </w:rPr>
        <w:t>Autoriteti Kompetent ndjek rastet kur një institucion financiar raportues raporton llogari të padokumentuara dhe i kërkon institucionit të marrë masat korrigjuese të nevojshme për plotësimin e dokumentacionit ose rishikimin e statusit të llogarisë.</w:t>
      </w:r>
    </w:p>
    <w:p w14:paraId="140B3E65" w14:textId="1DB211B6" w:rsidR="00570F20" w:rsidRPr="00591FCC" w:rsidRDefault="00570F20" w:rsidP="00591FCC">
      <w:pPr>
        <w:numPr>
          <w:ilvl w:val="0"/>
          <w:numId w:val="12"/>
        </w:numPr>
        <w:spacing w:before="100" w:beforeAutospacing="1" w:after="100" w:afterAutospacing="1"/>
        <w:jc w:val="both"/>
        <w:rPr>
          <w:rFonts w:ascii="Times New Roman" w:eastAsia="Times New Roman" w:hAnsi="Times New Roman" w:cs="Times New Roman"/>
          <w:sz w:val="24"/>
          <w:szCs w:val="24"/>
          <w:lang w:val="en-US"/>
        </w:rPr>
      </w:pPr>
      <w:r w:rsidRPr="00591FCC">
        <w:rPr>
          <w:rFonts w:ascii="Times New Roman" w:eastAsia="Times New Roman" w:hAnsi="Times New Roman" w:cs="Times New Roman"/>
          <w:sz w:val="24"/>
          <w:szCs w:val="24"/>
          <w:lang w:val="en-US"/>
        </w:rPr>
        <w:t>Autoriteti Kompetent verifikon periodikisht që entitetet dhe llogaritë e përcaktuara si institucione financiare joraportuese ose llogari të përjashtuara vazhdojnë të paraqesin rrezik të ulët pë</w:t>
      </w:r>
      <w:r w:rsidR="005B3923" w:rsidRPr="00591FCC">
        <w:rPr>
          <w:rFonts w:ascii="Times New Roman" w:eastAsia="Times New Roman" w:hAnsi="Times New Roman" w:cs="Times New Roman"/>
          <w:sz w:val="24"/>
          <w:szCs w:val="24"/>
          <w:lang w:val="en-US"/>
        </w:rPr>
        <w:t xml:space="preserve">r t’u përdorur për </w:t>
      </w:r>
      <w:r w:rsidRPr="00591FCC">
        <w:rPr>
          <w:rFonts w:ascii="Times New Roman" w:eastAsia="Times New Roman" w:hAnsi="Times New Roman" w:cs="Times New Roman"/>
          <w:sz w:val="24"/>
          <w:szCs w:val="24"/>
          <w:lang w:val="en-US"/>
        </w:rPr>
        <w:t>evazion tatimor. Kur kushtet nuk plotësohen më, Autoriteti Kompetent merr masat për ndryshimin e klasifikimit ose të listës përkatëse.</w:t>
      </w:r>
    </w:p>
    <w:p w14:paraId="108C8401" w14:textId="77777777" w:rsidR="00F61515" w:rsidRPr="00591FCC" w:rsidRDefault="00F61515" w:rsidP="00591FCC">
      <w:pPr>
        <w:spacing w:before="100" w:beforeAutospacing="1" w:after="100" w:afterAutospacing="1"/>
        <w:jc w:val="center"/>
        <w:rPr>
          <w:rFonts w:ascii="Times New Roman" w:eastAsia="Times New Roman" w:hAnsi="Times New Roman" w:cs="Times New Roman"/>
          <w:sz w:val="24"/>
          <w:szCs w:val="24"/>
          <w:lang w:val="en-US"/>
        </w:rPr>
      </w:pPr>
      <w:r w:rsidRPr="00591FCC">
        <w:rPr>
          <w:rFonts w:ascii="Times New Roman" w:eastAsia="Times New Roman" w:hAnsi="Times New Roman" w:cs="Times New Roman"/>
          <w:b/>
          <w:bCs/>
          <w:sz w:val="24"/>
          <w:szCs w:val="24"/>
          <w:lang w:val="en-US"/>
        </w:rPr>
        <w:t>Neni 15</w:t>
      </w:r>
      <w:r w:rsidRPr="00591FCC">
        <w:rPr>
          <w:rFonts w:ascii="Times New Roman" w:eastAsia="Times New Roman" w:hAnsi="Times New Roman" w:cs="Times New Roman"/>
          <w:sz w:val="24"/>
          <w:szCs w:val="24"/>
          <w:lang w:val="en-US"/>
        </w:rPr>
        <w:br/>
      </w:r>
      <w:r w:rsidRPr="00591FCC">
        <w:rPr>
          <w:rFonts w:ascii="Times New Roman" w:eastAsia="Times New Roman" w:hAnsi="Times New Roman" w:cs="Times New Roman"/>
          <w:b/>
          <w:bCs/>
          <w:sz w:val="24"/>
          <w:szCs w:val="24"/>
          <w:lang w:val="en-US"/>
        </w:rPr>
        <w:t>Mbajtja e të dhënave dhe detyrimi për ruajtjen e tyre</w:t>
      </w:r>
    </w:p>
    <w:p w14:paraId="7CBAD0FC" w14:textId="1632784B" w:rsidR="00EE150F" w:rsidRPr="00591FCC" w:rsidRDefault="00F61515" w:rsidP="00591FCC">
      <w:pPr>
        <w:numPr>
          <w:ilvl w:val="0"/>
          <w:numId w:val="13"/>
        </w:numPr>
        <w:spacing w:before="100" w:beforeAutospacing="1" w:after="100" w:afterAutospacing="1"/>
        <w:jc w:val="both"/>
        <w:rPr>
          <w:rFonts w:ascii="Times New Roman" w:eastAsia="Times New Roman" w:hAnsi="Times New Roman" w:cs="Times New Roman"/>
          <w:sz w:val="24"/>
          <w:szCs w:val="24"/>
          <w:lang w:val="en-US"/>
        </w:rPr>
      </w:pPr>
      <w:r w:rsidRPr="00591FCC">
        <w:rPr>
          <w:rFonts w:ascii="Times New Roman" w:eastAsia="Times New Roman" w:hAnsi="Times New Roman" w:cs="Times New Roman"/>
          <w:sz w:val="24"/>
          <w:szCs w:val="24"/>
          <w:lang w:val="en-US"/>
        </w:rPr>
        <w:lastRenderedPageBreak/>
        <w:t>Institucioni financiar raportues në Republikën e Shqipërisë duhet të krijojë, të mbajë dhe të dokumentojë procedurat e vigjilencës së duhur dhe të raportimit, në zbatim të këtij ligji, si dhe të mbajë të dhënat dhe dokumentacionin e nevojshëm për përmbushjen e këtyre detyrimeve.</w:t>
      </w:r>
    </w:p>
    <w:p w14:paraId="470DFBA9" w14:textId="52EC87E6" w:rsidR="00EE150F" w:rsidRPr="00591FCC" w:rsidRDefault="00F61515" w:rsidP="00591FCC">
      <w:pPr>
        <w:numPr>
          <w:ilvl w:val="0"/>
          <w:numId w:val="13"/>
        </w:numPr>
        <w:spacing w:before="100" w:beforeAutospacing="1" w:after="100" w:afterAutospacing="1"/>
        <w:jc w:val="both"/>
        <w:rPr>
          <w:rFonts w:ascii="Times New Roman" w:eastAsia="Times New Roman" w:hAnsi="Times New Roman" w:cs="Times New Roman"/>
          <w:sz w:val="24"/>
          <w:szCs w:val="24"/>
          <w:lang w:val="en-US"/>
        </w:rPr>
      </w:pPr>
      <w:r w:rsidRPr="00591FCC">
        <w:rPr>
          <w:rFonts w:ascii="Times New Roman" w:eastAsia="Times New Roman" w:hAnsi="Times New Roman" w:cs="Times New Roman"/>
          <w:sz w:val="24"/>
          <w:szCs w:val="24"/>
          <w:lang w:val="en-US"/>
        </w:rPr>
        <w:t>Institucioni financiar raportues</w:t>
      </w:r>
      <w:r w:rsidR="00FC5543">
        <w:rPr>
          <w:rFonts w:ascii="Times New Roman" w:eastAsia="Times New Roman" w:hAnsi="Times New Roman" w:cs="Times New Roman"/>
          <w:sz w:val="24"/>
          <w:szCs w:val="24"/>
          <w:lang w:val="en-US"/>
        </w:rPr>
        <w:t>:</w:t>
      </w:r>
    </w:p>
    <w:p w14:paraId="12A11711" w14:textId="44A0901E" w:rsidR="00F61515" w:rsidRPr="00591FCC" w:rsidRDefault="00F61515" w:rsidP="00C30EE6">
      <w:pPr>
        <w:spacing w:before="100" w:beforeAutospacing="1" w:after="100" w:afterAutospacing="1"/>
        <w:ind w:left="360"/>
        <w:jc w:val="both"/>
        <w:rPr>
          <w:rFonts w:ascii="Times New Roman" w:eastAsia="Times New Roman" w:hAnsi="Times New Roman" w:cs="Times New Roman"/>
          <w:sz w:val="24"/>
          <w:szCs w:val="24"/>
          <w:lang w:val="en-US"/>
        </w:rPr>
      </w:pPr>
      <w:r w:rsidRPr="00591FCC">
        <w:rPr>
          <w:rFonts w:ascii="Times New Roman" w:eastAsia="Times New Roman" w:hAnsi="Times New Roman" w:cs="Times New Roman"/>
          <w:sz w:val="24"/>
          <w:szCs w:val="24"/>
          <w:lang w:val="en-US"/>
        </w:rPr>
        <w:t>a) mban regjistrimet për hapat e ndërmarrë dhe çdo provë ku është mbështetur për përmbushjen e detyrimeve të raportimit dhe të vigjilencës së duhur, përfshirë vetëdeklarimet, provat dokumentare dhe dokumentacionin për identifikimin e llogarive të raportueshme. Regjistrimet mund të mbahen në formë elektronike ose në letër;</w:t>
      </w:r>
    </w:p>
    <w:p w14:paraId="48FEB4BA" w14:textId="62AE633F" w:rsidR="00F61515" w:rsidRPr="00591FCC" w:rsidRDefault="00F61515" w:rsidP="00C30EE6">
      <w:pPr>
        <w:spacing w:before="100" w:beforeAutospacing="1" w:after="100" w:afterAutospacing="1"/>
        <w:ind w:left="360"/>
        <w:jc w:val="both"/>
        <w:rPr>
          <w:rFonts w:ascii="Times New Roman" w:eastAsia="Times New Roman" w:hAnsi="Times New Roman" w:cs="Times New Roman"/>
          <w:sz w:val="24"/>
          <w:szCs w:val="24"/>
          <w:lang w:val="en-US"/>
        </w:rPr>
      </w:pPr>
      <w:r w:rsidRPr="00591FCC">
        <w:rPr>
          <w:rFonts w:ascii="Times New Roman" w:eastAsia="Times New Roman" w:hAnsi="Times New Roman" w:cs="Times New Roman"/>
          <w:sz w:val="24"/>
          <w:szCs w:val="24"/>
          <w:lang w:val="en-US"/>
        </w:rPr>
        <w:t xml:space="preserve">b) </w:t>
      </w:r>
      <w:r w:rsidR="00EE150F" w:rsidRPr="00591FCC">
        <w:rPr>
          <w:rFonts w:ascii="Times New Roman" w:hAnsi="Times New Roman" w:cs="Times New Roman"/>
          <w:sz w:val="24"/>
          <w:szCs w:val="24"/>
        </w:rPr>
        <w:t xml:space="preserve"> i ruan këto regjistrime jo më gjatë se sa është e nevojshme për qëllimet për të cilat janë mbledhur, por në çdo rast jo më pak se pesë vjet pas përfundimit të periudhës brenda së cilës duhet të raportohet informacioni. Pas përfundimit të periudhës së ruajtjes që është e zbatueshme sipas kësaj shkronje, regjistrimet asgjësohen, përveçse kur ruajtja e mëtejshme kërkohet nga një dispozitë tjetër ligjore ose është e nevojshme për një procedurë kontrolli, administrative ose gjyqësore në proces;</w:t>
      </w:r>
    </w:p>
    <w:p w14:paraId="6E681D55" w14:textId="77777777" w:rsidR="00F61515" w:rsidRPr="00591FCC" w:rsidRDefault="00F61515" w:rsidP="00C30EE6">
      <w:pPr>
        <w:spacing w:before="100" w:beforeAutospacing="1" w:after="100" w:afterAutospacing="1"/>
        <w:ind w:left="360"/>
        <w:jc w:val="both"/>
        <w:rPr>
          <w:rFonts w:ascii="Times New Roman" w:eastAsia="Times New Roman" w:hAnsi="Times New Roman" w:cs="Times New Roman"/>
          <w:sz w:val="24"/>
          <w:szCs w:val="24"/>
          <w:lang w:val="en-US"/>
        </w:rPr>
      </w:pPr>
      <w:r w:rsidRPr="00591FCC">
        <w:rPr>
          <w:rFonts w:ascii="Times New Roman" w:eastAsia="Times New Roman" w:hAnsi="Times New Roman" w:cs="Times New Roman"/>
          <w:sz w:val="24"/>
          <w:szCs w:val="24"/>
          <w:lang w:val="en-US"/>
        </w:rPr>
        <w:t>c) merr masat e nevojshme teknike dhe organizative për të garantuar sigurinë e të dhënave personale, që përpunohen në kuadër të këtij ligji.</w:t>
      </w:r>
    </w:p>
    <w:p w14:paraId="36C4ED0D" w14:textId="77777777" w:rsidR="00702F3C" w:rsidRPr="00591FCC" w:rsidRDefault="00F61515" w:rsidP="00591FCC">
      <w:pPr>
        <w:numPr>
          <w:ilvl w:val="0"/>
          <w:numId w:val="13"/>
        </w:numPr>
        <w:spacing w:before="100" w:beforeAutospacing="1" w:after="100" w:afterAutospacing="1"/>
        <w:jc w:val="both"/>
        <w:rPr>
          <w:rFonts w:ascii="Times New Roman" w:eastAsia="Times New Roman" w:hAnsi="Times New Roman" w:cs="Times New Roman"/>
          <w:sz w:val="24"/>
          <w:szCs w:val="24"/>
          <w:lang w:val="en-US"/>
        </w:rPr>
      </w:pPr>
      <w:r w:rsidRPr="00591FCC">
        <w:rPr>
          <w:rFonts w:ascii="Times New Roman" w:eastAsia="Times New Roman" w:hAnsi="Times New Roman" w:cs="Times New Roman"/>
          <w:sz w:val="24"/>
          <w:szCs w:val="24"/>
          <w:lang w:val="en-US"/>
        </w:rPr>
        <w:t xml:space="preserve">Nëse këto regjistrime mbahen në një gjuhë tjetër, përveç asaj shqipe, në bazë të kërkesës së Autoritetit Kompetent, institucioni financiar raportues në Republikën e Shqipërisë duhet të sigurojë përkthim të tyre në gjuhën shqipe. </w:t>
      </w:r>
    </w:p>
    <w:p w14:paraId="2B3A36F3" w14:textId="4917F2A8" w:rsidR="00F61515" w:rsidRPr="00591FCC" w:rsidRDefault="00F61515" w:rsidP="00591FCC">
      <w:pPr>
        <w:numPr>
          <w:ilvl w:val="0"/>
          <w:numId w:val="13"/>
        </w:numPr>
        <w:spacing w:before="100" w:beforeAutospacing="1" w:after="100" w:afterAutospacing="1"/>
        <w:jc w:val="both"/>
        <w:rPr>
          <w:rFonts w:ascii="Times New Roman" w:eastAsia="Times New Roman" w:hAnsi="Times New Roman" w:cs="Times New Roman"/>
          <w:sz w:val="24"/>
          <w:szCs w:val="24"/>
          <w:lang w:val="en-US"/>
        </w:rPr>
      </w:pPr>
      <w:r w:rsidRPr="00591FCC">
        <w:rPr>
          <w:rFonts w:ascii="Times New Roman" w:eastAsia="Times New Roman" w:hAnsi="Times New Roman" w:cs="Times New Roman"/>
          <w:sz w:val="24"/>
          <w:szCs w:val="24"/>
          <w:lang w:val="en-US"/>
        </w:rPr>
        <w:t>Këto detyrime zbatohen gjithashtu për qëllime të kontrolleve të cilësisë së të dhënave, mekanizmave të kthimit të informacionit për korrigjimin e mangësive dhe marrjes së masave korrigjuese.</w:t>
      </w:r>
    </w:p>
    <w:p w14:paraId="735ABF7F" w14:textId="77777777" w:rsidR="00F61515" w:rsidRPr="00591FCC" w:rsidRDefault="00F61515" w:rsidP="00591FCC">
      <w:pPr>
        <w:spacing w:before="100" w:beforeAutospacing="1" w:after="100" w:afterAutospacing="1"/>
        <w:jc w:val="center"/>
        <w:rPr>
          <w:rFonts w:ascii="Times New Roman" w:eastAsia="Times New Roman" w:hAnsi="Times New Roman" w:cs="Times New Roman"/>
          <w:sz w:val="24"/>
          <w:szCs w:val="24"/>
          <w:lang w:val="en-US"/>
        </w:rPr>
      </w:pPr>
      <w:r w:rsidRPr="00591FCC">
        <w:rPr>
          <w:rFonts w:ascii="Times New Roman" w:eastAsia="Times New Roman" w:hAnsi="Times New Roman" w:cs="Times New Roman"/>
          <w:b/>
          <w:bCs/>
          <w:sz w:val="24"/>
          <w:szCs w:val="24"/>
          <w:lang w:val="en-US"/>
        </w:rPr>
        <w:t>Neni 16</w:t>
      </w:r>
      <w:r w:rsidRPr="00591FCC">
        <w:rPr>
          <w:rFonts w:ascii="Times New Roman" w:eastAsia="Times New Roman" w:hAnsi="Times New Roman" w:cs="Times New Roman"/>
          <w:sz w:val="24"/>
          <w:szCs w:val="24"/>
          <w:lang w:val="en-US"/>
        </w:rPr>
        <w:br/>
      </w:r>
      <w:r w:rsidRPr="00591FCC">
        <w:rPr>
          <w:rFonts w:ascii="Times New Roman" w:eastAsia="Times New Roman" w:hAnsi="Times New Roman" w:cs="Times New Roman"/>
          <w:b/>
          <w:bCs/>
          <w:sz w:val="24"/>
          <w:szCs w:val="24"/>
          <w:lang w:val="en-US"/>
        </w:rPr>
        <w:t>Shkëmbimi i informacionit mbi llogaritë e raportueshme</w:t>
      </w:r>
    </w:p>
    <w:p w14:paraId="7B716651" w14:textId="77777777" w:rsidR="00F61515" w:rsidRPr="00591FCC" w:rsidRDefault="00F61515" w:rsidP="00591FCC">
      <w:pPr>
        <w:numPr>
          <w:ilvl w:val="0"/>
          <w:numId w:val="14"/>
        </w:numPr>
        <w:spacing w:before="100" w:beforeAutospacing="1" w:after="100" w:afterAutospacing="1"/>
        <w:rPr>
          <w:rFonts w:ascii="Times New Roman" w:eastAsia="Times New Roman" w:hAnsi="Times New Roman" w:cs="Times New Roman"/>
          <w:sz w:val="24"/>
          <w:szCs w:val="24"/>
          <w:lang w:val="en-US"/>
        </w:rPr>
      </w:pPr>
      <w:r w:rsidRPr="00591FCC">
        <w:rPr>
          <w:rFonts w:ascii="Times New Roman" w:eastAsia="Times New Roman" w:hAnsi="Times New Roman" w:cs="Times New Roman"/>
          <w:sz w:val="24"/>
          <w:szCs w:val="24"/>
          <w:lang w:val="en-US"/>
        </w:rPr>
        <w:t>Autoriteti Kompetent shkëmben automatikisht:</w:t>
      </w:r>
    </w:p>
    <w:p w14:paraId="486F22F1" w14:textId="77777777" w:rsidR="00F61515" w:rsidRPr="00591FCC" w:rsidRDefault="00F61515" w:rsidP="00C30EE6">
      <w:pPr>
        <w:spacing w:before="100" w:beforeAutospacing="1" w:after="100" w:afterAutospacing="1"/>
        <w:ind w:left="360"/>
        <w:jc w:val="both"/>
        <w:rPr>
          <w:rFonts w:ascii="Times New Roman" w:eastAsia="Times New Roman" w:hAnsi="Times New Roman" w:cs="Times New Roman"/>
          <w:sz w:val="24"/>
          <w:szCs w:val="24"/>
          <w:lang w:val="en-US"/>
        </w:rPr>
      </w:pPr>
      <w:r w:rsidRPr="00591FCC">
        <w:rPr>
          <w:rFonts w:ascii="Times New Roman" w:eastAsia="Times New Roman" w:hAnsi="Times New Roman" w:cs="Times New Roman"/>
          <w:sz w:val="24"/>
          <w:szCs w:val="24"/>
          <w:lang w:val="en-US"/>
        </w:rPr>
        <w:t>a) me autoritetet kompetente të shteteve anëtare të Bashkimit Evropian, informacionin e përcaktuar në nenin 6 të këtij ligji, brenda nëntë muajve pas përfundimit të vitit kalendarik ose periudhës tjetër përkatëse të raportimit dhe, për një vit kalendarik, jo më vonë se data 30 shtator e vitit pasardhës, nëpërmjet rrjetit CCN dhe duke përdorur formatin standard të kompjuterizuar të përcaktuar në aktet përkatëse të Bashkimit Evropian;</w:t>
      </w:r>
    </w:p>
    <w:p w14:paraId="6A9C5895" w14:textId="77777777" w:rsidR="00F61515" w:rsidRPr="00591FCC" w:rsidRDefault="00F61515" w:rsidP="00C30EE6">
      <w:pPr>
        <w:spacing w:before="100" w:beforeAutospacing="1" w:after="100" w:afterAutospacing="1"/>
        <w:ind w:left="360"/>
        <w:jc w:val="both"/>
        <w:rPr>
          <w:rFonts w:ascii="Times New Roman" w:eastAsia="Times New Roman" w:hAnsi="Times New Roman" w:cs="Times New Roman"/>
          <w:sz w:val="24"/>
          <w:szCs w:val="24"/>
          <w:lang w:val="en-US"/>
        </w:rPr>
      </w:pPr>
      <w:r w:rsidRPr="00591FCC">
        <w:rPr>
          <w:rFonts w:ascii="Times New Roman" w:eastAsia="Times New Roman" w:hAnsi="Times New Roman" w:cs="Times New Roman"/>
          <w:sz w:val="24"/>
          <w:szCs w:val="24"/>
          <w:lang w:val="en-US"/>
        </w:rPr>
        <w:t>b) me autoritetet kompetente të juridiksioneve të tjera, informacionin e raportueshëm sipas këtij ligji, në përputhje me afatet, kanalin, formatin dhe kushtet e përcaktuara në marrëveshjet ndërkombëtare përkatëse dhe në Standardin e Përbashkët të Raportimit.</w:t>
      </w:r>
    </w:p>
    <w:p w14:paraId="0AFF2E97" w14:textId="77777777" w:rsidR="00F61515" w:rsidRPr="00591FCC" w:rsidRDefault="00F61515" w:rsidP="00591FCC">
      <w:pPr>
        <w:numPr>
          <w:ilvl w:val="0"/>
          <w:numId w:val="14"/>
        </w:numPr>
        <w:spacing w:before="100" w:beforeAutospacing="1" w:after="100" w:afterAutospacing="1"/>
        <w:jc w:val="both"/>
        <w:rPr>
          <w:rFonts w:ascii="Times New Roman" w:eastAsia="Times New Roman" w:hAnsi="Times New Roman" w:cs="Times New Roman"/>
          <w:sz w:val="24"/>
          <w:szCs w:val="24"/>
          <w:lang w:val="en-US"/>
        </w:rPr>
      </w:pPr>
      <w:r w:rsidRPr="00591FCC">
        <w:rPr>
          <w:rFonts w:ascii="Times New Roman" w:eastAsia="Times New Roman" w:hAnsi="Times New Roman" w:cs="Times New Roman"/>
          <w:sz w:val="24"/>
          <w:szCs w:val="24"/>
          <w:lang w:val="en-US"/>
        </w:rPr>
        <w:t xml:space="preserve">Kur një institucion financiar raportues është subjekt i detyrimeve të raportimit sipas Direktivës 2011/16/BE dhe sipas Standardit të Përbashkët të Raportimit, ai mund t’i </w:t>
      </w:r>
      <w:r w:rsidRPr="00591FCC">
        <w:rPr>
          <w:rFonts w:ascii="Times New Roman" w:eastAsia="Times New Roman" w:hAnsi="Times New Roman" w:cs="Times New Roman"/>
          <w:sz w:val="24"/>
          <w:szCs w:val="24"/>
          <w:lang w:val="en-US"/>
        </w:rPr>
        <w:lastRenderedPageBreak/>
        <w:t>përmbushë këto detyrime nëpërmjet një dorëzimi të vetëm pranë Autoritetit Kompetent, me kusht që informacioni i dorëzuar të përmbajë të gjitha elementet e kërkuara sipas të dy regjimeve. Ky rregull nuk kufizon detyrimin e Autoritetit Kompetent për ta përpunuar dhe shkëmbyer informacionin nëpërmjet çdo kanali të zbatueshëm dhe me çdo autoritet kompetent që ka të drejtë ta marrë atë sipas instrumentit juridik përkatës.</w:t>
      </w:r>
    </w:p>
    <w:p w14:paraId="782197F8" w14:textId="6E96C364" w:rsidR="000A71CD" w:rsidRPr="00591FCC" w:rsidRDefault="00834F1C" w:rsidP="00591FCC">
      <w:pPr>
        <w:spacing w:after="0"/>
        <w:jc w:val="center"/>
        <w:rPr>
          <w:rFonts w:ascii="Times New Roman" w:hAnsi="Times New Roman" w:cs="Times New Roman"/>
          <w:sz w:val="24"/>
          <w:szCs w:val="24"/>
        </w:rPr>
      </w:pPr>
      <w:r w:rsidRPr="00591FCC">
        <w:rPr>
          <w:rFonts w:ascii="Times New Roman" w:hAnsi="Times New Roman" w:cs="Times New Roman"/>
          <w:sz w:val="24"/>
          <w:szCs w:val="24"/>
        </w:rPr>
        <w:t xml:space="preserve">KREU </w:t>
      </w:r>
      <w:r w:rsidR="00C51EFF" w:rsidRPr="00591FCC">
        <w:rPr>
          <w:rFonts w:ascii="Times New Roman" w:hAnsi="Times New Roman" w:cs="Times New Roman"/>
          <w:sz w:val="24"/>
          <w:szCs w:val="24"/>
        </w:rPr>
        <w:t>III</w:t>
      </w:r>
    </w:p>
    <w:p w14:paraId="782197FA" w14:textId="465FADBC" w:rsidR="001F395F" w:rsidRPr="00591FCC" w:rsidRDefault="00FC0371" w:rsidP="00591FCC">
      <w:pPr>
        <w:spacing w:after="0"/>
        <w:jc w:val="center"/>
        <w:rPr>
          <w:rFonts w:ascii="Times New Roman" w:hAnsi="Times New Roman" w:cs="Times New Roman"/>
          <w:sz w:val="24"/>
          <w:szCs w:val="24"/>
        </w:rPr>
      </w:pPr>
      <w:r w:rsidRPr="00591FCC">
        <w:rPr>
          <w:rFonts w:ascii="Times New Roman" w:hAnsi="Times New Roman" w:cs="Times New Roman"/>
          <w:sz w:val="24"/>
          <w:szCs w:val="24"/>
        </w:rPr>
        <w:t xml:space="preserve">SANKSIONET DHE </w:t>
      </w:r>
      <w:r w:rsidR="00943756" w:rsidRPr="00591FCC">
        <w:rPr>
          <w:rFonts w:ascii="Times New Roman" w:hAnsi="Times New Roman" w:cs="Times New Roman"/>
          <w:sz w:val="24"/>
          <w:szCs w:val="24"/>
        </w:rPr>
        <w:t>ANKIMI</w:t>
      </w:r>
      <w:r w:rsidR="008800FC" w:rsidRPr="00591FCC">
        <w:rPr>
          <w:rFonts w:ascii="Times New Roman" w:hAnsi="Times New Roman" w:cs="Times New Roman"/>
          <w:sz w:val="24"/>
          <w:szCs w:val="24"/>
        </w:rPr>
        <w:t xml:space="preserve"> </w:t>
      </w:r>
    </w:p>
    <w:p w14:paraId="677D4BE9" w14:textId="77777777" w:rsidR="00BF38FD" w:rsidRPr="00591FCC" w:rsidRDefault="00BF38FD" w:rsidP="00591FCC">
      <w:pPr>
        <w:spacing w:before="100" w:beforeAutospacing="1" w:after="100" w:afterAutospacing="1"/>
        <w:jc w:val="center"/>
        <w:rPr>
          <w:rFonts w:ascii="Times New Roman" w:eastAsia="Times New Roman" w:hAnsi="Times New Roman" w:cs="Times New Roman"/>
          <w:sz w:val="24"/>
          <w:szCs w:val="24"/>
          <w:lang w:val="en-US"/>
        </w:rPr>
      </w:pPr>
      <w:r w:rsidRPr="00591FCC">
        <w:rPr>
          <w:rFonts w:ascii="Times New Roman" w:eastAsia="Times New Roman" w:hAnsi="Times New Roman" w:cs="Times New Roman"/>
          <w:b/>
          <w:bCs/>
          <w:sz w:val="24"/>
          <w:szCs w:val="24"/>
          <w:lang w:val="en-US"/>
        </w:rPr>
        <w:t>Neni 17</w:t>
      </w:r>
      <w:r w:rsidRPr="00591FCC">
        <w:rPr>
          <w:rFonts w:ascii="Times New Roman" w:eastAsia="Times New Roman" w:hAnsi="Times New Roman" w:cs="Times New Roman"/>
          <w:sz w:val="24"/>
          <w:szCs w:val="24"/>
          <w:lang w:val="en-US"/>
        </w:rPr>
        <w:br/>
      </w:r>
      <w:r w:rsidRPr="00591FCC">
        <w:rPr>
          <w:rFonts w:ascii="Times New Roman" w:eastAsia="Times New Roman" w:hAnsi="Times New Roman" w:cs="Times New Roman"/>
          <w:b/>
          <w:bCs/>
          <w:sz w:val="24"/>
          <w:szCs w:val="24"/>
          <w:lang w:val="en-US"/>
        </w:rPr>
        <w:t>Kundërvajtjet administrative dhe sanksionet</w:t>
      </w:r>
    </w:p>
    <w:p w14:paraId="4CD61637" w14:textId="77777777" w:rsidR="00BF38FD" w:rsidRPr="00591FCC" w:rsidRDefault="00BF38FD" w:rsidP="00591FCC">
      <w:pPr>
        <w:numPr>
          <w:ilvl w:val="0"/>
          <w:numId w:val="15"/>
        </w:numPr>
        <w:spacing w:before="100" w:beforeAutospacing="1" w:after="100" w:afterAutospacing="1"/>
        <w:jc w:val="both"/>
        <w:rPr>
          <w:rFonts w:ascii="Times New Roman" w:eastAsia="Times New Roman" w:hAnsi="Times New Roman" w:cs="Times New Roman"/>
          <w:sz w:val="24"/>
          <w:szCs w:val="24"/>
          <w:lang w:val="en-US"/>
        </w:rPr>
      </w:pPr>
      <w:r w:rsidRPr="00591FCC">
        <w:rPr>
          <w:rFonts w:ascii="Times New Roman" w:eastAsia="Times New Roman" w:hAnsi="Times New Roman" w:cs="Times New Roman"/>
          <w:sz w:val="24"/>
          <w:szCs w:val="24"/>
          <w:lang w:val="en-US"/>
        </w:rPr>
        <w:t>Mospërmbushja e detyrimeve të parashikuara në këtë ligj, për të cilat nuk është përcaktuar një masë administrative e posaçme, përbën kundërvajtje administrative dhe dënohet me gjobë nga 100 000 (njëqind mijë) deri në 1 000 000 (një milion) lekë.</w:t>
      </w:r>
    </w:p>
    <w:p w14:paraId="4C1F1D63" w14:textId="77777777" w:rsidR="00BF38FD" w:rsidRPr="00591FCC" w:rsidRDefault="00BF38FD" w:rsidP="00591FCC">
      <w:pPr>
        <w:numPr>
          <w:ilvl w:val="0"/>
          <w:numId w:val="15"/>
        </w:numPr>
        <w:spacing w:before="100" w:beforeAutospacing="1" w:after="100" w:afterAutospacing="1"/>
        <w:jc w:val="both"/>
        <w:rPr>
          <w:rFonts w:ascii="Times New Roman" w:eastAsia="Times New Roman" w:hAnsi="Times New Roman" w:cs="Times New Roman"/>
          <w:sz w:val="24"/>
          <w:szCs w:val="24"/>
          <w:lang w:val="en-US"/>
        </w:rPr>
      </w:pPr>
      <w:r w:rsidRPr="00591FCC">
        <w:rPr>
          <w:rFonts w:ascii="Times New Roman" w:eastAsia="Times New Roman" w:hAnsi="Times New Roman" w:cs="Times New Roman"/>
          <w:sz w:val="24"/>
          <w:szCs w:val="24"/>
          <w:lang w:val="en-US"/>
        </w:rPr>
        <w:t>Përbëjnë në veçanti kundërvajtje administrative shkeljet e mëposhtme, kur kryhen nga institucioni financiar raportues ose nga personi tjetër që ka detyrimin përkatës sipas këtij ligji, dhe dënohen me gjobë:</w:t>
      </w:r>
    </w:p>
    <w:p w14:paraId="60B73DE6" w14:textId="77777777" w:rsidR="00BF38FD" w:rsidRPr="00591FCC" w:rsidRDefault="00BF38FD" w:rsidP="00C30EE6">
      <w:pPr>
        <w:spacing w:before="100" w:beforeAutospacing="1" w:after="100" w:afterAutospacing="1"/>
        <w:ind w:left="360"/>
        <w:jc w:val="both"/>
        <w:rPr>
          <w:rFonts w:ascii="Times New Roman" w:eastAsia="Times New Roman" w:hAnsi="Times New Roman" w:cs="Times New Roman"/>
          <w:sz w:val="24"/>
          <w:szCs w:val="24"/>
          <w:lang w:val="en-US"/>
        </w:rPr>
      </w:pPr>
      <w:r w:rsidRPr="00591FCC">
        <w:rPr>
          <w:rFonts w:ascii="Times New Roman" w:eastAsia="Times New Roman" w:hAnsi="Times New Roman" w:cs="Times New Roman"/>
          <w:sz w:val="24"/>
          <w:szCs w:val="24"/>
          <w:lang w:val="en-US"/>
        </w:rPr>
        <w:t>a) mosdorëzimi i informacionit të detyrueshëm për t’u raportuar brenda afatit të përcaktuar në këtë ligj, dënohet me gjobë nga 300 000 (treqind mijë) deri në 700 000 (shtatëqind mijë) lekë;</w:t>
      </w:r>
    </w:p>
    <w:p w14:paraId="70CE7FB6" w14:textId="77777777" w:rsidR="00BF38FD" w:rsidRPr="00591FCC" w:rsidRDefault="00BF38FD" w:rsidP="00C30EE6">
      <w:pPr>
        <w:spacing w:before="100" w:beforeAutospacing="1" w:after="100" w:afterAutospacing="1"/>
        <w:ind w:left="360"/>
        <w:jc w:val="both"/>
        <w:rPr>
          <w:rFonts w:ascii="Times New Roman" w:eastAsia="Times New Roman" w:hAnsi="Times New Roman" w:cs="Times New Roman"/>
          <w:sz w:val="24"/>
          <w:szCs w:val="24"/>
          <w:lang w:val="en-US"/>
        </w:rPr>
      </w:pPr>
      <w:r w:rsidRPr="00591FCC">
        <w:rPr>
          <w:rFonts w:ascii="Times New Roman" w:eastAsia="Times New Roman" w:hAnsi="Times New Roman" w:cs="Times New Roman"/>
          <w:sz w:val="24"/>
          <w:szCs w:val="24"/>
          <w:lang w:val="en-US"/>
        </w:rPr>
        <w:t>b) dorëzimi i informacionit të paplotë, të pasaktë ose të pavërtetë, si dhe moskorrigjimi ose mosplotësimi i tij brenda afatit të përcaktuar nga Autoriteti Kompetent, dënohet me gjobë nga 200 000 (dyqind mijë) deri në 600 000 (gjashtëqind mijë) lekë;</w:t>
      </w:r>
    </w:p>
    <w:p w14:paraId="3D065D2E" w14:textId="77777777" w:rsidR="00BF38FD" w:rsidRPr="00591FCC" w:rsidRDefault="00BF38FD" w:rsidP="00C30EE6">
      <w:pPr>
        <w:tabs>
          <w:tab w:val="left" w:pos="900"/>
        </w:tabs>
        <w:spacing w:before="100" w:beforeAutospacing="1" w:after="100" w:afterAutospacing="1"/>
        <w:ind w:left="360"/>
        <w:jc w:val="both"/>
        <w:rPr>
          <w:rFonts w:ascii="Times New Roman" w:eastAsia="Times New Roman" w:hAnsi="Times New Roman" w:cs="Times New Roman"/>
          <w:sz w:val="24"/>
          <w:szCs w:val="24"/>
          <w:lang w:val="en-US"/>
        </w:rPr>
      </w:pPr>
      <w:r w:rsidRPr="00591FCC">
        <w:rPr>
          <w:rFonts w:ascii="Times New Roman" w:eastAsia="Times New Roman" w:hAnsi="Times New Roman" w:cs="Times New Roman"/>
          <w:sz w:val="24"/>
          <w:szCs w:val="24"/>
          <w:lang w:val="en-US"/>
        </w:rPr>
        <w:t>c) mospërmbushja, në tërësi ose pjesërisht, e detyrimeve për zbatimin e procedurave të vigjilencës së duhur të përcaktuara në këtë ligj, përfshirë mosmarrjen e masave të arsyeshme për identifikimin dhe dokumentimin e llogarive të raportueshme, dënohet me gjobë nga 150 000 (njëqind e pesëdhjetë mijë) deri në 750 000 (shtatëqind e pesëdhjetë mijë) lekë;</w:t>
      </w:r>
    </w:p>
    <w:p w14:paraId="3831957D" w14:textId="77777777" w:rsidR="00BF38FD" w:rsidRPr="00591FCC" w:rsidRDefault="00BF38FD" w:rsidP="00C30EE6">
      <w:pPr>
        <w:spacing w:before="100" w:beforeAutospacing="1" w:after="100" w:afterAutospacing="1"/>
        <w:ind w:left="360"/>
        <w:jc w:val="both"/>
        <w:rPr>
          <w:rFonts w:ascii="Times New Roman" w:eastAsia="Times New Roman" w:hAnsi="Times New Roman" w:cs="Times New Roman"/>
          <w:sz w:val="24"/>
          <w:szCs w:val="24"/>
          <w:lang w:val="en-US"/>
        </w:rPr>
      </w:pPr>
      <w:r w:rsidRPr="00591FCC">
        <w:rPr>
          <w:rFonts w:ascii="Times New Roman" w:eastAsia="Times New Roman" w:hAnsi="Times New Roman" w:cs="Times New Roman"/>
          <w:sz w:val="24"/>
          <w:szCs w:val="24"/>
          <w:lang w:val="en-US"/>
        </w:rPr>
        <w:t>ç) mospërmbushja e detyrimit për mbajtjen dhe ruajtjen e regjistrimeve, dokumentacionit dhe provave të kërkuara sipas këtij ligji, dënohet me gjobë nga 50 000 (pesëdhjetë mijë) deri në 300 000 (treqind mijë) lekë;</w:t>
      </w:r>
    </w:p>
    <w:p w14:paraId="6140A5D7" w14:textId="77777777" w:rsidR="00BF38FD" w:rsidRPr="00591FCC" w:rsidRDefault="00BF38FD" w:rsidP="00C30EE6">
      <w:pPr>
        <w:spacing w:before="100" w:beforeAutospacing="1" w:after="100" w:afterAutospacing="1"/>
        <w:ind w:left="360"/>
        <w:jc w:val="both"/>
        <w:rPr>
          <w:rFonts w:ascii="Times New Roman" w:eastAsia="Times New Roman" w:hAnsi="Times New Roman" w:cs="Times New Roman"/>
          <w:sz w:val="24"/>
          <w:szCs w:val="24"/>
          <w:lang w:val="en-US"/>
        </w:rPr>
      </w:pPr>
      <w:r w:rsidRPr="00591FCC">
        <w:rPr>
          <w:rFonts w:ascii="Times New Roman" w:eastAsia="Times New Roman" w:hAnsi="Times New Roman" w:cs="Times New Roman"/>
          <w:sz w:val="24"/>
          <w:szCs w:val="24"/>
          <w:lang w:val="en-US"/>
        </w:rPr>
        <w:t>d) mosdhënia nga mbajtësi i llogarisë, personi kontrollues ose personi tjetër përgjegjës e informacionit ose dokumentacionit të kërkuar sipas këtij ligji, dënohet me gjobë nga 300 000 (treqind mijë) deri në 700 000 (shtatëqind mijë) lekë;</w:t>
      </w:r>
    </w:p>
    <w:p w14:paraId="0827033F" w14:textId="77777777" w:rsidR="00BF38FD" w:rsidRPr="00591FCC" w:rsidRDefault="00BF38FD" w:rsidP="00C30EE6">
      <w:pPr>
        <w:spacing w:before="100" w:beforeAutospacing="1" w:after="100" w:afterAutospacing="1"/>
        <w:ind w:left="360"/>
        <w:jc w:val="both"/>
        <w:rPr>
          <w:rFonts w:ascii="Times New Roman" w:eastAsia="Times New Roman" w:hAnsi="Times New Roman" w:cs="Times New Roman"/>
          <w:sz w:val="24"/>
          <w:szCs w:val="24"/>
          <w:lang w:val="en-US"/>
        </w:rPr>
      </w:pPr>
      <w:r w:rsidRPr="00591FCC">
        <w:rPr>
          <w:rFonts w:ascii="Times New Roman" w:eastAsia="Times New Roman" w:hAnsi="Times New Roman" w:cs="Times New Roman"/>
          <w:sz w:val="24"/>
          <w:szCs w:val="24"/>
          <w:lang w:val="en-US"/>
        </w:rPr>
        <w:t>dh) nënshkrimi, paraqitja ose konfirmimi i një vetëdeklarimi të rremë nga mbajtësi i llogarisë, personi kontrollues ose personi tjetër përgjegjës, në kundërshtim me kërkesat e këtij ligji, dënohet me gjobë nga 500 000 (pesëqind mijë) deri në 1 000 000 (një milion) lekë;</w:t>
      </w:r>
    </w:p>
    <w:p w14:paraId="5BB44F11" w14:textId="77777777" w:rsidR="00BF38FD" w:rsidRPr="00591FCC" w:rsidRDefault="00BF38FD" w:rsidP="00C30EE6">
      <w:pPr>
        <w:spacing w:before="100" w:beforeAutospacing="1" w:after="100" w:afterAutospacing="1"/>
        <w:ind w:left="360"/>
        <w:jc w:val="both"/>
        <w:rPr>
          <w:rFonts w:ascii="Times New Roman" w:eastAsia="Times New Roman" w:hAnsi="Times New Roman" w:cs="Times New Roman"/>
          <w:sz w:val="24"/>
          <w:szCs w:val="24"/>
          <w:lang w:val="en-US"/>
        </w:rPr>
      </w:pPr>
      <w:r w:rsidRPr="00591FCC">
        <w:rPr>
          <w:rFonts w:ascii="Times New Roman" w:eastAsia="Times New Roman" w:hAnsi="Times New Roman" w:cs="Times New Roman"/>
          <w:sz w:val="24"/>
          <w:szCs w:val="24"/>
          <w:lang w:val="en-US"/>
        </w:rPr>
        <w:lastRenderedPageBreak/>
        <w:t>e) pengimi, refuzimi ose mosbashkëpunimi, në mënyrë të drejtpërdrejtë ose të tërthortë, gjatë procedurave të verifikimit dhe kontrollit të kryera nga Autoriteti Kompetent, përfshirë mosvënien në dispozicion të regjistrimeve, dokumenteve, provave ose informacionit të kërkuar, dënohet me gjobë nga 500 000 (pesëqind mijë) deri në 1 000 000 (një milion) lekë.</w:t>
      </w:r>
    </w:p>
    <w:p w14:paraId="2F4A2E72" w14:textId="77777777" w:rsidR="00BF38FD" w:rsidRPr="00591FCC" w:rsidRDefault="00BF38FD" w:rsidP="00591FCC">
      <w:pPr>
        <w:numPr>
          <w:ilvl w:val="0"/>
          <w:numId w:val="15"/>
        </w:numPr>
        <w:spacing w:before="100" w:beforeAutospacing="1" w:after="100" w:afterAutospacing="1"/>
        <w:jc w:val="both"/>
        <w:rPr>
          <w:rFonts w:ascii="Times New Roman" w:eastAsia="Times New Roman" w:hAnsi="Times New Roman" w:cs="Times New Roman"/>
          <w:sz w:val="24"/>
          <w:szCs w:val="24"/>
          <w:lang w:val="en-US"/>
        </w:rPr>
      </w:pPr>
      <w:r w:rsidRPr="00591FCC">
        <w:rPr>
          <w:rFonts w:ascii="Times New Roman" w:eastAsia="Times New Roman" w:hAnsi="Times New Roman" w:cs="Times New Roman"/>
          <w:sz w:val="24"/>
          <w:szCs w:val="24"/>
          <w:lang w:val="en-US"/>
        </w:rPr>
        <w:t>Gjobat sipas pikës 2 të këtij neni përcaktohen duke marrë parasysh natyrën, rëndësinë, kohëzgjatjen dhe përsëritjen e shkeljes, shkallën e përgjegjësisë dhe çdo rrethanë tjetër përkatëse, në përputhje me parimin e proporcionalitetit.</w:t>
      </w:r>
    </w:p>
    <w:p w14:paraId="4BE49B23" w14:textId="77777777" w:rsidR="00BF38FD" w:rsidRPr="00591FCC" w:rsidRDefault="00BF38FD" w:rsidP="00591FCC">
      <w:pPr>
        <w:numPr>
          <w:ilvl w:val="0"/>
          <w:numId w:val="15"/>
        </w:numPr>
        <w:spacing w:before="100" w:beforeAutospacing="1" w:after="100" w:afterAutospacing="1"/>
        <w:jc w:val="both"/>
        <w:rPr>
          <w:rFonts w:ascii="Times New Roman" w:eastAsia="Times New Roman" w:hAnsi="Times New Roman" w:cs="Times New Roman"/>
          <w:sz w:val="24"/>
          <w:szCs w:val="24"/>
          <w:lang w:val="en-US"/>
        </w:rPr>
      </w:pPr>
      <w:r w:rsidRPr="00591FCC">
        <w:rPr>
          <w:rFonts w:ascii="Times New Roman" w:eastAsia="Times New Roman" w:hAnsi="Times New Roman" w:cs="Times New Roman"/>
          <w:sz w:val="24"/>
          <w:szCs w:val="24"/>
          <w:lang w:val="en-US"/>
        </w:rPr>
        <w:t>Për shkeljet e parashikuara në pikën 2 të këtij neni, kur i njëjti veprim ose mosveprim përbën më shumë se një kundërvajtje administrative sipas këtij ligji, zbatohet vetëm sanksioni që parashikon masën më të lartë për të njëjtën shkelje.</w:t>
      </w:r>
    </w:p>
    <w:p w14:paraId="1C2071BF" w14:textId="77777777" w:rsidR="00BF38FD" w:rsidRPr="00591FCC" w:rsidRDefault="00BF38FD" w:rsidP="00591FCC">
      <w:pPr>
        <w:numPr>
          <w:ilvl w:val="0"/>
          <w:numId w:val="15"/>
        </w:numPr>
        <w:spacing w:before="100" w:beforeAutospacing="1" w:after="100" w:afterAutospacing="1"/>
        <w:jc w:val="both"/>
        <w:rPr>
          <w:rFonts w:ascii="Times New Roman" w:eastAsia="Times New Roman" w:hAnsi="Times New Roman" w:cs="Times New Roman"/>
          <w:sz w:val="24"/>
          <w:szCs w:val="24"/>
          <w:lang w:val="en-US"/>
        </w:rPr>
      </w:pPr>
      <w:r w:rsidRPr="00591FCC">
        <w:rPr>
          <w:rFonts w:ascii="Times New Roman" w:eastAsia="Times New Roman" w:hAnsi="Times New Roman" w:cs="Times New Roman"/>
          <w:sz w:val="24"/>
          <w:szCs w:val="24"/>
          <w:lang w:val="en-US"/>
        </w:rPr>
        <w:t>Gjoba vendoset nga titullari i Drejtorisë së Përgjithshme të Tatimeve, në përputhje me legjislacionin në fuqi për kundërvajtjet administrative.</w:t>
      </w:r>
    </w:p>
    <w:p w14:paraId="23B872AC" w14:textId="77777777" w:rsidR="00BF38FD" w:rsidRPr="00591FCC" w:rsidRDefault="00BF38FD" w:rsidP="00591FCC">
      <w:pPr>
        <w:numPr>
          <w:ilvl w:val="0"/>
          <w:numId w:val="15"/>
        </w:numPr>
        <w:spacing w:before="100" w:beforeAutospacing="1" w:after="100" w:afterAutospacing="1"/>
        <w:jc w:val="both"/>
        <w:rPr>
          <w:rFonts w:ascii="Times New Roman" w:eastAsia="Times New Roman" w:hAnsi="Times New Roman" w:cs="Times New Roman"/>
          <w:sz w:val="24"/>
          <w:szCs w:val="24"/>
          <w:lang w:val="en-US"/>
        </w:rPr>
      </w:pPr>
      <w:r w:rsidRPr="00591FCC">
        <w:rPr>
          <w:rFonts w:ascii="Times New Roman" w:eastAsia="Times New Roman" w:hAnsi="Times New Roman" w:cs="Times New Roman"/>
          <w:sz w:val="24"/>
          <w:szCs w:val="24"/>
          <w:lang w:val="en-US"/>
        </w:rPr>
        <w:t>Sanksionet e parashikuara në këtë nen duhet të jenë efektive, proporcionale dhe dekurajuese.</w:t>
      </w:r>
    </w:p>
    <w:p w14:paraId="7613F27E" w14:textId="77777777" w:rsidR="00BF38FD" w:rsidRPr="00591FCC" w:rsidRDefault="00BF38FD" w:rsidP="00591FCC">
      <w:pPr>
        <w:numPr>
          <w:ilvl w:val="0"/>
          <w:numId w:val="15"/>
        </w:numPr>
        <w:spacing w:before="100" w:beforeAutospacing="1" w:after="100" w:afterAutospacing="1"/>
        <w:jc w:val="both"/>
        <w:rPr>
          <w:rFonts w:ascii="Times New Roman" w:eastAsia="Times New Roman" w:hAnsi="Times New Roman" w:cs="Times New Roman"/>
          <w:sz w:val="24"/>
          <w:szCs w:val="24"/>
          <w:lang w:val="en-US"/>
        </w:rPr>
      </w:pPr>
      <w:r w:rsidRPr="00591FCC">
        <w:rPr>
          <w:rFonts w:ascii="Times New Roman" w:eastAsia="Times New Roman" w:hAnsi="Times New Roman" w:cs="Times New Roman"/>
          <w:sz w:val="24"/>
          <w:szCs w:val="24"/>
          <w:lang w:val="en-US"/>
        </w:rPr>
        <w:t>Kundër vendimit për vendosjen e gjobës mund të bëhet ankim në gjykatën administrative kompetente, në përputhje me legjislacionin në fuqi.</w:t>
      </w:r>
    </w:p>
    <w:p w14:paraId="78219810" w14:textId="1CD01970" w:rsidR="000A71CD" w:rsidRPr="00591FCC" w:rsidRDefault="00FC0371" w:rsidP="00591FCC">
      <w:pPr>
        <w:spacing w:after="0"/>
        <w:jc w:val="center"/>
        <w:rPr>
          <w:rFonts w:ascii="Times New Roman" w:hAnsi="Times New Roman" w:cs="Times New Roman"/>
          <w:sz w:val="24"/>
          <w:szCs w:val="24"/>
        </w:rPr>
      </w:pPr>
      <w:r w:rsidRPr="00591FCC">
        <w:rPr>
          <w:rFonts w:ascii="Times New Roman" w:hAnsi="Times New Roman" w:cs="Times New Roman"/>
          <w:sz w:val="24"/>
          <w:szCs w:val="24"/>
        </w:rPr>
        <w:t>Neni</w:t>
      </w:r>
      <w:r w:rsidR="00300FD5" w:rsidRPr="00591FCC">
        <w:rPr>
          <w:rFonts w:ascii="Times New Roman" w:hAnsi="Times New Roman" w:cs="Times New Roman"/>
          <w:sz w:val="24"/>
          <w:szCs w:val="24"/>
        </w:rPr>
        <w:t xml:space="preserve"> </w:t>
      </w:r>
      <w:r w:rsidR="000A4BB3" w:rsidRPr="00591FCC">
        <w:rPr>
          <w:rFonts w:ascii="Times New Roman" w:hAnsi="Times New Roman" w:cs="Times New Roman"/>
          <w:sz w:val="24"/>
          <w:szCs w:val="24"/>
        </w:rPr>
        <w:t>1</w:t>
      </w:r>
      <w:r w:rsidR="003F16EF" w:rsidRPr="00591FCC">
        <w:rPr>
          <w:rFonts w:ascii="Times New Roman" w:hAnsi="Times New Roman" w:cs="Times New Roman"/>
          <w:sz w:val="24"/>
          <w:szCs w:val="24"/>
        </w:rPr>
        <w:t>8</w:t>
      </w:r>
    </w:p>
    <w:p w14:paraId="78219812" w14:textId="018DE664" w:rsidR="00C51EFF" w:rsidRPr="00591FCC" w:rsidRDefault="00FC0371" w:rsidP="00591FCC">
      <w:pPr>
        <w:spacing w:after="0"/>
        <w:jc w:val="center"/>
        <w:rPr>
          <w:rFonts w:ascii="Times New Roman" w:hAnsi="Times New Roman" w:cs="Times New Roman"/>
          <w:b/>
          <w:sz w:val="24"/>
          <w:szCs w:val="24"/>
        </w:rPr>
      </w:pPr>
      <w:r w:rsidRPr="00591FCC">
        <w:rPr>
          <w:rFonts w:ascii="Times New Roman" w:hAnsi="Times New Roman" w:cs="Times New Roman"/>
          <w:b/>
          <w:sz w:val="24"/>
          <w:szCs w:val="24"/>
        </w:rPr>
        <w:t>Rregulli kundër shmangies</w:t>
      </w:r>
    </w:p>
    <w:p w14:paraId="78219813" w14:textId="77777777" w:rsidR="00CF49AC" w:rsidRPr="00591FCC" w:rsidRDefault="00CF49AC" w:rsidP="00591FCC">
      <w:pPr>
        <w:spacing w:after="0"/>
        <w:jc w:val="center"/>
        <w:rPr>
          <w:rFonts w:ascii="Times New Roman" w:hAnsi="Times New Roman" w:cs="Times New Roman"/>
          <w:sz w:val="24"/>
          <w:szCs w:val="24"/>
        </w:rPr>
      </w:pPr>
    </w:p>
    <w:p w14:paraId="78219814" w14:textId="5A80DEEF" w:rsidR="00291D57" w:rsidRPr="00C30EE6" w:rsidRDefault="00F56E88" w:rsidP="00C30EE6">
      <w:pPr>
        <w:spacing w:after="0"/>
        <w:jc w:val="both"/>
        <w:rPr>
          <w:rFonts w:ascii="Times New Roman" w:hAnsi="Times New Roman" w:cs="Times New Roman"/>
          <w:sz w:val="24"/>
          <w:szCs w:val="24"/>
        </w:rPr>
      </w:pPr>
      <w:r w:rsidRPr="00C30EE6">
        <w:rPr>
          <w:rFonts w:ascii="Times New Roman" w:hAnsi="Times New Roman" w:cs="Times New Roman"/>
          <w:sz w:val="24"/>
          <w:szCs w:val="24"/>
        </w:rPr>
        <w:t>Kur, duke marrë parasysh të gjitha faktet dhe rrethanat përkatëse, është e arsyeshme të konkludohet se qëllimi kryesor ose një nga qëllimet kryesore të një marrëveshjeje ose praktike të ndërmarrë nga një institucion financiar, ndërmjetës, ofrues shërbimi ose person tjetër është shmangia ose anashkalimi i detyrimeve të përcaktuara në këtë ligj ose në aktet nënligjore të nxjerra në zbatim të tij, këto detyrime zbatohen sikur marrëveshja ose praktika të mos ishte ndërmarrë.</w:t>
      </w:r>
    </w:p>
    <w:p w14:paraId="78219815" w14:textId="77777777" w:rsidR="00FF3AB5" w:rsidRPr="00591FCC" w:rsidRDefault="00FF3AB5" w:rsidP="00591FCC">
      <w:pPr>
        <w:spacing w:after="0"/>
        <w:ind w:firstLine="284"/>
        <w:jc w:val="both"/>
        <w:rPr>
          <w:rFonts w:ascii="Times New Roman" w:hAnsi="Times New Roman" w:cs="Times New Roman"/>
          <w:sz w:val="24"/>
          <w:szCs w:val="24"/>
        </w:rPr>
      </w:pPr>
    </w:p>
    <w:p w14:paraId="78219816" w14:textId="77777777" w:rsidR="000A71CD" w:rsidRPr="00591FCC" w:rsidRDefault="00834F1C" w:rsidP="00591FCC">
      <w:pPr>
        <w:spacing w:after="0"/>
        <w:jc w:val="center"/>
        <w:rPr>
          <w:rFonts w:ascii="Times New Roman" w:hAnsi="Times New Roman" w:cs="Times New Roman"/>
          <w:sz w:val="24"/>
          <w:szCs w:val="24"/>
        </w:rPr>
      </w:pPr>
      <w:r w:rsidRPr="00591FCC">
        <w:rPr>
          <w:rFonts w:ascii="Times New Roman" w:hAnsi="Times New Roman" w:cs="Times New Roman"/>
          <w:sz w:val="24"/>
          <w:szCs w:val="24"/>
        </w:rPr>
        <w:t xml:space="preserve">KREU </w:t>
      </w:r>
      <w:r w:rsidR="00C51EFF" w:rsidRPr="00591FCC">
        <w:rPr>
          <w:rFonts w:ascii="Times New Roman" w:hAnsi="Times New Roman" w:cs="Times New Roman"/>
          <w:sz w:val="24"/>
          <w:szCs w:val="24"/>
        </w:rPr>
        <w:t>IV</w:t>
      </w:r>
    </w:p>
    <w:p w14:paraId="78219818" w14:textId="77777777" w:rsidR="00255134" w:rsidRPr="00591FCC" w:rsidRDefault="00255134" w:rsidP="00591FCC">
      <w:pPr>
        <w:spacing w:after="0"/>
        <w:jc w:val="center"/>
        <w:rPr>
          <w:rFonts w:ascii="Times New Roman" w:hAnsi="Times New Roman" w:cs="Times New Roman"/>
          <w:sz w:val="24"/>
          <w:szCs w:val="24"/>
        </w:rPr>
      </w:pPr>
      <w:r w:rsidRPr="00591FCC">
        <w:rPr>
          <w:rFonts w:ascii="Times New Roman" w:hAnsi="Times New Roman" w:cs="Times New Roman"/>
          <w:sz w:val="24"/>
          <w:szCs w:val="24"/>
        </w:rPr>
        <w:t>KONFIDENCIALITETI DHE SIGURIMI I TË DHËNAVE</w:t>
      </w:r>
    </w:p>
    <w:p w14:paraId="78219819" w14:textId="77777777" w:rsidR="00CF49AC" w:rsidRPr="00591FCC" w:rsidRDefault="00CF49AC" w:rsidP="00591FCC">
      <w:pPr>
        <w:spacing w:after="0"/>
        <w:jc w:val="center"/>
        <w:rPr>
          <w:rFonts w:ascii="Times New Roman" w:hAnsi="Times New Roman" w:cs="Times New Roman"/>
          <w:b/>
          <w:sz w:val="24"/>
          <w:szCs w:val="24"/>
        </w:rPr>
      </w:pPr>
    </w:p>
    <w:p w14:paraId="7821981A" w14:textId="603D2C97" w:rsidR="000A71CD" w:rsidRPr="00591FCC" w:rsidRDefault="00255134" w:rsidP="00591FCC">
      <w:pPr>
        <w:spacing w:after="0"/>
        <w:jc w:val="center"/>
        <w:rPr>
          <w:rFonts w:ascii="Times New Roman" w:hAnsi="Times New Roman" w:cs="Times New Roman"/>
          <w:b/>
          <w:sz w:val="24"/>
          <w:szCs w:val="24"/>
        </w:rPr>
      </w:pPr>
      <w:r w:rsidRPr="00591FCC">
        <w:rPr>
          <w:rFonts w:ascii="Times New Roman" w:hAnsi="Times New Roman" w:cs="Times New Roman"/>
          <w:b/>
          <w:sz w:val="24"/>
          <w:szCs w:val="24"/>
        </w:rPr>
        <w:t>Neni</w:t>
      </w:r>
      <w:r w:rsidR="00300FD5" w:rsidRPr="00591FCC">
        <w:rPr>
          <w:rFonts w:ascii="Times New Roman" w:hAnsi="Times New Roman" w:cs="Times New Roman"/>
          <w:b/>
          <w:sz w:val="24"/>
          <w:szCs w:val="24"/>
        </w:rPr>
        <w:t xml:space="preserve"> </w:t>
      </w:r>
      <w:r w:rsidR="003F16EF" w:rsidRPr="00591FCC">
        <w:rPr>
          <w:rFonts w:ascii="Times New Roman" w:hAnsi="Times New Roman" w:cs="Times New Roman"/>
          <w:b/>
          <w:sz w:val="24"/>
          <w:szCs w:val="24"/>
        </w:rPr>
        <w:t>19</w:t>
      </w:r>
    </w:p>
    <w:p w14:paraId="7821981C" w14:textId="77777777" w:rsidR="00225FBE" w:rsidRPr="00591FCC" w:rsidRDefault="00255134" w:rsidP="00591FCC">
      <w:pPr>
        <w:spacing w:after="0"/>
        <w:jc w:val="center"/>
        <w:rPr>
          <w:rFonts w:ascii="Times New Roman" w:hAnsi="Times New Roman" w:cs="Times New Roman"/>
          <w:b/>
          <w:sz w:val="24"/>
          <w:szCs w:val="24"/>
        </w:rPr>
      </w:pPr>
      <w:r w:rsidRPr="00591FCC">
        <w:rPr>
          <w:rFonts w:ascii="Times New Roman" w:hAnsi="Times New Roman" w:cs="Times New Roman"/>
          <w:b/>
          <w:sz w:val="24"/>
          <w:szCs w:val="24"/>
        </w:rPr>
        <w:t>Konfidencialiteti</w:t>
      </w:r>
    </w:p>
    <w:p w14:paraId="7821981D" w14:textId="77777777" w:rsidR="00225FBE" w:rsidRPr="00591FCC" w:rsidRDefault="00225FBE" w:rsidP="00591FCC">
      <w:pPr>
        <w:spacing w:after="0"/>
        <w:ind w:firstLine="284"/>
        <w:jc w:val="both"/>
        <w:rPr>
          <w:rFonts w:ascii="Times New Roman" w:hAnsi="Times New Roman" w:cs="Times New Roman"/>
          <w:b/>
          <w:sz w:val="24"/>
          <w:szCs w:val="24"/>
        </w:rPr>
      </w:pPr>
    </w:p>
    <w:p w14:paraId="7821981E" w14:textId="55D863C8" w:rsidR="00225FBE" w:rsidRPr="00591FCC" w:rsidRDefault="00195AD1" w:rsidP="00591FCC">
      <w:pPr>
        <w:pStyle w:val="ListParagraph"/>
        <w:numPr>
          <w:ilvl w:val="0"/>
          <w:numId w:val="2"/>
        </w:numPr>
        <w:spacing w:after="0"/>
        <w:jc w:val="both"/>
        <w:rPr>
          <w:rFonts w:ascii="Times New Roman" w:hAnsi="Times New Roman" w:cs="Times New Roman"/>
          <w:sz w:val="24"/>
          <w:szCs w:val="24"/>
        </w:rPr>
      </w:pPr>
      <w:r w:rsidRPr="00591FCC">
        <w:rPr>
          <w:rFonts w:ascii="Times New Roman" w:hAnsi="Times New Roman" w:cs="Times New Roman"/>
          <w:sz w:val="24"/>
          <w:szCs w:val="24"/>
        </w:rPr>
        <w:t>Informacioni i siguruar nga institucionet financiare raportuese në Republikën e Shqipërisë është konfidencial.</w:t>
      </w:r>
      <w:r w:rsidR="00AA6424" w:rsidRPr="00591FCC">
        <w:rPr>
          <w:rFonts w:ascii="Times New Roman" w:hAnsi="Times New Roman" w:cs="Times New Roman"/>
          <w:sz w:val="24"/>
          <w:szCs w:val="24"/>
        </w:rPr>
        <w:t xml:space="preserve"> </w:t>
      </w:r>
    </w:p>
    <w:p w14:paraId="7821981F" w14:textId="2EC9967D" w:rsidR="00E90DBA" w:rsidRPr="00591FCC" w:rsidRDefault="00811DF5" w:rsidP="00591FCC">
      <w:pPr>
        <w:pStyle w:val="ListParagraph"/>
        <w:numPr>
          <w:ilvl w:val="0"/>
          <w:numId w:val="2"/>
        </w:numPr>
        <w:spacing w:after="0"/>
        <w:jc w:val="both"/>
        <w:rPr>
          <w:rFonts w:ascii="Times New Roman" w:hAnsi="Times New Roman" w:cs="Times New Roman"/>
          <w:sz w:val="24"/>
          <w:szCs w:val="24"/>
        </w:rPr>
      </w:pPr>
      <w:r w:rsidRPr="00591FCC">
        <w:rPr>
          <w:rFonts w:ascii="Times New Roman" w:hAnsi="Times New Roman" w:cs="Times New Roman"/>
          <w:sz w:val="24"/>
          <w:szCs w:val="24"/>
        </w:rPr>
        <w:t>Ç</w:t>
      </w:r>
      <w:r w:rsidR="005558F7" w:rsidRPr="00591FCC">
        <w:rPr>
          <w:rFonts w:ascii="Times New Roman" w:hAnsi="Times New Roman" w:cs="Times New Roman"/>
          <w:sz w:val="24"/>
          <w:szCs w:val="24"/>
        </w:rPr>
        <w:t xml:space="preserve">do </w:t>
      </w:r>
      <w:r w:rsidR="003B79DF" w:rsidRPr="00591FCC">
        <w:rPr>
          <w:rFonts w:ascii="Times New Roman" w:hAnsi="Times New Roman" w:cs="Times New Roman"/>
          <w:sz w:val="24"/>
          <w:szCs w:val="24"/>
        </w:rPr>
        <w:t xml:space="preserve">punonjës </w:t>
      </w:r>
      <w:r w:rsidR="005558F7" w:rsidRPr="00591FCC">
        <w:rPr>
          <w:rFonts w:ascii="Times New Roman" w:hAnsi="Times New Roman" w:cs="Times New Roman"/>
          <w:sz w:val="24"/>
          <w:szCs w:val="24"/>
        </w:rPr>
        <w:t xml:space="preserve">i </w:t>
      </w:r>
      <w:r w:rsidR="00F537BE" w:rsidRPr="00591FCC">
        <w:rPr>
          <w:rFonts w:ascii="Times New Roman" w:hAnsi="Times New Roman" w:cs="Times New Roman"/>
          <w:sz w:val="24"/>
          <w:szCs w:val="24"/>
        </w:rPr>
        <w:t>Autoritetit K</w:t>
      </w:r>
      <w:r w:rsidR="00225FBE" w:rsidRPr="00591FCC">
        <w:rPr>
          <w:rFonts w:ascii="Times New Roman" w:hAnsi="Times New Roman" w:cs="Times New Roman"/>
          <w:sz w:val="24"/>
          <w:szCs w:val="24"/>
        </w:rPr>
        <w:t>ompetent</w:t>
      </w:r>
      <w:r w:rsidR="005558F7" w:rsidRPr="00591FCC">
        <w:rPr>
          <w:rFonts w:ascii="Times New Roman" w:hAnsi="Times New Roman" w:cs="Times New Roman"/>
          <w:sz w:val="24"/>
          <w:szCs w:val="24"/>
        </w:rPr>
        <w:t xml:space="preserve">, </w:t>
      </w:r>
      <w:r w:rsidR="00AA6424" w:rsidRPr="00591FCC">
        <w:rPr>
          <w:rFonts w:ascii="Times New Roman" w:hAnsi="Times New Roman" w:cs="Times New Roman"/>
          <w:sz w:val="24"/>
          <w:szCs w:val="24"/>
        </w:rPr>
        <w:t>institucionit financiar ra</w:t>
      </w:r>
      <w:r w:rsidR="005558F7" w:rsidRPr="00591FCC">
        <w:rPr>
          <w:rFonts w:ascii="Times New Roman" w:hAnsi="Times New Roman" w:cs="Times New Roman"/>
          <w:sz w:val="24"/>
          <w:szCs w:val="24"/>
        </w:rPr>
        <w:t xml:space="preserve">portues dhe </w:t>
      </w:r>
      <w:r w:rsidR="00300FD5" w:rsidRPr="00591FCC">
        <w:rPr>
          <w:rFonts w:ascii="Times New Roman" w:hAnsi="Times New Roman" w:cs="Times New Roman"/>
          <w:sz w:val="24"/>
          <w:szCs w:val="24"/>
        </w:rPr>
        <w:t>ç</w:t>
      </w:r>
      <w:r w:rsidR="005558F7" w:rsidRPr="00591FCC">
        <w:rPr>
          <w:rFonts w:ascii="Times New Roman" w:hAnsi="Times New Roman" w:cs="Times New Roman"/>
          <w:sz w:val="24"/>
          <w:szCs w:val="24"/>
        </w:rPr>
        <w:t>do fun</w:t>
      </w:r>
      <w:r w:rsidR="00300FD5" w:rsidRPr="00591FCC">
        <w:rPr>
          <w:rFonts w:ascii="Times New Roman" w:hAnsi="Times New Roman" w:cs="Times New Roman"/>
          <w:sz w:val="24"/>
          <w:szCs w:val="24"/>
        </w:rPr>
        <w:t>k</w:t>
      </w:r>
      <w:r w:rsidR="005558F7" w:rsidRPr="00591FCC">
        <w:rPr>
          <w:rFonts w:ascii="Times New Roman" w:hAnsi="Times New Roman" w:cs="Times New Roman"/>
          <w:sz w:val="24"/>
          <w:szCs w:val="24"/>
        </w:rPr>
        <w:t>sionar publik</w:t>
      </w:r>
      <w:r w:rsidR="00AA6424" w:rsidRPr="00591FCC">
        <w:rPr>
          <w:rFonts w:ascii="Times New Roman" w:hAnsi="Times New Roman" w:cs="Times New Roman"/>
          <w:sz w:val="24"/>
          <w:szCs w:val="24"/>
        </w:rPr>
        <w:t>,</w:t>
      </w:r>
      <w:r w:rsidR="005558F7" w:rsidRPr="00591FCC">
        <w:rPr>
          <w:rFonts w:ascii="Times New Roman" w:hAnsi="Times New Roman" w:cs="Times New Roman"/>
          <w:sz w:val="24"/>
          <w:szCs w:val="24"/>
        </w:rPr>
        <w:t xml:space="preserve"> </w:t>
      </w:r>
      <w:r w:rsidR="003B79DF" w:rsidRPr="00591FCC">
        <w:rPr>
          <w:rFonts w:ascii="Times New Roman" w:hAnsi="Times New Roman" w:cs="Times New Roman"/>
          <w:sz w:val="24"/>
          <w:szCs w:val="24"/>
        </w:rPr>
        <w:t xml:space="preserve">që </w:t>
      </w:r>
      <w:r w:rsidR="005558F7" w:rsidRPr="00591FCC">
        <w:rPr>
          <w:rFonts w:ascii="Times New Roman" w:hAnsi="Times New Roman" w:cs="Times New Roman"/>
          <w:sz w:val="24"/>
          <w:szCs w:val="24"/>
        </w:rPr>
        <w:t xml:space="preserve">ka akses </w:t>
      </w:r>
      <w:r w:rsidR="003B79DF" w:rsidRPr="00591FCC">
        <w:rPr>
          <w:rFonts w:ascii="Times New Roman" w:hAnsi="Times New Roman" w:cs="Times New Roman"/>
          <w:sz w:val="24"/>
          <w:szCs w:val="24"/>
        </w:rPr>
        <w:t xml:space="preserve">në të dhënat </w:t>
      </w:r>
      <w:r w:rsidR="005558F7" w:rsidRPr="00591FCC">
        <w:rPr>
          <w:rFonts w:ascii="Times New Roman" w:hAnsi="Times New Roman" w:cs="Times New Roman"/>
          <w:sz w:val="24"/>
          <w:szCs w:val="24"/>
        </w:rPr>
        <w:t>personale q</w:t>
      </w:r>
      <w:r w:rsidR="00ED0191" w:rsidRPr="00591FCC">
        <w:rPr>
          <w:rFonts w:ascii="Times New Roman" w:hAnsi="Times New Roman" w:cs="Times New Roman"/>
          <w:sz w:val="24"/>
          <w:szCs w:val="24"/>
        </w:rPr>
        <w:t>ë</w:t>
      </w:r>
      <w:r w:rsidR="005558F7" w:rsidRPr="00591FCC">
        <w:rPr>
          <w:rFonts w:ascii="Times New Roman" w:hAnsi="Times New Roman" w:cs="Times New Roman"/>
          <w:sz w:val="24"/>
          <w:szCs w:val="24"/>
        </w:rPr>
        <w:t xml:space="preserve"> p</w:t>
      </w:r>
      <w:r w:rsidR="00ED0191" w:rsidRPr="00591FCC">
        <w:rPr>
          <w:rFonts w:ascii="Times New Roman" w:hAnsi="Times New Roman" w:cs="Times New Roman"/>
          <w:sz w:val="24"/>
          <w:szCs w:val="24"/>
        </w:rPr>
        <w:t>ë</w:t>
      </w:r>
      <w:r w:rsidR="005558F7" w:rsidRPr="00591FCC">
        <w:rPr>
          <w:rFonts w:ascii="Times New Roman" w:hAnsi="Times New Roman" w:cs="Times New Roman"/>
          <w:sz w:val="24"/>
          <w:szCs w:val="24"/>
        </w:rPr>
        <w:t xml:space="preserve">rpunohen </w:t>
      </w:r>
      <w:r w:rsidR="003B79DF" w:rsidRPr="00591FCC">
        <w:rPr>
          <w:rFonts w:ascii="Times New Roman" w:hAnsi="Times New Roman" w:cs="Times New Roman"/>
          <w:sz w:val="24"/>
          <w:szCs w:val="24"/>
        </w:rPr>
        <w:t xml:space="preserve">në kuadër të </w:t>
      </w:r>
      <w:r w:rsidR="005558F7" w:rsidRPr="00591FCC">
        <w:rPr>
          <w:rFonts w:ascii="Times New Roman" w:hAnsi="Times New Roman" w:cs="Times New Roman"/>
          <w:sz w:val="24"/>
          <w:szCs w:val="24"/>
        </w:rPr>
        <w:t>k</w:t>
      </w:r>
      <w:r w:rsidR="00300FD5" w:rsidRPr="00591FCC">
        <w:rPr>
          <w:rFonts w:ascii="Times New Roman" w:hAnsi="Times New Roman" w:cs="Times New Roman"/>
          <w:sz w:val="24"/>
          <w:szCs w:val="24"/>
        </w:rPr>
        <w:t>ë</w:t>
      </w:r>
      <w:r w:rsidR="005558F7" w:rsidRPr="00591FCC">
        <w:rPr>
          <w:rFonts w:ascii="Times New Roman" w:hAnsi="Times New Roman" w:cs="Times New Roman"/>
          <w:sz w:val="24"/>
          <w:szCs w:val="24"/>
        </w:rPr>
        <w:t xml:space="preserve">tij </w:t>
      </w:r>
      <w:r w:rsidR="00BB5E47" w:rsidRPr="00591FCC">
        <w:rPr>
          <w:rFonts w:ascii="Times New Roman" w:hAnsi="Times New Roman" w:cs="Times New Roman"/>
          <w:sz w:val="24"/>
          <w:szCs w:val="24"/>
        </w:rPr>
        <w:t>ligj</w:t>
      </w:r>
      <w:r w:rsidR="005558F7" w:rsidRPr="00591FCC">
        <w:rPr>
          <w:rFonts w:ascii="Times New Roman" w:hAnsi="Times New Roman" w:cs="Times New Roman"/>
          <w:sz w:val="24"/>
          <w:szCs w:val="24"/>
        </w:rPr>
        <w:t>i, ka detyrimin q</w:t>
      </w:r>
      <w:r w:rsidR="003B79DF" w:rsidRPr="00591FCC">
        <w:rPr>
          <w:rFonts w:ascii="Times New Roman" w:hAnsi="Times New Roman" w:cs="Times New Roman"/>
          <w:sz w:val="24"/>
          <w:szCs w:val="24"/>
        </w:rPr>
        <w:t>ë</w:t>
      </w:r>
      <w:r w:rsidR="00952922" w:rsidRPr="00591FCC">
        <w:rPr>
          <w:rFonts w:ascii="Times New Roman" w:hAnsi="Times New Roman" w:cs="Times New Roman"/>
          <w:sz w:val="24"/>
          <w:szCs w:val="24"/>
        </w:rPr>
        <w:t xml:space="preserve"> </w:t>
      </w:r>
      <w:r w:rsidR="003B79DF" w:rsidRPr="00591FCC">
        <w:rPr>
          <w:rFonts w:ascii="Times New Roman" w:hAnsi="Times New Roman" w:cs="Times New Roman"/>
          <w:sz w:val="24"/>
          <w:szCs w:val="24"/>
        </w:rPr>
        <w:t xml:space="preserve">të nënshkruajë deklaratën </w:t>
      </w:r>
      <w:r w:rsidR="005558F7" w:rsidRPr="00591FCC">
        <w:rPr>
          <w:rFonts w:ascii="Times New Roman" w:hAnsi="Times New Roman" w:cs="Times New Roman"/>
          <w:sz w:val="24"/>
          <w:szCs w:val="24"/>
        </w:rPr>
        <w:t xml:space="preserve">e konfidencialitetit, e cila administrohet nga </w:t>
      </w:r>
      <w:r w:rsidR="00AA6424" w:rsidRPr="00591FCC">
        <w:rPr>
          <w:rFonts w:ascii="Times New Roman" w:hAnsi="Times New Roman" w:cs="Times New Roman"/>
          <w:sz w:val="24"/>
          <w:szCs w:val="24"/>
        </w:rPr>
        <w:t>i</w:t>
      </w:r>
      <w:r w:rsidR="005558F7" w:rsidRPr="00591FCC">
        <w:rPr>
          <w:rFonts w:ascii="Times New Roman" w:hAnsi="Times New Roman" w:cs="Times New Roman"/>
          <w:sz w:val="24"/>
          <w:szCs w:val="24"/>
        </w:rPr>
        <w:t xml:space="preserve">nstitucionet </w:t>
      </w:r>
      <w:r w:rsidR="003B79DF" w:rsidRPr="00591FCC">
        <w:rPr>
          <w:rFonts w:ascii="Times New Roman" w:hAnsi="Times New Roman" w:cs="Times New Roman"/>
          <w:sz w:val="24"/>
          <w:szCs w:val="24"/>
        </w:rPr>
        <w:t>përkatëse</w:t>
      </w:r>
      <w:r w:rsidR="00AA6424" w:rsidRPr="00591FCC">
        <w:rPr>
          <w:rFonts w:ascii="Times New Roman" w:hAnsi="Times New Roman" w:cs="Times New Roman"/>
          <w:sz w:val="24"/>
          <w:szCs w:val="24"/>
        </w:rPr>
        <w:t>,</w:t>
      </w:r>
      <w:r w:rsidR="003B79DF" w:rsidRPr="00591FCC">
        <w:rPr>
          <w:rFonts w:ascii="Times New Roman" w:hAnsi="Times New Roman" w:cs="Times New Roman"/>
          <w:sz w:val="24"/>
          <w:szCs w:val="24"/>
        </w:rPr>
        <w:t xml:space="preserve"> në cilësinë </w:t>
      </w:r>
      <w:r w:rsidR="005558F7" w:rsidRPr="00591FCC">
        <w:rPr>
          <w:rFonts w:ascii="Times New Roman" w:hAnsi="Times New Roman" w:cs="Times New Roman"/>
          <w:sz w:val="24"/>
          <w:szCs w:val="24"/>
        </w:rPr>
        <w:t xml:space="preserve">e </w:t>
      </w:r>
      <w:r w:rsidR="00952922" w:rsidRPr="00591FCC">
        <w:rPr>
          <w:rFonts w:ascii="Times New Roman" w:hAnsi="Times New Roman" w:cs="Times New Roman"/>
          <w:sz w:val="24"/>
          <w:szCs w:val="24"/>
        </w:rPr>
        <w:t>punëdhënësit.</w:t>
      </w:r>
    </w:p>
    <w:p w14:paraId="02E9E8D2" w14:textId="13339FFD" w:rsidR="00C87702" w:rsidRPr="00591FCC" w:rsidRDefault="00FC0B99" w:rsidP="00591FCC">
      <w:pPr>
        <w:pStyle w:val="ListParagraph"/>
        <w:numPr>
          <w:ilvl w:val="0"/>
          <w:numId w:val="2"/>
        </w:numPr>
        <w:spacing w:after="0"/>
        <w:jc w:val="both"/>
        <w:rPr>
          <w:rFonts w:ascii="Times New Roman" w:hAnsi="Times New Roman" w:cs="Times New Roman"/>
          <w:sz w:val="24"/>
          <w:szCs w:val="24"/>
        </w:rPr>
      </w:pPr>
      <w:r w:rsidRPr="00591FCC">
        <w:rPr>
          <w:rFonts w:ascii="Times New Roman" w:hAnsi="Times New Roman" w:cs="Times New Roman"/>
          <w:sz w:val="24"/>
          <w:szCs w:val="24"/>
        </w:rPr>
        <w:t xml:space="preserve">Detyrimi për ruajtjen e konfidencialitetit vazhdon edhe pasi zyrtarët ose punonjësit nuk janë më të punësuar nga </w:t>
      </w:r>
      <w:r w:rsidR="00F537BE" w:rsidRPr="00591FCC">
        <w:rPr>
          <w:rFonts w:ascii="Times New Roman" w:hAnsi="Times New Roman" w:cs="Times New Roman"/>
          <w:sz w:val="24"/>
          <w:szCs w:val="24"/>
        </w:rPr>
        <w:t>Autoriteti K</w:t>
      </w:r>
      <w:r w:rsidR="00225FBE" w:rsidRPr="00591FCC">
        <w:rPr>
          <w:rFonts w:ascii="Times New Roman" w:hAnsi="Times New Roman" w:cs="Times New Roman"/>
          <w:sz w:val="24"/>
          <w:szCs w:val="24"/>
        </w:rPr>
        <w:t>ompetent</w:t>
      </w:r>
      <w:r w:rsidR="00300FD5" w:rsidRPr="00591FCC">
        <w:rPr>
          <w:rFonts w:ascii="Times New Roman" w:hAnsi="Times New Roman" w:cs="Times New Roman"/>
          <w:sz w:val="24"/>
          <w:szCs w:val="24"/>
        </w:rPr>
        <w:t>,</w:t>
      </w:r>
      <w:r w:rsidR="00AA6424" w:rsidRPr="00591FCC">
        <w:rPr>
          <w:rFonts w:ascii="Times New Roman" w:hAnsi="Times New Roman" w:cs="Times New Roman"/>
          <w:sz w:val="24"/>
          <w:szCs w:val="24"/>
        </w:rPr>
        <w:t xml:space="preserve"> institucioni financiar raportues apo inst</w:t>
      </w:r>
      <w:r w:rsidR="001C4F91" w:rsidRPr="00591FCC">
        <w:rPr>
          <w:rFonts w:ascii="Times New Roman" w:hAnsi="Times New Roman" w:cs="Times New Roman"/>
          <w:sz w:val="24"/>
          <w:szCs w:val="24"/>
        </w:rPr>
        <w:t>itucioni p</w:t>
      </w:r>
      <w:r w:rsidR="00D65495" w:rsidRPr="00591FCC">
        <w:rPr>
          <w:rFonts w:ascii="Times New Roman" w:hAnsi="Times New Roman" w:cs="Times New Roman"/>
          <w:sz w:val="24"/>
          <w:szCs w:val="24"/>
        </w:rPr>
        <w:t>ë</w:t>
      </w:r>
      <w:r w:rsidR="001C4F91" w:rsidRPr="00591FCC">
        <w:rPr>
          <w:rFonts w:ascii="Times New Roman" w:hAnsi="Times New Roman" w:cs="Times New Roman"/>
          <w:sz w:val="24"/>
          <w:szCs w:val="24"/>
        </w:rPr>
        <w:t>rkat</w:t>
      </w:r>
      <w:r w:rsidR="00D65495" w:rsidRPr="00591FCC">
        <w:rPr>
          <w:rFonts w:ascii="Times New Roman" w:hAnsi="Times New Roman" w:cs="Times New Roman"/>
          <w:sz w:val="24"/>
          <w:szCs w:val="24"/>
        </w:rPr>
        <w:t>ë</w:t>
      </w:r>
      <w:r w:rsidR="001C4F91" w:rsidRPr="00591FCC">
        <w:rPr>
          <w:rFonts w:ascii="Times New Roman" w:hAnsi="Times New Roman" w:cs="Times New Roman"/>
          <w:sz w:val="24"/>
          <w:szCs w:val="24"/>
        </w:rPr>
        <w:t>s</w:t>
      </w:r>
      <w:r w:rsidR="00D52054" w:rsidRPr="00591FCC">
        <w:rPr>
          <w:rFonts w:ascii="Times New Roman" w:hAnsi="Times New Roman" w:cs="Times New Roman"/>
          <w:sz w:val="24"/>
          <w:szCs w:val="24"/>
        </w:rPr>
        <w:t>.</w:t>
      </w:r>
      <w:r w:rsidR="00AA6424" w:rsidRPr="00591FCC">
        <w:rPr>
          <w:rFonts w:ascii="Times New Roman" w:hAnsi="Times New Roman" w:cs="Times New Roman"/>
          <w:sz w:val="24"/>
          <w:szCs w:val="24"/>
        </w:rPr>
        <w:t xml:space="preserve"> </w:t>
      </w:r>
    </w:p>
    <w:p w14:paraId="2BCAAD36" w14:textId="26EF3C0F" w:rsidR="00F76D5A" w:rsidRPr="00591FCC" w:rsidRDefault="00F76D5A" w:rsidP="00591FCC">
      <w:pPr>
        <w:pStyle w:val="ListParagraph"/>
        <w:numPr>
          <w:ilvl w:val="0"/>
          <w:numId w:val="2"/>
        </w:numPr>
        <w:spacing w:after="0"/>
        <w:jc w:val="both"/>
        <w:rPr>
          <w:rFonts w:ascii="Times New Roman" w:hAnsi="Times New Roman" w:cs="Times New Roman"/>
          <w:sz w:val="24"/>
          <w:szCs w:val="24"/>
        </w:rPr>
      </w:pPr>
      <w:r w:rsidRPr="00591FCC">
        <w:rPr>
          <w:rFonts w:ascii="Times New Roman" w:eastAsia="Times New Roman" w:hAnsi="Times New Roman" w:cs="Times New Roman"/>
          <w:bCs/>
          <w:sz w:val="24"/>
          <w:szCs w:val="24"/>
          <w:lang w:eastAsia="sq-AL"/>
        </w:rPr>
        <w:lastRenderedPageBreak/>
        <w:t>Informacioni i marrë nga autoritetet kompetente të huaja ruhet, përdoret dhe zbulohet vetëm sipas kufizimeve të parashikuara në bazën juridike përkatëse të shkëmbimit. Për shkëmbimet me shtetet anëtare zbatohen dispozitat e ligjit “Për bashkëpunimin administrativ në fushën e tatimeve dhe shkëmbimin e informacionit tatimor”; për shkëmbimet e tjera zbatohen Konventa, Marrëveshja Shumëpalëshe e Autoriteteve Kompetente dhe instrumentet e tjera përkatëse.</w:t>
      </w:r>
    </w:p>
    <w:p w14:paraId="66497998" w14:textId="77777777" w:rsidR="00F76D5A" w:rsidRPr="00591FCC" w:rsidRDefault="00F76D5A" w:rsidP="00591FCC">
      <w:pPr>
        <w:spacing w:after="0"/>
        <w:ind w:firstLine="284"/>
        <w:jc w:val="both"/>
        <w:rPr>
          <w:rFonts w:ascii="Times New Roman" w:hAnsi="Times New Roman" w:cs="Times New Roman"/>
          <w:sz w:val="24"/>
          <w:szCs w:val="24"/>
        </w:rPr>
      </w:pPr>
    </w:p>
    <w:p w14:paraId="78219822" w14:textId="77777777" w:rsidR="004C4672" w:rsidRPr="00591FCC" w:rsidRDefault="004C4672" w:rsidP="00591FCC">
      <w:pPr>
        <w:spacing w:after="0"/>
        <w:ind w:firstLine="284"/>
        <w:jc w:val="both"/>
        <w:rPr>
          <w:rFonts w:ascii="Times New Roman" w:hAnsi="Times New Roman" w:cs="Times New Roman"/>
          <w:sz w:val="24"/>
          <w:szCs w:val="24"/>
        </w:rPr>
      </w:pPr>
    </w:p>
    <w:p w14:paraId="78219823" w14:textId="4A370A7D" w:rsidR="00ED0191" w:rsidRPr="00591FCC" w:rsidRDefault="00ED0191" w:rsidP="00591FCC">
      <w:pPr>
        <w:spacing w:after="0"/>
        <w:jc w:val="center"/>
        <w:rPr>
          <w:rFonts w:ascii="Times New Roman" w:hAnsi="Times New Roman" w:cs="Times New Roman"/>
          <w:b/>
          <w:sz w:val="24"/>
          <w:szCs w:val="24"/>
        </w:rPr>
      </w:pPr>
      <w:r w:rsidRPr="00591FCC">
        <w:rPr>
          <w:rFonts w:ascii="Times New Roman" w:hAnsi="Times New Roman" w:cs="Times New Roman"/>
          <w:b/>
          <w:sz w:val="24"/>
          <w:szCs w:val="24"/>
        </w:rPr>
        <w:t xml:space="preserve">Neni </w:t>
      </w:r>
      <w:r w:rsidR="002D6DE0" w:rsidRPr="00591FCC">
        <w:rPr>
          <w:rFonts w:ascii="Times New Roman" w:hAnsi="Times New Roman" w:cs="Times New Roman"/>
          <w:b/>
          <w:sz w:val="24"/>
          <w:szCs w:val="24"/>
        </w:rPr>
        <w:t>2</w:t>
      </w:r>
      <w:r w:rsidR="003F16EF" w:rsidRPr="00591FCC">
        <w:rPr>
          <w:rFonts w:ascii="Times New Roman" w:hAnsi="Times New Roman" w:cs="Times New Roman"/>
          <w:b/>
          <w:sz w:val="24"/>
          <w:szCs w:val="24"/>
        </w:rPr>
        <w:t>0</w:t>
      </w:r>
    </w:p>
    <w:p w14:paraId="29232124" w14:textId="77777777" w:rsidR="00026510" w:rsidRPr="00591FCC" w:rsidRDefault="00026510" w:rsidP="00591FCC">
      <w:pPr>
        <w:spacing w:after="0"/>
        <w:jc w:val="center"/>
        <w:rPr>
          <w:rFonts w:ascii="Times New Roman" w:hAnsi="Times New Roman" w:cs="Times New Roman"/>
          <w:b/>
          <w:bCs/>
          <w:sz w:val="24"/>
          <w:szCs w:val="24"/>
        </w:rPr>
      </w:pPr>
      <w:r w:rsidRPr="00591FCC">
        <w:rPr>
          <w:rFonts w:ascii="Times New Roman" w:hAnsi="Times New Roman" w:cs="Times New Roman"/>
          <w:b/>
          <w:bCs/>
          <w:sz w:val="24"/>
          <w:szCs w:val="24"/>
        </w:rPr>
        <w:t xml:space="preserve">Mbrojtja e të dhënave </w:t>
      </w:r>
    </w:p>
    <w:p w14:paraId="43BB34B9" w14:textId="54E715F2" w:rsidR="00026510" w:rsidRPr="00591FCC" w:rsidRDefault="00026510" w:rsidP="00591FCC">
      <w:pPr>
        <w:spacing w:after="0"/>
        <w:jc w:val="both"/>
        <w:rPr>
          <w:rFonts w:ascii="Times New Roman" w:hAnsi="Times New Roman" w:cs="Times New Roman"/>
          <w:b/>
          <w:bCs/>
          <w:sz w:val="24"/>
          <w:szCs w:val="24"/>
        </w:rPr>
      </w:pPr>
    </w:p>
    <w:p w14:paraId="78219828" w14:textId="44C31338" w:rsidR="00CE5992" w:rsidRPr="00C30EE6" w:rsidRDefault="00755F86" w:rsidP="00C30EE6">
      <w:pPr>
        <w:spacing w:after="0"/>
        <w:jc w:val="both"/>
        <w:rPr>
          <w:rFonts w:ascii="Times New Roman" w:hAnsi="Times New Roman" w:cs="Times New Roman"/>
          <w:sz w:val="24"/>
          <w:szCs w:val="24"/>
        </w:rPr>
      </w:pPr>
      <w:r w:rsidRPr="00C30EE6">
        <w:rPr>
          <w:rFonts w:ascii="Times New Roman" w:hAnsi="Times New Roman" w:cs="Times New Roman"/>
          <w:sz w:val="24"/>
          <w:szCs w:val="24"/>
        </w:rPr>
        <w:t>Për mbledhjen, përpunimin, raportimin dhe shkëmbimin e të dhënave sipas Direktivës 2011/16/BE, të ndryshuar, zbatohen dispozitat për mbrojtjen e të dhënave personale dhe shkeljet e të dhënave të ligjit ‘Për bashkëpunimin administrativ në fushën e tatimeve dhe shkëmbimin e informacionit tatimor’. Për shkëmbimet me juridiksionet e tjera zbatohen legjislacioni kombëtar për mbrojtjen e të dhënave personale dhe instrumenti ndërkombëtar përkatës.</w:t>
      </w:r>
    </w:p>
    <w:p w14:paraId="4E0E9D01" w14:textId="77777777" w:rsidR="00755F86" w:rsidRPr="00591FCC" w:rsidRDefault="00755F86" w:rsidP="00591FCC">
      <w:pPr>
        <w:spacing w:after="0"/>
        <w:jc w:val="both"/>
        <w:rPr>
          <w:rFonts w:ascii="Times New Roman" w:hAnsi="Times New Roman" w:cs="Times New Roman"/>
          <w:sz w:val="24"/>
          <w:szCs w:val="24"/>
        </w:rPr>
      </w:pPr>
    </w:p>
    <w:p w14:paraId="78219829" w14:textId="77777777" w:rsidR="000A71CD" w:rsidRPr="00591FCC" w:rsidRDefault="00834F1C" w:rsidP="00591FCC">
      <w:pPr>
        <w:spacing w:after="0"/>
        <w:jc w:val="center"/>
        <w:rPr>
          <w:rFonts w:ascii="Times New Roman" w:hAnsi="Times New Roman" w:cs="Times New Roman"/>
          <w:b/>
          <w:sz w:val="24"/>
          <w:szCs w:val="24"/>
        </w:rPr>
      </w:pPr>
      <w:r w:rsidRPr="00591FCC">
        <w:rPr>
          <w:rFonts w:ascii="Times New Roman" w:hAnsi="Times New Roman" w:cs="Times New Roman"/>
          <w:b/>
          <w:sz w:val="24"/>
          <w:szCs w:val="24"/>
        </w:rPr>
        <w:t xml:space="preserve">KREU </w:t>
      </w:r>
      <w:r w:rsidR="00C51EFF" w:rsidRPr="00591FCC">
        <w:rPr>
          <w:rFonts w:ascii="Times New Roman" w:hAnsi="Times New Roman" w:cs="Times New Roman"/>
          <w:b/>
          <w:sz w:val="24"/>
          <w:szCs w:val="24"/>
        </w:rPr>
        <w:t>V</w:t>
      </w:r>
    </w:p>
    <w:p w14:paraId="7821982B" w14:textId="77777777" w:rsidR="00255134" w:rsidRPr="00591FCC" w:rsidRDefault="00255134" w:rsidP="00591FCC">
      <w:pPr>
        <w:spacing w:after="0"/>
        <w:jc w:val="center"/>
        <w:rPr>
          <w:rFonts w:ascii="Times New Roman" w:hAnsi="Times New Roman" w:cs="Times New Roman"/>
          <w:b/>
          <w:sz w:val="24"/>
          <w:szCs w:val="24"/>
        </w:rPr>
      </w:pPr>
      <w:r w:rsidRPr="00591FCC">
        <w:rPr>
          <w:rFonts w:ascii="Times New Roman" w:hAnsi="Times New Roman" w:cs="Times New Roman"/>
          <w:b/>
          <w:sz w:val="24"/>
          <w:szCs w:val="24"/>
        </w:rPr>
        <w:t>DISPOZITA</w:t>
      </w:r>
      <w:r w:rsidR="00CE5992" w:rsidRPr="00591FCC">
        <w:rPr>
          <w:rFonts w:ascii="Times New Roman" w:hAnsi="Times New Roman" w:cs="Times New Roman"/>
          <w:b/>
          <w:sz w:val="24"/>
          <w:szCs w:val="24"/>
        </w:rPr>
        <w:t xml:space="preserve"> </w:t>
      </w:r>
      <w:r w:rsidRPr="00591FCC">
        <w:rPr>
          <w:rFonts w:ascii="Times New Roman" w:hAnsi="Times New Roman" w:cs="Times New Roman"/>
          <w:b/>
          <w:sz w:val="24"/>
          <w:szCs w:val="24"/>
        </w:rPr>
        <w:t>PËRFUNDIMTARE</w:t>
      </w:r>
    </w:p>
    <w:p w14:paraId="7821982C" w14:textId="77777777" w:rsidR="00CE5992" w:rsidRPr="00591FCC" w:rsidRDefault="00CE5992" w:rsidP="00591FCC">
      <w:pPr>
        <w:spacing w:after="0"/>
        <w:jc w:val="center"/>
        <w:rPr>
          <w:rFonts w:ascii="Times New Roman" w:hAnsi="Times New Roman" w:cs="Times New Roman"/>
          <w:b/>
          <w:sz w:val="24"/>
          <w:szCs w:val="24"/>
        </w:rPr>
      </w:pPr>
    </w:p>
    <w:p w14:paraId="0F1EA7B0" w14:textId="77777777" w:rsidR="00AC4B90" w:rsidRPr="00591FCC" w:rsidRDefault="00AC4B90" w:rsidP="00591FCC">
      <w:pPr>
        <w:spacing w:before="100" w:beforeAutospacing="1" w:after="100" w:afterAutospacing="1"/>
        <w:jc w:val="center"/>
        <w:rPr>
          <w:rFonts w:ascii="Times New Roman" w:eastAsia="Times New Roman" w:hAnsi="Times New Roman" w:cs="Times New Roman"/>
          <w:sz w:val="24"/>
          <w:szCs w:val="24"/>
          <w:lang w:eastAsia="sq-AL"/>
        </w:rPr>
      </w:pPr>
      <w:r w:rsidRPr="00591FCC">
        <w:rPr>
          <w:rFonts w:ascii="Times New Roman" w:eastAsia="Times New Roman" w:hAnsi="Times New Roman" w:cs="Times New Roman"/>
          <w:b/>
          <w:bCs/>
          <w:sz w:val="24"/>
          <w:szCs w:val="24"/>
          <w:lang w:eastAsia="sq-AL"/>
        </w:rPr>
        <w:t>Neni 21</w:t>
      </w:r>
      <w:r w:rsidRPr="00591FCC">
        <w:rPr>
          <w:rFonts w:ascii="Times New Roman" w:eastAsia="Times New Roman" w:hAnsi="Times New Roman" w:cs="Times New Roman"/>
          <w:b/>
          <w:bCs/>
          <w:sz w:val="24"/>
          <w:szCs w:val="24"/>
          <w:lang w:eastAsia="sq-AL"/>
        </w:rPr>
        <w:br/>
        <w:t>Interpretimi</w:t>
      </w:r>
    </w:p>
    <w:p w14:paraId="2613B2A7" w14:textId="77777777" w:rsidR="00AC4B90" w:rsidRPr="00591FCC" w:rsidRDefault="00AC4B90" w:rsidP="00591FCC">
      <w:pPr>
        <w:numPr>
          <w:ilvl w:val="0"/>
          <w:numId w:val="20"/>
        </w:numPr>
        <w:spacing w:before="100" w:beforeAutospacing="1" w:after="100" w:afterAutospacing="1"/>
        <w:jc w:val="both"/>
        <w:rPr>
          <w:rFonts w:ascii="Times New Roman" w:eastAsia="Times New Roman" w:hAnsi="Times New Roman" w:cs="Times New Roman"/>
          <w:sz w:val="24"/>
          <w:szCs w:val="24"/>
          <w:lang w:eastAsia="sq-AL"/>
        </w:rPr>
      </w:pPr>
      <w:r w:rsidRPr="00591FCC">
        <w:rPr>
          <w:rFonts w:ascii="Times New Roman" w:eastAsia="Times New Roman" w:hAnsi="Times New Roman" w:cs="Times New Roman"/>
          <w:sz w:val="24"/>
          <w:szCs w:val="24"/>
          <w:lang w:eastAsia="sq-AL"/>
        </w:rPr>
        <w:t xml:space="preserve">Për shkëmbimet me shtetet anëtare të Bashkimit Evropian, ky ligj dhe aktet nënligjore të nxjerra në zbatim të tij interpretohen dhe zbatohen në përputhje me Direktivën 2011/16/BE, të ndryshuar, dhe aktet përkatëse zbatuese të Bashkimit Evropian. Standardi i Përbashkët i Raportimit dhe Komentari i tij mund të përdoren si mjete ndihmëse interpretimi vetëm për aq sa janë në përputhje me Direktivën 2011/16/BE, të ndryshuar, dhe aktet e Bashkimit Evropian të zbatueshme. </w:t>
      </w:r>
    </w:p>
    <w:p w14:paraId="5CB96E7B" w14:textId="77777777" w:rsidR="00AC4B90" w:rsidRPr="00591FCC" w:rsidRDefault="00AC4B90" w:rsidP="00591FCC">
      <w:pPr>
        <w:numPr>
          <w:ilvl w:val="0"/>
          <w:numId w:val="20"/>
        </w:numPr>
        <w:spacing w:before="100" w:beforeAutospacing="1" w:after="100" w:afterAutospacing="1"/>
        <w:jc w:val="both"/>
        <w:rPr>
          <w:rFonts w:ascii="Times New Roman" w:eastAsia="Times New Roman" w:hAnsi="Times New Roman" w:cs="Times New Roman"/>
          <w:sz w:val="24"/>
          <w:szCs w:val="24"/>
          <w:lang w:eastAsia="sq-AL"/>
        </w:rPr>
      </w:pPr>
      <w:r w:rsidRPr="00591FCC">
        <w:rPr>
          <w:rFonts w:ascii="Times New Roman" w:eastAsia="Times New Roman" w:hAnsi="Times New Roman" w:cs="Times New Roman"/>
          <w:sz w:val="24"/>
          <w:szCs w:val="24"/>
          <w:lang w:eastAsia="sq-AL"/>
        </w:rPr>
        <w:t xml:space="preserve">Për shkëmbimet me juridiksionet që nuk janë shtete anëtare të Bashkimit Evropian, ky ligj dhe aktet nënligjore interpretohen dhe zbatohen në përputhje me Standardin e Përbashkët të Raportimit, Komentarin e tij dhe instrumentin ndërkombëtar përkatës. </w:t>
      </w:r>
    </w:p>
    <w:p w14:paraId="50D05F44" w14:textId="09AB544F" w:rsidR="00AC4B90" w:rsidRPr="00591FCC" w:rsidRDefault="00AC4B90" w:rsidP="00591FCC">
      <w:pPr>
        <w:numPr>
          <w:ilvl w:val="0"/>
          <w:numId w:val="20"/>
        </w:numPr>
        <w:spacing w:before="100" w:beforeAutospacing="1" w:after="100" w:afterAutospacing="1"/>
        <w:jc w:val="both"/>
        <w:rPr>
          <w:rFonts w:ascii="Times New Roman" w:eastAsia="Times New Roman" w:hAnsi="Times New Roman" w:cs="Times New Roman"/>
          <w:sz w:val="24"/>
          <w:szCs w:val="24"/>
          <w:lang w:eastAsia="sq-AL"/>
        </w:rPr>
      </w:pPr>
      <w:r w:rsidRPr="00591FCC">
        <w:rPr>
          <w:rFonts w:ascii="Times New Roman" w:eastAsia="Times New Roman" w:hAnsi="Times New Roman" w:cs="Times New Roman"/>
          <w:sz w:val="24"/>
          <w:szCs w:val="24"/>
          <w:lang w:eastAsia="sq-AL"/>
        </w:rPr>
        <w:t>Çdo term i papërkufizuar në këtë ligj ose në aktet nënligjore ka, për shkëmbimet me shtetet anëtare të Bashkimit Evropian, kuptimin e përcaktuar në anekset I dhe II të Direktivës 2011/16/BE, të ndryshuar, dhe, për shkëmbimet me juridiksionet e tjera, kuptimin e përcaktuar në Standardin e Përbashkët të Raportimit.</w:t>
      </w:r>
    </w:p>
    <w:p w14:paraId="7821983C" w14:textId="5E6EFD48" w:rsidR="00FF60FF" w:rsidRPr="00591FCC" w:rsidRDefault="000A4BB3" w:rsidP="00591FCC">
      <w:pPr>
        <w:spacing w:after="0"/>
        <w:jc w:val="center"/>
        <w:rPr>
          <w:rFonts w:ascii="Times New Roman" w:hAnsi="Times New Roman" w:cs="Times New Roman"/>
          <w:b/>
          <w:sz w:val="24"/>
          <w:szCs w:val="24"/>
        </w:rPr>
      </w:pPr>
      <w:r w:rsidRPr="00591FCC">
        <w:rPr>
          <w:rFonts w:ascii="Times New Roman" w:hAnsi="Times New Roman" w:cs="Times New Roman"/>
          <w:b/>
          <w:sz w:val="24"/>
          <w:szCs w:val="24"/>
        </w:rPr>
        <w:t xml:space="preserve">Neni </w:t>
      </w:r>
      <w:r w:rsidR="002D6DE0" w:rsidRPr="00591FCC">
        <w:rPr>
          <w:rFonts w:ascii="Times New Roman" w:hAnsi="Times New Roman" w:cs="Times New Roman"/>
          <w:b/>
          <w:sz w:val="24"/>
          <w:szCs w:val="24"/>
        </w:rPr>
        <w:t>2</w:t>
      </w:r>
      <w:r w:rsidR="004B1B9A" w:rsidRPr="00591FCC">
        <w:rPr>
          <w:rFonts w:ascii="Times New Roman" w:hAnsi="Times New Roman" w:cs="Times New Roman"/>
          <w:b/>
          <w:sz w:val="24"/>
          <w:szCs w:val="24"/>
        </w:rPr>
        <w:t>2</w:t>
      </w:r>
    </w:p>
    <w:p w14:paraId="7821983E" w14:textId="4208616C" w:rsidR="00225FBE" w:rsidRPr="00591FCC" w:rsidRDefault="00FF60FF" w:rsidP="00591FCC">
      <w:pPr>
        <w:spacing w:after="0"/>
        <w:jc w:val="center"/>
        <w:rPr>
          <w:rFonts w:ascii="Times New Roman" w:hAnsi="Times New Roman" w:cs="Times New Roman"/>
          <w:b/>
          <w:sz w:val="24"/>
          <w:szCs w:val="24"/>
        </w:rPr>
      </w:pPr>
      <w:r w:rsidRPr="00591FCC">
        <w:rPr>
          <w:rFonts w:ascii="Times New Roman" w:hAnsi="Times New Roman" w:cs="Times New Roman"/>
          <w:b/>
          <w:sz w:val="24"/>
          <w:szCs w:val="24"/>
        </w:rPr>
        <w:t>Dispozita kalimtare</w:t>
      </w:r>
    </w:p>
    <w:p w14:paraId="7821983F" w14:textId="77777777" w:rsidR="00225FBE" w:rsidRPr="00591FCC" w:rsidRDefault="00225FBE" w:rsidP="00591FCC">
      <w:pPr>
        <w:spacing w:after="0"/>
        <w:ind w:firstLine="284"/>
        <w:jc w:val="both"/>
        <w:rPr>
          <w:rFonts w:ascii="Times New Roman" w:hAnsi="Times New Roman" w:cs="Times New Roman"/>
          <w:sz w:val="24"/>
          <w:szCs w:val="24"/>
        </w:rPr>
      </w:pPr>
    </w:p>
    <w:p w14:paraId="3D776BE6" w14:textId="1912D7CC" w:rsidR="00026510" w:rsidRPr="00591FCC" w:rsidRDefault="00026510" w:rsidP="00591FCC">
      <w:pPr>
        <w:pStyle w:val="ListParagraph"/>
        <w:numPr>
          <w:ilvl w:val="0"/>
          <w:numId w:val="21"/>
        </w:numPr>
        <w:spacing w:before="100" w:beforeAutospacing="1" w:after="100" w:afterAutospacing="1"/>
        <w:jc w:val="both"/>
        <w:rPr>
          <w:rFonts w:ascii="Times New Roman" w:hAnsi="Times New Roman" w:cs="Times New Roman"/>
          <w:sz w:val="24"/>
          <w:szCs w:val="24"/>
        </w:rPr>
      </w:pPr>
      <w:r w:rsidRPr="00591FCC">
        <w:rPr>
          <w:rFonts w:ascii="Times New Roman" w:hAnsi="Times New Roman" w:cs="Times New Roman"/>
          <w:sz w:val="24"/>
          <w:szCs w:val="24"/>
        </w:rPr>
        <w:lastRenderedPageBreak/>
        <w:t xml:space="preserve">Ndryshimet e parashikuara në këtë ligj për qëllime të përafrimit me Direktivën 2011/16/BE nuk ndikojnë në klasifikimin e llogarive financiare si llogari para-ekzistuese ose llogari të reja, të kryer në përputhje me Ligjin nr. 4/2020 dhe Standardin e Përbashkët të Raportimit (CRS), për periudhat raportuese që fillojnë përpara periudhës së parë raportuese për të cilën shkëmbimi automatik i informacionit me shtetet anëtare të Bashkimit Evropian bëhet i zbatueshëm për Republikën e Shqipërisë. </w:t>
      </w:r>
    </w:p>
    <w:p w14:paraId="23E767BD" w14:textId="77777777" w:rsidR="00694A6A" w:rsidRPr="00591FCC" w:rsidRDefault="00694A6A" w:rsidP="00591FCC">
      <w:pPr>
        <w:pStyle w:val="ListParagraph"/>
        <w:numPr>
          <w:ilvl w:val="0"/>
          <w:numId w:val="21"/>
        </w:numPr>
        <w:spacing w:before="100" w:beforeAutospacing="1" w:after="100" w:afterAutospacing="1"/>
        <w:jc w:val="both"/>
        <w:rPr>
          <w:rFonts w:ascii="Times New Roman" w:eastAsia="Times New Roman" w:hAnsi="Times New Roman" w:cs="Times New Roman"/>
          <w:sz w:val="24"/>
          <w:szCs w:val="24"/>
          <w:lang w:eastAsia="sq-AL"/>
        </w:rPr>
      </w:pPr>
      <w:r w:rsidRPr="00591FCC">
        <w:rPr>
          <w:rFonts w:ascii="Times New Roman" w:eastAsia="Times New Roman" w:hAnsi="Times New Roman" w:cs="Times New Roman"/>
          <w:sz w:val="24"/>
          <w:szCs w:val="24"/>
          <w:lang w:eastAsia="sq-AL"/>
        </w:rPr>
        <w:t>Pika 1 e këtij neni nuk cenon zbatimin e ndryshimeve të Standardit të Përbashkët të Raportimit dhe klasifikimin e produkteve ose llogarive që trajtohen si Llogari Financiare vetëm për shkak të këtyre ndryshimeve.</w:t>
      </w:r>
    </w:p>
    <w:p w14:paraId="0D05074B" w14:textId="170C2CAB" w:rsidR="00694A6A" w:rsidRPr="00591FCC" w:rsidRDefault="00694A6A" w:rsidP="00591FCC">
      <w:pPr>
        <w:pStyle w:val="ListParagraph"/>
        <w:numPr>
          <w:ilvl w:val="0"/>
          <w:numId w:val="21"/>
        </w:numPr>
        <w:spacing w:before="100" w:beforeAutospacing="1" w:after="100" w:afterAutospacing="1"/>
        <w:jc w:val="both"/>
        <w:rPr>
          <w:rFonts w:ascii="Times New Roman" w:eastAsia="Times New Roman" w:hAnsi="Times New Roman" w:cs="Times New Roman"/>
          <w:sz w:val="24"/>
          <w:szCs w:val="24"/>
          <w:lang w:eastAsia="sq-AL"/>
        </w:rPr>
      </w:pPr>
      <w:r w:rsidRPr="00591FCC">
        <w:rPr>
          <w:rFonts w:ascii="Times New Roman" w:eastAsia="Times New Roman" w:hAnsi="Times New Roman" w:cs="Times New Roman"/>
          <w:sz w:val="24"/>
          <w:szCs w:val="24"/>
          <w:lang w:eastAsia="sq-AL"/>
        </w:rPr>
        <w:t xml:space="preserve"> Për shkëmbimet me shtetet anëtare të Bashkimit Evropian, klasifikimet e kryera përpara fillimit të zbatimit të regjimit të Bashkimit Evropian njihen për aq sa janë në përputhje me aneksin I të Direktivës 2011/16/BE, të ndryshuar.</w:t>
      </w:r>
    </w:p>
    <w:p w14:paraId="491A5CEF" w14:textId="012E5829" w:rsidR="000E34E9" w:rsidRPr="00591FCC" w:rsidRDefault="000E34E9" w:rsidP="00591FCC">
      <w:pPr>
        <w:pStyle w:val="ListParagraph"/>
        <w:numPr>
          <w:ilvl w:val="0"/>
          <w:numId w:val="21"/>
        </w:numPr>
        <w:spacing w:before="100" w:beforeAutospacing="1" w:after="100" w:afterAutospacing="1"/>
        <w:jc w:val="both"/>
        <w:rPr>
          <w:rFonts w:ascii="Times New Roman" w:eastAsia="Times New Roman" w:hAnsi="Times New Roman" w:cs="Times New Roman"/>
          <w:sz w:val="24"/>
          <w:szCs w:val="24"/>
          <w:lang w:eastAsia="sq-AL"/>
        </w:rPr>
      </w:pPr>
      <w:r w:rsidRPr="00591FCC">
        <w:rPr>
          <w:rFonts w:ascii="Times New Roman" w:eastAsia="Times New Roman" w:hAnsi="Times New Roman" w:cs="Times New Roman"/>
          <w:sz w:val="24"/>
          <w:szCs w:val="24"/>
          <w:lang w:eastAsia="sq-AL"/>
        </w:rPr>
        <w:t>Dokumentacioni, vetëdeklarimet, evidencat shkresore dhe rezultatet e procedurave të vigjilencës së duhur të mbledhura ose të kryera përpara datës së fillimit të efekteve të këtij ligji vazhdojnë të përdoren, për aq sa mbeten të vlefshme, të besueshme dhe nuk ka ndodhur një ndryshim në rrethana që kërkon rishikimin e tyre. Për shkëmbimet me shtetet anëtare, ato plotësohen, kur është e nevojshme, me informacionin shtesë të kërkuar nga anekset I dhe II të Direktivës 2011/16/BE.</w:t>
      </w:r>
    </w:p>
    <w:p w14:paraId="69F8BE16" w14:textId="01EF3348" w:rsidR="00263BD4" w:rsidRPr="00591FCC" w:rsidRDefault="00263BD4" w:rsidP="00591FCC">
      <w:pPr>
        <w:pStyle w:val="ListParagraph"/>
        <w:numPr>
          <w:ilvl w:val="0"/>
          <w:numId w:val="21"/>
        </w:numPr>
        <w:spacing w:before="100" w:beforeAutospacing="1" w:after="100" w:afterAutospacing="1"/>
        <w:jc w:val="both"/>
        <w:rPr>
          <w:rFonts w:ascii="Times New Roman" w:eastAsia="Times New Roman" w:hAnsi="Times New Roman" w:cs="Times New Roman"/>
          <w:sz w:val="24"/>
          <w:szCs w:val="24"/>
          <w:lang w:eastAsia="sq-AL"/>
        </w:rPr>
      </w:pPr>
      <w:r w:rsidRPr="00591FCC">
        <w:rPr>
          <w:rFonts w:ascii="Times New Roman" w:hAnsi="Times New Roman" w:cs="Times New Roman"/>
          <w:sz w:val="24"/>
          <w:szCs w:val="24"/>
        </w:rPr>
        <w:t>Raportimet, korrigjimet, zëvendësimet, shkëmbimet, kontrollet dhe detyrimet e tjera që lidhen me periudhat raportuese që kanë përfunduar përpara datës së fillimit të efekteve të këtij ligji vazhdojnë të kryhen dhe të përfundojnë sipas rregullave materiale të zbatueshme për periudhën raportuese përkatëse, edhe kur afati për përmbushjen e tyre, përfshirë afatin për raportim, korrigjim, zëvendësim ose shkëmbim, bie pas kësaj date.</w:t>
      </w:r>
    </w:p>
    <w:p w14:paraId="3ECCE8D5" w14:textId="526F5030" w:rsidR="004B1B9A" w:rsidRPr="00591FCC" w:rsidRDefault="004B1B9A" w:rsidP="00591FCC">
      <w:pPr>
        <w:spacing w:before="100" w:beforeAutospacing="1" w:after="100" w:afterAutospacing="1"/>
        <w:jc w:val="center"/>
        <w:rPr>
          <w:rFonts w:ascii="Times New Roman" w:eastAsia="Times New Roman" w:hAnsi="Times New Roman" w:cs="Times New Roman"/>
          <w:b/>
          <w:sz w:val="24"/>
          <w:szCs w:val="24"/>
          <w:lang w:val="en-US"/>
        </w:rPr>
      </w:pPr>
      <w:r w:rsidRPr="00591FCC">
        <w:rPr>
          <w:rFonts w:ascii="Times New Roman" w:eastAsia="Times New Roman" w:hAnsi="Times New Roman" w:cs="Times New Roman"/>
          <w:b/>
          <w:sz w:val="24"/>
          <w:szCs w:val="24"/>
          <w:lang w:val="en-US"/>
        </w:rPr>
        <w:t>Neni 23</w:t>
      </w:r>
    </w:p>
    <w:p w14:paraId="560D1310" w14:textId="77777777" w:rsidR="004B1B9A" w:rsidRPr="00591FCC" w:rsidRDefault="004B1B9A" w:rsidP="00C30EE6">
      <w:pPr>
        <w:spacing w:after="100" w:afterAutospacing="1"/>
        <w:jc w:val="center"/>
        <w:rPr>
          <w:rFonts w:ascii="Times New Roman" w:eastAsia="Times New Roman" w:hAnsi="Times New Roman" w:cs="Times New Roman"/>
          <w:b/>
          <w:sz w:val="24"/>
          <w:szCs w:val="24"/>
          <w:lang w:val="en-US"/>
        </w:rPr>
      </w:pPr>
      <w:r w:rsidRPr="00591FCC">
        <w:rPr>
          <w:rFonts w:ascii="Times New Roman" w:eastAsia="Times New Roman" w:hAnsi="Times New Roman" w:cs="Times New Roman"/>
          <w:b/>
          <w:sz w:val="24"/>
          <w:szCs w:val="24"/>
          <w:lang w:val="en-US"/>
        </w:rPr>
        <w:t>Shfuqizime</w:t>
      </w:r>
    </w:p>
    <w:p w14:paraId="4EA124ED" w14:textId="63F88700" w:rsidR="004B1B9A" w:rsidRPr="00591FCC" w:rsidRDefault="004B1B9A" w:rsidP="00591FCC">
      <w:pPr>
        <w:pStyle w:val="ListParagraph"/>
        <w:numPr>
          <w:ilvl w:val="0"/>
          <w:numId w:val="16"/>
        </w:numPr>
        <w:autoSpaceDE w:val="0"/>
        <w:autoSpaceDN w:val="0"/>
        <w:adjustRightInd w:val="0"/>
        <w:spacing w:after="0"/>
        <w:jc w:val="both"/>
        <w:rPr>
          <w:rFonts w:ascii="Times New Roman" w:hAnsi="Times New Roman" w:cs="Times New Roman"/>
          <w:b/>
          <w:bCs/>
          <w:sz w:val="24"/>
          <w:szCs w:val="24"/>
          <w:lang w:val="en-US"/>
        </w:rPr>
      </w:pPr>
      <w:r w:rsidRPr="00591FCC">
        <w:rPr>
          <w:rFonts w:ascii="Times New Roman" w:eastAsia="Times New Roman" w:hAnsi="Times New Roman" w:cs="Times New Roman"/>
          <w:sz w:val="24"/>
          <w:szCs w:val="24"/>
          <w:lang w:val="en-US"/>
        </w:rPr>
        <w:t>Ligji Nr.</w:t>
      </w:r>
      <w:r w:rsidR="00C30EE6">
        <w:rPr>
          <w:rFonts w:ascii="Times New Roman" w:eastAsia="Times New Roman" w:hAnsi="Times New Roman" w:cs="Times New Roman"/>
          <w:sz w:val="24"/>
          <w:szCs w:val="24"/>
          <w:lang w:val="en-US"/>
        </w:rPr>
        <w:t xml:space="preserve"> </w:t>
      </w:r>
      <w:r w:rsidRPr="00591FCC">
        <w:rPr>
          <w:rFonts w:ascii="Times New Roman" w:eastAsia="Times New Roman" w:hAnsi="Times New Roman" w:cs="Times New Roman"/>
          <w:sz w:val="24"/>
          <w:szCs w:val="24"/>
          <w:lang w:val="en-US"/>
        </w:rPr>
        <w:t>4/2020</w:t>
      </w:r>
      <w:r w:rsidR="00C30EE6">
        <w:rPr>
          <w:rFonts w:ascii="Times New Roman" w:eastAsia="Times New Roman" w:hAnsi="Times New Roman" w:cs="Times New Roman"/>
          <w:sz w:val="24"/>
          <w:szCs w:val="24"/>
          <w:lang w:val="en-US"/>
        </w:rPr>
        <w:t>,</w:t>
      </w:r>
      <w:r w:rsidR="00490421" w:rsidRPr="00591FCC">
        <w:rPr>
          <w:rFonts w:ascii="Times New Roman" w:hAnsi="Times New Roman" w:cs="Times New Roman"/>
          <w:b/>
          <w:bCs/>
          <w:sz w:val="24"/>
          <w:szCs w:val="24"/>
          <w:lang w:val="en-US"/>
        </w:rPr>
        <w:t xml:space="preserve"> </w:t>
      </w:r>
      <w:r w:rsidR="00490421" w:rsidRPr="00591FCC">
        <w:rPr>
          <w:rFonts w:ascii="Times New Roman" w:hAnsi="Times New Roman" w:cs="Times New Roman"/>
          <w:bCs/>
          <w:sz w:val="24"/>
          <w:szCs w:val="24"/>
          <w:lang w:val="en-US"/>
        </w:rPr>
        <w:t>“Për shkëmbimin automatik të informacionit të llogarive financiare”</w:t>
      </w:r>
      <w:r w:rsidR="00490421" w:rsidRPr="00591FCC">
        <w:rPr>
          <w:rFonts w:ascii="Times New Roman" w:hAnsi="Times New Roman" w:cs="Times New Roman"/>
          <w:b/>
          <w:bCs/>
          <w:sz w:val="24"/>
          <w:szCs w:val="24"/>
          <w:lang w:val="en-US"/>
        </w:rPr>
        <w:t xml:space="preserve">, </w:t>
      </w:r>
      <w:r w:rsidRPr="00591FCC">
        <w:rPr>
          <w:rFonts w:ascii="Times New Roman" w:eastAsia="Times New Roman" w:hAnsi="Times New Roman" w:cs="Times New Roman"/>
          <w:sz w:val="24"/>
          <w:szCs w:val="24"/>
          <w:lang w:val="en-US"/>
        </w:rPr>
        <w:t xml:space="preserve">shfuqizohet në datën e </w:t>
      </w:r>
      <w:r w:rsidR="00400E89" w:rsidRPr="00591FCC">
        <w:rPr>
          <w:rFonts w:ascii="Times New Roman" w:eastAsia="Times New Roman" w:hAnsi="Times New Roman" w:cs="Times New Roman"/>
          <w:sz w:val="24"/>
          <w:szCs w:val="24"/>
          <w:lang w:val="en-US"/>
        </w:rPr>
        <w:t xml:space="preserve">fillimit të efekteve </w:t>
      </w:r>
      <w:r w:rsidRPr="00591FCC">
        <w:rPr>
          <w:rFonts w:ascii="Times New Roman" w:eastAsia="Times New Roman" w:hAnsi="Times New Roman" w:cs="Times New Roman"/>
          <w:sz w:val="24"/>
          <w:szCs w:val="24"/>
          <w:lang w:val="en-US"/>
        </w:rPr>
        <w:t>të këtij ligji.</w:t>
      </w:r>
      <w:r w:rsidR="00490421" w:rsidRPr="00591FCC">
        <w:rPr>
          <w:rFonts w:ascii="Times New Roman" w:eastAsia="Times New Roman" w:hAnsi="Times New Roman" w:cs="Times New Roman"/>
          <w:sz w:val="24"/>
          <w:szCs w:val="24"/>
          <w:lang w:val="en-US"/>
        </w:rPr>
        <w:t xml:space="preserve"> </w:t>
      </w:r>
    </w:p>
    <w:p w14:paraId="17128951" w14:textId="505FED15" w:rsidR="004B1B9A" w:rsidRPr="00591FCC" w:rsidRDefault="004B1B9A" w:rsidP="00591FCC">
      <w:pPr>
        <w:pStyle w:val="ListParagraph"/>
        <w:numPr>
          <w:ilvl w:val="0"/>
          <w:numId w:val="16"/>
        </w:numPr>
        <w:spacing w:before="100" w:beforeAutospacing="1" w:after="100" w:afterAutospacing="1"/>
        <w:jc w:val="both"/>
        <w:rPr>
          <w:rFonts w:ascii="Times New Roman" w:eastAsia="Times New Roman" w:hAnsi="Times New Roman" w:cs="Times New Roman"/>
          <w:sz w:val="24"/>
          <w:szCs w:val="24"/>
          <w:lang w:val="en-US"/>
        </w:rPr>
      </w:pPr>
      <w:r w:rsidRPr="00591FCC">
        <w:rPr>
          <w:rFonts w:ascii="Times New Roman" w:eastAsia="Times New Roman" w:hAnsi="Times New Roman" w:cs="Times New Roman"/>
          <w:sz w:val="24"/>
          <w:szCs w:val="24"/>
          <w:lang w:val="en-US"/>
        </w:rPr>
        <w:t>Aktet nënligjore të dala në zbatim të Ligjit Nr.</w:t>
      </w:r>
      <w:r w:rsidR="00C30EE6">
        <w:rPr>
          <w:rFonts w:ascii="Times New Roman" w:eastAsia="Times New Roman" w:hAnsi="Times New Roman" w:cs="Times New Roman"/>
          <w:sz w:val="24"/>
          <w:szCs w:val="24"/>
          <w:lang w:val="en-US"/>
        </w:rPr>
        <w:t xml:space="preserve"> </w:t>
      </w:r>
      <w:r w:rsidRPr="00591FCC">
        <w:rPr>
          <w:rFonts w:ascii="Times New Roman" w:eastAsia="Times New Roman" w:hAnsi="Times New Roman" w:cs="Times New Roman"/>
          <w:sz w:val="24"/>
          <w:szCs w:val="24"/>
          <w:lang w:val="en-US"/>
        </w:rPr>
        <w:t>4/2020</w:t>
      </w:r>
      <w:r w:rsidR="00490421" w:rsidRPr="00591FCC">
        <w:rPr>
          <w:rFonts w:ascii="Times New Roman" w:eastAsia="Times New Roman" w:hAnsi="Times New Roman" w:cs="Times New Roman"/>
          <w:sz w:val="24"/>
          <w:szCs w:val="24"/>
          <w:lang w:val="en-US"/>
        </w:rPr>
        <w:t xml:space="preserve"> </w:t>
      </w:r>
      <w:r w:rsidR="00490421" w:rsidRPr="00591FCC">
        <w:rPr>
          <w:rFonts w:ascii="Times New Roman" w:hAnsi="Times New Roman" w:cs="Times New Roman"/>
          <w:bCs/>
          <w:sz w:val="24"/>
          <w:szCs w:val="24"/>
          <w:lang w:val="en-US"/>
        </w:rPr>
        <w:t>“Për shkëmbimin automatik të informacionit të llogarive financiare”</w:t>
      </w:r>
      <w:r w:rsidR="002D66E8" w:rsidRPr="00591FCC">
        <w:rPr>
          <w:rFonts w:ascii="Times New Roman" w:eastAsia="Times New Roman" w:hAnsi="Times New Roman" w:cs="Times New Roman"/>
          <w:sz w:val="24"/>
          <w:szCs w:val="24"/>
          <w:lang w:val="en-US"/>
        </w:rPr>
        <w:t xml:space="preserve">, </w:t>
      </w:r>
      <w:r w:rsidRPr="00591FCC">
        <w:rPr>
          <w:rFonts w:ascii="Times New Roman" w:eastAsia="Times New Roman" w:hAnsi="Times New Roman" w:cs="Times New Roman"/>
          <w:sz w:val="24"/>
          <w:szCs w:val="24"/>
          <w:lang w:val="en-US"/>
        </w:rPr>
        <w:t>shfuqizohen</w:t>
      </w:r>
      <w:r w:rsidR="00FF5BA0" w:rsidRPr="00591FCC">
        <w:rPr>
          <w:rFonts w:ascii="Times New Roman" w:eastAsia="Times New Roman" w:hAnsi="Times New Roman" w:cs="Times New Roman"/>
          <w:sz w:val="24"/>
          <w:szCs w:val="24"/>
          <w:lang w:val="en-US"/>
        </w:rPr>
        <w:t xml:space="preserve"> në datën e fillimit të efekteve të këtij ligji.</w:t>
      </w:r>
    </w:p>
    <w:p w14:paraId="13643607" w14:textId="5CF18734" w:rsidR="004B1B9A" w:rsidRPr="00591FCC" w:rsidRDefault="004B1B9A" w:rsidP="00591FCC">
      <w:pPr>
        <w:spacing w:after="0"/>
        <w:jc w:val="center"/>
        <w:rPr>
          <w:rFonts w:ascii="Times New Roman" w:hAnsi="Times New Roman" w:cs="Times New Roman"/>
          <w:b/>
          <w:sz w:val="24"/>
          <w:szCs w:val="24"/>
        </w:rPr>
      </w:pPr>
      <w:r w:rsidRPr="00591FCC">
        <w:rPr>
          <w:rFonts w:ascii="Times New Roman" w:hAnsi="Times New Roman" w:cs="Times New Roman"/>
          <w:b/>
          <w:sz w:val="24"/>
          <w:szCs w:val="24"/>
        </w:rPr>
        <w:t>Neni 24</w:t>
      </w:r>
    </w:p>
    <w:p w14:paraId="0679764D" w14:textId="77777777" w:rsidR="004B1B9A" w:rsidRPr="00591FCC" w:rsidRDefault="004B1B9A" w:rsidP="00591FCC">
      <w:pPr>
        <w:spacing w:after="0"/>
        <w:jc w:val="center"/>
        <w:rPr>
          <w:rFonts w:ascii="Times New Roman" w:hAnsi="Times New Roman" w:cs="Times New Roman"/>
          <w:b/>
          <w:sz w:val="24"/>
          <w:szCs w:val="24"/>
        </w:rPr>
      </w:pPr>
      <w:r w:rsidRPr="00591FCC">
        <w:rPr>
          <w:rFonts w:ascii="Times New Roman" w:hAnsi="Times New Roman" w:cs="Times New Roman"/>
          <w:b/>
          <w:sz w:val="24"/>
          <w:szCs w:val="24"/>
        </w:rPr>
        <w:t>Aktet nënligjore</w:t>
      </w:r>
    </w:p>
    <w:p w14:paraId="386D2303" w14:textId="300C876D" w:rsidR="005F6C5B" w:rsidRPr="00591FCC" w:rsidRDefault="002D66E8" w:rsidP="00591FCC">
      <w:pPr>
        <w:pStyle w:val="NormalWeb"/>
        <w:spacing w:line="276" w:lineRule="auto"/>
        <w:jc w:val="both"/>
      </w:pPr>
      <w:r w:rsidRPr="00591FCC">
        <w:t>Ngarkohet Këshilli i Ministrave që, brenda 6 muajve nga hyrja në fuqi e këtij ligji, të miratojë rregullat e hollësishme për zbatimin e tij, përfshirë rregullat e raportimit dhe të vigjilencës së duhur, datat dhe pragjet sipas profilit përkatës, vetëdeklarimet dhe evidencat shkresore, ndryshimin e rrethanave, totalizimin dhe konvertimin e monedhës, listat përkatëse të institucioneve financiare joraportuese, llogarive të përjashtuara dhe juridiksioneve, si dhe procedurat e dorëzimit, validimit, korrigjimit dhe shkëmbimit të informacionit.</w:t>
      </w:r>
    </w:p>
    <w:p w14:paraId="2D4C1E03" w14:textId="39637ADC" w:rsidR="00EE5DA7" w:rsidRPr="00591FCC" w:rsidRDefault="00EE5DA7" w:rsidP="00591FCC">
      <w:pPr>
        <w:spacing w:before="100" w:beforeAutospacing="1" w:after="100" w:afterAutospacing="1"/>
        <w:jc w:val="center"/>
        <w:rPr>
          <w:rFonts w:ascii="Times New Roman" w:eastAsia="Times New Roman" w:hAnsi="Times New Roman" w:cs="Times New Roman"/>
          <w:b/>
          <w:sz w:val="24"/>
          <w:szCs w:val="24"/>
          <w:lang w:val="en-US"/>
        </w:rPr>
      </w:pPr>
      <w:r w:rsidRPr="00591FCC">
        <w:rPr>
          <w:rFonts w:ascii="Times New Roman" w:eastAsia="Times New Roman" w:hAnsi="Times New Roman" w:cs="Times New Roman"/>
          <w:b/>
          <w:sz w:val="24"/>
          <w:szCs w:val="24"/>
          <w:lang w:val="en-US"/>
        </w:rPr>
        <w:lastRenderedPageBreak/>
        <w:t>Neni 2</w:t>
      </w:r>
      <w:r w:rsidR="004B1B9A" w:rsidRPr="00591FCC">
        <w:rPr>
          <w:rFonts w:ascii="Times New Roman" w:eastAsia="Times New Roman" w:hAnsi="Times New Roman" w:cs="Times New Roman"/>
          <w:b/>
          <w:sz w:val="24"/>
          <w:szCs w:val="24"/>
          <w:lang w:val="en-US"/>
        </w:rPr>
        <w:t>5</w:t>
      </w:r>
    </w:p>
    <w:p w14:paraId="05093C1C" w14:textId="77777777" w:rsidR="00860BFA" w:rsidRPr="00591FCC" w:rsidRDefault="00025779" w:rsidP="00591FCC">
      <w:pPr>
        <w:spacing w:before="100" w:beforeAutospacing="1" w:after="100" w:afterAutospacing="1"/>
        <w:jc w:val="center"/>
        <w:rPr>
          <w:rFonts w:ascii="Times New Roman" w:eastAsia="Times New Roman" w:hAnsi="Times New Roman" w:cs="Times New Roman"/>
          <w:b/>
          <w:sz w:val="24"/>
          <w:szCs w:val="24"/>
          <w:lang w:val="en-US"/>
        </w:rPr>
      </w:pPr>
      <w:r w:rsidRPr="00591FCC">
        <w:rPr>
          <w:rFonts w:ascii="Times New Roman" w:eastAsia="Times New Roman" w:hAnsi="Times New Roman" w:cs="Times New Roman"/>
          <w:b/>
          <w:sz w:val="24"/>
          <w:szCs w:val="24"/>
          <w:lang w:val="en-US"/>
        </w:rPr>
        <w:t>Hyrja në fuqi dhe zbatimi</w:t>
      </w:r>
    </w:p>
    <w:p w14:paraId="7B7773DE" w14:textId="77777777" w:rsidR="00EC7F03" w:rsidRPr="00591FCC" w:rsidRDefault="00EC7F03" w:rsidP="00591FCC">
      <w:pPr>
        <w:numPr>
          <w:ilvl w:val="0"/>
          <w:numId w:val="24"/>
        </w:numPr>
        <w:jc w:val="both"/>
        <w:rPr>
          <w:rFonts w:ascii="Times New Roman" w:hAnsi="Times New Roman" w:cs="Times New Roman"/>
          <w:bCs/>
          <w:sz w:val="24"/>
          <w:szCs w:val="24"/>
          <w:lang w:val="en-US"/>
        </w:rPr>
      </w:pPr>
      <w:r w:rsidRPr="00591FCC">
        <w:rPr>
          <w:rFonts w:ascii="Times New Roman" w:hAnsi="Times New Roman" w:cs="Times New Roman"/>
          <w:bCs/>
          <w:sz w:val="24"/>
          <w:szCs w:val="24"/>
          <w:lang w:val="en-US"/>
        </w:rPr>
        <w:t xml:space="preserve">Ky ligj hyn në fuqi 15 ditë pas botimit në Fletoren Zyrtare. </w:t>
      </w:r>
    </w:p>
    <w:p w14:paraId="30A510CC" w14:textId="78F9A5D0" w:rsidR="00EC7F03" w:rsidRPr="00591FCC" w:rsidRDefault="00EC7F03" w:rsidP="00591FCC">
      <w:pPr>
        <w:numPr>
          <w:ilvl w:val="0"/>
          <w:numId w:val="24"/>
        </w:numPr>
        <w:jc w:val="both"/>
        <w:rPr>
          <w:rFonts w:ascii="Times New Roman" w:hAnsi="Times New Roman" w:cs="Times New Roman"/>
          <w:bCs/>
          <w:sz w:val="24"/>
          <w:szCs w:val="24"/>
          <w:lang w:val="en-US"/>
        </w:rPr>
      </w:pPr>
      <w:r w:rsidRPr="00591FCC">
        <w:rPr>
          <w:rFonts w:ascii="Times New Roman" w:hAnsi="Times New Roman" w:cs="Times New Roman"/>
          <w:bCs/>
          <w:sz w:val="24"/>
          <w:szCs w:val="24"/>
          <w:lang w:val="en-US"/>
        </w:rPr>
        <w:t xml:space="preserve">Efektet e këtij ligji do të </w:t>
      </w:r>
      <w:r w:rsidR="00B61D0E" w:rsidRPr="00591FCC">
        <w:rPr>
          <w:rFonts w:ascii="Times New Roman" w:hAnsi="Times New Roman" w:cs="Times New Roman"/>
          <w:bCs/>
          <w:sz w:val="24"/>
          <w:szCs w:val="24"/>
          <w:lang w:val="en-US"/>
        </w:rPr>
        <w:t xml:space="preserve">fillojnë </w:t>
      </w:r>
      <w:r w:rsidRPr="00591FCC">
        <w:rPr>
          <w:rFonts w:ascii="Times New Roman" w:hAnsi="Times New Roman" w:cs="Times New Roman"/>
          <w:sz w:val="24"/>
          <w:szCs w:val="24"/>
          <w:lang w:val="en-US"/>
        </w:rPr>
        <w:t xml:space="preserve">nga </w:t>
      </w:r>
      <w:r w:rsidRPr="00591FCC">
        <w:rPr>
          <w:rFonts w:ascii="Times New Roman" w:hAnsi="Times New Roman" w:cs="Times New Roman"/>
          <w:bCs/>
          <w:sz w:val="24"/>
          <w:szCs w:val="24"/>
          <w:lang w:val="en-US"/>
        </w:rPr>
        <w:t>data e anëtarësimit të Shqipërisë në Bashkimin Evropian, në përputhje me Traktatin e Anëtarësimit.</w:t>
      </w:r>
    </w:p>
    <w:p w14:paraId="47823368" w14:textId="77777777" w:rsidR="00EC7F03" w:rsidRPr="00591FCC" w:rsidRDefault="00EC7F03" w:rsidP="00591FCC">
      <w:pPr>
        <w:jc w:val="both"/>
        <w:rPr>
          <w:rFonts w:ascii="Times New Roman" w:hAnsi="Times New Roman" w:cs="Times New Roman"/>
          <w:bCs/>
          <w:sz w:val="24"/>
          <w:szCs w:val="24"/>
        </w:rPr>
      </w:pPr>
    </w:p>
    <w:p w14:paraId="38382E19" w14:textId="05C63F15" w:rsidR="00025779" w:rsidRPr="00591FCC" w:rsidRDefault="00025779" w:rsidP="00591FCC">
      <w:pPr>
        <w:spacing w:before="100" w:beforeAutospacing="1" w:after="100" w:afterAutospacing="1"/>
        <w:rPr>
          <w:rFonts w:ascii="Times New Roman" w:eastAsia="Times New Roman" w:hAnsi="Times New Roman" w:cs="Times New Roman"/>
          <w:sz w:val="24"/>
          <w:szCs w:val="24"/>
          <w:lang w:val="en-US"/>
        </w:rPr>
      </w:pPr>
    </w:p>
    <w:p w14:paraId="544A22E4" w14:textId="62F08920" w:rsidR="00025779" w:rsidRPr="00591FCC" w:rsidRDefault="00025779" w:rsidP="00591FCC">
      <w:pPr>
        <w:spacing w:before="100" w:beforeAutospacing="1" w:after="100" w:afterAutospacing="1"/>
        <w:jc w:val="both"/>
        <w:rPr>
          <w:rFonts w:ascii="Times New Roman" w:eastAsia="Times New Roman" w:hAnsi="Times New Roman" w:cs="Times New Roman"/>
          <w:sz w:val="24"/>
          <w:szCs w:val="24"/>
          <w:lang w:val="en-US"/>
        </w:rPr>
      </w:pPr>
    </w:p>
    <w:p w14:paraId="78219851" w14:textId="77777777" w:rsidR="00225FBE" w:rsidRPr="00591FCC" w:rsidRDefault="00225FBE" w:rsidP="00591FCC">
      <w:pPr>
        <w:spacing w:after="0"/>
        <w:ind w:firstLine="284"/>
        <w:jc w:val="both"/>
        <w:rPr>
          <w:rFonts w:ascii="Times New Roman" w:hAnsi="Times New Roman" w:cs="Times New Roman"/>
          <w:sz w:val="24"/>
          <w:szCs w:val="24"/>
        </w:rPr>
      </w:pPr>
    </w:p>
    <w:sectPr w:rsidR="00225FBE" w:rsidRPr="00591FCC" w:rsidSect="00D754CB">
      <w:footerReference w:type="default" r:id="rId14"/>
      <w:pgSz w:w="11906" w:h="16838" w:code="9"/>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B6AD58" w14:textId="77777777" w:rsidR="003231DE" w:rsidRDefault="003231DE" w:rsidP="0055222D">
      <w:pPr>
        <w:spacing w:after="0" w:line="240" w:lineRule="auto"/>
      </w:pPr>
      <w:r>
        <w:separator/>
      </w:r>
    </w:p>
  </w:endnote>
  <w:endnote w:type="continuationSeparator" w:id="0">
    <w:p w14:paraId="6E0C8622" w14:textId="77777777" w:rsidR="003231DE" w:rsidRDefault="003231DE" w:rsidP="0055222D">
      <w:pPr>
        <w:spacing w:after="0" w:line="240" w:lineRule="auto"/>
      </w:pPr>
      <w:r>
        <w:continuationSeparator/>
      </w:r>
    </w:p>
  </w:endnote>
  <w:endnote w:type="continuationNotice" w:id="1">
    <w:p w14:paraId="41726279" w14:textId="77777777" w:rsidR="003231DE" w:rsidRDefault="003231D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G Times">
    <w:charset w:val="EE"/>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4469134"/>
      <w:docPartObj>
        <w:docPartGallery w:val="Page Numbers (Bottom of Page)"/>
        <w:docPartUnique/>
      </w:docPartObj>
    </w:sdtPr>
    <w:sdtEndPr>
      <w:rPr>
        <w:rFonts w:ascii="Times New Roman" w:hAnsi="Times New Roman" w:cs="Times New Roman"/>
        <w:noProof/>
        <w:sz w:val="24"/>
        <w:szCs w:val="24"/>
      </w:rPr>
    </w:sdtEndPr>
    <w:sdtContent>
      <w:p w14:paraId="78219856" w14:textId="401C2661" w:rsidR="00B51C82" w:rsidRPr="00D754CB" w:rsidRDefault="00B51C82">
        <w:pPr>
          <w:pStyle w:val="Footer"/>
          <w:jc w:val="center"/>
          <w:rPr>
            <w:rFonts w:ascii="Times New Roman" w:hAnsi="Times New Roman" w:cs="Times New Roman"/>
            <w:sz w:val="24"/>
            <w:szCs w:val="24"/>
          </w:rPr>
        </w:pPr>
        <w:r w:rsidRPr="00D754CB">
          <w:rPr>
            <w:rFonts w:ascii="Times New Roman" w:hAnsi="Times New Roman" w:cs="Times New Roman"/>
            <w:sz w:val="24"/>
            <w:szCs w:val="24"/>
          </w:rPr>
          <w:fldChar w:fldCharType="begin"/>
        </w:r>
        <w:r w:rsidRPr="00D754CB">
          <w:rPr>
            <w:rFonts w:ascii="Times New Roman" w:hAnsi="Times New Roman" w:cs="Times New Roman"/>
            <w:sz w:val="24"/>
            <w:szCs w:val="24"/>
          </w:rPr>
          <w:instrText xml:space="preserve"> PAGE   \* MERGEFORMAT </w:instrText>
        </w:r>
        <w:r w:rsidRPr="00D754CB">
          <w:rPr>
            <w:rFonts w:ascii="Times New Roman" w:hAnsi="Times New Roman" w:cs="Times New Roman"/>
            <w:sz w:val="24"/>
            <w:szCs w:val="24"/>
          </w:rPr>
          <w:fldChar w:fldCharType="separate"/>
        </w:r>
        <w:r w:rsidR="00F76312">
          <w:rPr>
            <w:rFonts w:ascii="Times New Roman" w:hAnsi="Times New Roman" w:cs="Times New Roman"/>
            <w:noProof/>
            <w:sz w:val="24"/>
            <w:szCs w:val="24"/>
          </w:rPr>
          <w:t>6</w:t>
        </w:r>
        <w:r w:rsidRPr="00D754CB">
          <w:rPr>
            <w:rFonts w:ascii="Times New Roman" w:hAnsi="Times New Roman" w:cs="Times New Roman"/>
            <w:noProof/>
            <w:sz w:val="24"/>
            <w:szCs w:val="24"/>
          </w:rPr>
          <w:fldChar w:fldCharType="end"/>
        </w:r>
      </w:p>
    </w:sdtContent>
  </w:sdt>
  <w:p w14:paraId="78219857" w14:textId="77777777" w:rsidR="00B51C82" w:rsidRPr="00164744" w:rsidRDefault="00B51C82" w:rsidP="00164744">
    <w:pPr>
      <w:autoSpaceDE w:val="0"/>
      <w:autoSpaceDN w:val="0"/>
      <w:adjustRightInd w:val="0"/>
      <w:spacing w:after="0" w:line="240" w:lineRule="auto"/>
      <w:rPr>
        <w:rFonts w:ascii="Garamond" w:hAnsi="Garamond" w:cs="Garamond"/>
        <w:sz w:val="12"/>
        <w:szCs w:val="1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B45B29" w14:textId="77777777" w:rsidR="003231DE" w:rsidRDefault="003231DE" w:rsidP="0055222D">
      <w:pPr>
        <w:spacing w:after="0" w:line="240" w:lineRule="auto"/>
      </w:pPr>
      <w:r>
        <w:separator/>
      </w:r>
    </w:p>
  </w:footnote>
  <w:footnote w:type="continuationSeparator" w:id="0">
    <w:p w14:paraId="663D0F14" w14:textId="77777777" w:rsidR="003231DE" w:rsidRDefault="003231DE" w:rsidP="0055222D">
      <w:pPr>
        <w:spacing w:after="0" w:line="240" w:lineRule="auto"/>
      </w:pPr>
      <w:r>
        <w:continuationSeparator/>
      </w:r>
    </w:p>
  </w:footnote>
  <w:footnote w:type="continuationNotice" w:id="1">
    <w:p w14:paraId="578D7CA4" w14:textId="77777777" w:rsidR="003231DE" w:rsidRDefault="003231DE">
      <w:pPr>
        <w:spacing w:after="0" w:line="240" w:lineRule="auto"/>
      </w:pPr>
    </w:p>
  </w:footnote>
  <w:footnote w:id="2">
    <w:p w14:paraId="78219859" w14:textId="4B188ADB" w:rsidR="00B51C82" w:rsidRPr="008654FB" w:rsidRDefault="00B51C82" w:rsidP="008654FB">
      <w:pPr>
        <w:autoSpaceDE w:val="0"/>
        <w:autoSpaceDN w:val="0"/>
        <w:adjustRightInd w:val="0"/>
        <w:spacing w:after="0" w:line="240" w:lineRule="auto"/>
        <w:jc w:val="both"/>
        <w:rPr>
          <w:rFonts w:ascii="Times New Roman" w:hAnsi="Times New Roman" w:cs="Times New Roman"/>
        </w:rPr>
      </w:pPr>
      <w:r w:rsidRPr="00F74BA0">
        <w:rPr>
          <w:rFonts w:ascii="Times New Roman" w:eastAsia="Times New Roman" w:hAnsi="Times New Roman" w:cs="Times New Roman"/>
          <w:bCs/>
          <w:sz w:val="20"/>
          <w:szCs w:val="20"/>
          <w:vertAlign w:val="superscript"/>
        </w:rPr>
        <w:t>1</w:t>
      </w:r>
      <w:r w:rsidR="00B92EFB" w:rsidRPr="00F74BA0">
        <w:rPr>
          <w:rFonts w:ascii="Times New Roman" w:eastAsia="Times New Roman" w:hAnsi="Times New Roman" w:cs="Times New Roman"/>
          <w:bCs/>
          <w:sz w:val="20"/>
          <w:szCs w:val="20"/>
          <w:vertAlign w:val="superscript"/>
        </w:rPr>
        <w:t xml:space="preserve"> </w:t>
      </w:r>
      <w:r w:rsidRPr="008654FB">
        <w:rPr>
          <w:rFonts w:ascii="Times New Roman" w:hAnsi="Times New Roman" w:cs="Times New Roman"/>
          <w:color w:val="000000"/>
        </w:rPr>
        <w:t>Ky ligj përafron pjesërisht Direktivën e Këshillit 2011/16/BE, datë 15 shkurt 2011, “Mbi bashkëpunimin administrativ në fushën e tatimeve dhe shfuqizimin e Direktivës 77/799/KEE”, të ndryshuar, në pjesën që lidhet me shkëmbimin automatik të informacionit të llogarive financiare, sipas nenit 8, pika 3a, dhe anekseve I dhe II të saj, përfshirë ndryshimet përkatëse të bë</w:t>
      </w:r>
      <w:r>
        <w:rPr>
          <w:rFonts w:ascii="Times New Roman" w:hAnsi="Times New Roman" w:cs="Times New Roman"/>
          <w:color w:val="000000"/>
        </w:rPr>
        <w:t xml:space="preserve">ra me Direktivën 2014/107/BE,  Direktivën (BE) 2023/2226 </w:t>
      </w:r>
      <w:r w:rsidRPr="000D33DA">
        <w:rPr>
          <w:rFonts w:ascii="Times New Roman" w:eastAsia="Times New Roman" w:hAnsi="Times New Roman" w:cs="Times New Roman"/>
          <w:lang w:eastAsia="sq-AL"/>
        </w:rPr>
        <w:t>dhe Direktivën (BE) 2025/872</w:t>
      </w:r>
      <w:r>
        <w:rPr>
          <w:rFonts w:ascii="Times New Roman" w:eastAsia="Times New Roman" w:hAnsi="Times New Roman" w:cs="Times New Roman"/>
          <w:lang w:eastAsia="sq-AL"/>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D6961"/>
    <w:multiLevelType w:val="hybridMultilevel"/>
    <w:tmpl w:val="0FA68E50"/>
    <w:lvl w:ilvl="0" w:tplc="0409000F">
      <w:start w:val="1"/>
      <w:numFmt w:val="decimal"/>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3946EC9"/>
    <w:multiLevelType w:val="hybridMultilevel"/>
    <w:tmpl w:val="0238A07C"/>
    <w:lvl w:ilvl="0" w:tplc="A802E7CC">
      <w:start w:val="23"/>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C76F75"/>
    <w:multiLevelType w:val="hybridMultilevel"/>
    <w:tmpl w:val="3A9AAE8A"/>
    <w:lvl w:ilvl="0" w:tplc="60DEA6A4">
      <w:start w:val="1"/>
      <w:numFmt w:val="decimal"/>
      <w:lvlText w:val="%1."/>
      <w:lvlJc w:val="left"/>
      <w:pPr>
        <w:ind w:left="450" w:hanging="360"/>
      </w:pPr>
      <w:rPr>
        <w:rFonts w:hint="default"/>
        <w:b w:val="0"/>
        <w:bCs/>
      </w:rPr>
    </w:lvl>
    <w:lvl w:ilvl="1" w:tplc="304A1624">
      <w:start w:val="1"/>
      <w:numFmt w:val="lowerRoman"/>
      <w:lvlText w:val="%2)"/>
      <w:lvlJc w:val="left"/>
      <w:pPr>
        <w:ind w:left="1500" w:hanging="720"/>
      </w:pPr>
      <w:rPr>
        <w:rFonts w:hint="default"/>
      </w:rPr>
    </w:lvl>
    <w:lvl w:ilvl="2" w:tplc="041C001B" w:tentative="1">
      <w:start w:val="1"/>
      <w:numFmt w:val="lowerRoman"/>
      <w:lvlText w:val="%3."/>
      <w:lvlJc w:val="right"/>
      <w:pPr>
        <w:ind w:left="1860" w:hanging="180"/>
      </w:pPr>
    </w:lvl>
    <w:lvl w:ilvl="3" w:tplc="041C000F" w:tentative="1">
      <w:start w:val="1"/>
      <w:numFmt w:val="decimal"/>
      <w:lvlText w:val="%4."/>
      <w:lvlJc w:val="left"/>
      <w:pPr>
        <w:ind w:left="2580" w:hanging="360"/>
      </w:pPr>
    </w:lvl>
    <w:lvl w:ilvl="4" w:tplc="041C0019" w:tentative="1">
      <w:start w:val="1"/>
      <w:numFmt w:val="lowerLetter"/>
      <w:lvlText w:val="%5."/>
      <w:lvlJc w:val="left"/>
      <w:pPr>
        <w:ind w:left="3300" w:hanging="360"/>
      </w:pPr>
    </w:lvl>
    <w:lvl w:ilvl="5" w:tplc="041C001B" w:tentative="1">
      <w:start w:val="1"/>
      <w:numFmt w:val="lowerRoman"/>
      <w:lvlText w:val="%6."/>
      <w:lvlJc w:val="right"/>
      <w:pPr>
        <w:ind w:left="4020" w:hanging="180"/>
      </w:pPr>
    </w:lvl>
    <w:lvl w:ilvl="6" w:tplc="041C000F" w:tentative="1">
      <w:start w:val="1"/>
      <w:numFmt w:val="decimal"/>
      <w:lvlText w:val="%7."/>
      <w:lvlJc w:val="left"/>
      <w:pPr>
        <w:ind w:left="4740" w:hanging="360"/>
      </w:pPr>
    </w:lvl>
    <w:lvl w:ilvl="7" w:tplc="041C0019" w:tentative="1">
      <w:start w:val="1"/>
      <w:numFmt w:val="lowerLetter"/>
      <w:lvlText w:val="%8."/>
      <w:lvlJc w:val="left"/>
      <w:pPr>
        <w:ind w:left="5460" w:hanging="360"/>
      </w:pPr>
    </w:lvl>
    <w:lvl w:ilvl="8" w:tplc="041C001B" w:tentative="1">
      <w:start w:val="1"/>
      <w:numFmt w:val="lowerRoman"/>
      <w:lvlText w:val="%9."/>
      <w:lvlJc w:val="right"/>
      <w:pPr>
        <w:ind w:left="6180" w:hanging="180"/>
      </w:pPr>
    </w:lvl>
  </w:abstractNum>
  <w:abstractNum w:abstractNumId="3" w15:restartNumberingAfterBreak="0">
    <w:nsid w:val="064C37B7"/>
    <w:multiLevelType w:val="hybridMultilevel"/>
    <w:tmpl w:val="A9F4A03C"/>
    <w:lvl w:ilvl="0" w:tplc="34224DD0">
      <w:start w:val="1"/>
      <w:numFmt w:val="decimal"/>
      <w:lvlText w:val="%1."/>
      <w:lvlJc w:val="left"/>
      <w:pPr>
        <w:ind w:left="360" w:hanging="360"/>
      </w:pPr>
      <w:rPr>
        <w:rFonts w:hint="default"/>
        <w:color w:val="00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902447F"/>
    <w:multiLevelType w:val="hybridMultilevel"/>
    <w:tmpl w:val="108AD3C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D1C2108"/>
    <w:multiLevelType w:val="multilevel"/>
    <w:tmpl w:val="E056E742"/>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6" w15:restartNumberingAfterBreak="0">
    <w:nsid w:val="0D813B38"/>
    <w:multiLevelType w:val="multilevel"/>
    <w:tmpl w:val="37BEF14A"/>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 w15:restartNumberingAfterBreak="0">
    <w:nsid w:val="16980B50"/>
    <w:multiLevelType w:val="hybridMultilevel"/>
    <w:tmpl w:val="EEE67E04"/>
    <w:lvl w:ilvl="0" w:tplc="04090017">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743223C"/>
    <w:multiLevelType w:val="multilevel"/>
    <w:tmpl w:val="43CA138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9" w15:restartNumberingAfterBreak="0">
    <w:nsid w:val="1CF50C68"/>
    <w:multiLevelType w:val="hybridMultilevel"/>
    <w:tmpl w:val="1A72E3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02F62D8"/>
    <w:multiLevelType w:val="hybridMultilevel"/>
    <w:tmpl w:val="AB44F1D0"/>
    <w:lvl w:ilvl="0" w:tplc="04090017">
      <w:start w:val="1"/>
      <w:numFmt w:val="lowerLetter"/>
      <w:lvlText w:val="%1)"/>
      <w:lvlJc w:val="left"/>
      <w:pPr>
        <w:ind w:left="720" w:hanging="360"/>
      </w:pPr>
    </w:lvl>
    <w:lvl w:ilvl="1" w:tplc="04090017">
      <w:start w:val="1"/>
      <w:numFmt w:val="lowerLetter"/>
      <w:lvlText w:val="%2)"/>
      <w:lvlJc w:val="left"/>
      <w:pPr>
        <w:ind w:left="810" w:hanging="360"/>
      </w:pPr>
    </w:lvl>
    <w:lvl w:ilvl="2" w:tplc="5FCA62CE">
      <w:start w:val="26"/>
      <w:numFmt w:val="decimal"/>
      <w:lvlText w:val="%3."/>
      <w:lvlJc w:val="left"/>
      <w:pPr>
        <w:ind w:left="2340" w:hanging="360"/>
      </w:pPr>
      <w:rPr>
        <w:rFonts w:hint="default"/>
        <w:b/>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0BA32C8"/>
    <w:multiLevelType w:val="multilevel"/>
    <w:tmpl w:val="C660FB9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 w15:restartNumberingAfterBreak="0">
    <w:nsid w:val="21CD6372"/>
    <w:multiLevelType w:val="multilevel"/>
    <w:tmpl w:val="99DABFA4"/>
    <w:lvl w:ilvl="0">
      <w:start w:val="3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20605FE"/>
    <w:multiLevelType w:val="multilevel"/>
    <w:tmpl w:val="289A1A08"/>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 w15:restartNumberingAfterBreak="0">
    <w:nsid w:val="22E71F0B"/>
    <w:multiLevelType w:val="hybridMultilevel"/>
    <w:tmpl w:val="458C60C2"/>
    <w:lvl w:ilvl="0" w:tplc="7D768DA0">
      <w:start w:val="1"/>
      <w:numFmt w:val="decimal"/>
      <w:lvlText w:val="%1."/>
      <w:lvlJc w:val="left"/>
      <w:pPr>
        <w:ind w:left="360" w:hanging="360"/>
      </w:pPr>
      <w:rPr>
        <w:rFonts w:ascii="Times New Roman" w:eastAsia="Times New Roman" w:hAnsi="Times New Roman" w:cs="Times New Roman"/>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23680032"/>
    <w:multiLevelType w:val="multilevel"/>
    <w:tmpl w:val="6F604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58C312E"/>
    <w:multiLevelType w:val="multilevel"/>
    <w:tmpl w:val="A9A240F6"/>
    <w:lvl w:ilvl="0">
      <w:start w:val="1"/>
      <w:numFmt w:val="decimal"/>
      <w:lvlText w:val="%1."/>
      <w:lvlJc w:val="left"/>
      <w:pPr>
        <w:tabs>
          <w:tab w:val="num" w:pos="360"/>
        </w:tabs>
        <w:ind w:left="360" w:hanging="360"/>
      </w:pPr>
      <w:rPr>
        <w:b w:val="0"/>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7" w15:restartNumberingAfterBreak="0">
    <w:nsid w:val="2E3A2CEE"/>
    <w:multiLevelType w:val="multilevel"/>
    <w:tmpl w:val="B3FC36A2"/>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8" w15:restartNumberingAfterBreak="0">
    <w:nsid w:val="30317AD1"/>
    <w:multiLevelType w:val="hybridMultilevel"/>
    <w:tmpl w:val="BC189D68"/>
    <w:lvl w:ilvl="0" w:tplc="3A3EE4C8">
      <w:start w:val="27"/>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08941AB"/>
    <w:multiLevelType w:val="hybridMultilevel"/>
    <w:tmpl w:val="A8380C06"/>
    <w:lvl w:ilvl="0" w:tplc="FFFFFFFF">
      <w:start w:val="1"/>
      <w:numFmt w:val="lowerRoman"/>
      <w:lvlText w:val="%1."/>
      <w:lvlJc w:val="right"/>
      <w:pPr>
        <w:ind w:left="988" w:hanging="360"/>
      </w:pPr>
    </w:lvl>
    <w:lvl w:ilvl="1" w:tplc="0409001B">
      <w:start w:val="1"/>
      <w:numFmt w:val="lowerRoman"/>
      <w:lvlText w:val="%2."/>
      <w:lvlJc w:val="right"/>
      <w:pPr>
        <w:ind w:left="720" w:hanging="360"/>
      </w:pPr>
    </w:lvl>
    <w:lvl w:ilvl="2" w:tplc="8A126988">
      <w:start w:val="1"/>
      <w:numFmt w:val="decimal"/>
      <w:lvlText w:val="%3."/>
      <w:lvlJc w:val="left"/>
      <w:pPr>
        <w:ind w:left="2608" w:hanging="360"/>
      </w:pPr>
      <w:rPr>
        <w:rFonts w:hint="default"/>
      </w:rPr>
    </w:lvl>
    <w:lvl w:ilvl="3" w:tplc="FFFFFFFF" w:tentative="1">
      <w:start w:val="1"/>
      <w:numFmt w:val="decimal"/>
      <w:lvlText w:val="%4."/>
      <w:lvlJc w:val="left"/>
      <w:pPr>
        <w:ind w:left="3148" w:hanging="360"/>
      </w:pPr>
    </w:lvl>
    <w:lvl w:ilvl="4" w:tplc="FFFFFFFF" w:tentative="1">
      <w:start w:val="1"/>
      <w:numFmt w:val="lowerLetter"/>
      <w:lvlText w:val="%5."/>
      <w:lvlJc w:val="left"/>
      <w:pPr>
        <w:ind w:left="3868" w:hanging="360"/>
      </w:pPr>
    </w:lvl>
    <w:lvl w:ilvl="5" w:tplc="FFFFFFFF" w:tentative="1">
      <w:start w:val="1"/>
      <w:numFmt w:val="lowerRoman"/>
      <w:lvlText w:val="%6."/>
      <w:lvlJc w:val="right"/>
      <w:pPr>
        <w:ind w:left="4588" w:hanging="180"/>
      </w:pPr>
    </w:lvl>
    <w:lvl w:ilvl="6" w:tplc="FFFFFFFF" w:tentative="1">
      <w:start w:val="1"/>
      <w:numFmt w:val="decimal"/>
      <w:lvlText w:val="%7."/>
      <w:lvlJc w:val="left"/>
      <w:pPr>
        <w:ind w:left="5308" w:hanging="360"/>
      </w:pPr>
    </w:lvl>
    <w:lvl w:ilvl="7" w:tplc="FFFFFFFF" w:tentative="1">
      <w:start w:val="1"/>
      <w:numFmt w:val="lowerLetter"/>
      <w:lvlText w:val="%8."/>
      <w:lvlJc w:val="left"/>
      <w:pPr>
        <w:ind w:left="6028" w:hanging="360"/>
      </w:pPr>
    </w:lvl>
    <w:lvl w:ilvl="8" w:tplc="FFFFFFFF" w:tentative="1">
      <w:start w:val="1"/>
      <w:numFmt w:val="lowerRoman"/>
      <w:lvlText w:val="%9."/>
      <w:lvlJc w:val="right"/>
      <w:pPr>
        <w:ind w:left="6748" w:hanging="180"/>
      </w:pPr>
    </w:lvl>
  </w:abstractNum>
  <w:abstractNum w:abstractNumId="20" w15:restartNumberingAfterBreak="0">
    <w:nsid w:val="33712E5A"/>
    <w:multiLevelType w:val="hybridMultilevel"/>
    <w:tmpl w:val="CFB886CC"/>
    <w:lvl w:ilvl="0" w:tplc="0409000F">
      <w:start w:val="1"/>
      <w:numFmt w:val="decimal"/>
      <w:lvlText w:val="%1."/>
      <w:lvlJc w:val="left"/>
      <w:pPr>
        <w:ind w:left="720" w:hanging="360"/>
      </w:pPr>
    </w:lvl>
    <w:lvl w:ilvl="1" w:tplc="04090017">
      <w:start w:val="1"/>
      <w:numFmt w:val="lowerLetter"/>
      <w:lvlText w:val="%2)"/>
      <w:lvlJc w:val="left"/>
      <w:pPr>
        <w:ind w:left="81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8031598"/>
    <w:multiLevelType w:val="multilevel"/>
    <w:tmpl w:val="4D8EC35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2" w15:restartNumberingAfterBreak="0">
    <w:nsid w:val="3BC53335"/>
    <w:multiLevelType w:val="multilevel"/>
    <w:tmpl w:val="73003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8CF7B6B"/>
    <w:multiLevelType w:val="multilevel"/>
    <w:tmpl w:val="1FC6596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4" w15:restartNumberingAfterBreak="0">
    <w:nsid w:val="4B2A5A6E"/>
    <w:multiLevelType w:val="hybridMultilevel"/>
    <w:tmpl w:val="DE5CEF30"/>
    <w:lvl w:ilvl="0" w:tplc="04090017">
      <w:start w:val="1"/>
      <w:numFmt w:val="lowerLetter"/>
      <w:lvlText w:val="%1)"/>
      <w:lvlJc w:val="left"/>
      <w:pPr>
        <w:ind w:left="1040" w:hanging="360"/>
      </w:pPr>
    </w:lvl>
    <w:lvl w:ilvl="1" w:tplc="04090017">
      <w:start w:val="1"/>
      <w:numFmt w:val="lowerLetter"/>
      <w:lvlText w:val="%2)"/>
      <w:lvlJc w:val="left"/>
      <w:pPr>
        <w:ind w:left="1760" w:hanging="360"/>
      </w:pPr>
    </w:lvl>
    <w:lvl w:ilvl="2" w:tplc="0409001B" w:tentative="1">
      <w:start w:val="1"/>
      <w:numFmt w:val="lowerRoman"/>
      <w:lvlText w:val="%3."/>
      <w:lvlJc w:val="right"/>
      <w:pPr>
        <w:ind w:left="2480" w:hanging="180"/>
      </w:pPr>
    </w:lvl>
    <w:lvl w:ilvl="3" w:tplc="0409000F" w:tentative="1">
      <w:start w:val="1"/>
      <w:numFmt w:val="decimal"/>
      <w:lvlText w:val="%4."/>
      <w:lvlJc w:val="left"/>
      <w:pPr>
        <w:ind w:left="3200" w:hanging="360"/>
      </w:pPr>
    </w:lvl>
    <w:lvl w:ilvl="4" w:tplc="04090019" w:tentative="1">
      <w:start w:val="1"/>
      <w:numFmt w:val="lowerLetter"/>
      <w:lvlText w:val="%5."/>
      <w:lvlJc w:val="left"/>
      <w:pPr>
        <w:ind w:left="3920" w:hanging="360"/>
      </w:pPr>
    </w:lvl>
    <w:lvl w:ilvl="5" w:tplc="0409001B" w:tentative="1">
      <w:start w:val="1"/>
      <w:numFmt w:val="lowerRoman"/>
      <w:lvlText w:val="%6."/>
      <w:lvlJc w:val="right"/>
      <w:pPr>
        <w:ind w:left="4640" w:hanging="180"/>
      </w:pPr>
    </w:lvl>
    <w:lvl w:ilvl="6" w:tplc="0409000F" w:tentative="1">
      <w:start w:val="1"/>
      <w:numFmt w:val="decimal"/>
      <w:lvlText w:val="%7."/>
      <w:lvlJc w:val="left"/>
      <w:pPr>
        <w:ind w:left="5360" w:hanging="360"/>
      </w:pPr>
    </w:lvl>
    <w:lvl w:ilvl="7" w:tplc="04090019" w:tentative="1">
      <w:start w:val="1"/>
      <w:numFmt w:val="lowerLetter"/>
      <w:lvlText w:val="%8."/>
      <w:lvlJc w:val="left"/>
      <w:pPr>
        <w:ind w:left="6080" w:hanging="360"/>
      </w:pPr>
    </w:lvl>
    <w:lvl w:ilvl="8" w:tplc="0409001B" w:tentative="1">
      <w:start w:val="1"/>
      <w:numFmt w:val="lowerRoman"/>
      <w:lvlText w:val="%9."/>
      <w:lvlJc w:val="right"/>
      <w:pPr>
        <w:ind w:left="6800" w:hanging="180"/>
      </w:pPr>
    </w:lvl>
  </w:abstractNum>
  <w:abstractNum w:abstractNumId="25" w15:restartNumberingAfterBreak="0">
    <w:nsid w:val="4C5E0806"/>
    <w:multiLevelType w:val="hybridMultilevel"/>
    <w:tmpl w:val="ED22B41E"/>
    <w:lvl w:ilvl="0" w:tplc="0409000F">
      <w:start w:val="1"/>
      <w:numFmt w:val="decimal"/>
      <w:lvlText w:val="%1."/>
      <w:lvlJc w:val="left"/>
      <w:pPr>
        <w:ind w:left="720" w:hanging="360"/>
      </w:pPr>
    </w:lvl>
    <w:lvl w:ilvl="1" w:tplc="04090017">
      <w:start w:val="1"/>
      <w:numFmt w:val="lowerLetter"/>
      <w:lvlText w:val="%2)"/>
      <w:lvlJc w:val="left"/>
      <w:pPr>
        <w:ind w:left="90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D73087F"/>
    <w:multiLevelType w:val="multilevel"/>
    <w:tmpl w:val="1F183A4C"/>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7" w15:restartNumberingAfterBreak="0">
    <w:nsid w:val="4E857D3A"/>
    <w:multiLevelType w:val="hybridMultilevel"/>
    <w:tmpl w:val="3E12AC82"/>
    <w:lvl w:ilvl="0" w:tplc="A398ADE2">
      <w:start w:val="9"/>
      <w:numFmt w:val="lowerLetter"/>
      <w:lvlText w:val="%1)"/>
      <w:lvlJc w:val="left"/>
      <w:pPr>
        <w:ind w:left="700" w:hanging="360"/>
      </w:pPr>
      <w:rPr>
        <w:rFonts w:hint="default"/>
      </w:rPr>
    </w:lvl>
    <w:lvl w:ilvl="1" w:tplc="041C0019" w:tentative="1">
      <w:start w:val="1"/>
      <w:numFmt w:val="lowerLetter"/>
      <w:lvlText w:val="%2."/>
      <w:lvlJc w:val="left"/>
      <w:pPr>
        <w:ind w:left="1420" w:hanging="360"/>
      </w:pPr>
    </w:lvl>
    <w:lvl w:ilvl="2" w:tplc="041C001B" w:tentative="1">
      <w:start w:val="1"/>
      <w:numFmt w:val="lowerRoman"/>
      <w:lvlText w:val="%3."/>
      <w:lvlJc w:val="right"/>
      <w:pPr>
        <w:ind w:left="2140" w:hanging="180"/>
      </w:pPr>
    </w:lvl>
    <w:lvl w:ilvl="3" w:tplc="041C000F" w:tentative="1">
      <w:start w:val="1"/>
      <w:numFmt w:val="decimal"/>
      <w:lvlText w:val="%4."/>
      <w:lvlJc w:val="left"/>
      <w:pPr>
        <w:ind w:left="2860" w:hanging="360"/>
      </w:pPr>
    </w:lvl>
    <w:lvl w:ilvl="4" w:tplc="041C0019" w:tentative="1">
      <w:start w:val="1"/>
      <w:numFmt w:val="lowerLetter"/>
      <w:lvlText w:val="%5."/>
      <w:lvlJc w:val="left"/>
      <w:pPr>
        <w:ind w:left="3580" w:hanging="360"/>
      </w:pPr>
    </w:lvl>
    <w:lvl w:ilvl="5" w:tplc="041C001B" w:tentative="1">
      <w:start w:val="1"/>
      <w:numFmt w:val="lowerRoman"/>
      <w:lvlText w:val="%6."/>
      <w:lvlJc w:val="right"/>
      <w:pPr>
        <w:ind w:left="4300" w:hanging="180"/>
      </w:pPr>
    </w:lvl>
    <w:lvl w:ilvl="6" w:tplc="041C000F" w:tentative="1">
      <w:start w:val="1"/>
      <w:numFmt w:val="decimal"/>
      <w:lvlText w:val="%7."/>
      <w:lvlJc w:val="left"/>
      <w:pPr>
        <w:ind w:left="5020" w:hanging="360"/>
      </w:pPr>
    </w:lvl>
    <w:lvl w:ilvl="7" w:tplc="041C0019" w:tentative="1">
      <w:start w:val="1"/>
      <w:numFmt w:val="lowerLetter"/>
      <w:lvlText w:val="%8."/>
      <w:lvlJc w:val="left"/>
      <w:pPr>
        <w:ind w:left="5740" w:hanging="360"/>
      </w:pPr>
    </w:lvl>
    <w:lvl w:ilvl="8" w:tplc="041C001B" w:tentative="1">
      <w:start w:val="1"/>
      <w:numFmt w:val="lowerRoman"/>
      <w:lvlText w:val="%9."/>
      <w:lvlJc w:val="right"/>
      <w:pPr>
        <w:ind w:left="6460" w:hanging="180"/>
      </w:pPr>
    </w:lvl>
  </w:abstractNum>
  <w:abstractNum w:abstractNumId="28" w15:restartNumberingAfterBreak="0">
    <w:nsid w:val="52181A92"/>
    <w:multiLevelType w:val="hybridMultilevel"/>
    <w:tmpl w:val="952A13E4"/>
    <w:lvl w:ilvl="0" w:tplc="0409001B">
      <w:start w:val="1"/>
      <w:numFmt w:val="lowerRoman"/>
      <w:lvlText w:val="%1."/>
      <w:lvlJc w:val="right"/>
      <w:pPr>
        <w:ind w:left="720" w:hanging="360"/>
      </w:pPr>
    </w:lvl>
    <w:lvl w:ilvl="1" w:tplc="66180E54">
      <w:start w:val="1"/>
      <w:numFmt w:val="decimal"/>
      <w:lvlText w:val="%2."/>
      <w:lvlJc w:val="left"/>
      <w:pPr>
        <w:ind w:left="72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5AE4B0F"/>
    <w:multiLevelType w:val="hybridMultilevel"/>
    <w:tmpl w:val="DA160476"/>
    <w:lvl w:ilvl="0" w:tplc="0409000F">
      <w:start w:val="1"/>
      <w:numFmt w:val="decimal"/>
      <w:lvlText w:val="%1."/>
      <w:lvlJc w:val="left"/>
      <w:pPr>
        <w:ind w:left="720" w:hanging="360"/>
      </w:pPr>
    </w:lvl>
    <w:lvl w:ilvl="1" w:tplc="8D1AB494">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F366F95"/>
    <w:multiLevelType w:val="hybridMultilevel"/>
    <w:tmpl w:val="09AEBECE"/>
    <w:lvl w:ilvl="0" w:tplc="0409000F">
      <w:start w:val="1"/>
      <w:numFmt w:val="decimal"/>
      <w:lvlText w:val="%1."/>
      <w:lvlJc w:val="left"/>
      <w:pPr>
        <w:ind w:left="720" w:hanging="360"/>
      </w:pPr>
    </w:lvl>
    <w:lvl w:ilvl="1" w:tplc="04090017">
      <w:start w:val="1"/>
      <w:numFmt w:val="lowerLetter"/>
      <w:lvlText w:val="%2)"/>
      <w:lvlJc w:val="left"/>
      <w:pPr>
        <w:ind w:left="90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3E35707"/>
    <w:multiLevelType w:val="hybridMultilevel"/>
    <w:tmpl w:val="B86478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56A711A"/>
    <w:multiLevelType w:val="hybridMultilevel"/>
    <w:tmpl w:val="0AD4A09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659969C3"/>
    <w:multiLevelType w:val="multilevel"/>
    <w:tmpl w:val="49E42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7307867"/>
    <w:multiLevelType w:val="multilevel"/>
    <w:tmpl w:val="D93C7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97758F5"/>
    <w:multiLevelType w:val="hybridMultilevel"/>
    <w:tmpl w:val="4EC0B4A0"/>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6" w15:restartNumberingAfterBreak="0">
    <w:nsid w:val="6B503BA4"/>
    <w:multiLevelType w:val="multilevel"/>
    <w:tmpl w:val="81AC148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7" w15:restartNumberingAfterBreak="0">
    <w:nsid w:val="70C34967"/>
    <w:multiLevelType w:val="hybridMultilevel"/>
    <w:tmpl w:val="78525C34"/>
    <w:lvl w:ilvl="0" w:tplc="04090017">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70E851D1"/>
    <w:multiLevelType w:val="hybridMultilevel"/>
    <w:tmpl w:val="F7DEACA0"/>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724B085D"/>
    <w:multiLevelType w:val="multilevel"/>
    <w:tmpl w:val="F620E16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0" w15:restartNumberingAfterBreak="0">
    <w:nsid w:val="746E72A3"/>
    <w:multiLevelType w:val="multilevel"/>
    <w:tmpl w:val="2C507812"/>
    <w:lvl w:ilvl="0">
      <w:start w:val="4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681730D"/>
    <w:multiLevelType w:val="multilevel"/>
    <w:tmpl w:val="398ACFCA"/>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2" w15:restartNumberingAfterBreak="0">
    <w:nsid w:val="789A0DFE"/>
    <w:multiLevelType w:val="multilevel"/>
    <w:tmpl w:val="19E6121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3" w15:restartNumberingAfterBreak="0">
    <w:nsid w:val="7AB4272D"/>
    <w:multiLevelType w:val="hybridMultilevel"/>
    <w:tmpl w:val="4F2A747A"/>
    <w:lvl w:ilvl="0" w:tplc="0409000F">
      <w:start w:val="1"/>
      <w:numFmt w:val="decimal"/>
      <w:lvlText w:val="%1."/>
      <w:lvlJc w:val="left"/>
      <w:pPr>
        <w:ind w:left="720" w:hanging="360"/>
      </w:pPr>
    </w:lvl>
    <w:lvl w:ilvl="1" w:tplc="04090017">
      <w:start w:val="1"/>
      <w:numFmt w:val="lowerLetter"/>
      <w:lvlText w:val="%2)"/>
      <w:lvlJc w:val="left"/>
      <w:pPr>
        <w:ind w:left="90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F715D55"/>
    <w:multiLevelType w:val="multilevel"/>
    <w:tmpl w:val="9EB65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73512171">
    <w:abstractNumId w:val="8"/>
  </w:num>
  <w:num w:numId="2" w16cid:durableId="1461652787">
    <w:abstractNumId w:val="35"/>
  </w:num>
  <w:num w:numId="3" w16cid:durableId="1919903170">
    <w:abstractNumId w:val="28"/>
  </w:num>
  <w:num w:numId="4" w16cid:durableId="176774186">
    <w:abstractNumId w:val="19"/>
  </w:num>
  <w:num w:numId="5" w16cid:durableId="1585185328">
    <w:abstractNumId w:val="21"/>
  </w:num>
  <w:num w:numId="6" w16cid:durableId="604768077">
    <w:abstractNumId w:val="13"/>
  </w:num>
  <w:num w:numId="7" w16cid:durableId="948047088">
    <w:abstractNumId w:val="6"/>
  </w:num>
  <w:num w:numId="8" w16cid:durableId="1933735450">
    <w:abstractNumId w:val="16"/>
  </w:num>
  <w:num w:numId="9" w16cid:durableId="1473205825">
    <w:abstractNumId w:val="23"/>
  </w:num>
  <w:num w:numId="10" w16cid:durableId="380374173">
    <w:abstractNumId w:val="5"/>
  </w:num>
  <w:num w:numId="11" w16cid:durableId="186455346">
    <w:abstractNumId w:val="26"/>
  </w:num>
  <w:num w:numId="12" w16cid:durableId="1159226927">
    <w:abstractNumId w:val="39"/>
  </w:num>
  <w:num w:numId="13" w16cid:durableId="1123770109">
    <w:abstractNumId w:val="36"/>
  </w:num>
  <w:num w:numId="14" w16cid:durableId="1402413202">
    <w:abstractNumId w:val="41"/>
  </w:num>
  <w:num w:numId="15" w16cid:durableId="1792245146">
    <w:abstractNumId w:val="17"/>
  </w:num>
  <w:num w:numId="16" w16cid:durableId="665717206">
    <w:abstractNumId w:val="14"/>
  </w:num>
  <w:num w:numId="17" w16cid:durableId="1300182048">
    <w:abstractNumId w:val="31"/>
  </w:num>
  <w:num w:numId="18" w16cid:durableId="1168717784">
    <w:abstractNumId w:val="3"/>
  </w:num>
  <w:num w:numId="19" w16cid:durableId="973368797">
    <w:abstractNumId w:val="9"/>
  </w:num>
  <w:num w:numId="20" w16cid:durableId="985087428">
    <w:abstractNumId w:val="42"/>
  </w:num>
  <w:num w:numId="21" w16cid:durableId="1508863577">
    <w:abstractNumId w:val="0"/>
  </w:num>
  <w:num w:numId="22" w16cid:durableId="607126673">
    <w:abstractNumId w:val="33"/>
  </w:num>
  <w:num w:numId="23" w16cid:durableId="2088837490">
    <w:abstractNumId w:val="34"/>
  </w:num>
  <w:num w:numId="24" w16cid:durableId="981352194">
    <w:abstractNumId w:val="11"/>
  </w:num>
  <w:num w:numId="25" w16cid:durableId="797652614">
    <w:abstractNumId w:val="2"/>
  </w:num>
  <w:num w:numId="26" w16cid:durableId="159472523">
    <w:abstractNumId w:val="1"/>
  </w:num>
  <w:num w:numId="27" w16cid:durableId="815222517">
    <w:abstractNumId w:val="29"/>
  </w:num>
  <w:num w:numId="28" w16cid:durableId="712269317">
    <w:abstractNumId w:val="7"/>
  </w:num>
  <w:num w:numId="29" w16cid:durableId="1309506685">
    <w:abstractNumId w:val="43"/>
  </w:num>
  <w:num w:numId="30" w16cid:durableId="676231830">
    <w:abstractNumId w:val="25"/>
  </w:num>
  <w:num w:numId="31" w16cid:durableId="1440951721">
    <w:abstractNumId w:val="30"/>
  </w:num>
  <w:num w:numId="32" w16cid:durableId="1051928642">
    <w:abstractNumId w:val="20"/>
  </w:num>
  <w:num w:numId="33" w16cid:durableId="1615288627">
    <w:abstractNumId w:val="37"/>
  </w:num>
  <w:num w:numId="34" w16cid:durableId="1651783705">
    <w:abstractNumId w:val="4"/>
  </w:num>
  <w:num w:numId="35" w16cid:durableId="95294194">
    <w:abstractNumId w:val="10"/>
  </w:num>
  <w:num w:numId="36" w16cid:durableId="466164694">
    <w:abstractNumId w:val="24"/>
  </w:num>
  <w:num w:numId="37" w16cid:durableId="472214022">
    <w:abstractNumId w:val="12"/>
  </w:num>
  <w:num w:numId="38" w16cid:durableId="494414723">
    <w:abstractNumId w:val="40"/>
  </w:num>
  <w:num w:numId="39" w16cid:durableId="532695395">
    <w:abstractNumId w:val="22"/>
  </w:num>
  <w:num w:numId="40" w16cid:durableId="3896069">
    <w:abstractNumId w:val="44"/>
  </w:num>
  <w:num w:numId="41" w16cid:durableId="1122385767">
    <w:abstractNumId w:val="18"/>
  </w:num>
  <w:num w:numId="42" w16cid:durableId="593058049">
    <w:abstractNumId w:val="15"/>
  </w:num>
  <w:num w:numId="43" w16cid:durableId="650063730">
    <w:abstractNumId w:val="27"/>
  </w:num>
  <w:num w:numId="44" w16cid:durableId="15888054">
    <w:abstractNumId w:val="32"/>
  </w:num>
  <w:num w:numId="45" w16cid:durableId="974791698">
    <w:abstractNumId w:val="38"/>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defaultTabStop w:val="340"/>
  <w:hyphenationZone w:val="283"/>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4790"/>
    <w:rsid w:val="0000078B"/>
    <w:rsid w:val="0000185B"/>
    <w:rsid w:val="000027A1"/>
    <w:rsid w:val="0000319A"/>
    <w:rsid w:val="00003317"/>
    <w:rsid w:val="00006B6A"/>
    <w:rsid w:val="00006F93"/>
    <w:rsid w:val="00007004"/>
    <w:rsid w:val="00007117"/>
    <w:rsid w:val="0000782A"/>
    <w:rsid w:val="000173E3"/>
    <w:rsid w:val="000202BD"/>
    <w:rsid w:val="000227BE"/>
    <w:rsid w:val="00022DFB"/>
    <w:rsid w:val="000242C6"/>
    <w:rsid w:val="00024E48"/>
    <w:rsid w:val="00025779"/>
    <w:rsid w:val="00026510"/>
    <w:rsid w:val="000302E9"/>
    <w:rsid w:val="00030813"/>
    <w:rsid w:val="0003342F"/>
    <w:rsid w:val="000339B9"/>
    <w:rsid w:val="00034249"/>
    <w:rsid w:val="00036B5C"/>
    <w:rsid w:val="000377A8"/>
    <w:rsid w:val="000418F3"/>
    <w:rsid w:val="00042A2A"/>
    <w:rsid w:val="00042E6B"/>
    <w:rsid w:val="00045F40"/>
    <w:rsid w:val="0004668F"/>
    <w:rsid w:val="0005023F"/>
    <w:rsid w:val="000502F4"/>
    <w:rsid w:val="00052F52"/>
    <w:rsid w:val="00054366"/>
    <w:rsid w:val="000605EC"/>
    <w:rsid w:val="00061145"/>
    <w:rsid w:val="00063385"/>
    <w:rsid w:val="0006733A"/>
    <w:rsid w:val="00067FE9"/>
    <w:rsid w:val="00073B5E"/>
    <w:rsid w:val="00075E85"/>
    <w:rsid w:val="000827FF"/>
    <w:rsid w:val="000873E6"/>
    <w:rsid w:val="00091050"/>
    <w:rsid w:val="000A0020"/>
    <w:rsid w:val="000A0FC8"/>
    <w:rsid w:val="000A1404"/>
    <w:rsid w:val="000A4BB3"/>
    <w:rsid w:val="000A5DAE"/>
    <w:rsid w:val="000A5E5C"/>
    <w:rsid w:val="000A5F61"/>
    <w:rsid w:val="000A71CD"/>
    <w:rsid w:val="000B245B"/>
    <w:rsid w:val="000B277E"/>
    <w:rsid w:val="000B5EC9"/>
    <w:rsid w:val="000B7048"/>
    <w:rsid w:val="000C07EC"/>
    <w:rsid w:val="000C1694"/>
    <w:rsid w:val="000C20AF"/>
    <w:rsid w:val="000C23A7"/>
    <w:rsid w:val="000C3671"/>
    <w:rsid w:val="000C48B2"/>
    <w:rsid w:val="000C5DE2"/>
    <w:rsid w:val="000C660C"/>
    <w:rsid w:val="000D30D8"/>
    <w:rsid w:val="000D3314"/>
    <w:rsid w:val="000D5164"/>
    <w:rsid w:val="000E2A92"/>
    <w:rsid w:val="000E34E9"/>
    <w:rsid w:val="000E3F89"/>
    <w:rsid w:val="000E45B3"/>
    <w:rsid w:val="000E5B3A"/>
    <w:rsid w:val="000E5EF1"/>
    <w:rsid w:val="000E6125"/>
    <w:rsid w:val="000E6545"/>
    <w:rsid w:val="000E7863"/>
    <w:rsid w:val="000F0896"/>
    <w:rsid w:val="000F1D68"/>
    <w:rsid w:val="000F3385"/>
    <w:rsid w:val="000F35B2"/>
    <w:rsid w:val="000F7762"/>
    <w:rsid w:val="000F7806"/>
    <w:rsid w:val="00107427"/>
    <w:rsid w:val="00107934"/>
    <w:rsid w:val="00110A9A"/>
    <w:rsid w:val="001112FB"/>
    <w:rsid w:val="0011359B"/>
    <w:rsid w:val="001154A1"/>
    <w:rsid w:val="001179AF"/>
    <w:rsid w:val="00117D71"/>
    <w:rsid w:val="001267ED"/>
    <w:rsid w:val="00134755"/>
    <w:rsid w:val="001367E3"/>
    <w:rsid w:val="00137788"/>
    <w:rsid w:val="0014447B"/>
    <w:rsid w:val="00145517"/>
    <w:rsid w:val="00146A5E"/>
    <w:rsid w:val="00151D78"/>
    <w:rsid w:val="00153431"/>
    <w:rsid w:val="00157433"/>
    <w:rsid w:val="00157A0B"/>
    <w:rsid w:val="0016097F"/>
    <w:rsid w:val="001616BD"/>
    <w:rsid w:val="00163DD0"/>
    <w:rsid w:val="00164744"/>
    <w:rsid w:val="00166053"/>
    <w:rsid w:val="0017235A"/>
    <w:rsid w:val="00175BF5"/>
    <w:rsid w:val="001761C0"/>
    <w:rsid w:val="001764D0"/>
    <w:rsid w:val="00181D12"/>
    <w:rsid w:val="00182CE7"/>
    <w:rsid w:val="00183005"/>
    <w:rsid w:val="00187506"/>
    <w:rsid w:val="00192128"/>
    <w:rsid w:val="00192BE6"/>
    <w:rsid w:val="00195AD1"/>
    <w:rsid w:val="00196902"/>
    <w:rsid w:val="001974FD"/>
    <w:rsid w:val="0019788D"/>
    <w:rsid w:val="001A31F8"/>
    <w:rsid w:val="001A52CB"/>
    <w:rsid w:val="001A61AF"/>
    <w:rsid w:val="001B3FB2"/>
    <w:rsid w:val="001B7079"/>
    <w:rsid w:val="001C1958"/>
    <w:rsid w:val="001C2E49"/>
    <w:rsid w:val="001C36AE"/>
    <w:rsid w:val="001C4D56"/>
    <w:rsid w:val="001C4DB1"/>
    <w:rsid w:val="001C4E1C"/>
    <w:rsid w:val="001C4F66"/>
    <w:rsid w:val="001C4F91"/>
    <w:rsid w:val="001C741A"/>
    <w:rsid w:val="001C75DF"/>
    <w:rsid w:val="001D08D8"/>
    <w:rsid w:val="001D5B18"/>
    <w:rsid w:val="001D5CB3"/>
    <w:rsid w:val="001D5ED9"/>
    <w:rsid w:val="001D60B3"/>
    <w:rsid w:val="001E0810"/>
    <w:rsid w:val="001F35B8"/>
    <w:rsid w:val="001F395F"/>
    <w:rsid w:val="002042CA"/>
    <w:rsid w:val="002050CF"/>
    <w:rsid w:val="002101CE"/>
    <w:rsid w:val="002116CC"/>
    <w:rsid w:val="002130F3"/>
    <w:rsid w:val="00213171"/>
    <w:rsid w:val="002139CC"/>
    <w:rsid w:val="00214888"/>
    <w:rsid w:val="00214CA4"/>
    <w:rsid w:val="00216AEC"/>
    <w:rsid w:val="002179B7"/>
    <w:rsid w:val="0022345C"/>
    <w:rsid w:val="00223FC4"/>
    <w:rsid w:val="00225FBE"/>
    <w:rsid w:val="0022604B"/>
    <w:rsid w:val="002301A5"/>
    <w:rsid w:val="00230F89"/>
    <w:rsid w:val="002349DA"/>
    <w:rsid w:val="00235CD0"/>
    <w:rsid w:val="00240149"/>
    <w:rsid w:val="00240414"/>
    <w:rsid w:val="00241AA1"/>
    <w:rsid w:val="002430DA"/>
    <w:rsid w:val="00243A92"/>
    <w:rsid w:val="00244392"/>
    <w:rsid w:val="00244FA0"/>
    <w:rsid w:val="0024539E"/>
    <w:rsid w:val="00254EA2"/>
    <w:rsid w:val="00255134"/>
    <w:rsid w:val="00256F4F"/>
    <w:rsid w:val="00257138"/>
    <w:rsid w:val="00257303"/>
    <w:rsid w:val="002622A5"/>
    <w:rsid w:val="00263B15"/>
    <w:rsid w:val="00263BD4"/>
    <w:rsid w:val="002712CB"/>
    <w:rsid w:val="00271A93"/>
    <w:rsid w:val="0027627B"/>
    <w:rsid w:val="00277FB9"/>
    <w:rsid w:val="0028101E"/>
    <w:rsid w:val="002810A8"/>
    <w:rsid w:val="00287076"/>
    <w:rsid w:val="002916A5"/>
    <w:rsid w:val="00291D0C"/>
    <w:rsid w:val="00291D57"/>
    <w:rsid w:val="00292FA8"/>
    <w:rsid w:val="00293005"/>
    <w:rsid w:val="002963E1"/>
    <w:rsid w:val="002975D9"/>
    <w:rsid w:val="002A3AED"/>
    <w:rsid w:val="002A66A2"/>
    <w:rsid w:val="002A76DA"/>
    <w:rsid w:val="002B0190"/>
    <w:rsid w:val="002B24A4"/>
    <w:rsid w:val="002B31B1"/>
    <w:rsid w:val="002B426D"/>
    <w:rsid w:val="002B7749"/>
    <w:rsid w:val="002C04F2"/>
    <w:rsid w:val="002C0558"/>
    <w:rsid w:val="002C19BC"/>
    <w:rsid w:val="002C1BDE"/>
    <w:rsid w:val="002C43B2"/>
    <w:rsid w:val="002C4790"/>
    <w:rsid w:val="002C7071"/>
    <w:rsid w:val="002C778B"/>
    <w:rsid w:val="002D3B62"/>
    <w:rsid w:val="002D4A02"/>
    <w:rsid w:val="002D66E8"/>
    <w:rsid w:val="002D6AC9"/>
    <w:rsid w:val="002D6BED"/>
    <w:rsid w:val="002D6DE0"/>
    <w:rsid w:val="002D72DD"/>
    <w:rsid w:val="002E2B98"/>
    <w:rsid w:val="002E476E"/>
    <w:rsid w:val="00300FD5"/>
    <w:rsid w:val="003028FD"/>
    <w:rsid w:val="0030397C"/>
    <w:rsid w:val="003120A3"/>
    <w:rsid w:val="003176F2"/>
    <w:rsid w:val="00317F65"/>
    <w:rsid w:val="003231DE"/>
    <w:rsid w:val="00323F03"/>
    <w:rsid w:val="003307B6"/>
    <w:rsid w:val="00331CA5"/>
    <w:rsid w:val="00332CBD"/>
    <w:rsid w:val="00332D8F"/>
    <w:rsid w:val="003345FC"/>
    <w:rsid w:val="00340509"/>
    <w:rsid w:val="00341D66"/>
    <w:rsid w:val="003420FB"/>
    <w:rsid w:val="00344472"/>
    <w:rsid w:val="003444DF"/>
    <w:rsid w:val="00346661"/>
    <w:rsid w:val="0035030A"/>
    <w:rsid w:val="0035425D"/>
    <w:rsid w:val="0035505E"/>
    <w:rsid w:val="00357076"/>
    <w:rsid w:val="00361B0E"/>
    <w:rsid w:val="0036225B"/>
    <w:rsid w:val="00363B80"/>
    <w:rsid w:val="00367820"/>
    <w:rsid w:val="003721F0"/>
    <w:rsid w:val="00374645"/>
    <w:rsid w:val="00382D13"/>
    <w:rsid w:val="00383581"/>
    <w:rsid w:val="00383B2F"/>
    <w:rsid w:val="003851EE"/>
    <w:rsid w:val="00392A9A"/>
    <w:rsid w:val="003939EB"/>
    <w:rsid w:val="00395DBF"/>
    <w:rsid w:val="003967CC"/>
    <w:rsid w:val="00397CF2"/>
    <w:rsid w:val="00397EDB"/>
    <w:rsid w:val="003A5B10"/>
    <w:rsid w:val="003B066C"/>
    <w:rsid w:val="003B4B8D"/>
    <w:rsid w:val="003B5A05"/>
    <w:rsid w:val="003B677B"/>
    <w:rsid w:val="003B79DF"/>
    <w:rsid w:val="003B7A76"/>
    <w:rsid w:val="003D01CF"/>
    <w:rsid w:val="003D4C53"/>
    <w:rsid w:val="003D599A"/>
    <w:rsid w:val="003D6BC4"/>
    <w:rsid w:val="003D7F5C"/>
    <w:rsid w:val="003E0A0A"/>
    <w:rsid w:val="003E16A7"/>
    <w:rsid w:val="003E1F98"/>
    <w:rsid w:val="003E3095"/>
    <w:rsid w:val="003E62E8"/>
    <w:rsid w:val="003E6E4F"/>
    <w:rsid w:val="003F07EF"/>
    <w:rsid w:val="003F16EF"/>
    <w:rsid w:val="003F2967"/>
    <w:rsid w:val="003F3149"/>
    <w:rsid w:val="003F6093"/>
    <w:rsid w:val="003F7B68"/>
    <w:rsid w:val="003F7ED0"/>
    <w:rsid w:val="0040013D"/>
    <w:rsid w:val="00400E89"/>
    <w:rsid w:val="00401000"/>
    <w:rsid w:val="0040427B"/>
    <w:rsid w:val="004043FD"/>
    <w:rsid w:val="004067BF"/>
    <w:rsid w:val="0041094C"/>
    <w:rsid w:val="00410963"/>
    <w:rsid w:val="004121FE"/>
    <w:rsid w:val="004126B8"/>
    <w:rsid w:val="0041655F"/>
    <w:rsid w:val="0041754D"/>
    <w:rsid w:val="004236C6"/>
    <w:rsid w:val="00424D3B"/>
    <w:rsid w:val="00433070"/>
    <w:rsid w:val="004334D9"/>
    <w:rsid w:val="004345C2"/>
    <w:rsid w:val="00442179"/>
    <w:rsid w:val="0044365E"/>
    <w:rsid w:val="0045073E"/>
    <w:rsid w:val="00452605"/>
    <w:rsid w:val="004670D3"/>
    <w:rsid w:val="0046757A"/>
    <w:rsid w:val="00467AEB"/>
    <w:rsid w:val="0047331A"/>
    <w:rsid w:val="00476B18"/>
    <w:rsid w:val="00477F07"/>
    <w:rsid w:val="00477F41"/>
    <w:rsid w:val="00482BB3"/>
    <w:rsid w:val="004858D4"/>
    <w:rsid w:val="00490421"/>
    <w:rsid w:val="00490628"/>
    <w:rsid w:val="0049385C"/>
    <w:rsid w:val="0049650C"/>
    <w:rsid w:val="004A2114"/>
    <w:rsid w:val="004A2E1B"/>
    <w:rsid w:val="004A3BCE"/>
    <w:rsid w:val="004A4A35"/>
    <w:rsid w:val="004B075D"/>
    <w:rsid w:val="004B09BA"/>
    <w:rsid w:val="004B1B9A"/>
    <w:rsid w:val="004B34D0"/>
    <w:rsid w:val="004B3880"/>
    <w:rsid w:val="004B48BA"/>
    <w:rsid w:val="004B621C"/>
    <w:rsid w:val="004B7FC6"/>
    <w:rsid w:val="004C09E2"/>
    <w:rsid w:val="004C0D1A"/>
    <w:rsid w:val="004C3005"/>
    <w:rsid w:val="004C360D"/>
    <w:rsid w:val="004C4672"/>
    <w:rsid w:val="004C54BD"/>
    <w:rsid w:val="004C5E8B"/>
    <w:rsid w:val="004C6002"/>
    <w:rsid w:val="004D71BB"/>
    <w:rsid w:val="004D7CE2"/>
    <w:rsid w:val="004E22FF"/>
    <w:rsid w:val="004E270F"/>
    <w:rsid w:val="004F067F"/>
    <w:rsid w:val="004F45A4"/>
    <w:rsid w:val="00500815"/>
    <w:rsid w:val="00502C05"/>
    <w:rsid w:val="00503A4D"/>
    <w:rsid w:val="00510668"/>
    <w:rsid w:val="00510A1C"/>
    <w:rsid w:val="005168BB"/>
    <w:rsid w:val="00516A66"/>
    <w:rsid w:val="00521C6B"/>
    <w:rsid w:val="00526BFF"/>
    <w:rsid w:val="0052734C"/>
    <w:rsid w:val="00527693"/>
    <w:rsid w:val="005307FE"/>
    <w:rsid w:val="00531076"/>
    <w:rsid w:val="005443F4"/>
    <w:rsid w:val="005462AE"/>
    <w:rsid w:val="00546630"/>
    <w:rsid w:val="00547464"/>
    <w:rsid w:val="00551098"/>
    <w:rsid w:val="0055222D"/>
    <w:rsid w:val="005558F7"/>
    <w:rsid w:val="00556410"/>
    <w:rsid w:val="00563373"/>
    <w:rsid w:val="005678FB"/>
    <w:rsid w:val="00570665"/>
    <w:rsid w:val="00570F20"/>
    <w:rsid w:val="0057239D"/>
    <w:rsid w:val="00572755"/>
    <w:rsid w:val="00573877"/>
    <w:rsid w:val="005746A7"/>
    <w:rsid w:val="00575096"/>
    <w:rsid w:val="00575FC6"/>
    <w:rsid w:val="005804CB"/>
    <w:rsid w:val="00580CC8"/>
    <w:rsid w:val="00584052"/>
    <w:rsid w:val="00584545"/>
    <w:rsid w:val="005860B4"/>
    <w:rsid w:val="005865B9"/>
    <w:rsid w:val="00586AA8"/>
    <w:rsid w:val="00587501"/>
    <w:rsid w:val="00591FCC"/>
    <w:rsid w:val="005A0181"/>
    <w:rsid w:val="005B3923"/>
    <w:rsid w:val="005B6B53"/>
    <w:rsid w:val="005B73B5"/>
    <w:rsid w:val="005C4208"/>
    <w:rsid w:val="005C477A"/>
    <w:rsid w:val="005C557A"/>
    <w:rsid w:val="005C5C6A"/>
    <w:rsid w:val="005C6231"/>
    <w:rsid w:val="005C7642"/>
    <w:rsid w:val="005D1184"/>
    <w:rsid w:val="005D3196"/>
    <w:rsid w:val="005D3FE1"/>
    <w:rsid w:val="005D5555"/>
    <w:rsid w:val="005D647C"/>
    <w:rsid w:val="005E11C3"/>
    <w:rsid w:val="005E2C5B"/>
    <w:rsid w:val="005E4D21"/>
    <w:rsid w:val="005F3916"/>
    <w:rsid w:val="005F39E2"/>
    <w:rsid w:val="005F534D"/>
    <w:rsid w:val="005F6C06"/>
    <w:rsid w:val="005F6C5B"/>
    <w:rsid w:val="00600721"/>
    <w:rsid w:val="006033D2"/>
    <w:rsid w:val="00607A72"/>
    <w:rsid w:val="0061432E"/>
    <w:rsid w:val="006173B6"/>
    <w:rsid w:val="006207A2"/>
    <w:rsid w:val="00620AB3"/>
    <w:rsid w:val="006239B8"/>
    <w:rsid w:val="0062473F"/>
    <w:rsid w:val="006255A4"/>
    <w:rsid w:val="0063051A"/>
    <w:rsid w:val="00632804"/>
    <w:rsid w:val="00632807"/>
    <w:rsid w:val="00634C28"/>
    <w:rsid w:val="00636C4C"/>
    <w:rsid w:val="0063773C"/>
    <w:rsid w:val="00642A44"/>
    <w:rsid w:val="00642A8B"/>
    <w:rsid w:val="006448E3"/>
    <w:rsid w:val="00644A0D"/>
    <w:rsid w:val="006519AA"/>
    <w:rsid w:val="00654128"/>
    <w:rsid w:val="00654AB4"/>
    <w:rsid w:val="00654E61"/>
    <w:rsid w:val="00661468"/>
    <w:rsid w:val="006639E1"/>
    <w:rsid w:val="00665165"/>
    <w:rsid w:val="006773F0"/>
    <w:rsid w:val="00677737"/>
    <w:rsid w:val="00684163"/>
    <w:rsid w:val="00685242"/>
    <w:rsid w:val="00686543"/>
    <w:rsid w:val="0068742B"/>
    <w:rsid w:val="00687A1E"/>
    <w:rsid w:val="00694A6A"/>
    <w:rsid w:val="006956AF"/>
    <w:rsid w:val="00695D2A"/>
    <w:rsid w:val="006964E3"/>
    <w:rsid w:val="00696E41"/>
    <w:rsid w:val="0069721B"/>
    <w:rsid w:val="0069757E"/>
    <w:rsid w:val="006A052F"/>
    <w:rsid w:val="006A29A7"/>
    <w:rsid w:val="006A4A51"/>
    <w:rsid w:val="006A579A"/>
    <w:rsid w:val="006A5A2E"/>
    <w:rsid w:val="006A6AA7"/>
    <w:rsid w:val="006A7DC6"/>
    <w:rsid w:val="006B037E"/>
    <w:rsid w:val="006B4E97"/>
    <w:rsid w:val="006B5AFD"/>
    <w:rsid w:val="006B659F"/>
    <w:rsid w:val="006C2469"/>
    <w:rsid w:val="006C286B"/>
    <w:rsid w:val="006C2C7E"/>
    <w:rsid w:val="006D3E27"/>
    <w:rsid w:val="006D5511"/>
    <w:rsid w:val="006E03DC"/>
    <w:rsid w:val="006E103D"/>
    <w:rsid w:val="006E3119"/>
    <w:rsid w:val="006F16C4"/>
    <w:rsid w:val="006F1ABE"/>
    <w:rsid w:val="00702F3C"/>
    <w:rsid w:val="00703019"/>
    <w:rsid w:val="00703282"/>
    <w:rsid w:val="0070740F"/>
    <w:rsid w:val="0071058D"/>
    <w:rsid w:val="00710710"/>
    <w:rsid w:val="007119C3"/>
    <w:rsid w:val="007148A2"/>
    <w:rsid w:val="0072549C"/>
    <w:rsid w:val="0072611D"/>
    <w:rsid w:val="00726385"/>
    <w:rsid w:val="00732F84"/>
    <w:rsid w:val="0073375E"/>
    <w:rsid w:val="00735426"/>
    <w:rsid w:val="007412E2"/>
    <w:rsid w:val="00743022"/>
    <w:rsid w:val="007461A4"/>
    <w:rsid w:val="00750997"/>
    <w:rsid w:val="00751699"/>
    <w:rsid w:val="007518A9"/>
    <w:rsid w:val="00754464"/>
    <w:rsid w:val="00755D6D"/>
    <w:rsid w:val="00755F86"/>
    <w:rsid w:val="00756E3C"/>
    <w:rsid w:val="00760057"/>
    <w:rsid w:val="00761541"/>
    <w:rsid w:val="007677E7"/>
    <w:rsid w:val="00770AA2"/>
    <w:rsid w:val="00774F89"/>
    <w:rsid w:val="00777B26"/>
    <w:rsid w:val="007809C1"/>
    <w:rsid w:val="00781755"/>
    <w:rsid w:val="00784010"/>
    <w:rsid w:val="00792B19"/>
    <w:rsid w:val="00792D5A"/>
    <w:rsid w:val="007A2B06"/>
    <w:rsid w:val="007A35B4"/>
    <w:rsid w:val="007A3D61"/>
    <w:rsid w:val="007A49E7"/>
    <w:rsid w:val="007A5968"/>
    <w:rsid w:val="007A5BA2"/>
    <w:rsid w:val="007A6FE9"/>
    <w:rsid w:val="007B11E4"/>
    <w:rsid w:val="007B1736"/>
    <w:rsid w:val="007B3A40"/>
    <w:rsid w:val="007B5B9F"/>
    <w:rsid w:val="007B7471"/>
    <w:rsid w:val="007C571D"/>
    <w:rsid w:val="007C5CC6"/>
    <w:rsid w:val="007C6E2B"/>
    <w:rsid w:val="007C76C3"/>
    <w:rsid w:val="007D226F"/>
    <w:rsid w:val="007E0079"/>
    <w:rsid w:val="007E0EC9"/>
    <w:rsid w:val="007E25D7"/>
    <w:rsid w:val="007E2B09"/>
    <w:rsid w:val="007E6CBF"/>
    <w:rsid w:val="007F0ACE"/>
    <w:rsid w:val="007F0D27"/>
    <w:rsid w:val="007F1D7C"/>
    <w:rsid w:val="007F40F8"/>
    <w:rsid w:val="00800FB3"/>
    <w:rsid w:val="008040E9"/>
    <w:rsid w:val="0081015C"/>
    <w:rsid w:val="00811DF5"/>
    <w:rsid w:val="008135E0"/>
    <w:rsid w:val="00817A65"/>
    <w:rsid w:val="00820B70"/>
    <w:rsid w:val="00821A9F"/>
    <w:rsid w:val="00821B4B"/>
    <w:rsid w:val="00824F8E"/>
    <w:rsid w:val="00825807"/>
    <w:rsid w:val="00831513"/>
    <w:rsid w:val="00832A4F"/>
    <w:rsid w:val="0083450B"/>
    <w:rsid w:val="00834F1C"/>
    <w:rsid w:val="008356A1"/>
    <w:rsid w:val="008359D0"/>
    <w:rsid w:val="008363BD"/>
    <w:rsid w:val="00836EFB"/>
    <w:rsid w:val="00842C7D"/>
    <w:rsid w:val="008445F3"/>
    <w:rsid w:val="00846B81"/>
    <w:rsid w:val="008472D2"/>
    <w:rsid w:val="008510EE"/>
    <w:rsid w:val="008522FE"/>
    <w:rsid w:val="0085355B"/>
    <w:rsid w:val="00854869"/>
    <w:rsid w:val="00855C2A"/>
    <w:rsid w:val="00856CBB"/>
    <w:rsid w:val="00860BFA"/>
    <w:rsid w:val="00861A86"/>
    <w:rsid w:val="00862872"/>
    <w:rsid w:val="00864B9A"/>
    <w:rsid w:val="008654FB"/>
    <w:rsid w:val="0086728C"/>
    <w:rsid w:val="008713BF"/>
    <w:rsid w:val="0087772E"/>
    <w:rsid w:val="00877E0C"/>
    <w:rsid w:val="008800FC"/>
    <w:rsid w:val="0088092B"/>
    <w:rsid w:val="00881F73"/>
    <w:rsid w:val="008822FE"/>
    <w:rsid w:val="008834A7"/>
    <w:rsid w:val="00884A22"/>
    <w:rsid w:val="00887D54"/>
    <w:rsid w:val="008907C7"/>
    <w:rsid w:val="008908A9"/>
    <w:rsid w:val="00891D78"/>
    <w:rsid w:val="00891F3B"/>
    <w:rsid w:val="0089619A"/>
    <w:rsid w:val="008A2C8B"/>
    <w:rsid w:val="008A664A"/>
    <w:rsid w:val="008A70CE"/>
    <w:rsid w:val="008B000A"/>
    <w:rsid w:val="008B08DE"/>
    <w:rsid w:val="008B4891"/>
    <w:rsid w:val="008B77D5"/>
    <w:rsid w:val="008B789C"/>
    <w:rsid w:val="008C036F"/>
    <w:rsid w:val="008C4AC0"/>
    <w:rsid w:val="008C53EF"/>
    <w:rsid w:val="008C76DB"/>
    <w:rsid w:val="008D055E"/>
    <w:rsid w:val="008D22CC"/>
    <w:rsid w:val="008D3A75"/>
    <w:rsid w:val="008D61A2"/>
    <w:rsid w:val="008D7182"/>
    <w:rsid w:val="008E09F8"/>
    <w:rsid w:val="008E340F"/>
    <w:rsid w:val="008E5FA2"/>
    <w:rsid w:val="008E6FFF"/>
    <w:rsid w:val="008F15CC"/>
    <w:rsid w:val="008F74C1"/>
    <w:rsid w:val="008F76C4"/>
    <w:rsid w:val="008F77B9"/>
    <w:rsid w:val="00907924"/>
    <w:rsid w:val="009113B5"/>
    <w:rsid w:val="009126EC"/>
    <w:rsid w:val="00913D92"/>
    <w:rsid w:val="009148DA"/>
    <w:rsid w:val="009155EA"/>
    <w:rsid w:val="009159FC"/>
    <w:rsid w:val="00915FD4"/>
    <w:rsid w:val="00917A54"/>
    <w:rsid w:val="00920CF6"/>
    <w:rsid w:val="009303F4"/>
    <w:rsid w:val="00933949"/>
    <w:rsid w:val="0094011D"/>
    <w:rsid w:val="00942D6C"/>
    <w:rsid w:val="00943756"/>
    <w:rsid w:val="009442AA"/>
    <w:rsid w:val="0095139B"/>
    <w:rsid w:val="00952922"/>
    <w:rsid w:val="0095343F"/>
    <w:rsid w:val="00953F2A"/>
    <w:rsid w:val="00957559"/>
    <w:rsid w:val="009610F8"/>
    <w:rsid w:val="00961439"/>
    <w:rsid w:val="0096170B"/>
    <w:rsid w:val="0096180C"/>
    <w:rsid w:val="0096231B"/>
    <w:rsid w:val="00970539"/>
    <w:rsid w:val="00974CD2"/>
    <w:rsid w:val="00981FCB"/>
    <w:rsid w:val="009854E7"/>
    <w:rsid w:val="0098553C"/>
    <w:rsid w:val="00987BAB"/>
    <w:rsid w:val="00990DAD"/>
    <w:rsid w:val="00991FB8"/>
    <w:rsid w:val="00993714"/>
    <w:rsid w:val="00993B0F"/>
    <w:rsid w:val="00993B7D"/>
    <w:rsid w:val="009945F8"/>
    <w:rsid w:val="009A0044"/>
    <w:rsid w:val="009A132A"/>
    <w:rsid w:val="009A303F"/>
    <w:rsid w:val="009A3D6A"/>
    <w:rsid w:val="009A5208"/>
    <w:rsid w:val="009A5BA2"/>
    <w:rsid w:val="009A7F3A"/>
    <w:rsid w:val="009B12D0"/>
    <w:rsid w:val="009B290A"/>
    <w:rsid w:val="009B304B"/>
    <w:rsid w:val="009B364D"/>
    <w:rsid w:val="009B6B87"/>
    <w:rsid w:val="009B794A"/>
    <w:rsid w:val="009C3270"/>
    <w:rsid w:val="009C5352"/>
    <w:rsid w:val="009C59AE"/>
    <w:rsid w:val="009C59B3"/>
    <w:rsid w:val="009C7221"/>
    <w:rsid w:val="009D0ED7"/>
    <w:rsid w:val="009D4363"/>
    <w:rsid w:val="009D511F"/>
    <w:rsid w:val="009D7142"/>
    <w:rsid w:val="009D7836"/>
    <w:rsid w:val="009E34C4"/>
    <w:rsid w:val="009E502E"/>
    <w:rsid w:val="009E553B"/>
    <w:rsid w:val="009F17B5"/>
    <w:rsid w:val="009F21F1"/>
    <w:rsid w:val="009F2DBD"/>
    <w:rsid w:val="009F7A01"/>
    <w:rsid w:val="00A020EF"/>
    <w:rsid w:val="00A0265A"/>
    <w:rsid w:val="00A04598"/>
    <w:rsid w:val="00A0515C"/>
    <w:rsid w:val="00A059AB"/>
    <w:rsid w:val="00A06671"/>
    <w:rsid w:val="00A16C54"/>
    <w:rsid w:val="00A176FB"/>
    <w:rsid w:val="00A3018B"/>
    <w:rsid w:val="00A31481"/>
    <w:rsid w:val="00A324F4"/>
    <w:rsid w:val="00A32E5D"/>
    <w:rsid w:val="00A3628C"/>
    <w:rsid w:val="00A373A8"/>
    <w:rsid w:val="00A413F0"/>
    <w:rsid w:val="00A4314D"/>
    <w:rsid w:val="00A433FC"/>
    <w:rsid w:val="00A4440E"/>
    <w:rsid w:val="00A458EE"/>
    <w:rsid w:val="00A45B13"/>
    <w:rsid w:val="00A45EA2"/>
    <w:rsid w:val="00A47C9B"/>
    <w:rsid w:val="00A5447A"/>
    <w:rsid w:val="00A54AAA"/>
    <w:rsid w:val="00A54B7E"/>
    <w:rsid w:val="00A54E4A"/>
    <w:rsid w:val="00A560E8"/>
    <w:rsid w:val="00A601D2"/>
    <w:rsid w:val="00A60289"/>
    <w:rsid w:val="00A61EA9"/>
    <w:rsid w:val="00A63614"/>
    <w:rsid w:val="00A64019"/>
    <w:rsid w:val="00A71EB6"/>
    <w:rsid w:val="00A76456"/>
    <w:rsid w:val="00A76B84"/>
    <w:rsid w:val="00A804E5"/>
    <w:rsid w:val="00A80908"/>
    <w:rsid w:val="00A90718"/>
    <w:rsid w:val="00A912F8"/>
    <w:rsid w:val="00A9347A"/>
    <w:rsid w:val="00A959B9"/>
    <w:rsid w:val="00A96196"/>
    <w:rsid w:val="00A96B4B"/>
    <w:rsid w:val="00AA031B"/>
    <w:rsid w:val="00AA0B19"/>
    <w:rsid w:val="00AA6424"/>
    <w:rsid w:val="00AA68D9"/>
    <w:rsid w:val="00AA6999"/>
    <w:rsid w:val="00AA6E05"/>
    <w:rsid w:val="00AA7118"/>
    <w:rsid w:val="00AB04A5"/>
    <w:rsid w:val="00AB076C"/>
    <w:rsid w:val="00AB417D"/>
    <w:rsid w:val="00AB41E2"/>
    <w:rsid w:val="00AC0FD4"/>
    <w:rsid w:val="00AC3CEF"/>
    <w:rsid w:val="00AC4B90"/>
    <w:rsid w:val="00AC5F72"/>
    <w:rsid w:val="00AD522F"/>
    <w:rsid w:val="00AD53A8"/>
    <w:rsid w:val="00AE3BAB"/>
    <w:rsid w:val="00AE42D8"/>
    <w:rsid w:val="00AE45EC"/>
    <w:rsid w:val="00AE6B31"/>
    <w:rsid w:val="00AE72B2"/>
    <w:rsid w:val="00AF50D0"/>
    <w:rsid w:val="00B03AFF"/>
    <w:rsid w:val="00B06A23"/>
    <w:rsid w:val="00B078AC"/>
    <w:rsid w:val="00B14DCB"/>
    <w:rsid w:val="00B236FA"/>
    <w:rsid w:val="00B2405F"/>
    <w:rsid w:val="00B2454F"/>
    <w:rsid w:val="00B25AD1"/>
    <w:rsid w:val="00B279B1"/>
    <w:rsid w:val="00B31C71"/>
    <w:rsid w:val="00B327F2"/>
    <w:rsid w:val="00B3407C"/>
    <w:rsid w:val="00B36359"/>
    <w:rsid w:val="00B4566E"/>
    <w:rsid w:val="00B4697F"/>
    <w:rsid w:val="00B51C82"/>
    <w:rsid w:val="00B601BF"/>
    <w:rsid w:val="00B61D0E"/>
    <w:rsid w:val="00B62CD6"/>
    <w:rsid w:val="00B62F59"/>
    <w:rsid w:val="00B654C7"/>
    <w:rsid w:val="00B72CF7"/>
    <w:rsid w:val="00B748FC"/>
    <w:rsid w:val="00B76EC8"/>
    <w:rsid w:val="00B82700"/>
    <w:rsid w:val="00B84AB9"/>
    <w:rsid w:val="00B92264"/>
    <w:rsid w:val="00B92EFB"/>
    <w:rsid w:val="00B94C65"/>
    <w:rsid w:val="00B96B25"/>
    <w:rsid w:val="00B9712A"/>
    <w:rsid w:val="00BA7794"/>
    <w:rsid w:val="00BB5E47"/>
    <w:rsid w:val="00BB6D46"/>
    <w:rsid w:val="00BB7B5B"/>
    <w:rsid w:val="00BB7E95"/>
    <w:rsid w:val="00BC3686"/>
    <w:rsid w:val="00BC57CC"/>
    <w:rsid w:val="00BC6CA8"/>
    <w:rsid w:val="00BD0AEB"/>
    <w:rsid w:val="00BD12D9"/>
    <w:rsid w:val="00BD515B"/>
    <w:rsid w:val="00BE3BA3"/>
    <w:rsid w:val="00BE5C7B"/>
    <w:rsid w:val="00BE6320"/>
    <w:rsid w:val="00BF1A15"/>
    <w:rsid w:val="00BF21DC"/>
    <w:rsid w:val="00BF38FD"/>
    <w:rsid w:val="00BF58BC"/>
    <w:rsid w:val="00C00BD5"/>
    <w:rsid w:val="00C00DB1"/>
    <w:rsid w:val="00C01AA4"/>
    <w:rsid w:val="00C01AE1"/>
    <w:rsid w:val="00C02379"/>
    <w:rsid w:val="00C05C7F"/>
    <w:rsid w:val="00C061F4"/>
    <w:rsid w:val="00C079DE"/>
    <w:rsid w:val="00C108AD"/>
    <w:rsid w:val="00C127A0"/>
    <w:rsid w:val="00C12E88"/>
    <w:rsid w:val="00C16748"/>
    <w:rsid w:val="00C16E5F"/>
    <w:rsid w:val="00C207D7"/>
    <w:rsid w:val="00C20AFE"/>
    <w:rsid w:val="00C218F6"/>
    <w:rsid w:val="00C2433E"/>
    <w:rsid w:val="00C26096"/>
    <w:rsid w:val="00C26BB2"/>
    <w:rsid w:val="00C2763D"/>
    <w:rsid w:val="00C27A29"/>
    <w:rsid w:val="00C30EE6"/>
    <w:rsid w:val="00C3202C"/>
    <w:rsid w:val="00C32161"/>
    <w:rsid w:val="00C3700F"/>
    <w:rsid w:val="00C401D4"/>
    <w:rsid w:val="00C42206"/>
    <w:rsid w:val="00C454A4"/>
    <w:rsid w:val="00C470BD"/>
    <w:rsid w:val="00C475A7"/>
    <w:rsid w:val="00C5035A"/>
    <w:rsid w:val="00C515B3"/>
    <w:rsid w:val="00C51EFF"/>
    <w:rsid w:val="00C53969"/>
    <w:rsid w:val="00C55292"/>
    <w:rsid w:val="00C5767F"/>
    <w:rsid w:val="00C71648"/>
    <w:rsid w:val="00C73440"/>
    <w:rsid w:val="00C73D8E"/>
    <w:rsid w:val="00C74D35"/>
    <w:rsid w:val="00C758F4"/>
    <w:rsid w:val="00C7703D"/>
    <w:rsid w:val="00C77715"/>
    <w:rsid w:val="00C77EAE"/>
    <w:rsid w:val="00C81768"/>
    <w:rsid w:val="00C83CC5"/>
    <w:rsid w:val="00C855F4"/>
    <w:rsid w:val="00C85FC4"/>
    <w:rsid w:val="00C862AF"/>
    <w:rsid w:val="00C86664"/>
    <w:rsid w:val="00C87702"/>
    <w:rsid w:val="00C92E3C"/>
    <w:rsid w:val="00C970F2"/>
    <w:rsid w:val="00CA267A"/>
    <w:rsid w:val="00CA2B7F"/>
    <w:rsid w:val="00CA6A76"/>
    <w:rsid w:val="00CC0190"/>
    <w:rsid w:val="00CC15BD"/>
    <w:rsid w:val="00CC331B"/>
    <w:rsid w:val="00CC36F8"/>
    <w:rsid w:val="00CC3DF8"/>
    <w:rsid w:val="00CC42F9"/>
    <w:rsid w:val="00CC611D"/>
    <w:rsid w:val="00CC6371"/>
    <w:rsid w:val="00CD1A00"/>
    <w:rsid w:val="00CD31AE"/>
    <w:rsid w:val="00CD39B5"/>
    <w:rsid w:val="00CD4176"/>
    <w:rsid w:val="00CE076C"/>
    <w:rsid w:val="00CE159A"/>
    <w:rsid w:val="00CE1B53"/>
    <w:rsid w:val="00CE2B70"/>
    <w:rsid w:val="00CE2B83"/>
    <w:rsid w:val="00CE2E72"/>
    <w:rsid w:val="00CE5992"/>
    <w:rsid w:val="00CE6124"/>
    <w:rsid w:val="00CF2CD4"/>
    <w:rsid w:val="00CF4157"/>
    <w:rsid w:val="00CF49AC"/>
    <w:rsid w:val="00CF64B4"/>
    <w:rsid w:val="00CF7C00"/>
    <w:rsid w:val="00D0066E"/>
    <w:rsid w:val="00D02614"/>
    <w:rsid w:val="00D02F96"/>
    <w:rsid w:val="00D0429F"/>
    <w:rsid w:val="00D05006"/>
    <w:rsid w:val="00D05381"/>
    <w:rsid w:val="00D05DDF"/>
    <w:rsid w:val="00D06787"/>
    <w:rsid w:val="00D104AE"/>
    <w:rsid w:val="00D130EA"/>
    <w:rsid w:val="00D13BCC"/>
    <w:rsid w:val="00D1405D"/>
    <w:rsid w:val="00D15ADE"/>
    <w:rsid w:val="00D16E1B"/>
    <w:rsid w:val="00D17C87"/>
    <w:rsid w:val="00D207BC"/>
    <w:rsid w:val="00D257E2"/>
    <w:rsid w:val="00D3205A"/>
    <w:rsid w:val="00D3219D"/>
    <w:rsid w:val="00D33B19"/>
    <w:rsid w:val="00D33C29"/>
    <w:rsid w:val="00D34015"/>
    <w:rsid w:val="00D36CCC"/>
    <w:rsid w:val="00D410CF"/>
    <w:rsid w:val="00D4373D"/>
    <w:rsid w:val="00D44699"/>
    <w:rsid w:val="00D51C1A"/>
    <w:rsid w:val="00D52054"/>
    <w:rsid w:val="00D56DB3"/>
    <w:rsid w:val="00D60A45"/>
    <w:rsid w:val="00D62555"/>
    <w:rsid w:val="00D628F3"/>
    <w:rsid w:val="00D6491F"/>
    <w:rsid w:val="00D6543F"/>
    <w:rsid w:val="00D65495"/>
    <w:rsid w:val="00D67E6B"/>
    <w:rsid w:val="00D7134C"/>
    <w:rsid w:val="00D72564"/>
    <w:rsid w:val="00D74837"/>
    <w:rsid w:val="00D752C1"/>
    <w:rsid w:val="00D754CB"/>
    <w:rsid w:val="00D7656C"/>
    <w:rsid w:val="00D773BD"/>
    <w:rsid w:val="00D83800"/>
    <w:rsid w:val="00D85259"/>
    <w:rsid w:val="00D87B42"/>
    <w:rsid w:val="00D961BD"/>
    <w:rsid w:val="00DA18F3"/>
    <w:rsid w:val="00DA4CB1"/>
    <w:rsid w:val="00DA4FEB"/>
    <w:rsid w:val="00DA51CF"/>
    <w:rsid w:val="00DA5D67"/>
    <w:rsid w:val="00DA7F44"/>
    <w:rsid w:val="00DB2DDF"/>
    <w:rsid w:val="00DB4D47"/>
    <w:rsid w:val="00DB55D7"/>
    <w:rsid w:val="00DB7417"/>
    <w:rsid w:val="00DB7A42"/>
    <w:rsid w:val="00DC08D9"/>
    <w:rsid w:val="00DC0C1C"/>
    <w:rsid w:val="00DC18F7"/>
    <w:rsid w:val="00DD1868"/>
    <w:rsid w:val="00DD29D6"/>
    <w:rsid w:val="00DD2DA6"/>
    <w:rsid w:val="00DD3024"/>
    <w:rsid w:val="00DD3F54"/>
    <w:rsid w:val="00DD5A50"/>
    <w:rsid w:val="00DD6261"/>
    <w:rsid w:val="00DE2854"/>
    <w:rsid w:val="00DE32E5"/>
    <w:rsid w:val="00DE441C"/>
    <w:rsid w:val="00DE63D6"/>
    <w:rsid w:val="00DE7230"/>
    <w:rsid w:val="00DF02BB"/>
    <w:rsid w:val="00DF2422"/>
    <w:rsid w:val="00DF2A82"/>
    <w:rsid w:val="00DF2D33"/>
    <w:rsid w:val="00DF44F9"/>
    <w:rsid w:val="00DF4812"/>
    <w:rsid w:val="00E12781"/>
    <w:rsid w:val="00E1293E"/>
    <w:rsid w:val="00E14352"/>
    <w:rsid w:val="00E157BC"/>
    <w:rsid w:val="00E162B1"/>
    <w:rsid w:val="00E16F6A"/>
    <w:rsid w:val="00E25680"/>
    <w:rsid w:val="00E2626D"/>
    <w:rsid w:val="00E26DD9"/>
    <w:rsid w:val="00E27BA8"/>
    <w:rsid w:val="00E309A7"/>
    <w:rsid w:val="00E31B63"/>
    <w:rsid w:val="00E32314"/>
    <w:rsid w:val="00E346E7"/>
    <w:rsid w:val="00E369AA"/>
    <w:rsid w:val="00E40B23"/>
    <w:rsid w:val="00E43C00"/>
    <w:rsid w:val="00E455E2"/>
    <w:rsid w:val="00E53E12"/>
    <w:rsid w:val="00E53FBF"/>
    <w:rsid w:val="00E55309"/>
    <w:rsid w:val="00E55664"/>
    <w:rsid w:val="00E77428"/>
    <w:rsid w:val="00E879FA"/>
    <w:rsid w:val="00E90DBA"/>
    <w:rsid w:val="00E92922"/>
    <w:rsid w:val="00E9405A"/>
    <w:rsid w:val="00E94684"/>
    <w:rsid w:val="00E95D97"/>
    <w:rsid w:val="00EA0C28"/>
    <w:rsid w:val="00EA4D34"/>
    <w:rsid w:val="00EA5D29"/>
    <w:rsid w:val="00EA6D6C"/>
    <w:rsid w:val="00EA7311"/>
    <w:rsid w:val="00EB2C6C"/>
    <w:rsid w:val="00EB3434"/>
    <w:rsid w:val="00EB3527"/>
    <w:rsid w:val="00EB6579"/>
    <w:rsid w:val="00EC022F"/>
    <w:rsid w:val="00EC1084"/>
    <w:rsid w:val="00EC24AE"/>
    <w:rsid w:val="00EC2B12"/>
    <w:rsid w:val="00EC2F50"/>
    <w:rsid w:val="00EC3679"/>
    <w:rsid w:val="00EC64AE"/>
    <w:rsid w:val="00EC7F03"/>
    <w:rsid w:val="00ED0191"/>
    <w:rsid w:val="00ED0BA2"/>
    <w:rsid w:val="00ED1AC9"/>
    <w:rsid w:val="00ED299F"/>
    <w:rsid w:val="00ED50C4"/>
    <w:rsid w:val="00ED714A"/>
    <w:rsid w:val="00ED786E"/>
    <w:rsid w:val="00EE130D"/>
    <w:rsid w:val="00EE150F"/>
    <w:rsid w:val="00EE26E9"/>
    <w:rsid w:val="00EE582D"/>
    <w:rsid w:val="00EE5DA7"/>
    <w:rsid w:val="00EE7BD7"/>
    <w:rsid w:val="00EF1685"/>
    <w:rsid w:val="00EF21E6"/>
    <w:rsid w:val="00F010AB"/>
    <w:rsid w:val="00F04FF8"/>
    <w:rsid w:val="00F066F4"/>
    <w:rsid w:val="00F069AD"/>
    <w:rsid w:val="00F11E1B"/>
    <w:rsid w:val="00F13CF2"/>
    <w:rsid w:val="00F13E49"/>
    <w:rsid w:val="00F14AF1"/>
    <w:rsid w:val="00F14F39"/>
    <w:rsid w:val="00F210DD"/>
    <w:rsid w:val="00F2211B"/>
    <w:rsid w:val="00F22404"/>
    <w:rsid w:val="00F270F8"/>
    <w:rsid w:val="00F32B8B"/>
    <w:rsid w:val="00F331C1"/>
    <w:rsid w:val="00F338B5"/>
    <w:rsid w:val="00F41BDE"/>
    <w:rsid w:val="00F525DD"/>
    <w:rsid w:val="00F53558"/>
    <w:rsid w:val="00F537BE"/>
    <w:rsid w:val="00F554DD"/>
    <w:rsid w:val="00F55B14"/>
    <w:rsid w:val="00F56E88"/>
    <w:rsid w:val="00F61515"/>
    <w:rsid w:val="00F622BD"/>
    <w:rsid w:val="00F712BD"/>
    <w:rsid w:val="00F71FA4"/>
    <w:rsid w:val="00F7248C"/>
    <w:rsid w:val="00F72D5A"/>
    <w:rsid w:val="00F73EBB"/>
    <w:rsid w:val="00F74566"/>
    <w:rsid w:val="00F74BA0"/>
    <w:rsid w:val="00F76312"/>
    <w:rsid w:val="00F76D5A"/>
    <w:rsid w:val="00F77F3F"/>
    <w:rsid w:val="00F81B4C"/>
    <w:rsid w:val="00F82A74"/>
    <w:rsid w:val="00F860F1"/>
    <w:rsid w:val="00F90407"/>
    <w:rsid w:val="00F91A74"/>
    <w:rsid w:val="00F93644"/>
    <w:rsid w:val="00FA0398"/>
    <w:rsid w:val="00FA10D3"/>
    <w:rsid w:val="00FA4503"/>
    <w:rsid w:val="00FA6BC2"/>
    <w:rsid w:val="00FB05C0"/>
    <w:rsid w:val="00FB155D"/>
    <w:rsid w:val="00FB22E7"/>
    <w:rsid w:val="00FB7B6D"/>
    <w:rsid w:val="00FC0371"/>
    <w:rsid w:val="00FC08D1"/>
    <w:rsid w:val="00FC0B99"/>
    <w:rsid w:val="00FC2994"/>
    <w:rsid w:val="00FC478E"/>
    <w:rsid w:val="00FC5543"/>
    <w:rsid w:val="00FD1E46"/>
    <w:rsid w:val="00FD1E65"/>
    <w:rsid w:val="00FD2AEA"/>
    <w:rsid w:val="00FE32E4"/>
    <w:rsid w:val="00FE44AF"/>
    <w:rsid w:val="00FE5A56"/>
    <w:rsid w:val="00FE6144"/>
    <w:rsid w:val="00FF0F49"/>
    <w:rsid w:val="00FF3AB5"/>
    <w:rsid w:val="00FF3EAE"/>
    <w:rsid w:val="00FF4D2A"/>
    <w:rsid w:val="00FF533E"/>
    <w:rsid w:val="00FF5421"/>
    <w:rsid w:val="00FF5BA0"/>
    <w:rsid w:val="00FF60FF"/>
    <w:rsid w:val="00FF648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21976B"/>
  <w15:docId w15:val="{772389E2-D5E6-4624-934F-5AC156E21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2264"/>
    <w:rPr>
      <w:lang w:val="sq-AL"/>
    </w:rPr>
  </w:style>
  <w:style w:type="paragraph" w:styleId="Heading1">
    <w:name w:val="heading 1"/>
    <w:basedOn w:val="Normal"/>
    <w:next w:val="Normal"/>
    <w:link w:val="Heading1Char"/>
    <w:qFormat/>
    <w:rsid w:val="00331CA5"/>
    <w:pPr>
      <w:keepNext/>
      <w:spacing w:after="0" w:line="240" w:lineRule="auto"/>
      <w:jc w:val="center"/>
      <w:outlineLvl w:val="0"/>
    </w:pPr>
    <w:rPr>
      <w:rFonts w:ascii="Arial" w:eastAsia="Times New Roman" w:hAnsi="Arial" w:cs="Arial"/>
      <w:b/>
      <w:sz w:val="28"/>
      <w:szCs w:val="24"/>
      <w:u w:val="single"/>
      <w:lang w:val="en-US"/>
    </w:rPr>
  </w:style>
  <w:style w:type="paragraph" w:styleId="Heading2">
    <w:name w:val="heading 2"/>
    <w:basedOn w:val="Normal"/>
    <w:next w:val="Normal"/>
    <w:link w:val="Heading2Char"/>
    <w:uiPriority w:val="9"/>
    <w:semiHidden/>
    <w:unhideWhenUsed/>
    <w:qFormat/>
    <w:rsid w:val="00D0066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D0066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5222D"/>
    <w:pPr>
      <w:tabs>
        <w:tab w:val="center" w:pos="4819"/>
        <w:tab w:val="right" w:pos="9638"/>
      </w:tabs>
      <w:spacing w:after="0" w:line="240" w:lineRule="auto"/>
    </w:pPr>
  </w:style>
  <w:style w:type="character" w:customStyle="1" w:styleId="HeaderChar">
    <w:name w:val="Header Char"/>
    <w:basedOn w:val="DefaultParagraphFont"/>
    <w:link w:val="Header"/>
    <w:uiPriority w:val="99"/>
    <w:rsid w:val="0055222D"/>
  </w:style>
  <w:style w:type="paragraph" w:styleId="Footer">
    <w:name w:val="footer"/>
    <w:basedOn w:val="Normal"/>
    <w:link w:val="FooterChar"/>
    <w:uiPriority w:val="99"/>
    <w:unhideWhenUsed/>
    <w:rsid w:val="0055222D"/>
    <w:pPr>
      <w:tabs>
        <w:tab w:val="center" w:pos="4819"/>
        <w:tab w:val="right" w:pos="9638"/>
      </w:tabs>
      <w:spacing w:after="0" w:line="240" w:lineRule="auto"/>
    </w:pPr>
  </w:style>
  <w:style w:type="character" w:customStyle="1" w:styleId="FooterChar">
    <w:name w:val="Footer Char"/>
    <w:basedOn w:val="DefaultParagraphFont"/>
    <w:link w:val="Footer"/>
    <w:uiPriority w:val="99"/>
    <w:rsid w:val="0055222D"/>
  </w:style>
  <w:style w:type="character" w:styleId="CommentReference">
    <w:name w:val="annotation reference"/>
    <w:basedOn w:val="DefaultParagraphFont"/>
    <w:uiPriority w:val="99"/>
    <w:semiHidden/>
    <w:unhideWhenUsed/>
    <w:rsid w:val="0024539E"/>
    <w:rPr>
      <w:sz w:val="16"/>
      <w:szCs w:val="16"/>
    </w:rPr>
  </w:style>
  <w:style w:type="paragraph" w:styleId="CommentText">
    <w:name w:val="annotation text"/>
    <w:basedOn w:val="Normal"/>
    <w:link w:val="CommentTextChar"/>
    <w:uiPriority w:val="99"/>
    <w:unhideWhenUsed/>
    <w:rsid w:val="0024539E"/>
    <w:pPr>
      <w:spacing w:line="240" w:lineRule="auto"/>
    </w:pPr>
    <w:rPr>
      <w:sz w:val="20"/>
      <w:szCs w:val="20"/>
    </w:rPr>
  </w:style>
  <w:style w:type="character" w:customStyle="1" w:styleId="CommentTextChar">
    <w:name w:val="Comment Text Char"/>
    <w:basedOn w:val="DefaultParagraphFont"/>
    <w:link w:val="CommentText"/>
    <w:uiPriority w:val="99"/>
    <w:rsid w:val="0024539E"/>
    <w:rPr>
      <w:sz w:val="20"/>
      <w:szCs w:val="20"/>
    </w:rPr>
  </w:style>
  <w:style w:type="paragraph" w:styleId="CommentSubject">
    <w:name w:val="annotation subject"/>
    <w:basedOn w:val="CommentText"/>
    <w:next w:val="CommentText"/>
    <w:link w:val="CommentSubjectChar"/>
    <w:uiPriority w:val="99"/>
    <w:semiHidden/>
    <w:unhideWhenUsed/>
    <w:rsid w:val="0024539E"/>
    <w:rPr>
      <w:b/>
      <w:bCs/>
    </w:rPr>
  </w:style>
  <w:style w:type="character" w:customStyle="1" w:styleId="CommentSubjectChar">
    <w:name w:val="Comment Subject Char"/>
    <w:basedOn w:val="CommentTextChar"/>
    <w:link w:val="CommentSubject"/>
    <w:uiPriority w:val="99"/>
    <w:semiHidden/>
    <w:rsid w:val="0024539E"/>
    <w:rPr>
      <w:b/>
      <w:bCs/>
      <w:sz w:val="20"/>
      <w:szCs w:val="20"/>
    </w:rPr>
  </w:style>
  <w:style w:type="paragraph" w:styleId="BalloonText">
    <w:name w:val="Balloon Text"/>
    <w:basedOn w:val="Normal"/>
    <w:link w:val="BalloonTextChar"/>
    <w:uiPriority w:val="99"/>
    <w:semiHidden/>
    <w:unhideWhenUsed/>
    <w:rsid w:val="0024539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539E"/>
    <w:rPr>
      <w:rFonts w:ascii="Tahoma" w:hAnsi="Tahoma" w:cs="Tahoma"/>
      <w:sz w:val="16"/>
      <w:szCs w:val="16"/>
    </w:rPr>
  </w:style>
  <w:style w:type="paragraph" w:styleId="ListParagraph">
    <w:name w:val="List Paragraph"/>
    <w:basedOn w:val="Normal"/>
    <w:uiPriority w:val="34"/>
    <w:qFormat/>
    <w:rsid w:val="005F534D"/>
    <w:pPr>
      <w:ind w:left="720"/>
      <w:contextualSpacing/>
    </w:pPr>
    <w:rPr>
      <w:lang w:val="en-GB"/>
    </w:rPr>
  </w:style>
  <w:style w:type="character" w:customStyle="1" w:styleId="Style1">
    <w:name w:val="Style1"/>
    <w:basedOn w:val="DefaultParagraphFont"/>
    <w:uiPriority w:val="1"/>
    <w:rsid w:val="001D5ED9"/>
    <w:rPr>
      <w:rFonts w:ascii="Times New Roman" w:hAnsi="Times New Roman"/>
      <w:color w:val="4A442A" w:themeColor="background2" w:themeShade="40"/>
      <w:sz w:val="22"/>
    </w:rPr>
  </w:style>
  <w:style w:type="paragraph" w:styleId="HTMLPreformatted">
    <w:name w:val="HTML Preformatted"/>
    <w:basedOn w:val="Normal"/>
    <w:link w:val="HTMLPreformattedChar"/>
    <w:uiPriority w:val="99"/>
    <w:semiHidden/>
    <w:unhideWhenUsed/>
    <w:rsid w:val="00D725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D72564"/>
    <w:rPr>
      <w:rFonts w:ascii="Courier New" w:eastAsia="Times New Roman" w:hAnsi="Courier New" w:cs="Courier New"/>
      <w:sz w:val="20"/>
      <w:szCs w:val="20"/>
      <w:lang w:val="en-US"/>
    </w:rPr>
  </w:style>
  <w:style w:type="paragraph" w:styleId="Title">
    <w:name w:val="Title"/>
    <w:basedOn w:val="Normal"/>
    <w:link w:val="TitleChar"/>
    <w:uiPriority w:val="99"/>
    <w:qFormat/>
    <w:rsid w:val="00D4373D"/>
    <w:pPr>
      <w:widowControl w:val="0"/>
      <w:tabs>
        <w:tab w:val="left" w:pos="-720"/>
      </w:tabs>
      <w:suppressAutoHyphens/>
      <w:spacing w:after="0" w:line="240" w:lineRule="auto"/>
      <w:jc w:val="center"/>
    </w:pPr>
    <w:rPr>
      <w:rFonts w:ascii="Times New Roman" w:eastAsia="Times New Roman" w:hAnsi="Times New Roman" w:cs="Times New Roman"/>
      <w:b/>
      <w:sz w:val="48"/>
      <w:szCs w:val="20"/>
      <w:lang w:val="en-US" w:eastAsia="en-GB"/>
    </w:rPr>
  </w:style>
  <w:style w:type="character" w:customStyle="1" w:styleId="TitleChar">
    <w:name w:val="Title Char"/>
    <w:basedOn w:val="DefaultParagraphFont"/>
    <w:link w:val="Title"/>
    <w:uiPriority w:val="99"/>
    <w:rsid w:val="00D4373D"/>
    <w:rPr>
      <w:rFonts w:ascii="Times New Roman" w:eastAsia="Times New Roman" w:hAnsi="Times New Roman" w:cs="Times New Roman"/>
      <w:b/>
      <w:sz w:val="48"/>
      <w:szCs w:val="20"/>
      <w:lang w:val="en-US" w:eastAsia="en-GB"/>
    </w:rPr>
  </w:style>
  <w:style w:type="paragraph" w:customStyle="1" w:styleId="Default">
    <w:name w:val="Default"/>
    <w:rsid w:val="00BE5C7B"/>
    <w:pPr>
      <w:autoSpaceDE w:val="0"/>
      <w:autoSpaceDN w:val="0"/>
      <w:adjustRightInd w:val="0"/>
      <w:spacing w:after="0" w:line="240" w:lineRule="auto"/>
    </w:pPr>
    <w:rPr>
      <w:rFonts w:ascii="Times New Roman" w:hAnsi="Times New Roman" w:cs="Times New Roman"/>
      <w:color w:val="000000"/>
      <w:sz w:val="24"/>
      <w:szCs w:val="24"/>
      <w:lang w:val="en-US"/>
    </w:rPr>
  </w:style>
  <w:style w:type="character" w:customStyle="1" w:styleId="TitulliChar">
    <w:name w:val="Titulli Char"/>
    <w:link w:val="Titulli"/>
    <w:uiPriority w:val="99"/>
    <w:locked/>
    <w:rsid w:val="00642A44"/>
    <w:rPr>
      <w:rFonts w:ascii="CG Times" w:hAnsi="CG Times"/>
      <w:b/>
      <w:caps/>
    </w:rPr>
  </w:style>
  <w:style w:type="paragraph" w:customStyle="1" w:styleId="Titulli">
    <w:name w:val="Titulli"/>
    <w:next w:val="Normal"/>
    <w:link w:val="TitulliChar"/>
    <w:uiPriority w:val="99"/>
    <w:rsid w:val="00642A44"/>
    <w:pPr>
      <w:keepNext/>
      <w:widowControl w:val="0"/>
      <w:spacing w:after="0" w:line="240" w:lineRule="auto"/>
      <w:jc w:val="center"/>
      <w:outlineLvl w:val="1"/>
    </w:pPr>
    <w:rPr>
      <w:rFonts w:ascii="CG Times" w:hAnsi="CG Times"/>
      <w:b/>
      <w:caps/>
    </w:rPr>
  </w:style>
  <w:style w:type="character" w:customStyle="1" w:styleId="Heading1Char">
    <w:name w:val="Heading 1 Char"/>
    <w:basedOn w:val="DefaultParagraphFont"/>
    <w:link w:val="Heading1"/>
    <w:rsid w:val="00331CA5"/>
    <w:rPr>
      <w:rFonts w:ascii="Arial" w:eastAsia="Times New Roman" w:hAnsi="Arial" w:cs="Arial"/>
      <w:b/>
      <w:sz w:val="28"/>
      <w:szCs w:val="24"/>
      <w:u w:val="single"/>
      <w:lang w:val="en-US"/>
    </w:rPr>
  </w:style>
  <w:style w:type="paragraph" w:styleId="FootnoteText">
    <w:name w:val="footnote text"/>
    <w:basedOn w:val="Normal"/>
    <w:link w:val="FootnoteTextChar"/>
    <w:uiPriority w:val="99"/>
    <w:semiHidden/>
    <w:unhideWhenUsed/>
    <w:rsid w:val="0016474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64744"/>
    <w:rPr>
      <w:sz w:val="20"/>
      <w:szCs w:val="20"/>
      <w:lang w:val="sq-AL"/>
    </w:rPr>
  </w:style>
  <w:style w:type="character" w:styleId="FootnoteReference">
    <w:name w:val="footnote reference"/>
    <w:basedOn w:val="DefaultParagraphFont"/>
    <w:uiPriority w:val="99"/>
    <w:semiHidden/>
    <w:unhideWhenUsed/>
    <w:rsid w:val="00164744"/>
    <w:rPr>
      <w:vertAlign w:val="superscript"/>
    </w:rPr>
  </w:style>
  <w:style w:type="character" w:styleId="Strong">
    <w:name w:val="Strong"/>
    <w:basedOn w:val="DefaultParagraphFont"/>
    <w:uiPriority w:val="22"/>
    <w:qFormat/>
    <w:rsid w:val="008A2C8B"/>
    <w:rPr>
      <w:b/>
      <w:bCs/>
    </w:rPr>
  </w:style>
  <w:style w:type="character" w:customStyle="1" w:styleId="y2iqfc">
    <w:name w:val="y2iqfc"/>
    <w:basedOn w:val="DefaultParagraphFont"/>
    <w:rsid w:val="007C76C3"/>
  </w:style>
  <w:style w:type="paragraph" w:styleId="NormalWeb">
    <w:name w:val="Normal (Web)"/>
    <w:basedOn w:val="Normal"/>
    <w:uiPriority w:val="99"/>
    <w:unhideWhenUsed/>
    <w:rsid w:val="000173E3"/>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isselectedend">
    <w:name w:val="isselectedend"/>
    <w:basedOn w:val="Normal"/>
    <w:rsid w:val="003F2967"/>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pdq2pgselectionanchorcontainer">
    <w:name w:val="pdq2pg_selectionanchorcontainer"/>
    <w:basedOn w:val="Normal"/>
    <w:rsid w:val="00600721"/>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z-TopofForm">
    <w:name w:val="HTML Top of Form"/>
    <w:basedOn w:val="Normal"/>
    <w:next w:val="Normal"/>
    <w:link w:val="z-TopofFormChar"/>
    <w:hidden/>
    <w:uiPriority w:val="99"/>
    <w:semiHidden/>
    <w:unhideWhenUsed/>
    <w:rsid w:val="004B09BA"/>
    <w:pPr>
      <w:pBdr>
        <w:bottom w:val="single" w:sz="6" w:space="1" w:color="auto"/>
      </w:pBdr>
      <w:spacing w:after="0" w:line="240" w:lineRule="auto"/>
      <w:jc w:val="center"/>
    </w:pPr>
    <w:rPr>
      <w:rFonts w:ascii="Arial" w:eastAsia="Times New Roman" w:hAnsi="Arial" w:cs="Arial"/>
      <w:vanish/>
      <w:sz w:val="16"/>
      <w:szCs w:val="16"/>
      <w:lang w:val="en-US"/>
    </w:rPr>
  </w:style>
  <w:style w:type="character" w:customStyle="1" w:styleId="z-TopofFormChar">
    <w:name w:val="z-Top of Form Char"/>
    <w:basedOn w:val="DefaultParagraphFont"/>
    <w:link w:val="z-TopofForm"/>
    <w:uiPriority w:val="99"/>
    <w:semiHidden/>
    <w:rsid w:val="004B09BA"/>
    <w:rPr>
      <w:rFonts w:ascii="Arial" w:eastAsia="Times New Roman" w:hAnsi="Arial" w:cs="Arial"/>
      <w:vanish/>
      <w:sz w:val="16"/>
      <w:szCs w:val="16"/>
      <w:lang w:val="en-US"/>
    </w:rPr>
  </w:style>
  <w:style w:type="paragraph" w:styleId="z-BottomofForm">
    <w:name w:val="HTML Bottom of Form"/>
    <w:basedOn w:val="Normal"/>
    <w:next w:val="Normal"/>
    <w:link w:val="z-BottomofFormChar"/>
    <w:hidden/>
    <w:uiPriority w:val="99"/>
    <w:semiHidden/>
    <w:unhideWhenUsed/>
    <w:rsid w:val="004B09BA"/>
    <w:pPr>
      <w:pBdr>
        <w:top w:val="single" w:sz="6" w:space="1" w:color="auto"/>
      </w:pBdr>
      <w:spacing w:after="0" w:line="240" w:lineRule="auto"/>
      <w:jc w:val="center"/>
    </w:pPr>
    <w:rPr>
      <w:rFonts w:ascii="Arial" w:eastAsia="Times New Roman" w:hAnsi="Arial" w:cs="Arial"/>
      <w:vanish/>
      <w:sz w:val="16"/>
      <w:szCs w:val="16"/>
      <w:lang w:val="en-US"/>
    </w:rPr>
  </w:style>
  <w:style w:type="character" w:customStyle="1" w:styleId="z-BottomofFormChar">
    <w:name w:val="z-Bottom of Form Char"/>
    <w:basedOn w:val="DefaultParagraphFont"/>
    <w:link w:val="z-BottomofForm"/>
    <w:uiPriority w:val="99"/>
    <w:semiHidden/>
    <w:rsid w:val="004B09BA"/>
    <w:rPr>
      <w:rFonts w:ascii="Arial" w:eastAsia="Times New Roman" w:hAnsi="Arial" w:cs="Arial"/>
      <w:vanish/>
      <w:sz w:val="16"/>
      <w:szCs w:val="16"/>
      <w:lang w:val="en-US"/>
    </w:rPr>
  </w:style>
  <w:style w:type="character" w:customStyle="1" w:styleId="Heading2Char">
    <w:name w:val="Heading 2 Char"/>
    <w:basedOn w:val="DefaultParagraphFont"/>
    <w:link w:val="Heading2"/>
    <w:uiPriority w:val="9"/>
    <w:semiHidden/>
    <w:rsid w:val="00D0066E"/>
    <w:rPr>
      <w:rFonts w:asciiTheme="majorHAnsi" w:eastAsiaTheme="majorEastAsia" w:hAnsiTheme="majorHAnsi" w:cstheme="majorBidi"/>
      <w:color w:val="365F91" w:themeColor="accent1" w:themeShade="BF"/>
      <w:sz w:val="26"/>
      <w:szCs w:val="26"/>
      <w:lang w:val="sq-AL"/>
    </w:rPr>
  </w:style>
  <w:style w:type="character" w:customStyle="1" w:styleId="Heading3Char">
    <w:name w:val="Heading 3 Char"/>
    <w:basedOn w:val="DefaultParagraphFont"/>
    <w:link w:val="Heading3"/>
    <w:uiPriority w:val="9"/>
    <w:semiHidden/>
    <w:rsid w:val="00D0066E"/>
    <w:rPr>
      <w:rFonts w:asciiTheme="majorHAnsi" w:eastAsiaTheme="majorEastAsia" w:hAnsiTheme="majorHAnsi" w:cstheme="majorBidi"/>
      <w:color w:val="243F60" w:themeColor="accent1" w:themeShade="7F"/>
      <w:sz w:val="24"/>
      <w:szCs w:val="24"/>
      <w:lang w:val="sq-AL"/>
    </w:rPr>
  </w:style>
  <w:style w:type="paragraph" w:styleId="Revision">
    <w:name w:val="Revision"/>
    <w:hidden/>
    <w:uiPriority w:val="99"/>
    <w:semiHidden/>
    <w:rsid w:val="00B92EFB"/>
    <w:pPr>
      <w:spacing w:after="0" w:line="240" w:lineRule="auto"/>
    </w:pPr>
    <w:rPr>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60778">
      <w:bodyDiv w:val="1"/>
      <w:marLeft w:val="0"/>
      <w:marRight w:val="0"/>
      <w:marTop w:val="0"/>
      <w:marBottom w:val="0"/>
      <w:divBdr>
        <w:top w:val="none" w:sz="0" w:space="0" w:color="auto"/>
        <w:left w:val="none" w:sz="0" w:space="0" w:color="auto"/>
        <w:bottom w:val="none" w:sz="0" w:space="0" w:color="auto"/>
        <w:right w:val="none" w:sz="0" w:space="0" w:color="auto"/>
      </w:divBdr>
    </w:div>
    <w:div w:id="21051002">
      <w:bodyDiv w:val="1"/>
      <w:marLeft w:val="0"/>
      <w:marRight w:val="0"/>
      <w:marTop w:val="0"/>
      <w:marBottom w:val="0"/>
      <w:divBdr>
        <w:top w:val="none" w:sz="0" w:space="0" w:color="auto"/>
        <w:left w:val="none" w:sz="0" w:space="0" w:color="auto"/>
        <w:bottom w:val="none" w:sz="0" w:space="0" w:color="auto"/>
        <w:right w:val="none" w:sz="0" w:space="0" w:color="auto"/>
      </w:divBdr>
    </w:div>
    <w:div w:id="99690188">
      <w:bodyDiv w:val="1"/>
      <w:marLeft w:val="0"/>
      <w:marRight w:val="0"/>
      <w:marTop w:val="0"/>
      <w:marBottom w:val="0"/>
      <w:divBdr>
        <w:top w:val="none" w:sz="0" w:space="0" w:color="auto"/>
        <w:left w:val="none" w:sz="0" w:space="0" w:color="auto"/>
        <w:bottom w:val="none" w:sz="0" w:space="0" w:color="auto"/>
        <w:right w:val="none" w:sz="0" w:space="0" w:color="auto"/>
      </w:divBdr>
    </w:div>
    <w:div w:id="100610613">
      <w:bodyDiv w:val="1"/>
      <w:marLeft w:val="0"/>
      <w:marRight w:val="0"/>
      <w:marTop w:val="0"/>
      <w:marBottom w:val="0"/>
      <w:divBdr>
        <w:top w:val="none" w:sz="0" w:space="0" w:color="auto"/>
        <w:left w:val="none" w:sz="0" w:space="0" w:color="auto"/>
        <w:bottom w:val="none" w:sz="0" w:space="0" w:color="auto"/>
        <w:right w:val="none" w:sz="0" w:space="0" w:color="auto"/>
      </w:divBdr>
    </w:div>
    <w:div w:id="137261545">
      <w:bodyDiv w:val="1"/>
      <w:marLeft w:val="0"/>
      <w:marRight w:val="0"/>
      <w:marTop w:val="0"/>
      <w:marBottom w:val="0"/>
      <w:divBdr>
        <w:top w:val="none" w:sz="0" w:space="0" w:color="auto"/>
        <w:left w:val="none" w:sz="0" w:space="0" w:color="auto"/>
        <w:bottom w:val="none" w:sz="0" w:space="0" w:color="auto"/>
        <w:right w:val="none" w:sz="0" w:space="0" w:color="auto"/>
      </w:divBdr>
      <w:divsChild>
        <w:div w:id="7216110">
          <w:marLeft w:val="0"/>
          <w:marRight w:val="0"/>
          <w:marTop w:val="0"/>
          <w:marBottom w:val="0"/>
          <w:divBdr>
            <w:top w:val="none" w:sz="0" w:space="0" w:color="auto"/>
            <w:left w:val="none" w:sz="0" w:space="0" w:color="auto"/>
            <w:bottom w:val="none" w:sz="0" w:space="0" w:color="auto"/>
            <w:right w:val="none" w:sz="0" w:space="0" w:color="auto"/>
          </w:divBdr>
        </w:div>
        <w:div w:id="71859075">
          <w:marLeft w:val="0"/>
          <w:marRight w:val="0"/>
          <w:marTop w:val="0"/>
          <w:marBottom w:val="0"/>
          <w:divBdr>
            <w:top w:val="none" w:sz="0" w:space="0" w:color="auto"/>
            <w:left w:val="none" w:sz="0" w:space="0" w:color="auto"/>
            <w:bottom w:val="none" w:sz="0" w:space="0" w:color="auto"/>
            <w:right w:val="none" w:sz="0" w:space="0" w:color="auto"/>
          </w:divBdr>
        </w:div>
        <w:div w:id="103892373">
          <w:marLeft w:val="0"/>
          <w:marRight w:val="0"/>
          <w:marTop w:val="0"/>
          <w:marBottom w:val="0"/>
          <w:divBdr>
            <w:top w:val="none" w:sz="0" w:space="0" w:color="auto"/>
            <w:left w:val="none" w:sz="0" w:space="0" w:color="auto"/>
            <w:bottom w:val="none" w:sz="0" w:space="0" w:color="auto"/>
            <w:right w:val="none" w:sz="0" w:space="0" w:color="auto"/>
          </w:divBdr>
        </w:div>
        <w:div w:id="120614679">
          <w:marLeft w:val="0"/>
          <w:marRight w:val="0"/>
          <w:marTop w:val="0"/>
          <w:marBottom w:val="0"/>
          <w:divBdr>
            <w:top w:val="none" w:sz="0" w:space="0" w:color="auto"/>
            <w:left w:val="none" w:sz="0" w:space="0" w:color="auto"/>
            <w:bottom w:val="none" w:sz="0" w:space="0" w:color="auto"/>
            <w:right w:val="none" w:sz="0" w:space="0" w:color="auto"/>
          </w:divBdr>
        </w:div>
        <w:div w:id="140779462">
          <w:marLeft w:val="0"/>
          <w:marRight w:val="0"/>
          <w:marTop w:val="0"/>
          <w:marBottom w:val="0"/>
          <w:divBdr>
            <w:top w:val="none" w:sz="0" w:space="0" w:color="auto"/>
            <w:left w:val="none" w:sz="0" w:space="0" w:color="auto"/>
            <w:bottom w:val="none" w:sz="0" w:space="0" w:color="auto"/>
            <w:right w:val="none" w:sz="0" w:space="0" w:color="auto"/>
          </w:divBdr>
        </w:div>
        <w:div w:id="161824359">
          <w:marLeft w:val="0"/>
          <w:marRight w:val="0"/>
          <w:marTop w:val="0"/>
          <w:marBottom w:val="0"/>
          <w:divBdr>
            <w:top w:val="none" w:sz="0" w:space="0" w:color="auto"/>
            <w:left w:val="none" w:sz="0" w:space="0" w:color="auto"/>
            <w:bottom w:val="none" w:sz="0" w:space="0" w:color="auto"/>
            <w:right w:val="none" w:sz="0" w:space="0" w:color="auto"/>
          </w:divBdr>
        </w:div>
        <w:div w:id="185992729">
          <w:marLeft w:val="0"/>
          <w:marRight w:val="0"/>
          <w:marTop w:val="0"/>
          <w:marBottom w:val="0"/>
          <w:divBdr>
            <w:top w:val="none" w:sz="0" w:space="0" w:color="auto"/>
            <w:left w:val="none" w:sz="0" w:space="0" w:color="auto"/>
            <w:bottom w:val="none" w:sz="0" w:space="0" w:color="auto"/>
            <w:right w:val="none" w:sz="0" w:space="0" w:color="auto"/>
          </w:divBdr>
        </w:div>
        <w:div w:id="223219091">
          <w:marLeft w:val="0"/>
          <w:marRight w:val="0"/>
          <w:marTop w:val="0"/>
          <w:marBottom w:val="0"/>
          <w:divBdr>
            <w:top w:val="none" w:sz="0" w:space="0" w:color="auto"/>
            <w:left w:val="none" w:sz="0" w:space="0" w:color="auto"/>
            <w:bottom w:val="none" w:sz="0" w:space="0" w:color="auto"/>
            <w:right w:val="none" w:sz="0" w:space="0" w:color="auto"/>
          </w:divBdr>
        </w:div>
        <w:div w:id="241641339">
          <w:marLeft w:val="0"/>
          <w:marRight w:val="0"/>
          <w:marTop w:val="0"/>
          <w:marBottom w:val="0"/>
          <w:divBdr>
            <w:top w:val="none" w:sz="0" w:space="0" w:color="auto"/>
            <w:left w:val="none" w:sz="0" w:space="0" w:color="auto"/>
            <w:bottom w:val="none" w:sz="0" w:space="0" w:color="auto"/>
            <w:right w:val="none" w:sz="0" w:space="0" w:color="auto"/>
          </w:divBdr>
        </w:div>
        <w:div w:id="257568175">
          <w:marLeft w:val="0"/>
          <w:marRight w:val="0"/>
          <w:marTop w:val="0"/>
          <w:marBottom w:val="0"/>
          <w:divBdr>
            <w:top w:val="none" w:sz="0" w:space="0" w:color="auto"/>
            <w:left w:val="none" w:sz="0" w:space="0" w:color="auto"/>
            <w:bottom w:val="none" w:sz="0" w:space="0" w:color="auto"/>
            <w:right w:val="none" w:sz="0" w:space="0" w:color="auto"/>
          </w:divBdr>
        </w:div>
        <w:div w:id="257638408">
          <w:marLeft w:val="0"/>
          <w:marRight w:val="0"/>
          <w:marTop w:val="0"/>
          <w:marBottom w:val="0"/>
          <w:divBdr>
            <w:top w:val="none" w:sz="0" w:space="0" w:color="auto"/>
            <w:left w:val="none" w:sz="0" w:space="0" w:color="auto"/>
            <w:bottom w:val="none" w:sz="0" w:space="0" w:color="auto"/>
            <w:right w:val="none" w:sz="0" w:space="0" w:color="auto"/>
          </w:divBdr>
        </w:div>
        <w:div w:id="259682256">
          <w:marLeft w:val="0"/>
          <w:marRight w:val="0"/>
          <w:marTop w:val="0"/>
          <w:marBottom w:val="0"/>
          <w:divBdr>
            <w:top w:val="none" w:sz="0" w:space="0" w:color="auto"/>
            <w:left w:val="none" w:sz="0" w:space="0" w:color="auto"/>
            <w:bottom w:val="none" w:sz="0" w:space="0" w:color="auto"/>
            <w:right w:val="none" w:sz="0" w:space="0" w:color="auto"/>
          </w:divBdr>
        </w:div>
        <w:div w:id="415857083">
          <w:marLeft w:val="0"/>
          <w:marRight w:val="0"/>
          <w:marTop w:val="0"/>
          <w:marBottom w:val="0"/>
          <w:divBdr>
            <w:top w:val="none" w:sz="0" w:space="0" w:color="auto"/>
            <w:left w:val="none" w:sz="0" w:space="0" w:color="auto"/>
            <w:bottom w:val="none" w:sz="0" w:space="0" w:color="auto"/>
            <w:right w:val="none" w:sz="0" w:space="0" w:color="auto"/>
          </w:divBdr>
        </w:div>
        <w:div w:id="476268207">
          <w:marLeft w:val="0"/>
          <w:marRight w:val="0"/>
          <w:marTop w:val="0"/>
          <w:marBottom w:val="0"/>
          <w:divBdr>
            <w:top w:val="none" w:sz="0" w:space="0" w:color="auto"/>
            <w:left w:val="none" w:sz="0" w:space="0" w:color="auto"/>
            <w:bottom w:val="none" w:sz="0" w:space="0" w:color="auto"/>
            <w:right w:val="none" w:sz="0" w:space="0" w:color="auto"/>
          </w:divBdr>
        </w:div>
        <w:div w:id="486552103">
          <w:marLeft w:val="0"/>
          <w:marRight w:val="0"/>
          <w:marTop w:val="0"/>
          <w:marBottom w:val="0"/>
          <w:divBdr>
            <w:top w:val="none" w:sz="0" w:space="0" w:color="auto"/>
            <w:left w:val="none" w:sz="0" w:space="0" w:color="auto"/>
            <w:bottom w:val="none" w:sz="0" w:space="0" w:color="auto"/>
            <w:right w:val="none" w:sz="0" w:space="0" w:color="auto"/>
          </w:divBdr>
        </w:div>
        <w:div w:id="574053046">
          <w:marLeft w:val="0"/>
          <w:marRight w:val="0"/>
          <w:marTop w:val="0"/>
          <w:marBottom w:val="0"/>
          <w:divBdr>
            <w:top w:val="none" w:sz="0" w:space="0" w:color="auto"/>
            <w:left w:val="none" w:sz="0" w:space="0" w:color="auto"/>
            <w:bottom w:val="none" w:sz="0" w:space="0" w:color="auto"/>
            <w:right w:val="none" w:sz="0" w:space="0" w:color="auto"/>
          </w:divBdr>
        </w:div>
        <w:div w:id="584537883">
          <w:marLeft w:val="0"/>
          <w:marRight w:val="0"/>
          <w:marTop w:val="0"/>
          <w:marBottom w:val="0"/>
          <w:divBdr>
            <w:top w:val="none" w:sz="0" w:space="0" w:color="auto"/>
            <w:left w:val="none" w:sz="0" w:space="0" w:color="auto"/>
            <w:bottom w:val="none" w:sz="0" w:space="0" w:color="auto"/>
            <w:right w:val="none" w:sz="0" w:space="0" w:color="auto"/>
          </w:divBdr>
        </w:div>
        <w:div w:id="617108546">
          <w:marLeft w:val="0"/>
          <w:marRight w:val="0"/>
          <w:marTop w:val="0"/>
          <w:marBottom w:val="0"/>
          <w:divBdr>
            <w:top w:val="none" w:sz="0" w:space="0" w:color="auto"/>
            <w:left w:val="none" w:sz="0" w:space="0" w:color="auto"/>
            <w:bottom w:val="none" w:sz="0" w:space="0" w:color="auto"/>
            <w:right w:val="none" w:sz="0" w:space="0" w:color="auto"/>
          </w:divBdr>
        </w:div>
        <w:div w:id="631441430">
          <w:marLeft w:val="0"/>
          <w:marRight w:val="0"/>
          <w:marTop w:val="0"/>
          <w:marBottom w:val="0"/>
          <w:divBdr>
            <w:top w:val="none" w:sz="0" w:space="0" w:color="auto"/>
            <w:left w:val="none" w:sz="0" w:space="0" w:color="auto"/>
            <w:bottom w:val="none" w:sz="0" w:space="0" w:color="auto"/>
            <w:right w:val="none" w:sz="0" w:space="0" w:color="auto"/>
          </w:divBdr>
        </w:div>
        <w:div w:id="633945420">
          <w:marLeft w:val="0"/>
          <w:marRight w:val="0"/>
          <w:marTop w:val="0"/>
          <w:marBottom w:val="0"/>
          <w:divBdr>
            <w:top w:val="none" w:sz="0" w:space="0" w:color="auto"/>
            <w:left w:val="none" w:sz="0" w:space="0" w:color="auto"/>
            <w:bottom w:val="none" w:sz="0" w:space="0" w:color="auto"/>
            <w:right w:val="none" w:sz="0" w:space="0" w:color="auto"/>
          </w:divBdr>
        </w:div>
        <w:div w:id="676157140">
          <w:marLeft w:val="0"/>
          <w:marRight w:val="0"/>
          <w:marTop w:val="0"/>
          <w:marBottom w:val="0"/>
          <w:divBdr>
            <w:top w:val="none" w:sz="0" w:space="0" w:color="auto"/>
            <w:left w:val="none" w:sz="0" w:space="0" w:color="auto"/>
            <w:bottom w:val="none" w:sz="0" w:space="0" w:color="auto"/>
            <w:right w:val="none" w:sz="0" w:space="0" w:color="auto"/>
          </w:divBdr>
        </w:div>
        <w:div w:id="693464329">
          <w:marLeft w:val="0"/>
          <w:marRight w:val="0"/>
          <w:marTop w:val="0"/>
          <w:marBottom w:val="0"/>
          <w:divBdr>
            <w:top w:val="none" w:sz="0" w:space="0" w:color="auto"/>
            <w:left w:val="none" w:sz="0" w:space="0" w:color="auto"/>
            <w:bottom w:val="none" w:sz="0" w:space="0" w:color="auto"/>
            <w:right w:val="none" w:sz="0" w:space="0" w:color="auto"/>
          </w:divBdr>
        </w:div>
        <w:div w:id="746877290">
          <w:marLeft w:val="0"/>
          <w:marRight w:val="0"/>
          <w:marTop w:val="0"/>
          <w:marBottom w:val="0"/>
          <w:divBdr>
            <w:top w:val="none" w:sz="0" w:space="0" w:color="auto"/>
            <w:left w:val="none" w:sz="0" w:space="0" w:color="auto"/>
            <w:bottom w:val="none" w:sz="0" w:space="0" w:color="auto"/>
            <w:right w:val="none" w:sz="0" w:space="0" w:color="auto"/>
          </w:divBdr>
        </w:div>
        <w:div w:id="1089236511">
          <w:marLeft w:val="0"/>
          <w:marRight w:val="0"/>
          <w:marTop w:val="0"/>
          <w:marBottom w:val="0"/>
          <w:divBdr>
            <w:top w:val="none" w:sz="0" w:space="0" w:color="auto"/>
            <w:left w:val="none" w:sz="0" w:space="0" w:color="auto"/>
            <w:bottom w:val="none" w:sz="0" w:space="0" w:color="auto"/>
            <w:right w:val="none" w:sz="0" w:space="0" w:color="auto"/>
          </w:divBdr>
        </w:div>
        <w:div w:id="1095057923">
          <w:marLeft w:val="0"/>
          <w:marRight w:val="0"/>
          <w:marTop w:val="0"/>
          <w:marBottom w:val="0"/>
          <w:divBdr>
            <w:top w:val="none" w:sz="0" w:space="0" w:color="auto"/>
            <w:left w:val="none" w:sz="0" w:space="0" w:color="auto"/>
            <w:bottom w:val="none" w:sz="0" w:space="0" w:color="auto"/>
            <w:right w:val="none" w:sz="0" w:space="0" w:color="auto"/>
          </w:divBdr>
        </w:div>
        <w:div w:id="1120759468">
          <w:marLeft w:val="0"/>
          <w:marRight w:val="0"/>
          <w:marTop w:val="0"/>
          <w:marBottom w:val="0"/>
          <w:divBdr>
            <w:top w:val="none" w:sz="0" w:space="0" w:color="auto"/>
            <w:left w:val="none" w:sz="0" w:space="0" w:color="auto"/>
            <w:bottom w:val="none" w:sz="0" w:space="0" w:color="auto"/>
            <w:right w:val="none" w:sz="0" w:space="0" w:color="auto"/>
          </w:divBdr>
        </w:div>
        <w:div w:id="1152720838">
          <w:marLeft w:val="0"/>
          <w:marRight w:val="0"/>
          <w:marTop w:val="0"/>
          <w:marBottom w:val="0"/>
          <w:divBdr>
            <w:top w:val="none" w:sz="0" w:space="0" w:color="auto"/>
            <w:left w:val="none" w:sz="0" w:space="0" w:color="auto"/>
            <w:bottom w:val="none" w:sz="0" w:space="0" w:color="auto"/>
            <w:right w:val="none" w:sz="0" w:space="0" w:color="auto"/>
          </w:divBdr>
        </w:div>
        <w:div w:id="1183666507">
          <w:marLeft w:val="0"/>
          <w:marRight w:val="0"/>
          <w:marTop w:val="0"/>
          <w:marBottom w:val="0"/>
          <w:divBdr>
            <w:top w:val="none" w:sz="0" w:space="0" w:color="auto"/>
            <w:left w:val="none" w:sz="0" w:space="0" w:color="auto"/>
            <w:bottom w:val="none" w:sz="0" w:space="0" w:color="auto"/>
            <w:right w:val="none" w:sz="0" w:space="0" w:color="auto"/>
          </w:divBdr>
        </w:div>
        <w:div w:id="1196502992">
          <w:marLeft w:val="0"/>
          <w:marRight w:val="0"/>
          <w:marTop w:val="0"/>
          <w:marBottom w:val="0"/>
          <w:divBdr>
            <w:top w:val="none" w:sz="0" w:space="0" w:color="auto"/>
            <w:left w:val="none" w:sz="0" w:space="0" w:color="auto"/>
            <w:bottom w:val="none" w:sz="0" w:space="0" w:color="auto"/>
            <w:right w:val="none" w:sz="0" w:space="0" w:color="auto"/>
          </w:divBdr>
        </w:div>
        <w:div w:id="1200508899">
          <w:marLeft w:val="0"/>
          <w:marRight w:val="0"/>
          <w:marTop w:val="0"/>
          <w:marBottom w:val="0"/>
          <w:divBdr>
            <w:top w:val="none" w:sz="0" w:space="0" w:color="auto"/>
            <w:left w:val="none" w:sz="0" w:space="0" w:color="auto"/>
            <w:bottom w:val="none" w:sz="0" w:space="0" w:color="auto"/>
            <w:right w:val="none" w:sz="0" w:space="0" w:color="auto"/>
          </w:divBdr>
        </w:div>
        <w:div w:id="1233927136">
          <w:marLeft w:val="0"/>
          <w:marRight w:val="0"/>
          <w:marTop w:val="0"/>
          <w:marBottom w:val="0"/>
          <w:divBdr>
            <w:top w:val="none" w:sz="0" w:space="0" w:color="auto"/>
            <w:left w:val="none" w:sz="0" w:space="0" w:color="auto"/>
            <w:bottom w:val="none" w:sz="0" w:space="0" w:color="auto"/>
            <w:right w:val="none" w:sz="0" w:space="0" w:color="auto"/>
          </w:divBdr>
        </w:div>
        <w:div w:id="1381202217">
          <w:marLeft w:val="0"/>
          <w:marRight w:val="0"/>
          <w:marTop w:val="0"/>
          <w:marBottom w:val="0"/>
          <w:divBdr>
            <w:top w:val="none" w:sz="0" w:space="0" w:color="auto"/>
            <w:left w:val="none" w:sz="0" w:space="0" w:color="auto"/>
            <w:bottom w:val="none" w:sz="0" w:space="0" w:color="auto"/>
            <w:right w:val="none" w:sz="0" w:space="0" w:color="auto"/>
          </w:divBdr>
        </w:div>
        <w:div w:id="1510295127">
          <w:marLeft w:val="0"/>
          <w:marRight w:val="0"/>
          <w:marTop w:val="0"/>
          <w:marBottom w:val="0"/>
          <w:divBdr>
            <w:top w:val="none" w:sz="0" w:space="0" w:color="auto"/>
            <w:left w:val="none" w:sz="0" w:space="0" w:color="auto"/>
            <w:bottom w:val="none" w:sz="0" w:space="0" w:color="auto"/>
            <w:right w:val="none" w:sz="0" w:space="0" w:color="auto"/>
          </w:divBdr>
        </w:div>
        <w:div w:id="1604916440">
          <w:marLeft w:val="0"/>
          <w:marRight w:val="0"/>
          <w:marTop w:val="0"/>
          <w:marBottom w:val="0"/>
          <w:divBdr>
            <w:top w:val="none" w:sz="0" w:space="0" w:color="auto"/>
            <w:left w:val="none" w:sz="0" w:space="0" w:color="auto"/>
            <w:bottom w:val="none" w:sz="0" w:space="0" w:color="auto"/>
            <w:right w:val="none" w:sz="0" w:space="0" w:color="auto"/>
          </w:divBdr>
        </w:div>
        <w:div w:id="1697458728">
          <w:marLeft w:val="0"/>
          <w:marRight w:val="0"/>
          <w:marTop w:val="0"/>
          <w:marBottom w:val="0"/>
          <w:divBdr>
            <w:top w:val="none" w:sz="0" w:space="0" w:color="auto"/>
            <w:left w:val="none" w:sz="0" w:space="0" w:color="auto"/>
            <w:bottom w:val="none" w:sz="0" w:space="0" w:color="auto"/>
            <w:right w:val="none" w:sz="0" w:space="0" w:color="auto"/>
          </w:divBdr>
        </w:div>
        <w:div w:id="1714965395">
          <w:marLeft w:val="0"/>
          <w:marRight w:val="0"/>
          <w:marTop w:val="0"/>
          <w:marBottom w:val="0"/>
          <w:divBdr>
            <w:top w:val="none" w:sz="0" w:space="0" w:color="auto"/>
            <w:left w:val="none" w:sz="0" w:space="0" w:color="auto"/>
            <w:bottom w:val="none" w:sz="0" w:space="0" w:color="auto"/>
            <w:right w:val="none" w:sz="0" w:space="0" w:color="auto"/>
          </w:divBdr>
        </w:div>
        <w:div w:id="1827088448">
          <w:marLeft w:val="0"/>
          <w:marRight w:val="0"/>
          <w:marTop w:val="0"/>
          <w:marBottom w:val="0"/>
          <w:divBdr>
            <w:top w:val="none" w:sz="0" w:space="0" w:color="auto"/>
            <w:left w:val="none" w:sz="0" w:space="0" w:color="auto"/>
            <w:bottom w:val="none" w:sz="0" w:space="0" w:color="auto"/>
            <w:right w:val="none" w:sz="0" w:space="0" w:color="auto"/>
          </w:divBdr>
        </w:div>
        <w:div w:id="1918443225">
          <w:marLeft w:val="0"/>
          <w:marRight w:val="0"/>
          <w:marTop w:val="0"/>
          <w:marBottom w:val="0"/>
          <w:divBdr>
            <w:top w:val="none" w:sz="0" w:space="0" w:color="auto"/>
            <w:left w:val="none" w:sz="0" w:space="0" w:color="auto"/>
            <w:bottom w:val="none" w:sz="0" w:space="0" w:color="auto"/>
            <w:right w:val="none" w:sz="0" w:space="0" w:color="auto"/>
          </w:divBdr>
        </w:div>
        <w:div w:id="1965962571">
          <w:marLeft w:val="0"/>
          <w:marRight w:val="0"/>
          <w:marTop w:val="0"/>
          <w:marBottom w:val="0"/>
          <w:divBdr>
            <w:top w:val="none" w:sz="0" w:space="0" w:color="auto"/>
            <w:left w:val="none" w:sz="0" w:space="0" w:color="auto"/>
            <w:bottom w:val="none" w:sz="0" w:space="0" w:color="auto"/>
            <w:right w:val="none" w:sz="0" w:space="0" w:color="auto"/>
          </w:divBdr>
        </w:div>
        <w:div w:id="1977098976">
          <w:marLeft w:val="0"/>
          <w:marRight w:val="0"/>
          <w:marTop w:val="0"/>
          <w:marBottom w:val="0"/>
          <w:divBdr>
            <w:top w:val="none" w:sz="0" w:space="0" w:color="auto"/>
            <w:left w:val="none" w:sz="0" w:space="0" w:color="auto"/>
            <w:bottom w:val="none" w:sz="0" w:space="0" w:color="auto"/>
            <w:right w:val="none" w:sz="0" w:space="0" w:color="auto"/>
          </w:divBdr>
        </w:div>
        <w:div w:id="2062895554">
          <w:marLeft w:val="0"/>
          <w:marRight w:val="0"/>
          <w:marTop w:val="0"/>
          <w:marBottom w:val="0"/>
          <w:divBdr>
            <w:top w:val="none" w:sz="0" w:space="0" w:color="auto"/>
            <w:left w:val="none" w:sz="0" w:space="0" w:color="auto"/>
            <w:bottom w:val="none" w:sz="0" w:space="0" w:color="auto"/>
            <w:right w:val="none" w:sz="0" w:space="0" w:color="auto"/>
          </w:divBdr>
        </w:div>
      </w:divsChild>
    </w:div>
    <w:div w:id="147673139">
      <w:bodyDiv w:val="1"/>
      <w:marLeft w:val="0"/>
      <w:marRight w:val="0"/>
      <w:marTop w:val="0"/>
      <w:marBottom w:val="0"/>
      <w:divBdr>
        <w:top w:val="none" w:sz="0" w:space="0" w:color="auto"/>
        <w:left w:val="none" w:sz="0" w:space="0" w:color="auto"/>
        <w:bottom w:val="none" w:sz="0" w:space="0" w:color="auto"/>
        <w:right w:val="none" w:sz="0" w:space="0" w:color="auto"/>
      </w:divBdr>
    </w:div>
    <w:div w:id="177473363">
      <w:bodyDiv w:val="1"/>
      <w:marLeft w:val="0"/>
      <w:marRight w:val="0"/>
      <w:marTop w:val="0"/>
      <w:marBottom w:val="0"/>
      <w:divBdr>
        <w:top w:val="none" w:sz="0" w:space="0" w:color="auto"/>
        <w:left w:val="none" w:sz="0" w:space="0" w:color="auto"/>
        <w:bottom w:val="none" w:sz="0" w:space="0" w:color="auto"/>
        <w:right w:val="none" w:sz="0" w:space="0" w:color="auto"/>
      </w:divBdr>
    </w:div>
    <w:div w:id="195386009">
      <w:bodyDiv w:val="1"/>
      <w:marLeft w:val="0"/>
      <w:marRight w:val="0"/>
      <w:marTop w:val="0"/>
      <w:marBottom w:val="0"/>
      <w:divBdr>
        <w:top w:val="none" w:sz="0" w:space="0" w:color="auto"/>
        <w:left w:val="none" w:sz="0" w:space="0" w:color="auto"/>
        <w:bottom w:val="none" w:sz="0" w:space="0" w:color="auto"/>
        <w:right w:val="none" w:sz="0" w:space="0" w:color="auto"/>
      </w:divBdr>
    </w:div>
    <w:div w:id="201865499">
      <w:bodyDiv w:val="1"/>
      <w:marLeft w:val="0"/>
      <w:marRight w:val="0"/>
      <w:marTop w:val="0"/>
      <w:marBottom w:val="0"/>
      <w:divBdr>
        <w:top w:val="none" w:sz="0" w:space="0" w:color="auto"/>
        <w:left w:val="none" w:sz="0" w:space="0" w:color="auto"/>
        <w:bottom w:val="none" w:sz="0" w:space="0" w:color="auto"/>
        <w:right w:val="none" w:sz="0" w:space="0" w:color="auto"/>
      </w:divBdr>
    </w:div>
    <w:div w:id="269167880">
      <w:bodyDiv w:val="1"/>
      <w:marLeft w:val="0"/>
      <w:marRight w:val="0"/>
      <w:marTop w:val="0"/>
      <w:marBottom w:val="0"/>
      <w:divBdr>
        <w:top w:val="none" w:sz="0" w:space="0" w:color="auto"/>
        <w:left w:val="none" w:sz="0" w:space="0" w:color="auto"/>
        <w:bottom w:val="none" w:sz="0" w:space="0" w:color="auto"/>
        <w:right w:val="none" w:sz="0" w:space="0" w:color="auto"/>
      </w:divBdr>
    </w:div>
    <w:div w:id="274673117">
      <w:bodyDiv w:val="1"/>
      <w:marLeft w:val="0"/>
      <w:marRight w:val="0"/>
      <w:marTop w:val="0"/>
      <w:marBottom w:val="0"/>
      <w:divBdr>
        <w:top w:val="none" w:sz="0" w:space="0" w:color="auto"/>
        <w:left w:val="none" w:sz="0" w:space="0" w:color="auto"/>
        <w:bottom w:val="none" w:sz="0" w:space="0" w:color="auto"/>
        <w:right w:val="none" w:sz="0" w:space="0" w:color="auto"/>
      </w:divBdr>
    </w:div>
    <w:div w:id="287735775">
      <w:bodyDiv w:val="1"/>
      <w:marLeft w:val="0"/>
      <w:marRight w:val="0"/>
      <w:marTop w:val="0"/>
      <w:marBottom w:val="0"/>
      <w:divBdr>
        <w:top w:val="none" w:sz="0" w:space="0" w:color="auto"/>
        <w:left w:val="none" w:sz="0" w:space="0" w:color="auto"/>
        <w:bottom w:val="none" w:sz="0" w:space="0" w:color="auto"/>
        <w:right w:val="none" w:sz="0" w:space="0" w:color="auto"/>
      </w:divBdr>
    </w:div>
    <w:div w:id="302664316">
      <w:bodyDiv w:val="1"/>
      <w:marLeft w:val="0"/>
      <w:marRight w:val="0"/>
      <w:marTop w:val="0"/>
      <w:marBottom w:val="0"/>
      <w:divBdr>
        <w:top w:val="none" w:sz="0" w:space="0" w:color="auto"/>
        <w:left w:val="none" w:sz="0" w:space="0" w:color="auto"/>
        <w:bottom w:val="none" w:sz="0" w:space="0" w:color="auto"/>
        <w:right w:val="none" w:sz="0" w:space="0" w:color="auto"/>
      </w:divBdr>
    </w:div>
    <w:div w:id="335887352">
      <w:bodyDiv w:val="1"/>
      <w:marLeft w:val="0"/>
      <w:marRight w:val="0"/>
      <w:marTop w:val="0"/>
      <w:marBottom w:val="0"/>
      <w:divBdr>
        <w:top w:val="none" w:sz="0" w:space="0" w:color="auto"/>
        <w:left w:val="none" w:sz="0" w:space="0" w:color="auto"/>
        <w:bottom w:val="none" w:sz="0" w:space="0" w:color="auto"/>
        <w:right w:val="none" w:sz="0" w:space="0" w:color="auto"/>
      </w:divBdr>
    </w:div>
    <w:div w:id="361169938">
      <w:bodyDiv w:val="1"/>
      <w:marLeft w:val="0"/>
      <w:marRight w:val="0"/>
      <w:marTop w:val="0"/>
      <w:marBottom w:val="0"/>
      <w:divBdr>
        <w:top w:val="none" w:sz="0" w:space="0" w:color="auto"/>
        <w:left w:val="none" w:sz="0" w:space="0" w:color="auto"/>
        <w:bottom w:val="none" w:sz="0" w:space="0" w:color="auto"/>
        <w:right w:val="none" w:sz="0" w:space="0" w:color="auto"/>
      </w:divBdr>
      <w:divsChild>
        <w:div w:id="768547148">
          <w:marLeft w:val="0"/>
          <w:marRight w:val="0"/>
          <w:marTop w:val="0"/>
          <w:marBottom w:val="0"/>
          <w:divBdr>
            <w:top w:val="none" w:sz="0" w:space="0" w:color="auto"/>
            <w:left w:val="none" w:sz="0" w:space="0" w:color="auto"/>
            <w:bottom w:val="none" w:sz="0" w:space="0" w:color="auto"/>
            <w:right w:val="none" w:sz="0" w:space="0" w:color="auto"/>
          </w:divBdr>
        </w:div>
      </w:divsChild>
    </w:div>
    <w:div w:id="434862883">
      <w:bodyDiv w:val="1"/>
      <w:marLeft w:val="0"/>
      <w:marRight w:val="0"/>
      <w:marTop w:val="0"/>
      <w:marBottom w:val="0"/>
      <w:divBdr>
        <w:top w:val="none" w:sz="0" w:space="0" w:color="auto"/>
        <w:left w:val="none" w:sz="0" w:space="0" w:color="auto"/>
        <w:bottom w:val="none" w:sz="0" w:space="0" w:color="auto"/>
        <w:right w:val="none" w:sz="0" w:space="0" w:color="auto"/>
      </w:divBdr>
    </w:div>
    <w:div w:id="495413407">
      <w:bodyDiv w:val="1"/>
      <w:marLeft w:val="0"/>
      <w:marRight w:val="0"/>
      <w:marTop w:val="0"/>
      <w:marBottom w:val="0"/>
      <w:divBdr>
        <w:top w:val="none" w:sz="0" w:space="0" w:color="auto"/>
        <w:left w:val="none" w:sz="0" w:space="0" w:color="auto"/>
        <w:bottom w:val="none" w:sz="0" w:space="0" w:color="auto"/>
        <w:right w:val="none" w:sz="0" w:space="0" w:color="auto"/>
      </w:divBdr>
      <w:divsChild>
        <w:div w:id="500966960">
          <w:marLeft w:val="0"/>
          <w:marRight w:val="0"/>
          <w:marTop w:val="0"/>
          <w:marBottom w:val="0"/>
          <w:divBdr>
            <w:top w:val="none" w:sz="0" w:space="0" w:color="auto"/>
            <w:left w:val="none" w:sz="0" w:space="0" w:color="auto"/>
            <w:bottom w:val="none" w:sz="0" w:space="0" w:color="auto"/>
            <w:right w:val="none" w:sz="0" w:space="0" w:color="auto"/>
          </w:divBdr>
          <w:divsChild>
            <w:div w:id="1402869639">
              <w:marLeft w:val="0"/>
              <w:marRight w:val="0"/>
              <w:marTop w:val="0"/>
              <w:marBottom w:val="0"/>
              <w:divBdr>
                <w:top w:val="none" w:sz="0" w:space="0" w:color="auto"/>
                <w:left w:val="none" w:sz="0" w:space="0" w:color="auto"/>
                <w:bottom w:val="none" w:sz="0" w:space="0" w:color="auto"/>
                <w:right w:val="none" w:sz="0" w:space="0" w:color="auto"/>
              </w:divBdr>
              <w:divsChild>
                <w:div w:id="545484289">
                  <w:marLeft w:val="0"/>
                  <w:marRight w:val="0"/>
                  <w:marTop w:val="0"/>
                  <w:marBottom w:val="0"/>
                  <w:divBdr>
                    <w:top w:val="none" w:sz="0" w:space="0" w:color="auto"/>
                    <w:left w:val="none" w:sz="0" w:space="0" w:color="auto"/>
                    <w:bottom w:val="none" w:sz="0" w:space="0" w:color="auto"/>
                    <w:right w:val="none" w:sz="0" w:space="0" w:color="auto"/>
                  </w:divBdr>
                  <w:divsChild>
                    <w:div w:id="1077241607">
                      <w:marLeft w:val="0"/>
                      <w:marRight w:val="0"/>
                      <w:marTop w:val="0"/>
                      <w:marBottom w:val="0"/>
                      <w:divBdr>
                        <w:top w:val="none" w:sz="0" w:space="0" w:color="auto"/>
                        <w:left w:val="none" w:sz="0" w:space="0" w:color="auto"/>
                        <w:bottom w:val="none" w:sz="0" w:space="0" w:color="auto"/>
                        <w:right w:val="none" w:sz="0" w:space="0" w:color="auto"/>
                      </w:divBdr>
                      <w:divsChild>
                        <w:div w:id="1917087493">
                          <w:marLeft w:val="0"/>
                          <w:marRight w:val="0"/>
                          <w:marTop w:val="0"/>
                          <w:marBottom w:val="0"/>
                          <w:divBdr>
                            <w:top w:val="none" w:sz="0" w:space="0" w:color="auto"/>
                            <w:left w:val="none" w:sz="0" w:space="0" w:color="auto"/>
                            <w:bottom w:val="none" w:sz="0" w:space="0" w:color="auto"/>
                            <w:right w:val="none" w:sz="0" w:space="0" w:color="auto"/>
                          </w:divBdr>
                          <w:divsChild>
                            <w:div w:id="2052682830">
                              <w:marLeft w:val="0"/>
                              <w:marRight w:val="0"/>
                              <w:marTop w:val="0"/>
                              <w:marBottom w:val="0"/>
                              <w:divBdr>
                                <w:top w:val="none" w:sz="0" w:space="0" w:color="auto"/>
                                <w:left w:val="none" w:sz="0" w:space="0" w:color="auto"/>
                                <w:bottom w:val="none" w:sz="0" w:space="0" w:color="auto"/>
                                <w:right w:val="none" w:sz="0" w:space="0" w:color="auto"/>
                              </w:divBdr>
                              <w:divsChild>
                                <w:div w:id="1791778532">
                                  <w:marLeft w:val="0"/>
                                  <w:marRight w:val="0"/>
                                  <w:marTop w:val="0"/>
                                  <w:marBottom w:val="0"/>
                                  <w:divBdr>
                                    <w:top w:val="none" w:sz="0" w:space="0" w:color="auto"/>
                                    <w:left w:val="none" w:sz="0" w:space="0" w:color="auto"/>
                                    <w:bottom w:val="none" w:sz="0" w:space="0" w:color="auto"/>
                                    <w:right w:val="none" w:sz="0" w:space="0" w:color="auto"/>
                                  </w:divBdr>
                                  <w:divsChild>
                                    <w:div w:id="1937010935">
                                      <w:marLeft w:val="60"/>
                                      <w:marRight w:val="0"/>
                                      <w:marTop w:val="0"/>
                                      <w:marBottom w:val="0"/>
                                      <w:divBdr>
                                        <w:top w:val="none" w:sz="0" w:space="0" w:color="auto"/>
                                        <w:left w:val="none" w:sz="0" w:space="0" w:color="auto"/>
                                        <w:bottom w:val="none" w:sz="0" w:space="0" w:color="auto"/>
                                        <w:right w:val="none" w:sz="0" w:space="0" w:color="auto"/>
                                      </w:divBdr>
                                      <w:divsChild>
                                        <w:div w:id="1342471233">
                                          <w:marLeft w:val="0"/>
                                          <w:marRight w:val="0"/>
                                          <w:marTop w:val="0"/>
                                          <w:marBottom w:val="0"/>
                                          <w:divBdr>
                                            <w:top w:val="none" w:sz="0" w:space="0" w:color="auto"/>
                                            <w:left w:val="none" w:sz="0" w:space="0" w:color="auto"/>
                                            <w:bottom w:val="none" w:sz="0" w:space="0" w:color="auto"/>
                                            <w:right w:val="none" w:sz="0" w:space="0" w:color="auto"/>
                                          </w:divBdr>
                                          <w:divsChild>
                                            <w:div w:id="1905872443">
                                              <w:marLeft w:val="0"/>
                                              <w:marRight w:val="0"/>
                                              <w:marTop w:val="0"/>
                                              <w:marBottom w:val="120"/>
                                              <w:divBdr>
                                                <w:top w:val="single" w:sz="6" w:space="0" w:color="F5F5F5"/>
                                                <w:left w:val="single" w:sz="6" w:space="0" w:color="F5F5F5"/>
                                                <w:bottom w:val="single" w:sz="6" w:space="0" w:color="F5F5F5"/>
                                                <w:right w:val="single" w:sz="6" w:space="0" w:color="F5F5F5"/>
                                              </w:divBdr>
                                              <w:divsChild>
                                                <w:div w:id="311058128">
                                                  <w:marLeft w:val="0"/>
                                                  <w:marRight w:val="0"/>
                                                  <w:marTop w:val="0"/>
                                                  <w:marBottom w:val="0"/>
                                                  <w:divBdr>
                                                    <w:top w:val="none" w:sz="0" w:space="0" w:color="auto"/>
                                                    <w:left w:val="none" w:sz="0" w:space="0" w:color="auto"/>
                                                    <w:bottom w:val="none" w:sz="0" w:space="0" w:color="auto"/>
                                                    <w:right w:val="none" w:sz="0" w:space="0" w:color="auto"/>
                                                  </w:divBdr>
                                                  <w:divsChild>
                                                    <w:div w:id="1900633906">
                                                      <w:marLeft w:val="0"/>
                                                      <w:marRight w:val="0"/>
                                                      <w:marTop w:val="0"/>
                                                      <w:marBottom w:val="0"/>
                                                      <w:divBdr>
                                                        <w:top w:val="none" w:sz="0" w:space="0" w:color="auto"/>
                                                        <w:left w:val="none" w:sz="0" w:space="0" w:color="auto"/>
                                                        <w:bottom w:val="none" w:sz="0" w:space="0" w:color="auto"/>
                                                        <w:right w:val="none" w:sz="0" w:space="0" w:color="auto"/>
                                                      </w:divBdr>
                                                    </w:div>
                                                  </w:divsChild>
                                                </w:div>
                                                <w:div w:id="1152138310">
                                                  <w:marLeft w:val="0"/>
                                                  <w:marRight w:val="0"/>
                                                  <w:marTop w:val="0"/>
                                                  <w:marBottom w:val="0"/>
                                                  <w:divBdr>
                                                    <w:top w:val="none" w:sz="0" w:space="0" w:color="auto"/>
                                                    <w:left w:val="none" w:sz="0" w:space="0" w:color="auto"/>
                                                    <w:bottom w:val="none" w:sz="0" w:space="0" w:color="auto"/>
                                                    <w:right w:val="none" w:sz="0" w:space="0" w:color="auto"/>
                                                  </w:divBdr>
                                                  <w:divsChild>
                                                    <w:div w:id="587620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26795157">
      <w:bodyDiv w:val="1"/>
      <w:marLeft w:val="0"/>
      <w:marRight w:val="0"/>
      <w:marTop w:val="0"/>
      <w:marBottom w:val="0"/>
      <w:divBdr>
        <w:top w:val="none" w:sz="0" w:space="0" w:color="auto"/>
        <w:left w:val="none" w:sz="0" w:space="0" w:color="auto"/>
        <w:bottom w:val="none" w:sz="0" w:space="0" w:color="auto"/>
        <w:right w:val="none" w:sz="0" w:space="0" w:color="auto"/>
      </w:divBdr>
    </w:div>
    <w:div w:id="564611821">
      <w:bodyDiv w:val="1"/>
      <w:marLeft w:val="0"/>
      <w:marRight w:val="0"/>
      <w:marTop w:val="0"/>
      <w:marBottom w:val="0"/>
      <w:divBdr>
        <w:top w:val="none" w:sz="0" w:space="0" w:color="auto"/>
        <w:left w:val="none" w:sz="0" w:space="0" w:color="auto"/>
        <w:bottom w:val="none" w:sz="0" w:space="0" w:color="auto"/>
        <w:right w:val="none" w:sz="0" w:space="0" w:color="auto"/>
      </w:divBdr>
    </w:div>
    <w:div w:id="599992922">
      <w:bodyDiv w:val="1"/>
      <w:marLeft w:val="0"/>
      <w:marRight w:val="0"/>
      <w:marTop w:val="0"/>
      <w:marBottom w:val="0"/>
      <w:divBdr>
        <w:top w:val="none" w:sz="0" w:space="0" w:color="auto"/>
        <w:left w:val="none" w:sz="0" w:space="0" w:color="auto"/>
        <w:bottom w:val="none" w:sz="0" w:space="0" w:color="auto"/>
        <w:right w:val="none" w:sz="0" w:space="0" w:color="auto"/>
      </w:divBdr>
    </w:div>
    <w:div w:id="618954192">
      <w:bodyDiv w:val="1"/>
      <w:marLeft w:val="0"/>
      <w:marRight w:val="0"/>
      <w:marTop w:val="0"/>
      <w:marBottom w:val="0"/>
      <w:divBdr>
        <w:top w:val="none" w:sz="0" w:space="0" w:color="auto"/>
        <w:left w:val="none" w:sz="0" w:space="0" w:color="auto"/>
        <w:bottom w:val="none" w:sz="0" w:space="0" w:color="auto"/>
        <w:right w:val="none" w:sz="0" w:space="0" w:color="auto"/>
      </w:divBdr>
    </w:div>
    <w:div w:id="620846262">
      <w:bodyDiv w:val="1"/>
      <w:marLeft w:val="0"/>
      <w:marRight w:val="0"/>
      <w:marTop w:val="0"/>
      <w:marBottom w:val="0"/>
      <w:divBdr>
        <w:top w:val="none" w:sz="0" w:space="0" w:color="auto"/>
        <w:left w:val="none" w:sz="0" w:space="0" w:color="auto"/>
        <w:bottom w:val="none" w:sz="0" w:space="0" w:color="auto"/>
        <w:right w:val="none" w:sz="0" w:space="0" w:color="auto"/>
      </w:divBdr>
    </w:div>
    <w:div w:id="643583545">
      <w:bodyDiv w:val="1"/>
      <w:marLeft w:val="0"/>
      <w:marRight w:val="0"/>
      <w:marTop w:val="0"/>
      <w:marBottom w:val="0"/>
      <w:divBdr>
        <w:top w:val="none" w:sz="0" w:space="0" w:color="auto"/>
        <w:left w:val="none" w:sz="0" w:space="0" w:color="auto"/>
        <w:bottom w:val="none" w:sz="0" w:space="0" w:color="auto"/>
        <w:right w:val="none" w:sz="0" w:space="0" w:color="auto"/>
      </w:divBdr>
    </w:div>
    <w:div w:id="649097941">
      <w:bodyDiv w:val="1"/>
      <w:marLeft w:val="0"/>
      <w:marRight w:val="0"/>
      <w:marTop w:val="0"/>
      <w:marBottom w:val="0"/>
      <w:divBdr>
        <w:top w:val="none" w:sz="0" w:space="0" w:color="auto"/>
        <w:left w:val="none" w:sz="0" w:space="0" w:color="auto"/>
        <w:bottom w:val="none" w:sz="0" w:space="0" w:color="auto"/>
        <w:right w:val="none" w:sz="0" w:space="0" w:color="auto"/>
      </w:divBdr>
    </w:div>
    <w:div w:id="660818514">
      <w:bodyDiv w:val="1"/>
      <w:marLeft w:val="0"/>
      <w:marRight w:val="0"/>
      <w:marTop w:val="0"/>
      <w:marBottom w:val="0"/>
      <w:divBdr>
        <w:top w:val="none" w:sz="0" w:space="0" w:color="auto"/>
        <w:left w:val="none" w:sz="0" w:space="0" w:color="auto"/>
        <w:bottom w:val="none" w:sz="0" w:space="0" w:color="auto"/>
        <w:right w:val="none" w:sz="0" w:space="0" w:color="auto"/>
      </w:divBdr>
    </w:div>
    <w:div w:id="665287727">
      <w:bodyDiv w:val="1"/>
      <w:marLeft w:val="0"/>
      <w:marRight w:val="0"/>
      <w:marTop w:val="0"/>
      <w:marBottom w:val="0"/>
      <w:divBdr>
        <w:top w:val="none" w:sz="0" w:space="0" w:color="auto"/>
        <w:left w:val="none" w:sz="0" w:space="0" w:color="auto"/>
        <w:bottom w:val="none" w:sz="0" w:space="0" w:color="auto"/>
        <w:right w:val="none" w:sz="0" w:space="0" w:color="auto"/>
      </w:divBdr>
    </w:div>
    <w:div w:id="673187463">
      <w:bodyDiv w:val="1"/>
      <w:marLeft w:val="0"/>
      <w:marRight w:val="0"/>
      <w:marTop w:val="0"/>
      <w:marBottom w:val="0"/>
      <w:divBdr>
        <w:top w:val="none" w:sz="0" w:space="0" w:color="auto"/>
        <w:left w:val="none" w:sz="0" w:space="0" w:color="auto"/>
        <w:bottom w:val="none" w:sz="0" w:space="0" w:color="auto"/>
        <w:right w:val="none" w:sz="0" w:space="0" w:color="auto"/>
      </w:divBdr>
    </w:div>
    <w:div w:id="755399678">
      <w:bodyDiv w:val="1"/>
      <w:marLeft w:val="0"/>
      <w:marRight w:val="0"/>
      <w:marTop w:val="0"/>
      <w:marBottom w:val="0"/>
      <w:divBdr>
        <w:top w:val="none" w:sz="0" w:space="0" w:color="auto"/>
        <w:left w:val="none" w:sz="0" w:space="0" w:color="auto"/>
        <w:bottom w:val="none" w:sz="0" w:space="0" w:color="auto"/>
        <w:right w:val="none" w:sz="0" w:space="0" w:color="auto"/>
      </w:divBdr>
    </w:div>
    <w:div w:id="852380209">
      <w:bodyDiv w:val="1"/>
      <w:marLeft w:val="0"/>
      <w:marRight w:val="0"/>
      <w:marTop w:val="0"/>
      <w:marBottom w:val="0"/>
      <w:divBdr>
        <w:top w:val="none" w:sz="0" w:space="0" w:color="auto"/>
        <w:left w:val="none" w:sz="0" w:space="0" w:color="auto"/>
        <w:bottom w:val="none" w:sz="0" w:space="0" w:color="auto"/>
        <w:right w:val="none" w:sz="0" w:space="0" w:color="auto"/>
      </w:divBdr>
    </w:div>
    <w:div w:id="867180799">
      <w:bodyDiv w:val="1"/>
      <w:marLeft w:val="0"/>
      <w:marRight w:val="0"/>
      <w:marTop w:val="0"/>
      <w:marBottom w:val="0"/>
      <w:divBdr>
        <w:top w:val="none" w:sz="0" w:space="0" w:color="auto"/>
        <w:left w:val="none" w:sz="0" w:space="0" w:color="auto"/>
        <w:bottom w:val="none" w:sz="0" w:space="0" w:color="auto"/>
        <w:right w:val="none" w:sz="0" w:space="0" w:color="auto"/>
      </w:divBdr>
    </w:div>
    <w:div w:id="911544020">
      <w:bodyDiv w:val="1"/>
      <w:marLeft w:val="0"/>
      <w:marRight w:val="0"/>
      <w:marTop w:val="0"/>
      <w:marBottom w:val="0"/>
      <w:divBdr>
        <w:top w:val="none" w:sz="0" w:space="0" w:color="auto"/>
        <w:left w:val="none" w:sz="0" w:space="0" w:color="auto"/>
        <w:bottom w:val="none" w:sz="0" w:space="0" w:color="auto"/>
        <w:right w:val="none" w:sz="0" w:space="0" w:color="auto"/>
      </w:divBdr>
    </w:div>
    <w:div w:id="924805823">
      <w:bodyDiv w:val="1"/>
      <w:marLeft w:val="0"/>
      <w:marRight w:val="0"/>
      <w:marTop w:val="0"/>
      <w:marBottom w:val="0"/>
      <w:divBdr>
        <w:top w:val="none" w:sz="0" w:space="0" w:color="auto"/>
        <w:left w:val="none" w:sz="0" w:space="0" w:color="auto"/>
        <w:bottom w:val="none" w:sz="0" w:space="0" w:color="auto"/>
        <w:right w:val="none" w:sz="0" w:space="0" w:color="auto"/>
      </w:divBdr>
    </w:div>
    <w:div w:id="943271452">
      <w:bodyDiv w:val="1"/>
      <w:marLeft w:val="0"/>
      <w:marRight w:val="0"/>
      <w:marTop w:val="0"/>
      <w:marBottom w:val="0"/>
      <w:divBdr>
        <w:top w:val="none" w:sz="0" w:space="0" w:color="auto"/>
        <w:left w:val="none" w:sz="0" w:space="0" w:color="auto"/>
        <w:bottom w:val="none" w:sz="0" w:space="0" w:color="auto"/>
        <w:right w:val="none" w:sz="0" w:space="0" w:color="auto"/>
      </w:divBdr>
    </w:div>
    <w:div w:id="956567330">
      <w:bodyDiv w:val="1"/>
      <w:marLeft w:val="0"/>
      <w:marRight w:val="0"/>
      <w:marTop w:val="0"/>
      <w:marBottom w:val="0"/>
      <w:divBdr>
        <w:top w:val="none" w:sz="0" w:space="0" w:color="auto"/>
        <w:left w:val="none" w:sz="0" w:space="0" w:color="auto"/>
        <w:bottom w:val="none" w:sz="0" w:space="0" w:color="auto"/>
        <w:right w:val="none" w:sz="0" w:space="0" w:color="auto"/>
      </w:divBdr>
      <w:divsChild>
        <w:div w:id="223298149">
          <w:marLeft w:val="144"/>
          <w:marRight w:val="0"/>
          <w:marTop w:val="240"/>
          <w:marBottom w:val="40"/>
          <w:divBdr>
            <w:top w:val="none" w:sz="0" w:space="0" w:color="auto"/>
            <w:left w:val="none" w:sz="0" w:space="0" w:color="auto"/>
            <w:bottom w:val="none" w:sz="0" w:space="0" w:color="auto"/>
            <w:right w:val="none" w:sz="0" w:space="0" w:color="auto"/>
          </w:divBdr>
        </w:div>
      </w:divsChild>
    </w:div>
    <w:div w:id="962418976">
      <w:bodyDiv w:val="1"/>
      <w:marLeft w:val="0"/>
      <w:marRight w:val="0"/>
      <w:marTop w:val="0"/>
      <w:marBottom w:val="0"/>
      <w:divBdr>
        <w:top w:val="none" w:sz="0" w:space="0" w:color="auto"/>
        <w:left w:val="none" w:sz="0" w:space="0" w:color="auto"/>
        <w:bottom w:val="none" w:sz="0" w:space="0" w:color="auto"/>
        <w:right w:val="none" w:sz="0" w:space="0" w:color="auto"/>
      </w:divBdr>
    </w:div>
    <w:div w:id="1002048979">
      <w:bodyDiv w:val="1"/>
      <w:marLeft w:val="0"/>
      <w:marRight w:val="0"/>
      <w:marTop w:val="0"/>
      <w:marBottom w:val="0"/>
      <w:divBdr>
        <w:top w:val="none" w:sz="0" w:space="0" w:color="auto"/>
        <w:left w:val="none" w:sz="0" w:space="0" w:color="auto"/>
        <w:bottom w:val="none" w:sz="0" w:space="0" w:color="auto"/>
        <w:right w:val="none" w:sz="0" w:space="0" w:color="auto"/>
      </w:divBdr>
    </w:div>
    <w:div w:id="1005326689">
      <w:bodyDiv w:val="1"/>
      <w:marLeft w:val="0"/>
      <w:marRight w:val="0"/>
      <w:marTop w:val="0"/>
      <w:marBottom w:val="0"/>
      <w:divBdr>
        <w:top w:val="none" w:sz="0" w:space="0" w:color="auto"/>
        <w:left w:val="none" w:sz="0" w:space="0" w:color="auto"/>
        <w:bottom w:val="none" w:sz="0" w:space="0" w:color="auto"/>
        <w:right w:val="none" w:sz="0" w:space="0" w:color="auto"/>
      </w:divBdr>
    </w:div>
    <w:div w:id="1045906515">
      <w:bodyDiv w:val="1"/>
      <w:marLeft w:val="0"/>
      <w:marRight w:val="0"/>
      <w:marTop w:val="0"/>
      <w:marBottom w:val="0"/>
      <w:divBdr>
        <w:top w:val="none" w:sz="0" w:space="0" w:color="auto"/>
        <w:left w:val="none" w:sz="0" w:space="0" w:color="auto"/>
        <w:bottom w:val="none" w:sz="0" w:space="0" w:color="auto"/>
        <w:right w:val="none" w:sz="0" w:space="0" w:color="auto"/>
      </w:divBdr>
    </w:div>
    <w:div w:id="1083456453">
      <w:bodyDiv w:val="1"/>
      <w:marLeft w:val="0"/>
      <w:marRight w:val="0"/>
      <w:marTop w:val="0"/>
      <w:marBottom w:val="0"/>
      <w:divBdr>
        <w:top w:val="none" w:sz="0" w:space="0" w:color="auto"/>
        <w:left w:val="none" w:sz="0" w:space="0" w:color="auto"/>
        <w:bottom w:val="none" w:sz="0" w:space="0" w:color="auto"/>
        <w:right w:val="none" w:sz="0" w:space="0" w:color="auto"/>
      </w:divBdr>
      <w:divsChild>
        <w:div w:id="565411696">
          <w:marLeft w:val="0"/>
          <w:marRight w:val="0"/>
          <w:marTop w:val="0"/>
          <w:marBottom w:val="0"/>
          <w:divBdr>
            <w:top w:val="none" w:sz="0" w:space="0" w:color="auto"/>
            <w:left w:val="none" w:sz="0" w:space="0" w:color="auto"/>
            <w:bottom w:val="none" w:sz="0" w:space="0" w:color="auto"/>
            <w:right w:val="none" w:sz="0" w:space="0" w:color="auto"/>
          </w:divBdr>
          <w:divsChild>
            <w:div w:id="1319767705">
              <w:marLeft w:val="0"/>
              <w:marRight w:val="0"/>
              <w:marTop w:val="0"/>
              <w:marBottom w:val="0"/>
              <w:divBdr>
                <w:top w:val="none" w:sz="0" w:space="0" w:color="auto"/>
                <w:left w:val="none" w:sz="0" w:space="0" w:color="auto"/>
                <w:bottom w:val="none" w:sz="0" w:space="0" w:color="auto"/>
                <w:right w:val="none" w:sz="0" w:space="0" w:color="auto"/>
              </w:divBdr>
              <w:divsChild>
                <w:div w:id="683483344">
                  <w:marLeft w:val="0"/>
                  <w:marRight w:val="0"/>
                  <w:marTop w:val="0"/>
                  <w:marBottom w:val="0"/>
                  <w:divBdr>
                    <w:top w:val="none" w:sz="0" w:space="0" w:color="auto"/>
                    <w:left w:val="none" w:sz="0" w:space="0" w:color="auto"/>
                    <w:bottom w:val="none" w:sz="0" w:space="0" w:color="auto"/>
                    <w:right w:val="none" w:sz="0" w:space="0" w:color="auto"/>
                  </w:divBdr>
                  <w:divsChild>
                    <w:div w:id="1876039893">
                      <w:marLeft w:val="0"/>
                      <w:marRight w:val="0"/>
                      <w:marTop w:val="0"/>
                      <w:marBottom w:val="0"/>
                      <w:divBdr>
                        <w:top w:val="none" w:sz="0" w:space="0" w:color="auto"/>
                        <w:left w:val="none" w:sz="0" w:space="0" w:color="auto"/>
                        <w:bottom w:val="none" w:sz="0" w:space="0" w:color="auto"/>
                        <w:right w:val="none" w:sz="0" w:space="0" w:color="auto"/>
                      </w:divBdr>
                      <w:divsChild>
                        <w:div w:id="633222371">
                          <w:marLeft w:val="0"/>
                          <w:marRight w:val="0"/>
                          <w:marTop w:val="0"/>
                          <w:marBottom w:val="0"/>
                          <w:divBdr>
                            <w:top w:val="none" w:sz="0" w:space="0" w:color="auto"/>
                            <w:left w:val="none" w:sz="0" w:space="0" w:color="auto"/>
                            <w:bottom w:val="none" w:sz="0" w:space="0" w:color="auto"/>
                            <w:right w:val="none" w:sz="0" w:space="0" w:color="auto"/>
                          </w:divBdr>
                          <w:divsChild>
                            <w:div w:id="832062980">
                              <w:marLeft w:val="0"/>
                              <w:marRight w:val="0"/>
                              <w:marTop w:val="0"/>
                              <w:marBottom w:val="0"/>
                              <w:divBdr>
                                <w:top w:val="none" w:sz="0" w:space="0" w:color="auto"/>
                                <w:left w:val="none" w:sz="0" w:space="0" w:color="auto"/>
                                <w:bottom w:val="none" w:sz="0" w:space="0" w:color="auto"/>
                                <w:right w:val="none" w:sz="0" w:space="0" w:color="auto"/>
                              </w:divBdr>
                              <w:divsChild>
                                <w:div w:id="973484317">
                                  <w:marLeft w:val="0"/>
                                  <w:marRight w:val="0"/>
                                  <w:marTop w:val="0"/>
                                  <w:marBottom w:val="0"/>
                                  <w:divBdr>
                                    <w:top w:val="none" w:sz="0" w:space="0" w:color="auto"/>
                                    <w:left w:val="none" w:sz="0" w:space="0" w:color="auto"/>
                                    <w:bottom w:val="none" w:sz="0" w:space="0" w:color="auto"/>
                                    <w:right w:val="none" w:sz="0" w:space="0" w:color="auto"/>
                                  </w:divBdr>
                                  <w:divsChild>
                                    <w:div w:id="549192082">
                                      <w:marLeft w:val="0"/>
                                      <w:marRight w:val="0"/>
                                      <w:marTop w:val="0"/>
                                      <w:marBottom w:val="0"/>
                                      <w:divBdr>
                                        <w:top w:val="none" w:sz="0" w:space="0" w:color="auto"/>
                                        <w:left w:val="none" w:sz="0" w:space="0" w:color="auto"/>
                                        <w:bottom w:val="none" w:sz="0" w:space="0" w:color="auto"/>
                                        <w:right w:val="none" w:sz="0" w:space="0" w:color="auto"/>
                                      </w:divBdr>
                                      <w:divsChild>
                                        <w:div w:id="302470394">
                                          <w:marLeft w:val="0"/>
                                          <w:marRight w:val="0"/>
                                          <w:marTop w:val="0"/>
                                          <w:marBottom w:val="0"/>
                                          <w:divBdr>
                                            <w:top w:val="none" w:sz="0" w:space="0" w:color="auto"/>
                                            <w:left w:val="none" w:sz="0" w:space="0" w:color="auto"/>
                                            <w:bottom w:val="none" w:sz="0" w:space="0" w:color="auto"/>
                                            <w:right w:val="none" w:sz="0" w:space="0" w:color="auto"/>
                                          </w:divBdr>
                                          <w:divsChild>
                                            <w:div w:id="1197348232">
                                              <w:marLeft w:val="0"/>
                                              <w:marRight w:val="0"/>
                                              <w:marTop w:val="0"/>
                                              <w:marBottom w:val="0"/>
                                              <w:divBdr>
                                                <w:top w:val="none" w:sz="0" w:space="0" w:color="auto"/>
                                                <w:left w:val="none" w:sz="0" w:space="0" w:color="auto"/>
                                                <w:bottom w:val="none" w:sz="0" w:space="0" w:color="auto"/>
                                                <w:right w:val="none" w:sz="0" w:space="0" w:color="auto"/>
                                              </w:divBdr>
                                              <w:divsChild>
                                                <w:div w:id="5900870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00056715">
          <w:marLeft w:val="0"/>
          <w:marRight w:val="0"/>
          <w:marTop w:val="0"/>
          <w:marBottom w:val="0"/>
          <w:divBdr>
            <w:top w:val="none" w:sz="0" w:space="0" w:color="auto"/>
            <w:left w:val="none" w:sz="0" w:space="0" w:color="auto"/>
            <w:bottom w:val="none" w:sz="0" w:space="0" w:color="auto"/>
            <w:right w:val="none" w:sz="0" w:space="0" w:color="auto"/>
          </w:divBdr>
          <w:divsChild>
            <w:div w:id="792480988">
              <w:marLeft w:val="0"/>
              <w:marRight w:val="0"/>
              <w:marTop w:val="0"/>
              <w:marBottom w:val="0"/>
              <w:divBdr>
                <w:top w:val="none" w:sz="0" w:space="0" w:color="auto"/>
                <w:left w:val="none" w:sz="0" w:space="0" w:color="auto"/>
                <w:bottom w:val="none" w:sz="0" w:space="0" w:color="auto"/>
                <w:right w:val="none" w:sz="0" w:space="0" w:color="auto"/>
              </w:divBdr>
              <w:divsChild>
                <w:div w:id="136067494">
                  <w:marLeft w:val="0"/>
                  <w:marRight w:val="0"/>
                  <w:marTop w:val="0"/>
                  <w:marBottom w:val="0"/>
                  <w:divBdr>
                    <w:top w:val="none" w:sz="0" w:space="0" w:color="auto"/>
                    <w:left w:val="none" w:sz="0" w:space="0" w:color="auto"/>
                    <w:bottom w:val="none" w:sz="0" w:space="0" w:color="auto"/>
                    <w:right w:val="none" w:sz="0" w:space="0" w:color="auto"/>
                  </w:divBdr>
                  <w:divsChild>
                    <w:div w:id="1240745939">
                      <w:marLeft w:val="0"/>
                      <w:marRight w:val="0"/>
                      <w:marTop w:val="0"/>
                      <w:marBottom w:val="0"/>
                      <w:divBdr>
                        <w:top w:val="none" w:sz="0" w:space="0" w:color="auto"/>
                        <w:left w:val="none" w:sz="0" w:space="0" w:color="auto"/>
                        <w:bottom w:val="none" w:sz="0" w:space="0" w:color="auto"/>
                        <w:right w:val="none" w:sz="0" w:space="0" w:color="auto"/>
                      </w:divBdr>
                      <w:divsChild>
                        <w:div w:id="376315097">
                          <w:marLeft w:val="0"/>
                          <w:marRight w:val="0"/>
                          <w:marTop w:val="0"/>
                          <w:marBottom w:val="0"/>
                          <w:divBdr>
                            <w:top w:val="none" w:sz="0" w:space="0" w:color="auto"/>
                            <w:left w:val="none" w:sz="0" w:space="0" w:color="auto"/>
                            <w:bottom w:val="none" w:sz="0" w:space="0" w:color="auto"/>
                            <w:right w:val="none" w:sz="0" w:space="0" w:color="auto"/>
                          </w:divBdr>
                          <w:divsChild>
                            <w:div w:id="132261044">
                              <w:marLeft w:val="0"/>
                              <w:marRight w:val="0"/>
                              <w:marTop w:val="0"/>
                              <w:marBottom w:val="0"/>
                              <w:divBdr>
                                <w:top w:val="none" w:sz="0" w:space="0" w:color="auto"/>
                                <w:left w:val="none" w:sz="0" w:space="0" w:color="auto"/>
                                <w:bottom w:val="none" w:sz="0" w:space="0" w:color="auto"/>
                                <w:right w:val="none" w:sz="0" w:space="0" w:color="auto"/>
                              </w:divBdr>
                              <w:divsChild>
                                <w:div w:id="285821350">
                                  <w:marLeft w:val="0"/>
                                  <w:marRight w:val="0"/>
                                  <w:marTop w:val="0"/>
                                  <w:marBottom w:val="0"/>
                                  <w:divBdr>
                                    <w:top w:val="none" w:sz="0" w:space="0" w:color="auto"/>
                                    <w:left w:val="none" w:sz="0" w:space="0" w:color="auto"/>
                                    <w:bottom w:val="none" w:sz="0" w:space="0" w:color="auto"/>
                                    <w:right w:val="none" w:sz="0" w:space="0" w:color="auto"/>
                                  </w:divBdr>
                                  <w:divsChild>
                                    <w:div w:id="601500916">
                                      <w:marLeft w:val="0"/>
                                      <w:marRight w:val="0"/>
                                      <w:marTop w:val="0"/>
                                      <w:marBottom w:val="0"/>
                                      <w:divBdr>
                                        <w:top w:val="none" w:sz="0" w:space="0" w:color="auto"/>
                                        <w:left w:val="none" w:sz="0" w:space="0" w:color="auto"/>
                                        <w:bottom w:val="none" w:sz="0" w:space="0" w:color="auto"/>
                                        <w:right w:val="none" w:sz="0" w:space="0" w:color="auto"/>
                                      </w:divBdr>
                                      <w:divsChild>
                                        <w:div w:id="352538197">
                                          <w:marLeft w:val="0"/>
                                          <w:marRight w:val="0"/>
                                          <w:marTop w:val="0"/>
                                          <w:marBottom w:val="0"/>
                                          <w:divBdr>
                                            <w:top w:val="none" w:sz="0" w:space="0" w:color="auto"/>
                                            <w:left w:val="none" w:sz="0" w:space="0" w:color="auto"/>
                                            <w:bottom w:val="none" w:sz="0" w:space="0" w:color="auto"/>
                                            <w:right w:val="none" w:sz="0" w:space="0" w:color="auto"/>
                                          </w:divBdr>
                                          <w:divsChild>
                                            <w:div w:id="1449859037">
                                              <w:marLeft w:val="0"/>
                                              <w:marRight w:val="0"/>
                                              <w:marTop w:val="0"/>
                                              <w:marBottom w:val="0"/>
                                              <w:divBdr>
                                                <w:top w:val="none" w:sz="0" w:space="0" w:color="auto"/>
                                                <w:left w:val="none" w:sz="0" w:space="0" w:color="auto"/>
                                                <w:bottom w:val="none" w:sz="0" w:space="0" w:color="auto"/>
                                                <w:right w:val="none" w:sz="0" w:space="0" w:color="auto"/>
                                              </w:divBdr>
                                              <w:divsChild>
                                                <w:div w:id="708991581">
                                                  <w:marLeft w:val="0"/>
                                                  <w:marRight w:val="0"/>
                                                  <w:marTop w:val="0"/>
                                                  <w:marBottom w:val="0"/>
                                                  <w:divBdr>
                                                    <w:top w:val="none" w:sz="0" w:space="0" w:color="auto"/>
                                                    <w:left w:val="none" w:sz="0" w:space="0" w:color="auto"/>
                                                    <w:bottom w:val="none" w:sz="0" w:space="0" w:color="auto"/>
                                                    <w:right w:val="none" w:sz="0" w:space="0" w:color="auto"/>
                                                  </w:divBdr>
                                                  <w:divsChild>
                                                    <w:div w:id="460853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71722702">
      <w:bodyDiv w:val="1"/>
      <w:marLeft w:val="0"/>
      <w:marRight w:val="0"/>
      <w:marTop w:val="0"/>
      <w:marBottom w:val="0"/>
      <w:divBdr>
        <w:top w:val="none" w:sz="0" w:space="0" w:color="auto"/>
        <w:left w:val="none" w:sz="0" w:space="0" w:color="auto"/>
        <w:bottom w:val="none" w:sz="0" w:space="0" w:color="auto"/>
        <w:right w:val="none" w:sz="0" w:space="0" w:color="auto"/>
      </w:divBdr>
    </w:div>
    <w:div w:id="1230113023">
      <w:bodyDiv w:val="1"/>
      <w:marLeft w:val="0"/>
      <w:marRight w:val="0"/>
      <w:marTop w:val="0"/>
      <w:marBottom w:val="0"/>
      <w:divBdr>
        <w:top w:val="none" w:sz="0" w:space="0" w:color="auto"/>
        <w:left w:val="none" w:sz="0" w:space="0" w:color="auto"/>
        <w:bottom w:val="none" w:sz="0" w:space="0" w:color="auto"/>
        <w:right w:val="none" w:sz="0" w:space="0" w:color="auto"/>
      </w:divBdr>
    </w:div>
    <w:div w:id="1250313559">
      <w:bodyDiv w:val="1"/>
      <w:marLeft w:val="0"/>
      <w:marRight w:val="0"/>
      <w:marTop w:val="0"/>
      <w:marBottom w:val="0"/>
      <w:divBdr>
        <w:top w:val="none" w:sz="0" w:space="0" w:color="auto"/>
        <w:left w:val="none" w:sz="0" w:space="0" w:color="auto"/>
        <w:bottom w:val="none" w:sz="0" w:space="0" w:color="auto"/>
        <w:right w:val="none" w:sz="0" w:space="0" w:color="auto"/>
      </w:divBdr>
    </w:div>
    <w:div w:id="1311447641">
      <w:bodyDiv w:val="1"/>
      <w:marLeft w:val="0"/>
      <w:marRight w:val="0"/>
      <w:marTop w:val="0"/>
      <w:marBottom w:val="0"/>
      <w:divBdr>
        <w:top w:val="none" w:sz="0" w:space="0" w:color="auto"/>
        <w:left w:val="none" w:sz="0" w:space="0" w:color="auto"/>
        <w:bottom w:val="none" w:sz="0" w:space="0" w:color="auto"/>
        <w:right w:val="none" w:sz="0" w:space="0" w:color="auto"/>
      </w:divBdr>
    </w:div>
    <w:div w:id="1383872664">
      <w:bodyDiv w:val="1"/>
      <w:marLeft w:val="0"/>
      <w:marRight w:val="0"/>
      <w:marTop w:val="0"/>
      <w:marBottom w:val="0"/>
      <w:divBdr>
        <w:top w:val="none" w:sz="0" w:space="0" w:color="auto"/>
        <w:left w:val="none" w:sz="0" w:space="0" w:color="auto"/>
        <w:bottom w:val="none" w:sz="0" w:space="0" w:color="auto"/>
        <w:right w:val="none" w:sz="0" w:space="0" w:color="auto"/>
      </w:divBdr>
    </w:div>
    <w:div w:id="1389381301">
      <w:bodyDiv w:val="1"/>
      <w:marLeft w:val="0"/>
      <w:marRight w:val="0"/>
      <w:marTop w:val="0"/>
      <w:marBottom w:val="0"/>
      <w:divBdr>
        <w:top w:val="none" w:sz="0" w:space="0" w:color="auto"/>
        <w:left w:val="none" w:sz="0" w:space="0" w:color="auto"/>
        <w:bottom w:val="none" w:sz="0" w:space="0" w:color="auto"/>
        <w:right w:val="none" w:sz="0" w:space="0" w:color="auto"/>
      </w:divBdr>
    </w:div>
    <w:div w:id="1392265819">
      <w:bodyDiv w:val="1"/>
      <w:marLeft w:val="0"/>
      <w:marRight w:val="0"/>
      <w:marTop w:val="0"/>
      <w:marBottom w:val="0"/>
      <w:divBdr>
        <w:top w:val="none" w:sz="0" w:space="0" w:color="auto"/>
        <w:left w:val="none" w:sz="0" w:space="0" w:color="auto"/>
        <w:bottom w:val="none" w:sz="0" w:space="0" w:color="auto"/>
        <w:right w:val="none" w:sz="0" w:space="0" w:color="auto"/>
      </w:divBdr>
    </w:div>
    <w:div w:id="1418941694">
      <w:bodyDiv w:val="1"/>
      <w:marLeft w:val="0"/>
      <w:marRight w:val="0"/>
      <w:marTop w:val="0"/>
      <w:marBottom w:val="0"/>
      <w:divBdr>
        <w:top w:val="none" w:sz="0" w:space="0" w:color="auto"/>
        <w:left w:val="none" w:sz="0" w:space="0" w:color="auto"/>
        <w:bottom w:val="none" w:sz="0" w:space="0" w:color="auto"/>
        <w:right w:val="none" w:sz="0" w:space="0" w:color="auto"/>
      </w:divBdr>
    </w:div>
    <w:div w:id="1440762677">
      <w:bodyDiv w:val="1"/>
      <w:marLeft w:val="0"/>
      <w:marRight w:val="0"/>
      <w:marTop w:val="0"/>
      <w:marBottom w:val="0"/>
      <w:divBdr>
        <w:top w:val="none" w:sz="0" w:space="0" w:color="auto"/>
        <w:left w:val="none" w:sz="0" w:space="0" w:color="auto"/>
        <w:bottom w:val="none" w:sz="0" w:space="0" w:color="auto"/>
        <w:right w:val="none" w:sz="0" w:space="0" w:color="auto"/>
      </w:divBdr>
    </w:div>
    <w:div w:id="1463840008">
      <w:bodyDiv w:val="1"/>
      <w:marLeft w:val="0"/>
      <w:marRight w:val="0"/>
      <w:marTop w:val="0"/>
      <w:marBottom w:val="0"/>
      <w:divBdr>
        <w:top w:val="none" w:sz="0" w:space="0" w:color="auto"/>
        <w:left w:val="none" w:sz="0" w:space="0" w:color="auto"/>
        <w:bottom w:val="none" w:sz="0" w:space="0" w:color="auto"/>
        <w:right w:val="none" w:sz="0" w:space="0" w:color="auto"/>
      </w:divBdr>
    </w:div>
    <w:div w:id="1496413035">
      <w:bodyDiv w:val="1"/>
      <w:marLeft w:val="0"/>
      <w:marRight w:val="0"/>
      <w:marTop w:val="0"/>
      <w:marBottom w:val="0"/>
      <w:divBdr>
        <w:top w:val="none" w:sz="0" w:space="0" w:color="auto"/>
        <w:left w:val="none" w:sz="0" w:space="0" w:color="auto"/>
        <w:bottom w:val="none" w:sz="0" w:space="0" w:color="auto"/>
        <w:right w:val="none" w:sz="0" w:space="0" w:color="auto"/>
      </w:divBdr>
    </w:div>
    <w:div w:id="1543513695">
      <w:bodyDiv w:val="1"/>
      <w:marLeft w:val="0"/>
      <w:marRight w:val="0"/>
      <w:marTop w:val="0"/>
      <w:marBottom w:val="0"/>
      <w:divBdr>
        <w:top w:val="none" w:sz="0" w:space="0" w:color="auto"/>
        <w:left w:val="none" w:sz="0" w:space="0" w:color="auto"/>
        <w:bottom w:val="none" w:sz="0" w:space="0" w:color="auto"/>
        <w:right w:val="none" w:sz="0" w:space="0" w:color="auto"/>
      </w:divBdr>
    </w:div>
    <w:div w:id="1574240372">
      <w:bodyDiv w:val="1"/>
      <w:marLeft w:val="0"/>
      <w:marRight w:val="0"/>
      <w:marTop w:val="0"/>
      <w:marBottom w:val="0"/>
      <w:divBdr>
        <w:top w:val="none" w:sz="0" w:space="0" w:color="auto"/>
        <w:left w:val="none" w:sz="0" w:space="0" w:color="auto"/>
        <w:bottom w:val="none" w:sz="0" w:space="0" w:color="auto"/>
        <w:right w:val="none" w:sz="0" w:space="0" w:color="auto"/>
      </w:divBdr>
    </w:div>
    <w:div w:id="1588034668">
      <w:bodyDiv w:val="1"/>
      <w:marLeft w:val="0"/>
      <w:marRight w:val="0"/>
      <w:marTop w:val="0"/>
      <w:marBottom w:val="0"/>
      <w:divBdr>
        <w:top w:val="none" w:sz="0" w:space="0" w:color="auto"/>
        <w:left w:val="none" w:sz="0" w:space="0" w:color="auto"/>
        <w:bottom w:val="none" w:sz="0" w:space="0" w:color="auto"/>
        <w:right w:val="none" w:sz="0" w:space="0" w:color="auto"/>
      </w:divBdr>
    </w:div>
    <w:div w:id="1656642369">
      <w:bodyDiv w:val="1"/>
      <w:marLeft w:val="0"/>
      <w:marRight w:val="0"/>
      <w:marTop w:val="0"/>
      <w:marBottom w:val="0"/>
      <w:divBdr>
        <w:top w:val="none" w:sz="0" w:space="0" w:color="auto"/>
        <w:left w:val="none" w:sz="0" w:space="0" w:color="auto"/>
        <w:bottom w:val="none" w:sz="0" w:space="0" w:color="auto"/>
        <w:right w:val="none" w:sz="0" w:space="0" w:color="auto"/>
      </w:divBdr>
    </w:div>
    <w:div w:id="1690716497">
      <w:bodyDiv w:val="1"/>
      <w:marLeft w:val="0"/>
      <w:marRight w:val="0"/>
      <w:marTop w:val="0"/>
      <w:marBottom w:val="0"/>
      <w:divBdr>
        <w:top w:val="none" w:sz="0" w:space="0" w:color="auto"/>
        <w:left w:val="none" w:sz="0" w:space="0" w:color="auto"/>
        <w:bottom w:val="none" w:sz="0" w:space="0" w:color="auto"/>
        <w:right w:val="none" w:sz="0" w:space="0" w:color="auto"/>
      </w:divBdr>
    </w:div>
    <w:div w:id="1692678238">
      <w:bodyDiv w:val="1"/>
      <w:marLeft w:val="0"/>
      <w:marRight w:val="0"/>
      <w:marTop w:val="0"/>
      <w:marBottom w:val="0"/>
      <w:divBdr>
        <w:top w:val="none" w:sz="0" w:space="0" w:color="auto"/>
        <w:left w:val="none" w:sz="0" w:space="0" w:color="auto"/>
        <w:bottom w:val="none" w:sz="0" w:space="0" w:color="auto"/>
        <w:right w:val="none" w:sz="0" w:space="0" w:color="auto"/>
      </w:divBdr>
    </w:div>
    <w:div w:id="1702971551">
      <w:bodyDiv w:val="1"/>
      <w:marLeft w:val="0"/>
      <w:marRight w:val="0"/>
      <w:marTop w:val="0"/>
      <w:marBottom w:val="0"/>
      <w:divBdr>
        <w:top w:val="none" w:sz="0" w:space="0" w:color="auto"/>
        <w:left w:val="none" w:sz="0" w:space="0" w:color="auto"/>
        <w:bottom w:val="none" w:sz="0" w:space="0" w:color="auto"/>
        <w:right w:val="none" w:sz="0" w:space="0" w:color="auto"/>
      </w:divBdr>
    </w:div>
    <w:div w:id="1738359964">
      <w:bodyDiv w:val="1"/>
      <w:marLeft w:val="0"/>
      <w:marRight w:val="0"/>
      <w:marTop w:val="0"/>
      <w:marBottom w:val="0"/>
      <w:divBdr>
        <w:top w:val="none" w:sz="0" w:space="0" w:color="auto"/>
        <w:left w:val="none" w:sz="0" w:space="0" w:color="auto"/>
        <w:bottom w:val="none" w:sz="0" w:space="0" w:color="auto"/>
        <w:right w:val="none" w:sz="0" w:space="0" w:color="auto"/>
      </w:divBdr>
    </w:div>
    <w:div w:id="1767578731">
      <w:bodyDiv w:val="1"/>
      <w:marLeft w:val="0"/>
      <w:marRight w:val="0"/>
      <w:marTop w:val="0"/>
      <w:marBottom w:val="0"/>
      <w:divBdr>
        <w:top w:val="none" w:sz="0" w:space="0" w:color="auto"/>
        <w:left w:val="none" w:sz="0" w:space="0" w:color="auto"/>
        <w:bottom w:val="none" w:sz="0" w:space="0" w:color="auto"/>
        <w:right w:val="none" w:sz="0" w:space="0" w:color="auto"/>
      </w:divBdr>
    </w:div>
    <w:div w:id="1782451450">
      <w:bodyDiv w:val="1"/>
      <w:marLeft w:val="0"/>
      <w:marRight w:val="0"/>
      <w:marTop w:val="0"/>
      <w:marBottom w:val="0"/>
      <w:divBdr>
        <w:top w:val="none" w:sz="0" w:space="0" w:color="auto"/>
        <w:left w:val="none" w:sz="0" w:space="0" w:color="auto"/>
        <w:bottom w:val="none" w:sz="0" w:space="0" w:color="auto"/>
        <w:right w:val="none" w:sz="0" w:space="0" w:color="auto"/>
      </w:divBdr>
    </w:div>
    <w:div w:id="1797870255">
      <w:bodyDiv w:val="1"/>
      <w:marLeft w:val="0"/>
      <w:marRight w:val="0"/>
      <w:marTop w:val="0"/>
      <w:marBottom w:val="0"/>
      <w:divBdr>
        <w:top w:val="none" w:sz="0" w:space="0" w:color="auto"/>
        <w:left w:val="none" w:sz="0" w:space="0" w:color="auto"/>
        <w:bottom w:val="none" w:sz="0" w:space="0" w:color="auto"/>
        <w:right w:val="none" w:sz="0" w:space="0" w:color="auto"/>
      </w:divBdr>
    </w:div>
    <w:div w:id="1862474788">
      <w:bodyDiv w:val="1"/>
      <w:marLeft w:val="0"/>
      <w:marRight w:val="0"/>
      <w:marTop w:val="0"/>
      <w:marBottom w:val="0"/>
      <w:divBdr>
        <w:top w:val="none" w:sz="0" w:space="0" w:color="auto"/>
        <w:left w:val="none" w:sz="0" w:space="0" w:color="auto"/>
        <w:bottom w:val="none" w:sz="0" w:space="0" w:color="auto"/>
        <w:right w:val="none" w:sz="0" w:space="0" w:color="auto"/>
      </w:divBdr>
    </w:div>
    <w:div w:id="1890920104">
      <w:bodyDiv w:val="1"/>
      <w:marLeft w:val="0"/>
      <w:marRight w:val="0"/>
      <w:marTop w:val="0"/>
      <w:marBottom w:val="0"/>
      <w:divBdr>
        <w:top w:val="none" w:sz="0" w:space="0" w:color="auto"/>
        <w:left w:val="none" w:sz="0" w:space="0" w:color="auto"/>
        <w:bottom w:val="none" w:sz="0" w:space="0" w:color="auto"/>
        <w:right w:val="none" w:sz="0" w:space="0" w:color="auto"/>
      </w:divBdr>
    </w:div>
    <w:div w:id="1923835116">
      <w:bodyDiv w:val="1"/>
      <w:marLeft w:val="0"/>
      <w:marRight w:val="0"/>
      <w:marTop w:val="0"/>
      <w:marBottom w:val="0"/>
      <w:divBdr>
        <w:top w:val="none" w:sz="0" w:space="0" w:color="auto"/>
        <w:left w:val="none" w:sz="0" w:space="0" w:color="auto"/>
        <w:bottom w:val="none" w:sz="0" w:space="0" w:color="auto"/>
        <w:right w:val="none" w:sz="0" w:space="0" w:color="auto"/>
      </w:divBdr>
    </w:div>
    <w:div w:id="1954747432">
      <w:bodyDiv w:val="1"/>
      <w:marLeft w:val="0"/>
      <w:marRight w:val="0"/>
      <w:marTop w:val="0"/>
      <w:marBottom w:val="0"/>
      <w:divBdr>
        <w:top w:val="none" w:sz="0" w:space="0" w:color="auto"/>
        <w:left w:val="none" w:sz="0" w:space="0" w:color="auto"/>
        <w:bottom w:val="none" w:sz="0" w:space="0" w:color="auto"/>
        <w:right w:val="none" w:sz="0" w:space="0" w:color="auto"/>
      </w:divBdr>
    </w:div>
    <w:div w:id="1972206955">
      <w:bodyDiv w:val="1"/>
      <w:marLeft w:val="0"/>
      <w:marRight w:val="0"/>
      <w:marTop w:val="0"/>
      <w:marBottom w:val="0"/>
      <w:divBdr>
        <w:top w:val="none" w:sz="0" w:space="0" w:color="auto"/>
        <w:left w:val="none" w:sz="0" w:space="0" w:color="auto"/>
        <w:bottom w:val="none" w:sz="0" w:space="0" w:color="auto"/>
        <w:right w:val="none" w:sz="0" w:space="0" w:color="auto"/>
      </w:divBdr>
    </w:div>
    <w:div w:id="1974287693">
      <w:bodyDiv w:val="1"/>
      <w:marLeft w:val="0"/>
      <w:marRight w:val="0"/>
      <w:marTop w:val="0"/>
      <w:marBottom w:val="0"/>
      <w:divBdr>
        <w:top w:val="none" w:sz="0" w:space="0" w:color="auto"/>
        <w:left w:val="none" w:sz="0" w:space="0" w:color="auto"/>
        <w:bottom w:val="none" w:sz="0" w:space="0" w:color="auto"/>
        <w:right w:val="none" w:sz="0" w:space="0" w:color="auto"/>
      </w:divBdr>
      <w:divsChild>
        <w:div w:id="761800203">
          <w:marLeft w:val="0"/>
          <w:marRight w:val="0"/>
          <w:marTop w:val="0"/>
          <w:marBottom w:val="0"/>
          <w:divBdr>
            <w:top w:val="none" w:sz="0" w:space="0" w:color="auto"/>
            <w:left w:val="none" w:sz="0" w:space="0" w:color="auto"/>
            <w:bottom w:val="none" w:sz="0" w:space="0" w:color="auto"/>
            <w:right w:val="none" w:sz="0" w:space="0" w:color="auto"/>
          </w:divBdr>
          <w:divsChild>
            <w:div w:id="294143165">
              <w:marLeft w:val="60"/>
              <w:marRight w:val="0"/>
              <w:marTop w:val="0"/>
              <w:marBottom w:val="0"/>
              <w:divBdr>
                <w:top w:val="none" w:sz="0" w:space="0" w:color="auto"/>
                <w:left w:val="none" w:sz="0" w:space="0" w:color="auto"/>
                <w:bottom w:val="none" w:sz="0" w:space="0" w:color="auto"/>
                <w:right w:val="none" w:sz="0" w:space="0" w:color="auto"/>
              </w:divBdr>
              <w:divsChild>
                <w:div w:id="261913395">
                  <w:marLeft w:val="0"/>
                  <w:marRight w:val="0"/>
                  <w:marTop w:val="0"/>
                  <w:marBottom w:val="0"/>
                  <w:divBdr>
                    <w:top w:val="none" w:sz="0" w:space="0" w:color="auto"/>
                    <w:left w:val="none" w:sz="0" w:space="0" w:color="auto"/>
                    <w:bottom w:val="none" w:sz="0" w:space="0" w:color="auto"/>
                    <w:right w:val="none" w:sz="0" w:space="0" w:color="auto"/>
                  </w:divBdr>
                  <w:divsChild>
                    <w:div w:id="159349038">
                      <w:marLeft w:val="0"/>
                      <w:marRight w:val="0"/>
                      <w:marTop w:val="0"/>
                      <w:marBottom w:val="120"/>
                      <w:divBdr>
                        <w:top w:val="single" w:sz="6" w:space="0" w:color="F5F5F5"/>
                        <w:left w:val="single" w:sz="6" w:space="0" w:color="F5F5F5"/>
                        <w:bottom w:val="single" w:sz="6" w:space="0" w:color="F5F5F5"/>
                        <w:right w:val="single" w:sz="6" w:space="0" w:color="F5F5F5"/>
                      </w:divBdr>
                      <w:divsChild>
                        <w:div w:id="61100565">
                          <w:marLeft w:val="0"/>
                          <w:marRight w:val="0"/>
                          <w:marTop w:val="0"/>
                          <w:marBottom w:val="0"/>
                          <w:divBdr>
                            <w:top w:val="none" w:sz="0" w:space="0" w:color="auto"/>
                            <w:left w:val="none" w:sz="0" w:space="0" w:color="auto"/>
                            <w:bottom w:val="none" w:sz="0" w:space="0" w:color="auto"/>
                            <w:right w:val="none" w:sz="0" w:space="0" w:color="auto"/>
                          </w:divBdr>
                          <w:divsChild>
                            <w:div w:id="1521046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0937588">
          <w:marLeft w:val="0"/>
          <w:marRight w:val="0"/>
          <w:marTop w:val="0"/>
          <w:marBottom w:val="0"/>
          <w:divBdr>
            <w:top w:val="none" w:sz="0" w:space="0" w:color="auto"/>
            <w:left w:val="none" w:sz="0" w:space="0" w:color="auto"/>
            <w:bottom w:val="none" w:sz="0" w:space="0" w:color="auto"/>
            <w:right w:val="none" w:sz="0" w:space="0" w:color="auto"/>
          </w:divBdr>
          <w:divsChild>
            <w:div w:id="40834439">
              <w:marLeft w:val="0"/>
              <w:marRight w:val="60"/>
              <w:marTop w:val="0"/>
              <w:marBottom w:val="0"/>
              <w:divBdr>
                <w:top w:val="none" w:sz="0" w:space="0" w:color="auto"/>
                <w:left w:val="none" w:sz="0" w:space="0" w:color="auto"/>
                <w:bottom w:val="none" w:sz="0" w:space="0" w:color="auto"/>
                <w:right w:val="none" w:sz="0" w:space="0" w:color="auto"/>
              </w:divBdr>
              <w:divsChild>
                <w:div w:id="473525963">
                  <w:marLeft w:val="0"/>
                  <w:marRight w:val="0"/>
                  <w:marTop w:val="0"/>
                  <w:marBottom w:val="120"/>
                  <w:divBdr>
                    <w:top w:val="single" w:sz="6" w:space="0" w:color="C0C0C0"/>
                    <w:left w:val="single" w:sz="6" w:space="0" w:color="D9D9D9"/>
                    <w:bottom w:val="single" w:sz="6" w:space="0" w:color="D9D9D9"/>
                    <w:right w:val="single" w:sz="6" w:space="0" w:color="D9D9D9"/>
                  </w:divBdr>
                  <w:divsChild>
                    <w:div w:id="1461455715">
                      <w:marLeft w:val="0"/>
                      <w:marRight w:val="0"/>
                      <w:marTop w:val="0"/>
                      <w:marBottom w:val="0"/>
                      <w:divBdr>
                        <w:top w:val="none" w:sz="0" w:space="0" w:color="auto"/>
                        <w:left w:val="none" w:sz="0" w:space="0" w:color="auto"/>
                        <w:bottom w:val="none" w:sz="0" w:space="0" w:color="auto"/>
                        <w:right w:val="none" w:sz="0" w:space="0" w:color="auto"/>
                      </w:divBdr>
                    </w:div>
                    <w:div w:id="1724862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9844690">
      <w:bodyDiv w:val="1"/>
      <w:marLeft w:val="0"/>
      <w:marRight w:val="0"/>
      <w:marTop w:val="0"/>
      <w:marBottom w:val="0"/>
      <w:divBdr>
        <w:top w:val="none" w:sz="0" w:space="0" w:color="auto"/>
        <w:left w:val="none" w:sz="0" w:space="0" w:color="auto"/>
        <w:bottom w:val="none" w:sz="0" w:space="0" w:color="auto"/>
        <w:right w:val="none" w:sz="0" w:space="0" w:color="auto"/>
      </w:divBdr>
    </w:div>
    <w:div w:id="2005467627">
      <w:bodyDiv w:val="1"/>
      <w:marLeft w:val="0"/>
      <w:marRight w:val="0"/>
      <w:marTop w:val="0"/>
      <w:marBottom w:val="0"/>
      <w:divBdr>
        <w:top w:val="none" w:sz="0" w:space="0" w:color="auto"/>
        <w:left w:val="none" w:sz="0" w:space="0" w:color="auto"/>
        <w:bottom w:val="none" w:sz="0" w:space="0" w:color="auto"/>
        <w:right w:val="none" w:sz="0" w:space="0" w:color="auto"/>
      </w:divBdr>
    </w:div>
    <w:div w:id="2041078168">
      <w:bodyDiv w:val="1"/>
      <w:marLeft w:val="0"/>
      <w:marRight w:val="0"/>
      <w:marTop w:val="0"/>
      <w:marBottom w:val="0"/>
      <w:divBdr>
        <w:top w:val="none" w:sz="0" w:space="0" w:color="auto"/>
        <w:left w:val="none" w:sz="0" w:space="0" w:color="auto"/>
        <w:bottom w:val="none" w:sz="0" w:space="0" w:color="auto"/>
        <w:right w:val="none" w:sz="0" w:space="0" w:color="auto"/>
      </w:divBdr>
    </w:div>
    <w:div w:id="2082024287">
      <w:bodyDiv w:val="1"/>
      <w:marLeft w:val="0"/>
      <w:marRight w:val="0"/>
      <w:marTop w:val="0"/>
      <w:marBottom w:val="0"/>
      <w:divBdr>
        <w:top w:val="none" w:sz="0" w:space="0" w:color="auto"/>
        <w:left w:val="none" w:sz="0" w:space="0" w:color="auto"/>
        <w:bottom w:val="none" w:sz="0" w:space="0" w:color="auto"/>
        <w:right w:val="none" w:sz="0" w:space="0" w:color="auto"/>
      </w:divBdr>
    </w:div>
    <w:div w:id="2108841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3AE1D51455294AFF9BC04369179F12C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2020-08-20T09:02:20Z</Data_x0020_e_x0020_Krijimit>
    <Modifikuesi xmlns="0e656187-b300-4fb0-8bf4-3a50f872073c">Eliona.Lloja</Modifikuesi>
    <Data_x0020_e_x0020_Modifikimit xmlns="0e656187-b300-4fb0-8bf4-3a50f872073c">2020-08-20T09:02:20Z</Data_x0020_e_x0020_Modifikimit>
    <Data_x0020_e_x0020_Aksesimit_x0020_t_x00eb__x0020_Fundit xmlns="0e656187-b300-4fb0-8bf4-3a50f872073c"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Përmbajtja" ma:contentTypeID="0x0101003AE1D51455294AFF9BC04369179F12C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3293552-20EC-4E92-A871-8DAC2E11FB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448B4F3C-373A-4D58-86DE-20D3B783100B}">
  <ds:schemaRefs>
    <ds:schemaRef ds:uri="http://schemas.microsoft.com/sharepoint/v3/contenttype/forms"/>
  </ds:schemaRefs>
</ds:datastoreItem>
</file>

<file path=customXml/itemProps3.xml><?xml version="1.0" encoding="utf-8"?>
<ds:datastoreItem xmlns:ds="http://schemas.openxmlformats.org/officeDocument/2006/customXml" ds:itemID="{46304A27-2D5D-4A39-937D-BF6B4CE1CC77}">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146FEC12-1BEE-4CC2-A5FD-2C1BD265377E}">
  <ds:schemaRefs>
    <ds:schemaRef ds:uri="http://schemas.openxmlformats.org/officeDocument/2006/bibliography"/>
  </ds:schemaRefs>
</ds:datastoreItem>
</file>

<file path=customXml/itemProps5.xml><?xml version="1.0" encoding="utf-8"?>
<ds:datastoreItem xmlns:ds="http://schemas.openxmlformats.org/officeDocument/2006/customXml" ds:itemID="{F6E5F1F5-E8AF-4A84-B64E-FD9156B170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4FE087D7-28B6-4CF0-8BE0-42E8ADB90F91}">
  <ds:schemaRefs>
    <ds:schemaRef ds:uri="http://schemas.microsoft.com/sharepoint/v3/contenttype/forms"/>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102</TotalTime>
  <Pages>39</Pages>
  <Words>15023</Words>
  <Characters>85636</Characters>
  <Application>Microsoft Office Word</Application>
  <DocSecurity>0</DocSecurity>
  <Lines>713</Lines>
  <Paragraphs>200</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Për shkëmbimin automatik të informacionit të llogarive financiare</vt:lpstr>
      <vt:lpstr/>
    </vt:vector>
  </TitlesOfParts>
  <Company>Agenzia delle Entrate</Company>
  <LinksUpToDate>false</LinksUpToDate>
  <CharactersWithSpaces>100459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shkëmbimin automatik të informacionit të llogarive financiare</dc:title>
  <dc:subject/>
  <dc:creator>Agenzia delle entrate</dc:creator>
  <cp:keywords/>
  <dc:description/>
  <cp:lastModifiedBy>Author</cp:lastModifiedBy>
  <cp:revision>7</cp:revision>
  <cp:lastPrinted>2020-01-31T09:46:00Z</cp:lastPrinted>
  <dcterms:created xsi:type="dcterms:W3CDTF">2026-09-25T09:03:00Z</dcterms:created>
  <dcterms:modified xsi:type="dcterms:W3CDTF">2026-10-02T08:50:00Z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4baa6ab0dc64f42a5d47e46b315a8111c2b49316b604f132e18e54e5c6110704</vt:lpwstr>
  </property>
</Properties>
</file>