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B0C3F" w14:textId="043D5411" w:rsidR="00922FEB" w:rsidRPr="00A80EA0" w:rsidRDefault="00440B45" w:rsidP="00A80EA0">
      <w:pPr>
        <w:pStyle w:val="BodyText"/>
        <w:ind w:left="0" w:firstLine="0"/>
        <w:jc w:val="center"/>
        <w:rPr>
          <w:rFonts w:ascii="Times New Roman" w:hAnsi="Times New Roman" w:cs="Times New Roman"/>
          <w:b/>
          <w:bCs/>
          <w:sz w:val="18"/>
          <w:szCs w:val="18"/>
          <w:lang w:val="en-US"/>
        </w:rPr>
      </w:pPr>
      <w:r w:rsidRPr="00440B45">
        <w:rPr>
          <w:rFonts w:ascii="Times New Roman" w:hAnsi="Times New Roman" w:cs="Times New Roman"/>
          <w:b/>
          <w:bCs/>
          <w:sz w:val="18"/>
          <w:szCs w:val="18"/>
          <w:lang w:val="en-US"/>
        </w:rPr>
        <w:t>TABLE OF CONCORDANCE</w:t>
      </w:r>
    </w:p>
    <w:p w14:paraId="34DF4CE6" w14:textId="77777777" w:rsidR="00922FEB" w:rsidRPr="004E6A4A" w:rsidRDefault="00922FEB" w:rsidP="00036F88">
      <w:pPr>
        <w:spacing w:after="0" w:line="240" w:lineRule="auto"/>
        <w:rPr>
          <w:rFonts w:ascii="Times New Roman" w:eastAsia="Times New Roman" w:hAnsi="Times New Roman" w:cs="Times New Roman"/>
          <w:kern w:val="0"/>
          <w:sz w:val="18"/>
          <w:szCs w:val="18"/>
          <w14:ligatures w14:val="none"/>
        </w:rPr>
      </w:pPr>
    </w:p>
    <w:tbl>
      <w:tblPr>
        <w:tblStyle w:val="TableGrid"/>
        <w:tblW w:w="16200" w:type="dxa"/>
        <w:tblInd w:w="-1085" w:type="dxa"/>
        <w:tblLayout w:type="fixed"/>
        <w:tblLook w:val="04A0" w:firstRow="1" w:lastRow="0" w:firstColumn="1" w:lastColumn="0" w:noHBand="0" w:noVBand="1"/>
      </w:tblPr>
      <w:tblGrid>
        <w:gridCol w:w="720"/>
        <w:gridCol w:w="4860"/>
        <w:gridCol w:w="1080"/>
        <w:gridCol w:w="900"/>
        <w:gridCol w:w="4500"/>
        <w:gridCol w:w="1170"/>
        <w:gridCol w:w="2970"/>
      </w:tblGrid>
      <w:tr w:rsidR="004E6A4A" w:rsidRPr="004E6A4A" w14:paraId="61092F5B" w14:textId="77777777" w:rsidTr="00E11E6D">
        <w:trPr>
          <w:tblHeader/>
        </w:trPr>
        <w:tc>
          <w:tcPr>
            <w:tcW w:w="5580" w:type="dxa"/>
            <w:gridSpan w:val="2"/>
          </w:tcPr>
          <w:p w14:paraId="1555A5EE" w14:textId="77777777" w:rsidR="00D52352" w:rsidRDefault="00D52352" w:rsidP="00D52352">
            <w:pPr>
              <w:pStyle w:val="ListParagraph"/>
              <w:pBdr>
                <w:top w:val="nil"/>
                <w:left w:val="nil"/>
                <w:bottom w:val="nil"/>
                <w:right w:val="nil"/>
                <w:between w:val="nil"/>
              </w:pBdr>
              <w:spacing w:before="120" w:after="0" w:line="240" w:lineRule="auto"/>
              <w:ind w:left="540"/>
              <w:jc w:val="both"/>
              <w:rPr>
                <w:rFonts w:ascii="Times New Roman" w:eastAsia="Calibri" w:hAnsi="Times New Roman" w:cs="Times New Roman"/>
                <w:sz w:val="18"/>
                <w:szCs w:val="18"/>
              </w:rPr>
            </w:pPr>
          </w:p>
          <w:p w14:paraId="1B16E27A" w14:textId="5C6E4077" w:rsidR="00D52352" w:rsidRDefault="00D52352" w:rsidP="00D52352">
            <w:pPr>
              <w:pStyle w:val="ListParagraph"/>
              <w:pBdr>
                <w:top w:val="nil"/>
                <w:left w:val="nil"/>
                <w:bottom w:val="nil"/>
                <w:right w:val="nil"/>
                <w:between w:val="nil"/>
              </w:pBdr>
              <w:spacing w:before="120" w:after="0" w:line="240" w:lineRule="auto"/>
              <w:ind w:left="540"/>
              <w:jc w:val="both"/>
              <w:rPr>
                <w:rFonts w:ascii="Times New Roman" w:eastAsia="Calibri" w:hAnsi="Times New Roman" w:cs="Times New Roman"/>
                <w:sz w:val="18"/>
                <w:szCs w:val="18"/>
              </w:rPr>
            </w:pPr>
            <w:r w:rsidRPr="00D52352">
              <w:rPr>
                <w:rFonts w:ascii="Times New Roman" w:eastAsia="Calibri" w:hAnsi="Times New Roman" w:cs="Times New Roman"/>
                <w:sz w:val="18"/>
                <w:szCs w:val="18"/>
              </w:rPr>
              <w:t xml:space="preserve">European Union </w:t>
            </w:r>
            <w:r w:rsidR="004D2E97">
              <w:rPr>
                <w:rFonts w:ascii="Times New Roman" w:eastAsia="Calibri" w:hAnsi="Times New Roman" w:cs="Times New Roman"/>
                <w:sz w:val="18"/>
                <w:szCs w:val="18"/>
              </w:rPr>
              <w:t>l</w:t>
            </w:r>
            <w:r w:rsidRPr="00D52352">
              <w:rPr>
                <w:rFonts w:ascii="Times New Roman" w:eastAsia="Calibri" w:hAnsi="Times New Roman" w:cs="Times New Roman"/>
                <w:sz w:val="18"/>
                <w:szCs w:val="18"/>
              </w:rPr>
              <w:t>egislation:</w:t>
            </w:r>
          </w:p>
          <w:p w14:paraId="436E9305" w14:textId="77777777" w:rsidR="00D52352" w:rsidRDefault="00D52352" w:rsidP="00D52352">
            <w:pPr>
              <w:pStyle w:val="ListParagraph"/>
              <w:pBdr>
                <w:top w:val="nil"/>
                <w:left w:val="nil"/>
                <w:bottom w:val="nil"/>
                <w:right w:val="nil"/>
                <w:between w:val="nil"/>
              </w:pBdr>
              <w:spacing w:before="120" w:after="0" w:line="240" w:lineRule="auto"/>
              <w:ind w:left="540"/>
              <w:jc w:val="both"/>
              <w:rPr>
                <w:rFonts w:ascii="Times New Roman" w:eastAsia="Calibri" w:hAnsi="Times New Roman" w:cs="Times New Roman"/>
                <w:sz w:val="18"/>
                <w:szCs w:val="18"/>
              </w:rPr>
            </w:pPr>
          </w:p>
          <w:p w14:paraId="7595DA82" w14:textId="6A95F144" w:rsidR="009D0B38" w:rsidRPr="004E6A4A" w:rsidRDefault="0038082A" w:rsidP="00D52352">
            <w:pPr>
              <w:pStyle w:val="ListParagraph"/>
              <w:numPr>
                <w:ilvl w:val="0"/>
                <w:numId w:val="2"/>
              </w:numPr>
              <w:pBdr>
                <w:top w:val="nil"/>
                <w:left w:val="nil"/>
                <w:bottom w:val="nil"/>
                <w:right w:val="nil"/>
                <w:between w:val="nil"/>
              </w:pBdr>
              <w:spacing w:before="120" w:after="0" w:line="240" w:lineRule="auto"/>
              <w:jc w:val="both"/>
              <w:rPr>
                <w:rFonts w:ascii="Times New Roman" w:eastAsia="Calibri" w:hAnsi="Times New Roman" w:cs="Times New Roman"/>
                <w:sz w:val="18"/>
                <w:szCs w:val="18"/>
              </w:rPr>
            </w:pPr>
            <w:r w:rsidRPr="004E6A4A">
              <w:rPr>
                <w:rFonts w:ascii="Times New Roman" w:eastAsia="Calibri" w:hAnsi="Times New Roman" w:cs="Times New Roman"/>
                <w:sz w:val="18"/>
                <w:szCs w:val="18"/>
              </w:rPr>
              <w:t xml:space="preserve">Council Directive </w:t>
            </w:r>
            <w:r w:rsidR="00C4419F" w:rsidRPr="004E6A4A">
              <w:rPr>
                <w:rFonts w:ascii="Times New Roman" w:eastAsia="Calibri" w:hAnsi="Times New Roman" w:cs="Times New Roman"/>
                <w:sz w:val="18"/>
                <w:szCs w:val="18"/>
              </w:rPr>
              <w:t xml:space="preserve"> 2014/107/EU  of 9 December 2014 amending Directive 2011/16/EU as regards mandatory automatic exchange of information in the</w:t>
            </w:r>
            <w:r w:rsidR="00D52352">
              <w:rPr>
                <w:rFonts w:ascii="Times New Roman" w:eastAsia="Calibri" w:hAnsi="Times New Roman" w:cs="Times New Roman"/>
                <w:sz w:val="18"/>
                <w:szCs w:val="18"/>
              </w:rPr>
              <w:t xml:space="preserve"> </w:t>
            </w:r>
            <w:r w:rsidR="00C4419F" w:rsidRPr="004E6A4A">
              <w:rPr>
                <w:rFonts w:ascii="Times New Roman" w:eastAsia="Calibri" w:hAnsi="Times New Roman" w:cs="Times New Roman"/>
                <w:sz w:val="18"/>
                <w:szCs w:val="18"/>
              </w:rPr>
              <w:t>field of taxation</w:t>
            </w:r>
          </w:p>
        </w:tc>
        <w:tc>
          <w:tcPr>
            <w:tcW w:w="10620" w:type="dxa"/>
            <w:gridSpan w:val="5"/>
            <w:vAlign w:val="center"/>
          </w:tcPr>
          <w:p w14:paraId="32AF7B07" w14:textId="77777777" w:rsidR="00D52352" w:rsidRDefault="00D52352" w:rsidP="00036F88">
            <w:pPr>
              <w:jc w:val="both"/>
              <w:rPr>
                <w:rFonts w:ascii="Times New Roman" w:eastAsia="Calibri" w:hAnsi="Times New Roman" w:cs="Times New Roman"/>
                <w:sz w:val="18"/>
                <w:szCs w:val="18"/>
                <w:lang w:val="en-US"/>
              </w:rPr>
            </w:pPr>
          </w:p>
          <w:p w14:paraId="3CD39DED" w14:textId="77777777" w:rsidR="007C4250" w:rsidRPr="007C4250" w:rsidRDefault="007C4250" w:rsidP="00036F88">
            <w:pPr>
              <w:jc w:val="both"/>
              <w:rPr>
                <w:rFonts w:ascii="Times New Roman" w:eastAsia="Calibri" w:hAnsi="Times New Roman" w:cs="Times New Roman"/>
                <w:sz w:val="12"/>
                <w:szCs w:val="12"/>
                <w:lang w:val="en-US"/>
              </w:rPr>
            </w:pPr>
          </w:p>
          <w:p w14:paraId="10ECADF5" w14:textId="48FD69E0" w:rsidR="00922FEB" w:rsidRPr="004E6A4A" w:rsidRDefault="00922FEB" w:rsidP="00036F88">
            <w:pPr>
              <w:jc w:val="both"/>
              <w:rPr>
                <w:rFonts w:ascii="Times New Roman" w:eastAsia="Calibri" w:hAnsi="Times New Roman" w:cs="Times New Roman"/>
                <w:sz w:val="18"/>
                <w:szCs w:val="18"/>
                <w:lang w:val="en-US"/>
              </w:rPr>
            </w:pPr>
            <w:r w:rsidRPr="004E6A4A">
              <w:rPr>
                <w:rFonts w:ascii="Times New Roman" w:eastAsia="Calibri" w:hAnsi="Times New Roman" w:cs="Times New Roman"/>
                <w:sz w:val="18"/>
                <w:szCs w:val="18"/>
                <w:lang w:val="en-US"/>
              </w:rPr>
              <w:t>Albanian legislation:</w:t>
            </w:r>
          </w:p>
          <w:p w14:paraId="7ACAF46C" w14:textId="77777777" w:rsidR="00462F38" w:rsidRPr="004E6A4A" w:rsidRDefault="00462F38" w:rsidP="00036F88">
            <w:pPr>
              <w:jc w:val="both"/>
              <w:rPr>
                <w:rFonts w:ascii="Times New Roman" w:eastAsia="Calibri" w:hAnsi="Times New Roman" w:cs="Times New Roman"/>
                <w:sz w:val="18"/>
                <w:szCs w:val="18"/>
                <w:lang w:val="en-US"/>
              </w:rPr>
            </w:pPr>
          </w:p>
          <w:p w14:paraId="7B098384" w14:textId="77777777" w:rsidR="003D62FF" w:rsidRDefault="00D52352" w:rsidP="003D62FF">
            <w:pPr>
              <w:pStyle w:val="ListParagraph"/>
              <w:numPr>
                <w:ilvl w:val="0"/>
                <w:numId w:val="1"/>
              </w:numPr>
              <w:spacing w:after="0" w:line="240" w:lineRule="auto"/>
              <w:ind w:left="411"/>
              <w:jc w:val="both"/>
              <w:rPr>
                <w:rFonts w:ascii="Times New Roman" w:hAnsi="Times New Roman" w:cs="Times New Roman"/>
                <w:sz w:val="20"/>
                <w:szCs w:val="24"/>
              </w:rPr>
            </w:pPr>
            <w:r>
              <w:rPr>
                <w:rFonts w:ascii="Times New Roman" w:eastAsia="Calibri" w:hAnsi="Times New Roman" w:cs="Times New Roman"/>
                <w:sz w:val="18"/>
                <w:szCs w:val="18"/>
              </w:rPr>
              <w:t>Draft-</w:t>
            </w:r>
            <w:r w:rsidR="00D84EF8" w:rsidRPr="004E6A4A">
              <w:rPr>
                <w:rFonts w:ascii="Times New Roman" w:eastAsia="Calibri" w:hAnsi="Times New Roman" w:cs="Times New Roman"/>
                <w:sz w:val="18"/>
                <w:szCs w:val="18"/>
              </w:rPr>
              <w:t>Law</w:t>
            </w:r>
            <w:r w:rsidR="0038082A" w:rsidRPr="004E6A4A">
              <w:rPr>
                <w:rFonts w:ascii="Times New Roman" w:eastAsia="Calibri" w:hAnsi="Times New Roman" w:cs="Times New Roman"/>
                <w:sz w:val="18"/>
                <w:szCs w:val="18"/>
              </w:rPr>
              <w:t xml:space="preserve"> </w:t>
            </w:r>
            <w:r w:rsidR="00D84EF8" w:rsidRPr="004E6A4A">
              <w:rPr>
                <w:rFonts w:ascii="Times New Roman" w:hAnsi="Times New Roman" w:cs="Times New Roman"/>
                <w:sz w:val="20"/>
                <w:szCs w:val="24"/>
              </w:rPr>
              <w:t>“</w:t>
            </w:r>
            <w:r w:rsidR="00C6481F" w:rsidRPr="004E6A4A">
              <w:rPr>
                <w:rFonts w:ascii="Times New Roman" w:hAnsi="Times New Roman" w:cs="Times New Roman"/>
                <w:sz w:val="20"/>
                <w:szCs w:val="24"/>
              </w:rPr>
              <w:t>On the Automatic Exchange of Financial Account Information</w:t>
            </w:r>
            <w:r w:rsidR="0038082A" w:rsidRPr="004E6A4A">
              <w:rPr>
                <w:rFonts w:ascii="Times New Roman" w:hAnsi="Times New Roman" w:cs="Times New Roman"/>
                <w:sz w:val="20"/>
                <w:szCs w:val="24"/>
              </w:rPr>
              <w:t>”</w:t>
            </w:r>
          </w:p>
          <w:p w14:paraId="5AFB594A" w14:textId="044965B8" w:rsidR="00D52352" w:rsidRPr="003D62FF" w:rsidRDefault="003D62FF" w:rsidP="003D62FF">
            <w:pPr>
              <w:pStyle w:val="ListParagraph"/>
              <w:numPr>
                <w:ilvl w:val="0"/>
                <w:numId w:val="1"/>
              </w:numPr>
              <w:spacing w:after="0" w:line="240" w:lineRule="auto"/>
              <w:ind w:left="411"/>
              <w:jc w:val="both"/>
              <w:rPr>
                <w:rFonts w:ascii="Times New Roman" w:hAnsi="Times New Roman" w:cs="Times New Roman"/>
                <w:sz w:val="20"/>
                <w:szCs w:val="24"/>
              </w:rPr>
            </w:pPr>
            <w:r w:rsidRPr="003D62FF">
              <w:rPr>
                <w:rFonts w:ascii="Times New Roman" w:hAnsi="Times New Roman" w:cs="Times New Roman"/>
                <w:sz w:val="20"/>
                <w:szCs w:val="24"/>
              </w:rPr>
              <w:t xml:space="preserve">Draft Decision of the Council of Ministers </w:t>
            </w:r>
            <w:r>
              <w:rPr>
                <w:rFonts w:ascii="Times New Roman" w:hAnsi="Times New Roman" w:cs="Times New Roman"/>
                <w:sz w:val="20"/>
                <w:szCs w:val="24"/>
              </w:rPr>
              <w:t>(DCM) “</w:t>
            </w:r>
            <w:r w:rsidRPr="003D62FF">
              <w:rPr>
                <w:rFonts w:ascii="Times New Roman" w:hAnsi="Times New Roman" w:cs="Times New Roman"/>
                <w:sz w:val="20"/>
                <w:szCs w:val="24"/>
              </w:rPr>
              <w:t>On the implementing provisions of law no. ___/____,“On the automatic exchange of financial  account  information”</w:t>
            </w:r>
            <w:r>
              <w:rPr>
                <w:rFonts w:ascii="Times New Roman" w:hAnsi="Times New Roman" w:cs="Times New Roman"/>
                <w:sz w:val="20"/>
                <w:szCs w:val="24"/>
              </w:rPr>
              <w:t>”</w:t>
            </w:r>
          </w:p>
          <w:p w14:paraId="67B3B9F0" w14:textId="77777777" w:rsidR="00D52352" w:rsidRDefault="00D52352" w:rsidP="00D84EF8">
            <w:pPr>
              <w:jc w:val="both"/>
              <w:rPr>
                <w:rFonts w:ascii="Times New Roman" w:hAnsi="Times New Roman" w:cs="Times New Roman"/>
                <w:sz w:val="18"/>
                <w:szCs w:val="18"/>
              </w:rPr>
            </w:pPr>
          </w:p>
          <w:p w14:paraId="5306AA67" w14:textId="779D46D8" w:rsidR="001D652C" w:rsidRPr="004E6A4A" w:rsidRDefault="001D652C" w:rsidP="00D84EF8">
            <w:pPr>
              <w:jc w:val="both"/>
              <w:rPr>
                <w:rFonts w:ascii="Times New Roman" w:hAnsi="Times New Roman" w:cs="Times New Roman"/>
                <w:sz w:val="20"/>
                <w:szCs w:val="24"/>
              </w:rPr>
            </w:pPr>
            <w:r w:rsidRPr="004E6A4A">
              <w:rPr>
                <w:rFonts w:ascii="Times New Roman" w:hAnsi="Times New Roman" w:cs="Times New Roman"/>
                <w:sz w:val="18"/>
                <w:szCs w:val="18"/>
              </w:rPr>
              <w:t>F - full compliance</w:t>
            </w:r>
          </w:p>
          <w:p w14:paraId="41C41513" w14:textId="77777777" w:rsidR="001D652C" w:rsidRPr="004E6A4A" w:rsidRDefault="001D652C" w:rsidP="00036F88">
            <w:pPr>
              <w:jc w:val="both"/>
              <w:rPr>
                <w:rFonts w:ascii="Times New Roman" w:hAnsi="Times New Roman" w:cs="Times New Roman"/>
                <w:sz w:val="18"/>
                <w:szCs w:val="18"/>
              </w:rPr>
            </w:pPr>
            <w:r w:rsidRPr="004E6A4A">
              <w:rPr>
                <w:rFonts w:ascii="Times New Roman" w:hAnsi="Times New Roman" w:cs="Times New Roman"/>
                <w:sz w:val="18"/>
                <w:szCs w:val="18"/>
              </w:rPr>
              <w:t>P - partial compliance</w:t>
            </w:r>
          </w:p>
          <w:p w14:paraId="289EB650" w14:textId="14CE508D" w:rsidR="00922FEB" w:rsidRPr="004E6A4A" w:rsidRDefault="001D652C" w:rsidP="00036F88">
            <w:pPr>
              <w:jc w:val="both"/>
              <w:rPr>
                <w:rFonts w:ascii="Times New Roman" w:eastAsia="Calibri" w:hAnsi="Times New Roman" w:cs="Times New Roman"/>
                <w:sz w:val="18"/>
                <w:szCs w:val="18"/>
              </w:rPr>
            </w:pPr>
            <w:r w:rsidRPr="004E6A4A">
              <w:rPr>
                <w:rFonts w:ascii="Times New Roman" w:hAnsi="Times New Roman" w:cs="Times New Roman"/>
                <w:sz w:val="18"/>
                <w:szCs w:val="18"/>
              </w:rPr>
              <w:t>N - non-compliance</w:t>
            </w:r>
          </w:p>
          <w:p w14:paraId="6BC4DEF2" w14:textId="77777777" w:rsidR="00922FEB" w:rsidRPr="004E6A4A" w:rsidRDefault="00922FEB" w:rsidP="00036F88">
            <w:pPr>
              <w:rPr>
                <w:rFonts w:ascii="Times New Roman" w:eastAsia="Calibri" w:hAnsi="Times New Roman" w:cs="Times New Roman"/>
                <w:sz w:val="18"/>
                <w:szCs w:val="18"/>
              </w:rPr>
            </w:pPr>
          </w:p>
          <w:p w14:paraId="7AA9D97B" w14:textId="77777777" w:rsidR="00922FEB" w:rsidRPr="004E6A4A" w:rsidRDefault="00922FEB" w:rsidP="00036F88">
            <w:pPr>
              <w:rPr>
                <w:rFonts w:ascii="Times New Roman" w:eastAsia="Calibri" w:hAnsi="Times New Roman" w:cs="Times New Roman"/>
                <w:sz w:val="18"/>
                <w:szCs w:val="18"/>
              </w:rPr>
            </w:pPr>
            <w:r w:rsidRPr="004E6A4A">
              <w:rPr>
                <w:rFonts w:ascii="Times New Roman" w:eastAsia="Calibri" w:hAnsi="Times New Roman" w:cs="Times New Roman"/>
                <w:sz w:val="18"/>
                <w:szCs w:val="18"/>
              </w:rPr>
              <w:t xml:space="preserve"> </w:t>
            </w:r>
          </w:p>
        </w:tc>
      </w:tr>
      <w:tr w:rsidR="004E6A4A" w:rsidRPr="004E6A4A" w14:paraId="01827783" w14:textId="77777777" w:rsidTr="00E11E6D">
        <w:trPr>
          <w:tblHeader/>
        </w:trPr>
        <w:tc>
          <w:tcPr>
            <w:tcW w:w="720" w:type="dxa"/>
            <w:shd w:val="clear" w:color="auto" w:fill="BFBFBF"/>
          </w:tcPr>
          <w:p w14:paraId="52A84D2B" w14:textId="721D3075" w:rsidR="004F619A" w:rsidRPr="004E6A4A" w:rsidRDefault="004F619A" w:rsidP="00036F88">
            <w:pPr>
              <w:jc w:val="center"/>
              <w:rPr>
                <w:rFonts w:ascii="Times New Roman" w:eastAsia="Times New Roman" w:hAnsi="Times New Roman" w:cs="Times New Roman"/>
                <w:sz w:val="18"/>
                <w:szCs w:val="18"/>
              </w:rPr>
            </w:pPr>
            <w:r w:rsidRPr="004E6A4A">
              <w:rPr>
                <w:rFonts w:ascii="Times New Roman" w:hAnsi="Times New Roman" w:cs="Times New Roman"/>
                <w:sz w:val="18"/>
                <w:szCs w:val="18"/>
              </w:rPr>
              <w:t>1</w:t>
            </w:r>
          </w:p>
        </w:tc>
        <w:tc>
          <w:tcPr>
            <w:tcW w:w="4860" w:type="dxa"/>
            <w:shd w:val="clear" w:color="auto" w:fill="BFBFBF"/>
          </w:tcPr>
          <w:p w14:paraId="1DA553D3" w14:textId="64D8F57B"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2</w:t>
            </w:r>
          </w:p>
        </w:tc>
        <w:tc>
          <w:tcPr>
            <w:tcW w:w="1080" w:type="dxa"/>
            <w:shd w:val="clear" w:color="auto" w:fill="BFBFBF"/>
          </w:tcPr>
          <w:p w14:paraId="6A8D7A06" w14:textId="724E6EFC"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3</w:t>
            </w:r>
          </w:p>
        </w:tc>
        <w:tc>
          <w:tcPr>
            <w:tcW w:w="900" w:type="dxa"/>
            <w:shd w:val="clear" w:color="auto" w:fill="BFBFBF"/>
          </w:tcPr>
          <w:p w14:paraId="508F371C" w14:textId="4604AAB0"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4</w:t>
            </w:r>
          </w:p>
        </w:tc>
        <w:tc>
          <w:tcPr>
            <w:tcW w:w="4500" w:type="dxa"/>
            <w:shd w:val="clear" w:color="auto" w:fill="BFBFBF"/>
          </w:tcPr>
          <w:p w14:paraId="2141FB79" w14:textId="3C150691"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5</w:t>
            </w:r>
          </w:p>
        </w:tc>
        <w:tc>
          <w:tcPr>
            <w:tcW w:w="1170" w:type="dxa"/>
            <w:shd w:val="clear" w:color="auto" w:fill="BFBFBF"/>
          </w:tcPr>
          <w:p w14:paraId="7B5923AD" w14:textId="0DA9C058"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6</w:t>
            </w:r>
          </w:p>
        </w:tc>
        <w:tc>
          <w:tcPr>
            <w:tcW w:w="2970" w:type="dxa"/>
            <w:shd w:val="clear" w:color="auto" w:fill="BFBFBF"/>
          </w:tcPr>
          <w:p w14:paraId="25BA9212" w14:textId="4444B760" w:rsidR="004F619A" w:rsidRPr="004E6A4A" w:rsidRDefault="004F619A"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7</w:t>
            </w:r>
          </w:p>
        </w:tc>
      </w:tr>
      <w:tr w:rsidR="004E6A4A" w:rsidRPr="004E6A4A" w14:paraId="405531F1" w14:textId="77777777" w:rsidTr="00E11E6D">
        <w:trPr>
          <w:tblHeader/>
        </w:trPr>
        <w:tc>
          <w:tcPr>
            <w:tcW w:w="720" w:type="dxa"/>
            <w:shd w:val="clear" w:color="auto" w:fill="BFBFBF"/>
            <w:vAlign w:val="center"/>
          </w:tcPr>
          <w:p w14:paraId="1E9FDE14" w14:textId="77777777" w:rsidR="004F619A" w:rsidRPr="004E6A4A" w:rsidRDefault="004F619A" w:rsidP="00036F88">
            <w:pPr>
              <w:jc w:val="center"/>
              <w:rPr>
                <w:rFonts w:ascii="Times New Roman" w:eastAsia="Times New Roman" w:hAnsi="Times New Roman" w:cs="Times New Roman"/>
                <w:sz w:val="18"/>
                <w:szCs w:val="18"/>
                <w:lang w:val="en-US"/>
              </w:rPr>
            </w:pPr>
            <w:r w:rsidRPr="004E6A4A">
              <w:rPr>
                <w:rFonts w:ascii="Times New Roman" w:eastAsia="Times New Roman" w:hAnsi="Times New Roman" w:cs="Times New Roman"/>
                <w:sz w:val="18"/>
                <w:szCs w:val="18"/>
                <w:lang w:val="en-US"/>
              </w:rPr>
              <w:t>Article</w:t>
            </w:r>
          </w:p>
        </w:tc>
        <w:tc>
          <w:tcPr>
            <w:tcW w:w="4860" w:type="dxa"/>
            <w:shd w:val="clear" w:color="auto" w:fill="BFBFBF"/>
            <w:vAlign w:val="center"/>
          </w:tcPr>
          <w:p w14:paraId="76176853"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Text</w:t>
            </w:r>
          </w:p>
        </w:tc>
        <w:tc>
          <w:tcPr>
            <w:tcW w:w="1080" w:type="dxa"/>
            <w:shd w:val="clear" w:color="auto" w:fill="BFBFBF"/>
            <w:vAlign w:val="center"/>
          </w:tcPr>
          <w:p w14:paraId="7B0A27CB"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References</w:t>
            </w:r>
          </w:p>
        </w:tc>
        <w:tc>
          <w:tcPr>
            <w:tcW w:w="900" w:type="dxa"/>
            <w:shd w:val="clear" w:color="auto" w:fill="BFBFBF"/>
            <w:vAlign w:val="center"/>
          </w:tcPr>
          <w:p w14:paraId="4FA58976"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Article</w:t>
            </w:r>
          </w:p>
        </w:tc>
        <w:tc>
          <w:tcPr>
            <w:tcW w:w="4500" w:type="dxa"/>
            <w:shd w:val="clear" w:color="auto" w:fill="BFBFBF"/>
            <w:vAlign w:val="center"/>
          </w:tcPr>
          <w:p w14:paraId="1C97514E"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Text</w:t>
            </w:r>
          </w:p>
        </w:tc>
        <w:tc>
          <w:tcPr>
            <w:tcW w:w="1170" w:type="dxa"/>
            <w:shd w:val="clear" w:color="auto" w:fill="BFBFBF"/>
            <w:vAlign w:val="center"/>
          </w:tcPr>
          <w:p w14:paraId="7416E437"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Compliance</w:t>
            </w:r>
          </w:p>
        </w:tc>
        <w:tc>
          <w:tcPr>
            <w:tcW w:w="2970" w:type="dxa"/>
            <w:shd w:val="clear" w:color="auto" w:fill="BFBFBF"/>
            <w:vAlign w:val="center"/>
          </w:tcPr>
          <w:p w14:paraId="2D3E0BBE" w14:textId="77777777" w:rsidR="004F619A" w:rsidRPr="004E6A4A" w:rsidRDefault="004F619A"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Notes</w:t>
            </w:r>
          </w:p>
        </w:tc>
      </w:tr>
    </w:tbl>
    <w:p w14:paraId="1F69D40D" w14:textId="3855042B" w:rsidR="00922FEB" w:rsidRPr="004E6A4A" w:rsidRDefault="00922FEB" w:rsidP="00036F88">
      <w:pPr>
        <w:spacing w:after="200" w:line="240" w:lineRule="auto"/>
        <w:rPr>
          <w:rFonts w:ascii="Times New Roman" w:eastAsia="Calibri" w:hAnsi="Times New Roman" w:cs="Times New Roman"/>
          <w:kern w:val="0"/>
          <w:sz w:val="18"/>
          <w:szCs w:val="18"/>
          <w14:ligatures w14:val="none"/>
        </w:rPr>
      </w:pPr>
    </w:p>
    <w:tbl>
      <w:tblPr>
        <w:tblStyle w:val="TableGrid"/>
        <w:tblW w:w="16200" w:type="dxa"/>
        <w:tblInd w:w="-1085" w:type="dxa"/>
        <w:tblLayout w:type="fixed"/>
        <w:tblLook w:val="04A0" w:firstRow="1" w:lastRow="0" w:firstColumn="1" w:lastColumn="0" w:noHBand="0" w:noVBand="1"/>
      </w:tblPr>
      <w:tblGrid>
        <w:gridCol w:w="720"/>
        <w:gridCol w:w="4860"/>
        <w:gridCol w:w="1080"/>
        <w:gridCol w:w="900"/>
        <w:gridCol w:w="4514"/>
        <w:gridCol w:w="1156"/>
        <w:gridCol w:w="2970"/>
      </w:tblGrid>
      <w:tr w:rsidR="004E6A4A" w:rsidRPr="004E6A4A" w14:paraId="32F4D837" w14:textId="77777777" w:rsidTr="00E11E6D">
        <w:trPr>
          <w:tblHeader/>
        </w:trPr>
        <w:tc>
          <w:tcPr>
            <w:tcW w:w="720" w:type="dxa"/>
            <w:shd w:val="clear" w:color="auto" w:fill="BFBFBF"/>
          </w:tcPr>
          <w:p w14:paraId="623B109C" w14:textId="4AA779B1" w:rsidR="000A7EA3" w:rsidRPr="004E6A4A" w:rsidRDefault="000A7EA3" w:rsidP="00036F88">
            <w:pPr>
              <w:jc w:val="center"/>
              <w:rPr>
                <w:rFonts w:ascii="Times New Roman" w:eastAsia="Times New Roman" w:hAnsi="Times New Roman" w:cs="Times New Roman"/>
                <w:sz w:val="18"/>
                <w:szCs w:val="18"/>
              </w:rPr>
            </w:pPr>
            <w:r w:rsidRPr="004E6A4A">
              <w:rPr>
                <w:rFonts w:ascii="Times New Roman" w:hAnsi="Times New Roman" w:cs="Times New Roman"/>
                <w:sz w:val="18"/>
                <w:szCs w:val="18"/>
              </w:rPr>
              <w:t>1</w:t>
            </w:r>
          </w:p>
        </w:tc>
        <w:tc>
          <w:tcPr>
            <w:tcW w:w="4860" w:type="dxa"/>
            <w:shd w:val="clear" w:color="auto" w:fill="BFBFBF"/>
          </w:tcPr>
          <w:p w14:paraId="0EF916BA" w14:textId="15F44D6D" w:rsidR="000A7EA3" w:rsidRPr="004E6A4A" w:rsidRDefault="000A7EA3" w:rsidP="00036F88">
            <w:pPr>
              <w:jc w:val="center"/>
              <w:rPr>
                <w:rFonts w:ascii="Times New Roman" w:eastAsia="Times New Roman" w:hAnsi="Times New Roman" w:cs="Times New Roman"/>
                <w:iCs/>
                <w:sz w:val="18"/>
                <w:szCs w:val="18"/>
              </w:rPr>
            </w:pPr>
            <w:r w:rsidRPr="004E6A4A">
              <w:rPr>
                <w:rFonts w:ascii="Times New Roman" w:hAnsi="Times New Roman" w:cs="Times New Roman"/>
                <w:sz w:val="18"/>
                <w:szCs w:val="18"/>
              </w:rPr>
              <w:t>2</w:t>
            </w:r>
          </w:p>
        </w:tc>
        <w:tc>
          <w:tcPr>
            <w:tcW w:w="1080" w:type="dxa"/>
            <w:shd w:val="clear" w:color="auto" w:fill="D0CECE" w:themeFill="background2" w:themeFillShade="E6"/>
          </w:tcPr>
          <w:p w14:paraId="04E9A02F" w14:textId="584B0512" w:rsidR="000A7EA3" w:rsidRPr="004E6A4A" w:rsidRDefault="000A7EA3" w:rsidP="00036F88">
            <w:pPr>
              <w:jc w:val="center"/>
              <w:rPr>
                <w:rFonts w:ascii="Times New Roman" w:hAnsi="Times New Roman" w:cs="Times New Roman"/>
                <w:sz w:val="18"/>
                <w:szCs w:val="18"/>
              </w:rPr>
            </w:pPr>
            <w:r w:rsidRPr="004E6A4A">
              <w:rPr>
                <w:rFonts w:ascii="Times New Roman" w:hAnsi="Times New Roman" w:cs="Times New Roman"/>
                <w:sz w:val="18"/>
                <w:szCs w:val="18"/>
              </w:rPr>
              <w:t>3</w:t>
            </w:r>
          </w:p>
        </w:tc>
        <w:tc>
          <w:tcPr>
            <w:tcW w:w="900" w:type="dxa"/>
            <w:shd w:val="clear" w:color="auto" w:fill="BFBFBF"/>
          </w:tcPr>
          <w:p w14:paraId="11B2F0E9" w14:textId="510E5F67"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4</w:t>
            </w:r>
          </w:p>
        </w:tc>
        <w:tc>
          <w:tcPr>
            <w:tcW w:w="4514" w:type="dxa"/>
            <w:shd w:val="clear" w:color="auto" w:fill="BFBFBF"/>
          </w:tcPr>
          <w:p w14:paraId="18D0D936" w14:textId="2F6EC06B"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5</w:t>
            </w:r>
          </w:p>
        </w:tc>
        <w:tc>
          <w:tcPr>
            <w:tcW w:w="1156" w:type="dxa"/>
            <w:shd w:val="clear" w:color="auto" w:fill="BFBFBF"/>
          </w:tcPr>
          <w:p w14:paraId="1F29B9CC" w14:textId="46D8A615"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6</w:t>
            </w:r>
          </w:p>
        </w:tc>
        <w:tc>
          <w:tcPr>
            <w:tcW w:w="2970" w:type="dxa"/>
            <w:shd w:val="clear" w:color="auto" w:fill="BFBFBF"/>
          </w:tcPr>
          <w:p w14:paraId="1EC97E09" w14:textId="00684BF9" w:rsidR="000A7EA3" w:rsidRPr="004E6A4A" w:rsidRDefault="000A7EA3" w:rsidP="00036F88">
            <w:pPr>
              <w:jc w:val="center"/>
              <w:rPr>
                <w:rFonts w:ascii="Times New Roman" w:eastAsia="Times New Roman" w:hAnsi="Times New Roman" w:cs="Times New Roman"/>
                <w:i/>
                <w:sz w:val="18"/>
                <w:szCs w:val="18"/>
              </w:rPr>
            </w:pPr>
            <w:r w:rsidRPr="004E6A4A">
              <w:rPr>
                <w:rFonts w:ascii="Times New Roman" w:hAnsi="Times New Roman" w:cs="Times New Roman"/>
                <w:sz w:val="18"/>
                <w:szCs w:val="18"/>
              </w:rPr>
              <w:t>7</w:t>
            </w:r>
          </w:p>
        </w:tc>
      </w:tr>
      <w:tr w:rsidR="004E6A4A" w:rsidRPr="004E6A4A" w14:paraId="33DF4310" w14:textId="77777777" w:rsidTr="00E11E6D">
        <w:trPr>
          <w:tblHeader/>
        </w:trPr>
        <w:tc>
          <w:tcPr>
            <w:tcW w:w="720" w:type="dxa"/>
            <w:shd w:val="clear" w:color="auto" w:fill="BFBFBF"/>
            <w:vAlign w:val="center"/>
          </w:tcPr>
          <w:p w14:paraId="39F8C6F9" w14:textId="77777777" w:rsidR="000A7EA3" w:rsidRPr="004E6A4A" w:rsidRDefault="000A7EA3" w:rsidP="00036F88">
            <w:pPr>
              <w:jc w:val="center"/>
              <w:rPr>
                <w:rFonts w:ascii="Times New Roman" w:eastAsia="Times New Roman" w:hAnsi="Times New Roman" w:cs="Times New Roman"/>
                <w:sz w:val="18"/>
                <w:szCs w:val="18"/>
                <w:lang w:val="en-US"/>
              </w:rPr>
            </w:pPr>
            <w:r w:rsidRPr="004E6A4A">
              <w:rPr>
                <w:rFonts w:ascii="Times New Roman" w:eastAsia="Times New Roman" w:hAnsi="Times New Roman" w:cs="Times New Roman"/>
                <w:sz w:val="18"/>
                <w:szCs w:val="18"/>
                <w:lang w:val="en-US"/>
              </w:rPr>
              <w:t>Article</w:t>
            </w:r>
          </w:p>
        </w:tc>
        <w:tc>
          <w:tcPr>
            <w:tcW w:w="4860" w:type="dxa"/>
            <w:shd w:val="clear" w:color="auto" w:fill="BFBFBF"/>
            <w:vAlign w:val="center"/>
          </w:tcPr>
          <w:p w14:paraId="17F6068A" w14:textId="77777777" w:rsidR="000A7EA3" w:rsidRPr="004E6A4A" w:rsidRDefault="000A7EA3" w:rsidP="00036F88">
            <w:pPr>
              <w:jc w:val="center"/>
              <w:rPr>
                <w:rFonts w:ascii="Times New Roman" w:eastAsia="Times New Roman" w:hAnsi="Times New Roman" w:cs="Times New Roman"/>
                <w:iCs/>
                <w:sz w:val="18"/>
                <w:szCs w:val="18"/>
                <w:lang w:val="en-US"/>
              </w:rPr>
            </w:pPr>
            <w:r w:rsidRPr="004E6A4A">
              <w:rPr>
                <w:rFonts w:ascii="Times New Roman" w:eastAsia="Times New Roman" w:hAnsi="Times New Roman" w:cs="Times New Roman"/>
                <w:iCs/>
                <w:sz w:val="18"/>
                <w:szCs w:val="18"/>
                <w:lang w:val="en-US"/>
              </w:rPr>
              <w:t>Text</w:t>
            </w:r>
          </w:p>
        </w:tc>
        <w:tc>
          <w:tcPr>
            <w:tcW w:w="1080" w:type="dxa"/>
            <w:shd w:val="clear" w:color="auto" w:fill="D0CECE" w:themeFill="background2" w:themeFillShade="E6"/>
          </w:tcPr>
          <w:p w14:paraId="476E07DB" w14:textId="1B56A2D0" w:rsidR="000A7EA3" w:rsidRPr="004E6A4A" w:rsidRDefault="000A7EA3" w:rsidP="00036F88">
            <w:pPr>
              <w:jc w:val="center"/>
              <w:rPr>
                <w:rFonts w:ascii="Times New Roman" w:hAnsi="Times New Roman" w:cs="Times New Roman"/>
                <w:sz w:val="18"/>
                <w:szCs w:val="18"/>
              </w:rPr>
            </w:pPr>
            <w:r w:rsidRPr="004E6A4A">
              <w:rPr>
                <w:rFonts w:ascii="Times New Roman" w:hAnsi="Times New Roman" w:cs="Times New Roman"/>
                <w:sz w:val="18"/>
                <w:szCs w:val="18"/>
              </w:rPr>
              <w:t>References</w:t>
            </w:r>
          </w:p>
        </w:tc>
        <w:tc>
          <w:tcPr>
            <w:tcW w:w="900" w:type="dxa"/>
            <w:shd w:val="clear" w:color="auto" w:fill="BFBFBF"/>
            <w:vAlign w:val="center"/>
          </w:tcPr>
          <w:p w14:paraId="5B81B475" w14:textId="25304259"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Article</w:t>
            </w:r>
          </w:p>
        </w:tc>
        <w:tc>
          <w:tcPr>
            <w:tcW w:w="4514" w:type="dxa"/>
            <w:shd w:val="clear" w:color="auto" w:fill="BFBFBF"/>
            <w:vAlign w:val="center"/>
          </w:tcPr>
          <w:p w14:paraId="19F4D508"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Text</w:t>
            </w:r>
          </w:p>
        </w:tc>
        <w:tc>
          <w:tcPr>
            <w:tcW w:w="1156" w:type="dxa"/>
            <w:shd w:val="clear" w:color="auto" w:fill="BFBFBF"/>
            <w:vAlign w:val="center"/>
          </w:tcPr>
          <w:p w14:paraId="609D564B"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Compliance</w:t>
            </w:r>
          </w:p>
        </w:tc>
        <w:tc>
          <w:tcPr>
            <w:tcW w:w="2970" w:type="dxa"/>
            <w:shd w:val="clear" w:color="auto" w:fill="BFBFBF"/>
            <w:vAlign w:val="center"/>
          </w:tcPr>
          <w:p w14:paraId="0F04528A" w14:textId="77777777" w:rsidR="000A7EA3" w:rsidRPr="004E6A4A" w:rsidRDefault="000A7EA3" w:rsidP="00036F88">
            <w:pPr>
              <w:jc w:val="center"/>
              <w:rPr>
                <w:rFonts w:ascii="Times New Roman" w:eastAsia="Times New Roman" w:hAnsi="Times New Roman" w:cs="Times New Roman"/>
                <w:i/>
                <w:sz w:val="18"/>
                <w:szCs w:val="18"/>
                <w:lang w:val="en-US"/>
              </w:rPr>
            </w:pPr>
            <w:r w:rsidRPr="004E6A4A">
              <w:rPr>
                <w:rFonts w:ascii="Times New Roman" w:eastAsia="Times New Roman" w:hAnsi="Times New Roman" w:cs="Times New Roman"/>
                <w:i/>
                <w:sz w:val="18"/>
                <w:szCs w:val="18"/>
                <w:lang w:val="en-US"/>
              </w:rPr>
              <w:t>Notes</w:t>
            </w:r>
          </w:p>
        </w:tc>
      </w:tr>
      <w:tr w:rsidR="004E6A4A" w:rsidRPr="004E6A4A" w14:paraId="28EB2598" w14:textId="77777777" w:rsidTr="00E11E6D">
        <w:trPr>
          <w:trHeight w:val="764"/>
        </w:trPr>
        <w:tc>
          <w:tcPr>
            <w:tcW w:w="720" w:type="dxa"/>
          </w:tcPr>
          <w:p w14:paraId="3114F621" w14:textId="77777777" w:rsidR="00E94486" w:rsidRPr="004E6A4A" w:rsidRDefault="00E94486" w:rsidP="00DB7C8F">
            <w:pPr>
              <w:jc w:val="center"/>
              <w:rPr>
                <w:rFonts w:ascii="Times New Roman" w:eastAsia="Calibri" w:hAnsi="Times New Roman" w:cs="Times New Roman"/>
                <w:i/>
                <w:sz w:val="18"/>
                <w:szCs w:val="18"/>
              </w:rPr>
            </w:pPr>
          </w:p>
        </w:tc>
        <w:tc>
          <w:tcPr>
            <w:tcW w:w="4860" w:type="dxa"/>
          </w:tcPr>
          <w:p w14:paraId="1A199BEC" w14:textId="77777777" w:rsidR="00F43B76"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w:t>
            </w:r>
          </w:p>
          <w:p w14:paraId="637F6262" w14:textId="77777777" w:rsidR="00F43B76"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1(1) – Article 3, point 9</w:t>
            </w:r>
          </w:p>
          <w:p w14:paraId="28EE258A"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In Article 3, point 9 is replaced by the following:</w:t>
            </w:r>
          </w:p>
          <w:p w14:paraId="5322F41A"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‘9.“automatic exchange” means the systematic communication of predefined information on residents in other Member States to the relevant Member State of residence, without prior request, at pre-established regular intervals. In the context of Article 8, available information refers to information in the tax files of the Member State communicating the information, which is retrievable in accordance with the procedures for gathering and processing information in that Member State. In the context of Article 8(3a), Article 8(7a), Article 21(2) and Article 25(2) and (3) any capitalised term shall have the meaning that it has under the corresponding definitions set out in Annex I.’</w:t>
            </w:r>
          </w:p>
        </w:tc>
        <w:tc>
          <w:tcPr>
            <w:tcW w:w="1080" w:type="dxa"/>
          </w:tcPr>
          <w:p w14:paraId="2265555A" w14:textId="77777777" w:rsidR="00E94486" w:rsidRPr="004E6A4A" w:rsidRDefault="00E94486" w:rsidP="00DB7C8F">
            <w:pPr>
              <w:jc w:val="center"/>
              <w:rPr>
                <w:rFonts w:ascii="Times New Roman" w:eastAsia="Calibri" w:hAnsi="Times New Roman" w:cs="Times New Roman"/>
                <w:sz w:val="18"/>
                <w:szCs w:val="18"/>
              </w:rPr>
            </w:pPr>
          </w:p>
        </w:tc>
        <w:tc>
          <w:tcPr>
            <w:tcW w:w="900" w:type="dxa"/>
          </w:tcPr>
          <w:p w14:paraId="24882CF9" w14:textId="77777777" w:rsidR="00E94486" w:rsidRPr="004E6A4A" w:rsidRDefault="00E94486" w:rsidP="00DB7C8F">
            <w:pPr>
              <w:jc w:val="center"/>
              <w:rPr>
                <w:rFonts w:ascii="Times New Roman" w:eastAsia="Times New Roman" w:hAnsi="Times New Roman" w:cs="Times New Roman"/>
                <w:sz w:val="20"/>
                <w:szCs w:val="21"/>
                <w:lang w:eastAsia="sq-AL"/>
              </w:rPr>
            </w:pPr>
          </w:p>
        </w:tc>
        <w:tc>
          <w:tcPr>
            <w:tcW w:w="4514" w:type="dxa"/>
          </w:tcPr>
          <w:p w14:paraId="53394348"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6D711FF" w14:textId="77777777" w:rsidR="00FA0CFF" w:rsidRPr="004E6A4A" w:rsidRDefault="00144445">
            <w:pPr>
              <w:jc w:val="center"/>
            </w:pPr>
            <w:r w:rsidRPr="004E6A4A">
              <w:rPr>
                <w:rFonts w:ascii="Times New Roman" w:eastAsia="Times New Roman" w:hAnsi="Times New Roman" w:cs="Times New Roman"/>
                <w:b/>
                <w:sz w:val="20"/>
              </w:rPr>
              <w:t>Definitions</w:t>
            </w:r>
          </w:p>
          <w:p w14:paraId="13DA529C" w14:textId="77777777" w:rsidR="00FA0CFF" w:rsidRPr="004E6A4A" w:rsidRDefault="00144445">
            <w:pPr>
              <w:jc w:val="both"/>
            </w:pPr>
            <w:r w:rsidRPr="004E6A4A">
              <w:rPr>
                <w:rFonts w:ascii="Times New Roman" w:eastAsia="Times New Roman" w:hAnsi="Times New Roman" w:cs="Times New Roman"/>
                <w:sz w:val="20"/>
              </w:rPr>
              <w:t>72. “Automatic exchange” means the systematic communication of predetermined information, without prior request, at predetermined intervals. For exchanges with the Member States of the European Union, the definition and the rules provided for in the law “On administrative cooperation in the field of taxation and the exchange of tax information” shall also apply.</w:t>
            </w:r>
          </w:p>
          <w:p w14:paraId="399FDE86" w14:textId="77777777" w:rsidR="00FA0CFF" w:rsidRPr="004E6A4A" w:rsidRDefault="00FA0CFF"/>
          <w:p w14:paraId="452888D4" w14:textId="77777777" w:rsidR="00FA0CFF" w:rsidRPr="004E6A4A" w:rsidRDefault="00144445">
            <w:pPr>
              <w:jc w:val="center"/>
            </w:pPr>
            <w:r w:rsidRPr="004E6A4A">
              <w:rPr>
                <w:rFonts w:ascii="Times New Roman" w:eastAsia="Times New Roman" w:hAnsi="Times New Roman" w:cs="Times New Roman"/>
                <w:b/>
                <w:sz w:val="20"/>
              </w:rPr>
              <w:t>Draft Law: Article 21</w:t>
            </w:r>
          </w:p>
          <w:p w14:paraId="3F16182A" w14:textId="77777777" w:rsidR="00FA0CFF" w:rsidRPr="004E6A4A" w:rsidRDefault="00144445">
            <w:pPr>
              <w:jc w:val="center"/>
            </w:pPr>
            <w:r w:rsidRPr="004E6A4A">
              <w:rPr>
                <w:rFonts w:ascii="Times New Roman" w:eastAsia="Times New Roman" w:hAnsi="Times New Roman" w:cs="Times New Roman"/>
                <w:b/>
                <w:sz w:val="20"/>
              </w:rPr>
              <w:t>Interpretation</w:t>
            </w:r>
          </w:p>
          <w:p w14:paraId="4DA9D35B" w14:textId="77777777" w:rsidR="00FA0CFF" w:rsidRPr="004E6A4A" w:rsidRDefault="00144445">
            <w:pPr>
              <w:jc w:val="both"/>
            </w:pPr>
            <w:r w:rsidRPr="004E6A4A">
              <w:rPr>
                <w:rFonts w:ascii="Times New Roman" w:eastAsia="Times New Roman" w:hAnsi="Times New Roman" w:cs="Times New Roman"/>
                <w:sz w:val="20"/>
              </w:rPr>
              <w:t xml:space="preserve">1. For exchanges with the Member States of the European Union, this Law and the sub-legal acts issued in implementation thereof shall be interpreted and applied in accordance with Directive 2011/16/EU, as amended, and the relevant implementing acts of the European Union. The Common Reporting Standard and its Commentary may be used as auxiliary means </w:t>
            </w:r>
            <w:r w:rsidRPr="004E6A4A">
              <w:rPr>
                <w:rFonts w:ascii="Times New Roman" w:eastAsia="Times New Roman" w:hAnsi="Times New Roman" w:cs="Times New Roman"/>
                <w:sz w:val="20"/>
              </w:rPr>
              <w:lastRenderedPageBreak/>
              <w:t>of interpretation only in so far as they are in conformity with Directive 2011/16/EU, as amended, and with the applicable acts of the European Union.</w:t>
            </w:r>
          </w:p>
          <w:p w14:paraId="071E2A92" w14:textId="77777777" w:rsidR="00FA0CFF" w:rsidRPr="004E6A4A" w:rsidRDefault="00144445">
            <w:pPr>
              <w:jc w:val="both"/>
            </w:pPr>
            <w:r w:rsidRPr="004E6A4A">
              <w:rPr>
                <w:rFonts w:ascii="Times New Roman" w:eastAsia="Times New Roman" w:hAnsi="Times New Roman" w:cs="Times New Roman"/>
                <w:sz w:val="20"/>
              </w:rPr>
              <w:t>2. For exchanges with jurisdictions that are not Member States of the European Union, this Law and the sub-legal acts shall be interpreted and applied in accordance with the Common Reporting Standard, its Commentary and the relevant international instrument.</w:t>
            </w:r>
          </w:p>
          <w:p w14:paraId="2B53D4B8" w14:textId="77777777" w:rsidR="00FA0CFF" w:rsidRPr="004E6A4A" w:rsidRDefault="00144445">
            <w:pPr>
              <w:jc w:val="both"/>
            </w:pPr>
            <w:r w:rsidRPr="004E6A4A">
              <w:rPr>
                <w:rFonts w:ascii="Times New Roman" w:eastAsia="Times New Roman" w:hAnsi="Times New Roman" w:cs="Times New Roman"/>
                <w:sz w:val="20"/>
              </w:rPr>
              <w:t>3. Any term not defined in this Law or in the sub-legal acts shall have, for exchanges with the Member States of the European Union, the meaning determined in Annexes I and II to Directive 2011/16/EU, as amended, and, for exchanges with other jurisdictions, the meaning determined in the Common Reporting Standard.</w:t>
            </w:r>
          </w:p>
        </w:tc>
        <w:tc>
          <w:tcPr>
            <w:tcW w:w="1156" w:type="dxa"/>
          </w:tcPr>
          <w:p w14:paraId="7536F9DB" w14:textId="663154E0" w:rsidR="00E94486" w:rsidRPr="004E6A4A" w:rsidRDefault="003D62FF" w:rsidP="00DB7C8F">
            <w:pPr>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F</w:t>
            </w:r>
          </w:p>
        </w:tc>
        <w:tc>
          <w:tcPr>
            <w:tcW w:w="2970" w:type="dxa"/>
          </w:tcPr>
          <w:p w14:paraId="4A145AB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9E9812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72 and Article 21 of the Draft Law.</w:t>
            </w:r>
          </w:p>
        </w:tc>
      </w:tr>
      <w:tr w:rsidR="004E6A4A" w:rsidRPr="004E6A4A" w14:paraId="27111A5A" w14:textId="77777777" w:rsidTr="00E11E6D">
        <w:trPr>
          <w:trHeight w:val="764"/>
        </w:trPr>
        <w:tc>
          <w:tcPr>
            <w:tcW w:w="720" w:type="dxa"/>
          </w:tcPr>
          <w:p w14:paraId="055007A8" w14:textId="77777777" w:rsidR="00DC3028" w:rsidRPr="004E6A4A" w:rsidRDefault="00DC3028" w:rsidP="00D77E79">
            <w:pPr>
              <w:jc w:val="center"/>
              <w:rPr>
                <w:rFonts w:ascii="Times New Roman" w:eastAsia="Calibri" w:hAnsi="Times New Roman" w:cs="Times New Roman"/>
                <w:i/>
                <w:sz w:val="18"/>
                <w:szCs w:val="18"/>
              </w:rPr>
            </w:pPr>
          </w:p>
        </w:tc>
        <w:tc>
          <w:tcPr>
            <w:tcW w:w="4860" w:type="dxa"/>
          </w:tcPr>
          <w:p w14:paraId="5E0C074F" w14:textId="77777777" w:rsidR="00F43B76" w:rsidRPr="004E6A4A" w:rsidRDefault="00144445" w:rsidP="00994708">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1(2)(a) – Article 8, Paragraph 3</w:t>
            </w:r>
          </w:p>
          <w:p w14:paraId="0E815B9C"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Article 8 is amended as follows:</w:t>
            </w:r>
          </w:p>
          <w:p w14:paraId="13A43775"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1DF0376E"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Paragraph 3 is replaced by the following:</w:t>
            </w:r>
          </w:p>
          <w:p w14:paraId="238B4C15"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The competent authority of a Member State may indicate to the competent authority of any other Member State that it does not wish to receive information on one or several of the categories of income and capital referred to in paragraph 1. It shall also inform the Commission thereof.</w:t>
            </w:r>
          </w:p>
          <w:p w14:paraId="31F2824B" w14:textId="77777777" w:rsidR="00F43B76" w:rsidRPr="004E6A4A" w:rsidRDefault="00144445" w:rsidP="00994708">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Member State may be considered as not wishing to receive information in accordance with paragraph 1, if it does not inform the Commission of any single category in respect of which it has information available.’</w:t>
            </w:r>
          </w:p>
        </w:tc>
        <w:tc>
          <w:tcPr>
            <w:tcW w:w="1080" w:type="dxa"/>
          </w:tcPr>
          <w:p w14:paraId="10263748" w14:textId="77777777" w:rsidR="00DC3028" w:rsidRPr="004E6A4A" w:rsidRDefault="00DC3028" w:rsidP="00D77E79">
            <w:pPr>
              <w:jc w:val="center"/>
              <w:rPr>
                <w:rFonts w:ascii="Times New Roman" w:eastAsia="Calibri" w:hAnsi="Times New Roman" w:cs="Times New Roman"/>
                <w:sz w:val="18"/>
                <w:szCs w:val="18"/>
              </w:rPr>
            </w:pPr>
          </w:p>
        </w:tc>
        <w:tc>
          <w:tcPr>
            <w:tcW w:w="900" w:type="dxa"/>
          </w:tcPr>
          <w:p w14:paraId="25238991"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14" w:type="dxa"/>
          </w:tcPr>
          <w:p w14:paraId="3F7D47B8" w14:textId="77777777" w:rsidR="00FA0CFF" w:rsidRPr="004E6A4A" w:rsidRDefault="00144445">
            <w:pPr>
              <w:jc w:val="center"/>
            </w:pPr>
            <w:r w:rsidRPr="004E6A4A">
              <w:rPr>
                <w:rFonts w:ascii="Times New Roman" w:eastAsia="Times New Roman" w:hAnsi="Times New Roman" w:cs="Times New Roman"/>
                <w:sz w:val="20"/>
              </w:rPr>
              <w:t>N/A</w:t>
            </w:r>
          </w:p>
        </w:tc>
        <w:tc>
          <w:tcPr>
            <w:tcW w:w="1156" w:type="dxa"/>
          </w:tcPr>
          <w:p w14:paraId="4B3BC825" w14:textId="77777777" w:rsidR="00DC3028" w:rsidRPr="004E6A4A" w:rsidRDefault="00DC3028" w:rsidP="00D77E79">
            <w:pPr>
              <w:jc w:val="center"/>
              <w:rPr>
                <w:rFonts w:ascii="Times New Roman" w:eastAsia="Calibri" w:hAnsi="Times New Roman" w:cs="Times New Roman"/>
                <w:sz w:val="18"/>
                <w:szCs w:val="18"/>
              </w:rPr>
            </w:pPr>
          </w:p>
          <w:p w14:paraId="33C5595C" w14:textId="0764A00A" w:rsidR="00B5258D" w:rsidRPr="004E6A4A" w:rsidRDefault="00B5258D" w:rsidP="00D77E79">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N/A</w:t>
            </w:r>
          </w:p>
        </w:tc>
        <w:tc>
          <w:tcPr>
            <w:tcW w:w="2970" w:type="dxa"/>
          </w:tcPr>
          <w:p w14:paraId="44353AD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491EC0D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Outside the scope of this Draft Law. The first subparagraph is transposed by Article 12, point 6, of the Draft Law "On administrative cooperation in the field of taxation and the exchange of tax information". The second subparagraph was repealed by Directive (EU) 2021/514 and is therefore not reflected in the national law.</w:t>
            </w:r>
          </w:p>
        </w:tc>
      </w:tr>
      <w:tr w:rsidR="004E6A4A" w:rsidRPr="004E6A4A" w14:paraId="268B3219" w14:textId="77777777" w:rsidTr="00E11E6D">
        <w:trPr>
          <w:trHeight w:val="764"/>
        </w:trPr>
        <w:tc>
          <w:tcPr>
            <w:tcW w:w="720" w:type="dxa"/>
          </w:tcPr>
          <w:p w14:paraId="562CABD6" w14:textId="77777777" w:rsidR="00DC3028" w:rsidRPr="004E6A4A" w:rsidRDefault="00DC3028" w:rsidP="00D77E79">
            <w:pPr>
              <w:jc w:val="center"/>
              <w:rPr>
                <w:rFonts w:ascii="Times New Roman" w:eastAsia="Calibri" w:hAnsi="Times New Roman" w:cs="Times New Roman"/>
                <w:i/>
                <w:sz w:val="18"/>
                <w:szCs w:val="18"/>
              </w:rPr>
            </w:pPr>
          </w:p>
        </w:tc>
        <w:tc>
          <w:tcPr>
            <w:tcW w:w="4860" w:type="dxa"/>
          </w:tcPr>
          <w:p w14:paraId="3BD7D7AF"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627A3288"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paragraph is inserted:</w:t>
            </w:r>
          </w:p>
          <w:p w14:paraId="04F18312"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‘3a.   Each Member State shall take the necessary measures to require its Reporting Financial Institutions to perform the reporting and due diligence rules included in Annexes I and II and to ensure effective implementation of, and </w:t>
            </w:r>
            <w:r w:rsidRPr="004E6A4A">
              <w:rPr>
                <w:rFonts w:ascii="Times New Roman" w:eastAsia="Times New Roman" w:hAnsi="Times New Roman" w:cs="Times New Roman"/>
                <w:sz w:val="20"/>
                <w:szCs w:val="20"/>
              </w:rPr>
              <w:lastRenderedPageBreak/>
              <w:t>compliance with, such rules in accordance with Section IX of Annex I.</w:t>
            </w:r>
          </w:p>
          <w:p w14:paraId="403E0016"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Pursuant to the applicable reporting and due diligence rules contained in Annexes I and II, the competent authority of each Member State shall, by automatic exchange, communicate within the deadline laid down in point (b) of paragraph 6 to the competent authority of any other Member State, the following information regarding taxable periods as from 1 January 2016 concerning a Reportable Account:</w:t>
            </w:r>
          </w:p>
          <w:p w14:paraId="25962ED3"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the name, address, TIN(s) and date and place of birth (in the case of an individual) of each Reportable Person that is an Account Holder of the account and, in the case of any Entity that is an Account Holder and that, after application of due diligence rules consistent with the Annexes, is identified as having one or more Controlling Persons that is a Reportable Person, the name, address, and TIN(s) of the Entity and the name, address, TIN(s) and date and place of birth of each Reportable Person;</w:t>
            </w:r>
          </w:p>
          <w:p w14:paraId="0D8F1E89"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the account number (or functional equivalent in the absence of an account number);</w:t>
            </w:r>
          </w:p>
          <w:p w14:paraId="469324FE"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the name and identifying number (if any) of the Reporting Financial Institution;</w:t>
            </w:r>
          </w:p>
          <w:p w14:paraId="15FEF918"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the account balance or value (including, in the case of a Cash Value Insurance Contract or Annuity Contract, the Cash Value or surrender value) as of the end of the relevant calendar year or other appropriate reporting period or, if the account was closed during such year or period, the closure of the account;</w:t>
            </w:r>
          </w:p>
          <w:p w14:paraId="71A6D8DE"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 in the case of any Custodial Account:</w:t>
            </w:r>
          </w:p>
          <w:p w14:paraId="28DAC3F8" w14:textId="77777777" w:rsidR="00F43B76" w:rsidRPr="004E6A4A" w:rsidRDefault="00F43B76" w:rsidP="00B71E13">
            <w:pPr>
              <w:jc w:val="both"/>
              <w:rPr>
                <w:rFonts w:ascii="Times New Roman" w:eastAsia="Times New Roman" w:hAnsi="Times New Roman" w:cs="Times New Roman"/>
                <w:sz w:val="20"/>
                <w:szCs w:val="20"/>
              </w:rPr>
            </w:pPr>
          </w:p>
          <w:p w14:paraId="6B9CDCBB"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 the total gross amount of interest, the total gross amount of dividends, and the total gross amount of other income generated with respect to the assets held in the account, in each case paid or credited to the account (or with respect to the account) during the calendar year or other appropriate reporting period; and</w:t>
            </w:r>
          </w:p>
          <w:p w14:paraId="7BCCD164"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(ii) the total gross proceeds from the sale or redemption of Financial Assets paid or credited to the account during the calendar year or other appropriate reporting period with respect to which the Reporting Financial Institution acted as a custodian, broker, nominee, or otherwise as an agent for the Account Holder;</w:t>
            </w:r>
          </w:p>
          <w:p w14:paraId="7B89D30C"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 in the case of any Depository Account, the total gross amount of interest paid or credited to the account during the calendar year or other appropriate reporting period; and</w:t>
            </w:r>
          </w:p>
          <w:p w14:paraId="71727EF3" w14:textId="77777777" w:rsidR="00F43B76" w:rsidRPr="004E6A4A" w:rsidRDefault="00F43B76" w:rsidP="00B71E13">
            <w:pPr>
              <w:jc w:val="both"/>
              <w:rPr>
                <w:rFonts w:ascii="Times New Roman" w:eastAsia="Times New Roman" w:hAnsi="Times New Roman" w:cs="Times New Roman"/>
                <w:sz w:val="20"/>
                <w:szCs w:val="20"/>
              </w:rPr>
            </w:pPr>
          </w:p>
          <w:p w14:paraId="507D1967"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 in the case of any account not described in point (e) or point (f), the total gross amount paid or credited to the Account Holder with respect to the account during the calendar year or other appropriate reporting period with respect to which the Reporting Financial Institution is the obligor or debtor, including the aggregate amount of any redemption payments made to the Account Holder during the calendar year or other appropriate reporting period.</w:t>
            </w:r>
          </w:p>
          <w:p w14:paraId="6A445843"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For the purposes of the exchange of information under this paragraph, unless otherwise foreseen in this paragraph or in the Annexes, the amount and characterisation of payments made with respect to a Reportable Account shall be determined in accordance with national legislation of the Member State which communicates the information.</w:t>
            </w:r>
          </w:p>
          <w:p w14:paraId="5AFAE5FE" w14:textId="77777777" w:rsidR="00F43B76" w:rsidRPr="004E6A4A" w:rsidRDefault="00144445" w:rsidP="00B71E13">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first and second subparagraphs of this paragraph shall prevail over point (c) of paragraph 1 or any other Union legal instrument, including Council Directive 2003/48/EC (*1), to the extent that the exchange of information at issue would fall within the scope of point (c) of paragraph 1 or of any other Union legal instrument, including Directive 2003/48/EC.</w:t>
            </w:r>
          </w:p>
        </w:tc>
        <w:tc>
          <w:tcPr>
            <w:tcW w:w="1080" w:type="dxa"/>
          </w:tcPr>
          <w:p w14:paraId="5EE9B951" w14:textId="77777777" w:rsidR="00DC3028" w:rsidRPr="004E6A4A" w:rsidRDefault="00DC3028" w:rsidP="00D77E79">
            <w:pPr>
              <w:jc w:val="center"/>
              <w:rPr>
                <w:rFonts w:ascii="Times New Roman" w:eastAsia="Calibri" w:hAnsi="Times New Roman" w:cs="Times New Roman"/>
                <w:sz w:val="18"/>
                <w:szCs w:val="18"/>
              </w:rPr>
            </w:pPr>
          </w:p>
        </w:tc>
        <w:tc>
          <w:tcPr>
            <w:tcW w:w="900" w:type="dxa"/>
          </w:tcPr>
          <w:p w14:paraId="4777309E"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14" w:type="dxa"/>
          </w:tcPr>
          <w:p w14:paraId="66563170" w14:textId="77777777" w:rsidR="00FA0CFF" w:rsidRPr="004E6A4A" w:rsidRDefault="00144445">
            <w:pPr>
              <w:jc w:val="center"/>
            </w:pPr>
            <w:r w:rsidRPr="004E6A4A">
              <w:rPr>
                <w:rFonts w:ascii="Times New Roman" w:eastAsia="Times New Roman" w:hAnsi="Times New Roman" w:cs="Times New Roman"/>
                <w:b/>
                <w:sz w:val="20"/>
              </w:rPr>
              <w:t>Draft Law: Article 6</w:t>
            </w:r>
          </w:p>
          <w:p w14:paraId="13B392AC" w14:textId="77777777" w:rsidR="00FA0CFF" w:rsidRPr="004E6A4A" w:rsidRDefault="00144445">
            <w:pPr>
              <w:jc w:val="center"/>
            </w:pPr>
            <w:r w:rsidRPr="004E6A4A">
              <w:rPr>
                <w:rFonts w:ascii="Times New Roman" w:eastAsia="Times New Roman" w:hAnsi="Times New Roman" w:cs="Times New Roman"/>
                <w:b/>
                <w:sz w:val="20"/>
              </w:rPr>
              <w:t>Reporting to the Competent Authority</w:t>
            </w:r>
          </w:p>
          <w:p w14:paraId="6B0E830F" w14:textId="77777777" w:rsidR="00FA0CFF" w:rsidRPr="004E6A4A" w:rsidRDefault="00144445">
            <w:pPr>
              <w:jc w:val="both"/>
            </w:pPr>
            <w:r w:rsidRPr="004E6A4A">
              <w:rPr>
                <w:rFonts w:ascii="Times New Roman" w:eastAsia="Times New Roman" w:hAnsi="Times New Roman" w:cs="Times New Roman"/>
                <w:sz w:val="20"/>
              </w:rPr>
              <w:t xml:space="preserve">1. Every reporting financial institution in the Republic of Albania shall report to the Competent Authority, for each calendar year or other appropriate reporting period, the information required for each reportable account, in accordance with this Law and the sub-legal </w:t>
            </w:r>
            <w:r w:rsidRPr="004E6A4A">
              <w:rPr>
                <w:rFonts w:ascii="Times New Roman" w:eastAsia="Times New Roman" w:hAnsi="Times New Roman" w:cs="Times New Roman"/>
                <w:sz w:val="20"/>
              </w:rPr>
              <w:lastRenderedPageBreak/>
              <w:t>acts issued in implementation thereof, no later than 30 May of the year following the end of the reporting period. The information reported shall include the elements determined in this Law, as well as the other elements determined in the sub-legal acts issued in implementation thereof.</w:t>
            </w:r>
          </w:p>
          <w:p w14:paraId="26C6C798" w14:textId="77777777" w:rsidR="00FA0CFF" w:rsidRPr="004E6A4A" w:rsidRDefault="00FA0CFF"/>
          <w:p w14:paraId="32E3D07C" w14:textId="77777777" w:rsidR="00FA0CFF" w:rsidRPr="004E6A4A" w:rsidRDefault="00144445">
            <w:pPr>
              <w:jc w:val="center"/>
            </w:pPr>
            <w:r w:rsidRPr="004E6A4A">
              <w:rPr>
                <w:rFonts w:ascii="Times New Roman" w:eastAsia="Times New Roman" w:hAnsi="Times New Roman" w:cs="Times New Roman"/>
                <w:b/>
                <w:sz w:val="20"/>
              </w:rPr>
              <w:t>Draft Law: Article 7</w:t>
            </w:r>
          </w:p>
          <w:p w14:paraId="68C1FCB6" w14:textId="77777777" w:rsidR="00FA0CFF" w:rsidRPr="004E6A4A" w:rsidRDefault="00144445">
            <w:pPr>
              <w:jc w:val="center"/>
            </w:pPr>
            <w:r w:rsidRPr="004E6A4A">
              <w:rPr>
                <w:rFonts w:ascii="Times New Roman" w:eastAsia="Times New Roman" w:hAnsi="Times New Roman" w:cs="Times New Roman"/>
                <w:b/>
                <w:sz w:val="20"/>
              </w:rPr>
              <w:t>Due diligence</w:t>
            </w:r>
          </w:p>
          <w:p w14:paraId="7508BFE2" w14:textId="77777777" w:rsidR="00FA0CFF" w:rsidRPr="004E6A4A" w:rsidRDefault="00144445">
            <w:pPr>
              <w:jc w:val="both"/>
            </w:pPr>
            <w:r w:rsidRPr="004E6A4A">
              <w:rPr>
                <w:rFonts w:ascii="Times New Roman" w:eastAsia="Times New Roman" w:hAnsi="Times New Roman" w:cs="Times New Roman"/>
                <w:sz w:val="20"/>
              </w:rPr>
              <w:t>1. Reporting financial institutions shall apply the due diligence procedures for the identification of Reportable Accounts and of Reportable Persons, in accordance with this Law.</w:t>
            </w:r>
          </w:p>
          <w:p w14:paraId="6BB64546" w14:textId="77777777" w:rsidR="00FA0CFF" w:rsidRPr="004E6A4A" w:rsidRDefault="00FA0CFF"/>
          <w:p w14:paraId="4A8C7827" w14:textId="77777777" w:rsidR="00FA0CFF" w:rsidRPr="004E6A4A" w:rsidRDefault="00144445">
            <w:pPr>
              <w:jc w:val="center"/>
            </w:pPr>
            <w:r w:rsidRPr="004E6A4A">
              <w:rPr>
                <w:rFonts w:ascii="Times New Roman" w:eastAsia="Times New Roman" w:hAnsi="Times New Roman" w:cs="Times New Roman"/>
                <w:b/>
                <w:sz w:val="20"/>
              </w:rPr>
              <w:t>DCM: Article 4</w:t>
            </w:r>
          </w:p>
          <w:p w14:paraId="09EA5566"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7DDAECBD" w14:textId="77777777" w:rsidR="00FA0CFF" w:rsidRPr="004E6A4A" w:rsidRDefault="00144445">
            <w:pPr>
              <w:jc w:val="both"/>
            </w:pPr>
            <w:r w:rsidRPr="004E6A4A">
              <w:rPr>
                <w:rFonts w:ascii="Times New Roman" w:eastAsia="Times New Roman" w:hAnsi="Times New Roman" w:cs="Times New Roman"/>
                <w:sz w:val="20"/>
              </w:rPr>
              <w:t xml:space="preserve">1. Every reporting financial institution shall report to the GDT, for each Reportable Account: a) the name, the address, the jurisdiction or jurisdictions of residence, the TIN or TINs, the date and place of birth, in the case of an individual, of each Reportable Person who is an Account Holder, as well as the fact whether a valid self-certification has been provided; b) for an entity which is an Account Holder and which, after the application of the due diligence procedures, is identified as having one or more Controlling Persons who are Reportable Persons, the name, the address, the jurisdiction or jurisdictions of residence and the TIN or TINs of the entity, as well as the name, the address, the jurisdiction or jurisdictions of residence, the TIN or TINs, the date and place of birth of each Reportable Person, the role or roles by virtue of which he or she is a Controlling Person and the fact whether a valid self-certification has been provided for each of them; c) the fact whether the account is a joint account and the number of Account Holders; ç) the account number or the functional equivalent, the type of </w:t>
            </w:r>
            <w:r w:rsidRPr="004E6A4A">
              <w:rPr>
                <w:rFonts w:ascii="Times New Roman" w:eastAsia="Times New Roman" w:hAnsi="Times New Roman" w:cs="Times New Roman"/>
                <w:sz w:val="20"/>
              </w:rPr>
              <w:lastRenderedPageBreak/>
              <w:t>account and the fact whether it is a Pre-existing Account or a New Account under the relevant profile; d) the name and the identification number, where available, of the reporting financial institution; dh) the balance or value of the account at the end of the calendar year or of the other relevant reporting period, or the fact of the closure of the account during that period; e) for a Custodial Account, the total gross amounts of interest, dividends and other income from the assets, as well as the total gross proceeds from the sale or redemption of financial assets, where the institution acted as custodian, broker, nominee or agent; ë) for a Depository Account, the total gross amount of interest; f) for each Equity Interest in an investment entity which is a legal arrangement, the role or roles by virtue of which the Reportable Person is a holder of the Equity Interest; and g) for any other account, the total gross amount paid or credited to the Account Holder, including redemption payments.</w:t>
            </w:r>
          </w:p>
          <w:p w14:paraId="52B901D3" w14:textId="77777777" w:rsidR="00FA0CFF" w:rsidRPr="004E6A4A" w:rsidRDefault="00FA0CFF"/>
          <w:p w14:paraId="67EF2CE6" w14:textId="78C6AA05" w:rsidR="00FA0CFF" w:rsidRPr="004E6A4A" w:rsidRDefault="00FA0CFF">
            <w:pPr>
              <w:jc w:val="both"/>
            </w:pPr>
          </w:p>
        </w:tc>
        <w:tc>
          <w:tcPr>
            <w:tcW w:w="1156" w:type="dxa"/>
          </w:tcPr>
          <w:p w14:paraId="4D361EAB" w14:textId="0D91F1EA" w:rsidR="00DC3028" w:rsidRPr="004E6A4A" w:rsidRDefault="003D62FF" w:rsidP="00D77E79">
            <w:pPr>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F</w:t>
            </w:r>
          </w:p>
        </w:tc>
        <w:tc>
          <w:tcPr>
            <w:tcW w:w="2970" w:type="dxa"/>
          </w:tcPr>
          <w:p w14:paraId="5D9A60C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6806BD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Point (b) is transposed by Article 6, point 1, Article 7, point 1, Article 16, point 1, letter a), and Article 25, point 2, of the Draft Law, and by Article 4, point 1, Article 5, point 1, and Article 12, </w:t>
            </w:r>
            <w:r w:rsidRPr="004E6A4A">
              <w:rPr>
                <w:rFonts w:ascii="Times New Roman" w:eastAsia="Times New Roman" w:hAnsi="Times New Roman" w:cs="Times New Roman"/>
                <w:sz w:val="20"/>
                <w:szCs w:val="20"/>
              </w:rPr>
              <w:lastRenderedPageBreak/>
              <w:t>point 4, of the Decision. Those provisions reflect the wording of Article 8(3a) of Directive 2011/16/EU as currently in force, as amended by Directive 2025/872, and therefore also cover the elements referred to in points (h) to (k) thereof,</w:t>
            </w:r>
          </w:p>
        </w:tc>
      </w:tr>
      <w:tr w:rsidR="004E6A4A" w:rsidRPr="004E6A4A" w14:paraId="38C642C2" w14:textId="77777777" w:rsidTr="00E11E6D">
        <w:trPr>
          <w:trHeight w:val="764"/>
        </w:trPr>
        <w:tc>
          <w:tcPr>
            <w:tcW w:w="720" w:type="dxa"/>
          </w:tcPr>
          <w:p w14:paraId="07B703DC" w14:textId="77777777" w:rsidR="00FA0CFF" w:rsidRPr="004E6A4A" w:rsidRDefault="00FA0CFF"/>
        </w:tc>
        <w:tc>
          <w:tcPr>
            <w:tcW w:w="4860" w:type="dxa"/>
          </w:tcPr>
          <w:p w14:paraId="131BCB18" w14:textId="77777777" w:rsidR="00F43B76" w:rsidRPr="004E6A4A" w:rsidRDefault="00144445" w:rsidP="00ED3C6B">
            <w:pPr>
              <w:jc w:val="both"/>
              <w:rPr>
                <w:rFonts w:ascii="Times New Roman" w:eastAsia="Times New Roman" w:hAnsi="Times New Roman" w:cs="Times New Roman"/>
              </w:rPr>
            </w:pPr>
            <w:r w:rsidRPr="004E6A4A">
              <w:rPr>
                <w:rFonts w:ascii="Times New Roman" w:eastAsia="Times New Roman" w:hAnsi="Times New Roman" w:cs="Times New Roman"/>
              </w:rPr>
              <w:tab/>
            </w:r>
          </w:p>
          <w:p w14:paraId="2C4B05BA"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paragraph 5 is replaced by the following:</w:t>
            </w:r>
          </w:p>
          <w:p w14:paraId="55277847"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‘5.   Before 1 July 2017, the Commission shall submit a report that provides an overview and an assessment of the statistics and information received, on issues such as the administrative and other relevant costs and benefits of the </w:t>
            </w:r>
            <w:r w:rsidRPr="004E6A4A">
              <w:rPr>
                <w:rFonts w:ascii="Times New Roman" w:eastAsia="Times New Roman" w:hAnsi="Times New Roman" w:cs="Times New Roman"/>
                <w:sz w:val="20"/>
                <w:szCs w:val="20"/>
              </w:rPr>
              <w:lastRenderedPageBreak/>
              <w:t>automatic exchange of information, as well as practical aspects linked thereto. If appropriate, the Commission shall present a proposal to the Council regarding the categories and the conditions laid down in paragraph 1, including the condition that information concerning residents in other Member States has to be available, or the items referred to in paragraph 3a, or both.</w:t>
            </w:r>
          </w:p>
          <w:p w14:paraId="663E0F1C"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When examining a proposal presented by the Commission, the Council shall assess further strengthening of the efficiency and functioning of the automatic exchange of information and raising the standard thereof, with the aim of providing that:</w:t>
            </w:r>
          </w:p>
          <w:p w14:paraId="75D6A4C6"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467C2695"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competent authority of each Member State shall, by automatic exchange, communicate to the competent authority of any other Member State, information regarding taxable periods as from 1 January 2017 concerning residents in that other Member State, on all categories of income and capital listed in paragraph 1, as they are to be understood under the national legislation of the Member State communicating the information; and</w:t>
            </w:r>
          </w:p>
          <w:p w14:paraId="23E0F647" w14:textId="77777777" w:rsidR="00F43B76" w:rsidRPr="004E6A4A" w:rsidRDefault="00144445" w:rsidP="00ED3C6B">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0854B499" w14:textId="77777777" w:rsidR="00F43B76" w:rsidRPr="004E6A4A" w:rsidRDefault="00144445" w:rsidP="00ED3C6B">
            <w:pPr>
              <w:jc w:val="both"/>
              <w:rPr>
                <w:rFonts w:ascii="Times New Roman" w:eastAsia="Times New Roman" w:hAnsi="Times New Roman" w:cs="Times New Roman"/>
              </w:rPr>
            </w:pPr>
            <w:r w:rsidRPr="004E6A4A">
              <w:rPr>
                <w:rFonts w:ascii="Times New Roman" w:eastAsia="Times New Roman" w:hAnsi="Times New Roman" w:cs="Times New Roman"/>
                <w:sz w:val="20"/>
                <w:szCs w:val="20"/>
              </w:rPr>
              <w:t>the lists of categories and items laid down in paragraphs 1 and 3a be extended to include other categories and items, including royalties.’</w:t>
            </w:r>
          </w:p>
        </w:tc>
        <w:tc>
          <w:tcPr>
            <w:tcW w:w="1080" w:type="dxa"/>
          </w:tcPr>
          <w:p w14:paraId="34A10AE7" w14:textId="77777777" w:rsidR="00FA0CFF" w:rsidRPr="004E6A4A" w:rsidRDefault="00FA0CFF"/>
        </w:tc>
        <w:tc>
          <w:tcPr>
            <w:tcW w:w="900" w:type="dxa"/>
          </w:tcPr>
          <w:p w14:paraId="212C1809" w14:textId="77777777" w:rsidR="00FA0CFF" w:rsidRPr="004E6A4A" w:rsidRDefault="00FA0CFF"/>
        </w:tc>
        <w:tc>
          <w:tcPr>
            <w:tcW w:w="4514" w:type="dxa"/>
          </w:tcPr>
          <w:p w14:paraId="33A2DC20" w14:textId="77777777" w:rsidR="00FA0CFF" w:rsidRPr="004E6A4A" w:rsidRDefault="00144445">
            <w:pPr>
              <w:jc w:val="center"/>
            </w:pPr>
            <w:r w:rsidRPr="004E6A4A">
              <w:rPr>
                <w:rFonts w:ascii="Times New Roman" w:eastAsia="Times New Roman" w:hAnsi="Times New Roman" w:cs="Times New Roman"/>
                <w:sz w:val="20"/>
              </w:rPr>
              <w:t>N/A</w:t>
            </w:r>
          </w:p>
        </w:tc>
        <w:tc>
          <w:tcPr>
            <w:tcW w:w="1156" w:type="dxa"/>
          </w:tcPr>
          <w:p w14:paraId="09E37CB6" w14:textId="77777777" w:rsidR="00FA0CFF" w:rsidRPr="004E6A4A" w:rsidRDefault="00144445">
            <w:pPr>
              <w:jc w:val="center"/>
            </w:pPr>
            <w:r w:rsidRPr="004E6A4A">
              <w:rPr>
                <w:rFonts w:ascii="Times New Roman" w:eastAsia="Times New Roman" w:hAnsi="Times New Roman" w:cs="Times New Roman"/>
                <w:sz w:val="20"/>
              </w:rPr>
              <w:t>N/A</w:t>
            </w:r>
          </w:p>
        </w:tc>
        <w:tc>
          <w:tcPr>
            <w:tcW w:w="2970" w:type="dxa"/>
          </w:tcPr>
          <w:p w14:paraId="773417B9" w14:textId="77777777" w:rsidR="00F43B76" w:rsidRPr="004E6A4A" w:rsidRDefault="00144445" w:rsidP="001B30C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Does not require transposition.</w:t>
            </w:r>
          </w:p>
          <w:p w14:paraId="247F0A99" w14:textId="77777777" w:rsidR="00F43B76" w:rsidRPr="004E6A4A" w:rsidRDefault="00144445" w:rsidP="001B30C4">
            <w:pPr>
              <w:jc w:val="both"/>
              <w:rPr>
                <w:rFonts w:ascii="Times New Roman" w:eastAsia="Times New Roman" w:hAnsi="Times New Roman" w:cs="Times New Roman"/>
              </w:rPr>
            </w:pPr>
            <w:r w:rsidRPr="004E6A4A">
              <w:rPr>
                <w:rFonts w:ascii="Times New Roman" w:eastAsia="Times New Roman" w:hAnsi="Times New Roman" w:cs="Times New Roman"/>
                <w:sz w:val="20"/>
                <w:szCs w:val="20"/>
              </w:rPr>
              <w:t xml:space="preserve">The provision lays down reporting and evaluation obligations of the European Commission and the conditions under which the </w:t>
            </w:r>
            <w:r w:rsidRPr="004E6A4A">
              <w:rPr>
                <w:rFonts w:ascii="Times New Roman" w:eastAsia="Times New Roman" w:hAnsi="Times New Roman" w:cs="Times New Roman"/>
                <w:sz w:val="20"/>
                <w:szCs w:val="20"/>
              </w:rPr>
              <w:lastRenderedPageBreak/>
              <w:t>Council examines a proposal submitted by it.</w:t>
            </w:r>
          </w:p>
        </w:tc>
      </w:tr>
      <w:tr w:rsidR="004E6A4A" w:rsidRPr="004E6A4A" w14:paraId="37228938" w14:textId="77777777" w:rsidTr="00E11E6D">
        <w:trPr>
          <w:trHeight w:val="764"/>
        </w:trPr>
        <w:tc>
          <w:tcPr>
            <w:tcW w:w="720" w:type="dxa"/>
          </w:tcPr>
          <w:p w14:paraId="450DAE04" w14:textId="77777777" w:rsidR="00DC3028" w:rsidRPr="004E6A4A" w:rsidRDefault="00DC3028" w:rsidP="00D77E79">
            <w:pPr>
              <w:jc w:val="center"/>
              <w:rPr>
                <w:rFonts w:ascii="Times New Roman" w:eastAsia="Calibri" w:hAnsi="Times New Roman" w:cs="Times New Roman"/>
                <w:i/>
                <w:sz w:val="18"/>
                <w:szCs w:val="18"/>
              </w:rPr>
            </w:pPr>
          </w:p>
        </w:tc>
        <w:tc>
          <w:tcPr>
            <w:tcW w:w="4860" w:type="dxa"/>
          </w:tcPr>
          <w:p w14:paraId="28FBE8A4" w14:textId="77777777" w:rsidR="00F43B76"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paragraph 6 is replaced by the following:</w:t>
            </w:r>
          </w:p>
          <w:p w14:paraId="63189F16" w14:textId="77777777" w:rsidR="00F43B76"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   The communication of information shall take place as follows:</w:t>
            </w:r>
          </w:p>
          <w:p w14:paraId="429C0215" w14:textId="77777777" w:rsidR="00F43B76"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for the categories laid down in paragraph 1: at least once a year, within six months following the end of the tax year of the Member State during which the information became available;</w:t>
            </w:r>
          </w:p>
          <w:p w14:paraId="7608B977" w14:textId="77777777" w:rsidR="00F43B76" w:rsidRPr="004E6A4A" w:rsidRDefault="00144445" w:rsidP="00ED3C6B">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for the information laid down in paragraph 3a: annually, within nine months following the end of the calendar year or other appropriate reporting period to which the information relates.’</w:t>
            </w:r>
          </w:p>
        </w:tc>
        <w:tc>
          <w:tcPr>
            <w:tcW w:w="1080" w:type="dxa"/>
          </w:tcPr>
          <w:p w14:paraId="11E16CAE" w14:textId="77777777" w:rsidR="00DC3028" w:rsidRPr="004E6A4A" w:rsidRDefault="00DC3028" w:rsidP="00D77E79">
            <w:pPr>
              <w:jc w:val="center"/>
              <w:rPr>
                <w:rFonts w:ascii="Times New Roman" w:eastAsia="Calibri" w:hAnsi="Times New Roman" w:cs="Times New Roman"/>
                <w:sz w:val="18"/>
                <w:szCs w:val="18"/>
              </w:rPr>
            </w:pPr>
          </w:p>
        </w:tc>
        <w:tc>
          <w:tcPr>
            <w:tcW w:w="900" w:type="dxa"/>
          </w:tcPr>
          <w:p w14:paraId="101301A4" w14:textId="77777777" w:rsidR="00DC3028" w:rsidRPr="004E6A4A" w:rsidRDefault="00DC3028" w:rsidP="00D77E79">
            <w:pPr>
              <w:jc w:val="center"/>
              <w:rPr>
                <w:rFonts w:ascii="Times New Roman" w:eastAsia="Times New Roman" w:hAnsi="Times New Roman" w:cs="Times New Roman"/>
                <w:sz w:val="20"/>
                <w:szCs w:val="21"/>
                <w:lang w:eastAsia="sq-AL"/>
              </w:rPr>
            </w:pPr>
          </w:p>
        </w:tc>
        <w:tc>
          <w:tcPr>
            <w:tcW w:w="4514" w:type="dxa"/>
          </w:tcPr>
          <w:p w14:paraId="47C00244" w14:textId="77777777" w:rsidR="00FA0CFF" w:rsidRPr="004E6A4A" w:rsidRDefault="00144445">
            <w:pPr>
              <w:jc w:val="center"/>
            </w:pPr>
            <w:r w:rsidRPr="004E6A4A">
              <w:rPr>
                <w:rFonts w:ascii="Times New Roman" w:eastAsia="Times New Roman" w:hAnsi="Times New Roman" w:cs="Times New Roman"/>
                <w:b/>
                <w:sz w:val="20"/>
              </w:rPr>
              <w:t>Draft Law: Article 16</w:t>
            </w:r>
          </w:p>
          <w:p w14:paraId="2C23C43E" w14:textId="77777777" w:rsidR="00FA0CFF" w:rsidRPr="004E6A4A" w:rsidRDefault="00144445">
            <w:pPr>
              <w:jc w:val="center"/>
            </w:pPr>
            <w:r w:rsidRPr="004E6A4A">
              <w:rPr>
                <w:rFonts w:ascii="Times New Roman" w:eastAsia="Times New Roman" w:hAnsi="Times New Roman" w:cs="Times New Roman"/>
                <w:b/>
                <w:sz w:val="20"/>
              </w:rPr>
              <w:t>Exchange of information on reportable accounts</w:t>
            </w:r>
          </w:p>
          <w:p w14:paraId="732C5AAF" w14:textId="77777777" w:rsidR="00FA0CFF" w:rsidRPr="004E6A4A" w:rsidRDefault="00144445">
            <w:pPr>
              <w:jc w:val="both"/>
            </w:pPr>
            <w:r w:rsidRPr="004E6A4A">
              <w:rPr>
                <w:rFonts w:ascii="Times New Roman" w:eastAsia="Times New Roman" w:hAnsi="Times New Roman" w:cs="Times New Roman"/>
                <w:sz w:val="20"/>
              </w:rPr>
              <w:t>1. The Competent Authority shall automatically exchange:</w:t>
            </w:r>
          </w:p>
          <w:p w14:paraId="079FD574" w14:textId="77777777" w:rsidR="00FA0CFF" w:rsidRPr="004E6A4A" w:rsidRDefault="00144445">
            <w:pPr>
              <w:jc w:val="both"/>
            </w:pPr>
            <w:r w:rsidRPr="004E6A4A">
              <w:rPr>
                <w:rFonts w:ascii="Times New Roman" w:eastAsia="Times New Roman" w:hAnsi="Times New Roman" w:cs="Times New Roman"/>
                <w:sz w:val="20"/>
              </w:rPr>
              <w:t xml:space="preserve">a) with the competent authorities of the Member States of the European Union, the information determined in Article 6 of this Law, within nine months after the end of the calendar year or of the other relevant reporting period and, for a calendar year, no later than 30 September of the following year, through the CCN network and using the standard </w:t>
            </w:r>
            <w:r w:rsidRPr="004E6A4A">
              <w:rPr>
                <w:rFonts w:ascii="Times New Roman" w:eastAsia="Times New Roman" w:hAnsi="Times New Roman" w:cs="Times New Roman"/>
                <w:sz w:val="20"/>
              </w:rPr>
              <w:lastRenderedPageBreak/>
              <w:t>computerised format determined in the relevant acts of the European Union;</w:t>
            </w:r>
          </w:p>
          <w:p w14:paraId="19CC6995" w14:textId="77777777" w:rsidR="00FA0CFF" w:rsidRPr="004E6A4A" w:rsidRDefault="00144445">
            <w:pPr>
              <w:jc w:val="both"/>
            </w:pPr>
            <w:r w:rsidRPr="004E6A4A">
              <w:rPr>
                <w:rFonts w:ascii="Times New Roman" w:eastAsia="Times New Roman" w:hAnsi="Times New Roman" w:cs="Times New Roman"/>
                <w:sz w:val="20"/>
              </w:rPr>
              <w:t>b) with the competent authorities of other jurisdictions, the information reportable under this Law, in accordance with the time limits, the channel, the format and the conditions determined in the relevant international agreements and in the Common Reporting Standard.</w:t>
            </w:r>
          </w:p>
          <w:p w14:paraId="51FB3392" w14:textId="77777777" w:rsidR="00FA0CFF" w:rsidRPr="004E6A4A" w:rsidRDefault="00144445">
            <w:pPr>
              <w:jc w:val="both"/>
            </w:pPr>
            <w:r w:rsidRPr="004E6A4A">
              <w:rPr>
                <w:rFonts w:ascii="Times New Roman" w:eastAsia="Times New Roman" w:hAnsi="Times New Roman" w:cs="Times New Roman"/>
                <w:sz w:val="20"/>
              </w:rPr>
              <w:t>2. Where a reporting financial institution is subject to reporting obligations under Directive 2011/16/EU and under the Common Reporting Standard, it may fulfil those obligations through a single submission to the Competent Authority, provided that the information submitted contains all the elements required under both regimes. This rule shall not limit the obligation of the Competent Authority to process and exchange the information through any applicable channel and with any competent authority entitled to receive it under the relevant legal instrument.</w:t>
            </w:r>
          </w:p>
          <w:p w14:paraId="2CF65BF4" w14:textId="77777777" w:rsidR="00FA0CFF" w:rsidRPr="004E6A4A" w:rsidRDefault="00FA0CFF"/>
          <w:p w14:paraId="02327969" w14:textId="77777777" w:rsidR="00FA0CFF" w:rsidRPr="004E6A4A" w:rsidRDefault="00144445">
            <w:pPr>
              <w:jc w:val="center"/>
            </w:pPr>
            <w:r w:rsidRPr="004E6A4A">
              <w:rPr>
                <w:rFonts w:ascii="Times New Roman" w:eastAsia="Times New Roman" w:hAnsi="Times New Roman" w:cs="Times New Roman"/>
                <w:b/>
                <w:sz w:val="20"/>
              </w:rPr>
              <w:t>DCM: Article 12</w:t>
            </w:r>
          </w:p>
          <w:p w14:paraId="6568557C" w14:textId="77777777" w:rsidR="00FA0CFF" w:rsidRPr="004E6A4A" w:rsidRDefault="00144445">
            <w:pPr>
              <w:jc w:val="center"/>
            </w:pPr>
            <w:r w:rsidRPr="004E6A4A">
              <w:rPr>
                <w:rFonts w:ascii="Times New Roman" w:eastAsia="Times New Roman" w:hAnsi="Times New Roman" w:cs="Times New Roman"/>
                <w:b/>
                <w:sz w:val="20"/>
              </w:rPr>
              <w:t>Exchange of information on reportable accounts</w:t>
            </w:r>
          </w:p>
          <w:p w14:paraId="6EA4538F" w14:textId="77777777" w:rsidR="00FA0CFF" w:rsidRPr="004E6A4A" w:rsidRDefault="00144445">
            <w:pPr>
              <w:jc w:val="both"/>
            </w:pPr>
            <w:r w:rsidRPr="004E6A4A">
              <w:rPr>
                <w:rFonts w:ascii="Times New Roman" w:eastAsia="Times New Roman" w:hAnsi="Times New Roman" w:cs="Times New Roman"/>
                <w:sz w:val="20"/>
              </w:rPr>
              <w:t>1. Every reporting financial institution in the Republic of Albania shall submit to the GDT the information determined in Article 4 electronically, in accordance with the structure, the validation rules and the transmission methods determined in Annex IV.</w:t>
            </w:r>
          </w:p>
          <w:p w14:paraId="312679CE" w14:textId="77777777" w:rsidR="00FA0CFF" w:rsidRPr="004E6A4A" w:rsidRDefault="00144445">
            <w:pPr>
              <w:jc w:val="both"/>
            </w:pPr>
            <w:r w:rsidRPr="004E6A4A">
              <w:rPr>
                <w:rFonts w:ascii="Times New Roman" w:eastAsia="Times New Roman" w:hAnsi="Times New Roman" w:cs="Times New Roman"/>
                <w:sz w:val="20"/>
              </w:rPr>
              <w:t>2. Where the same information is required for the European Union profile and for the Common Reporting Standard profile, the reporting financial institution shall submit the information to the GDT only once, without prejudice to the separate processing, validation, transformation and transmission by the GDT under the relevant legal basis.</w:t>
            </w:r>
          </w:p>
          <w:p w14:paraId="2C1B9A32" w14:textId="77777777" w:rsidR="00FA0CFF" w:rsidRPr="004E6A4A" w:rsidRDefault="00144445">
            <w:pPr>
              <w:jc w:val="both"/>
            </w:pPr>
            <w:r w:rsidRPr="004E6A4A">
              <w:rPr>
                <w:rFonts w:ascii="Times New Roman" w:eastAsia="Times New Roman" w:hAnsi="Times New Roman" w:cs="Times New Roman"/>
                <w:sz w:val="20"/>
              </w:rPr>
              <w:t xml:space="preserve">4. The information under point 3 shall be exchanged every year, as soon as it is available and, in any event, </w:t>
            </w:r>
            <w:r w:rsidRPr="004E6A4A">
              <w:rPr>
                <w:rFonts w:ascii="Times New Roman" w:eastAsia="Times New Roman" w:hAnsi="Times New Roman" w:cs="Times New Roman"/>
                <w:sz w:val="20"/>
              </w:rPr>
              <w:lastRenderedPageBreak/>
              <w:t>no later than nine months after the end of the calendar year or of the other relevant reporting period.</w:t>
            </w:r>
          </w:p>
          <w:p w14:paraId="39F73925" w14:textId="77777777" w:rsidR="00FA0CFF" w:rsidRPr="004E6A4A" w:rsidRDefault="00FA0CFF"/>
          <w:p w14:paraId="5C581722" w14:textId="55B1DC5B" w:rsidR="00FA0CFF" w:rsidRPr="004E6A4A" w:rsidRDefault="00FA0CFF">
            <w:pPr>
              <w:jc w:val="both"/>
            </w:pPr>
          </w:p>
        </w:tc>
        <w:tc>
          <w:tcPr>
            <w:tcW w:w="1156" w:type="dxa"/>
          </w:tcPr>
          <w:p w14:paraId="536C964C" w14:textId="77777777" w:rsidR="00945058" w:rsidRPr="004E6A4A" w:rsidRDefault="00945058" w:rsidP="00D77E79">
            <w:pPr>
              <w:jc w:val="center"/>
              <w:rPr>
                <w:rFonts w:ascii="Times New Roman" w:eastAsia="Calibri" w:hAnsi="Times New Roman" w:cs="Times New Roman"/>
                <w:sz w:val="18"/>
                <w:szCs w:val="18"/>
              </w:rPr>
            </w:pPr>
          </w:p>
          <w:p w14:paraId="6733CE97" w14:textId="269F96E5" w:rsidR="00DC3028" w:rsidRPr="004E6A4A" w:rsidRDefault="00945058" w:rsidP="00D77E79">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A7C534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4E92F7FF" w14:textId="0E95D374"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16, of the Draft Law and by Article 12, points 1, 2 and 4 of the Decision.</w:t>
            </w:r>
          </w:p>
        </w:tc>
      </w:tr>
      <w:tr w:rsidR="004E6A4A" w:rsidRPr="004E6A4A" w14:paraId="409D1824" w14:textId="77777777" w:rsidTr="00E11E6D">
        <w:trPr>
          <w:trHeight w:val="764"/>
        </w:trPr>
        <w:tc>
          <w:tcPr>
            <w:tcW w:w="720" w:type="dxa"/>
          </w:tcPr>
          <w:p w14:paraId="39C6B241"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7740D67D" w14:textId="77777777" w:rsidR="00F43B76" w:rsidRPr="004E6A4A" w:rsidRDefault="00144445" w:rsidP="000E529E">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paragraph is inserted:</w:t>
            </w:r>
          </w:p>
          <w:p w14:paraId="0D7165FC" w14:textId="77777777" w:rsidR="00F43B76" w:rsidRPr="004E6A4A" w:rsidRDefault="00144445" w:rsidP="000E529E">
            <w:pPr>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‘7a.   For the purposes of subparagraphs B.1(c) and C.17(g) of Section VIII of Annex I, each Member State shall, by 31 July 2015, provide to the Commission the list of entities and accounts that are to be treated, respectively, as Non-Reporting Financial Institutions and Excluded Accounts. Each Member State shall also inform the Commission if any changes in this respect occur. The Commission shall publish in the Official Journal of the European Union a compiled list of the information received and shall update the list as necessary.</w:t>
            </w:r>
          </w:p>
          <w:p w14:paraId="52622FAA" w14:textId="77777777" w:rsidR="00F43B76" w:rsidRPr="004E6A4A" w:rsidRDefault="00144445" w:rsidP="000E529E">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Member States shall ensure that those types of Non-Reporting Financial Institutions and Excluded Accounts satisfy all the requirements listed in subparagraphs B.1(c) and C.17(g) of Section VIII of Annex I, and in particular that the status of a Financial Institution as a Non-Reporting Financial Institution or the status of an account as an Excluded Account does not frustrate the purposes of this Directive.’</w:t>
            </w:r>
          </w:p>
        </w:tc>
        <w:tc>
          <w:tcPr>
            <w:tcW w:w="1080" w:type="dxa"/>
          </w:tcPr>
          <w:p w14:paraId="2AE37CE6"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743B481C"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1BCB72AA" w14:textId="77777777" w:rsidR="00FA0CFF" w:rsidRPr="004E6A4A" w:rsidRDefault="00144445">
            <w:pPr>
              <w:jc w:val="center"/>
            </w:pPr>
            <w:r w:rsidRPr="004E6A4A">
              <w:rPr>
                <w:rFonts w:ascii="Times New Roman" w:eastAsia="Times New Roman" w:hAnsi="Times New Roman" w:cs="Times New Roman"/>
                <w:b/>
                <w:sz w:val="20"/>
              </w:rPr>
              <w:t>Draft Law: Article 14</w:t>
            </w:r>
          </w:p>
          <w:p w14:paraId="66FA986E" w14:textId="77777777" w:rsidR="00FA0CFF" w:rsidRPr="004E6A4A" w:rsidRDefault="00144445">
            <w:pPr>
              <w:jc w:val="center"/>
            </w:pPr>
            <w:r w:rsidRPr="004E6A4A">
              <w:rPr>
                <w:rFonts w:ascii="Times New Roman" w:eastAsia="Times New Roman" w:hAnsi="Times New Roman" w:cs="Times New Roman"/>
                <w:b/>
                <w:sz w:val="20"/>
              </w:rPr>
              <w:t>Duties and powers of the Competent Authority</w:t>
            </w:r>
          </w:p>
          <w:p w14:paraId="36B6A867" w14:textId="77777777" w:rsidR="00FA0CFF" w:rsidRPr="004E6A4A" w:rsidRDefault="00144445">
            <w:pPr>
              <w:jc w:val="both"/>
            </w:pPr>
            <w:r w:rsidRPr="004E6A4A">
              <w:rPr>
                <w:rFonts w:ascii="Times New Roman" w:eastAsia="Times New Roman" w:hAnsi="Times New Roman" w:cs="Times New Roman"/>
                <w:sz w:val="20"/>
              </w:rPr>
              <w:t>6. The Competent Authority shall periodically verify that the entities and accounts determined as non-reporting financial institutions or excluded accounts continue to present a low risk of being used for tax avoidance or evasion. Where the conditions are no longer met, the Competent Authority shall take measures for the amendment of the classification or of the relevant list.</w:t>
            </w:r>
          </w:p>
          <w:p w14:paraId="1867353D" w14:textId="77777777" w:rsidR="00FA0CFF" w:rsidRPr="004E6A4A" w:rsidRDefault="00FA0CFF"/>
          <w:p w14:paraId="4A721304" w14:textId="77777777" w:rsidR="00FA0CFF" w:rsidRPr="004E6A4A" w:rsidRDefault="00144445">
            <w:pPr>
              <w:jc w:val="center"/>
            </w:pPr>
            <w:r w:rsidRPr="004E6A4A">
              <w:rPr>
                <w:rFonts w:ascii="Times New Roman" w:eastAsia="Times New Roman" w:hAnsi="Times New Roman" w:cs="Times New Roman"/>
                <w:b/>
                <w:sz w:val="20"/>
              </w:rPr>
              <w:t>DCM: Article 13</w:t>
            </w:r>
          </w:p>
          <w:p w14:paraId="15506097" w14:textId="77777777" w:rsidR="00FA0CFF" w:rsidRPr="004E6A4A" w:rsidRDefault="00144445">
            <w:pPr>
              <w:jc w:val="center"/>
            </w:pPr>
            <w:r w:rsidRPr="004E6A4A">
              <w:rPr>
                <w:rFonts w:ascii="Times New Roman" w:eastAsia="Times New Roman" w:hAnsi="Times New Roman" w:cs="Times New Roman"/>
                <w:b/>
                <w:sz w:val="20"/>
              </w:rPr>
              <w:t>Effective implementation and compliance control</w:t>
            </w:r>
          </w:p>
          <w:p w14:paraId="4796360E" w14:textId="77777777" w:rsidR="00FA0CFF" w:rsidRPr="004E6A4A" w:rsidRDefault="00144445">
            <w:pPr>
              <w:jc w:val="both"/>
            </w:pPr>
            <w:r w:rsidRPr="004E6A4A">
              <w:rPr>
                <w:rFonts w:ascii="Times New Roman" w:eastAsia="Times New Roman" w:hAnsi="Times New Roman" w:cs="Times New Roman"/>
                <w:sz w:val="20"/>
              </w:rPr>
              <w:t>5. The GDT shall periodically review whether the entities and accounts treated as Non-Reporting Financial Institutions or Excluded Accounts continue to present a low risk of being used for tax evasion and whether their status does not undermine the purposes of the relevant profile.</w:t>
            </w:r>
          </w:p>
          <w:p w14:paraId="68A48F93" w14:textId="77777777" w:rsidR="00FA0CFF" w:rsidRPr="004E6A4A" w:rsidRDefault="00144445">
            <w:pPr>
              <w:jc w:val="both"/>
            </w:pPr>
            <w:r w:rsidRPr="004E6A4A">
              <w:rPr>
                <w:rFonts w:ascii="Times New Roman" w:eastAsia="Times New Roman" w:hAnsi="Times New Roman" w:cs="Times New Roman"/>
                <w:sz w:val="20"/>
              </w:rPr>
              <w:t>6. Where the conditions of point 5 are no longer met, the GDT shall propose or take, within its competence, the necessary measures for the amendment of the classification or of the relevant list.</w:t>
            </w:r>
          </w:p>
          <w:p w14:paraId="0C24E81A" w14:textId="77777777" w:rsidR="00FA0CFF" w:rsidRPr="004E6A4A" w:rsidRDefault="00FA0CFF"/>
          <w:p w14:paraId="7EE8DDEC"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6969494" w14:textId="77777777" w:rsidR="00FA0CFF" w:rsidRPr="004E6A4A" w:rsidRDefault="00144445">
            <w:pPr>
              <w:jc w:val="center"/>
            </w:pPr>
            <w:r w:rsidRPr="004E6A4A">
              <w:rPr>
                <w:rFonts w:ascii="Times New Roman" w:eastAsia="Times New Roman" w:hAnsi="Times New Roman" w:cs="Times New Roman"/>
                <w:b/>
                <w:sz w:val="20"/>
              </w:rPr>
              <w:t>Definitions</w:t>
            </w:r>
          </w:p>
          <w:p w14:paraId="19CED6B2" w14:textId="77777777" w:rsidR="00FA0CFF" w:rsidRPr="004E6A4A" w:rsidRDefault="00144445">
            <w:pPr>
              <w:jc w:val="both"/>
            </w:pPr>
            <w:r w:rsidRPr="004E6A4A">
              <w:rPr>
                <w:rFonts w:ascii="Times New Roman" w:eastAsia="Times New Roman" w:hAnsi="Times New Roman" w:cs="Times New Roman"/>
                <w:sz w:val="20"/>
              </w:rPr>
              <w:t>33. “Non-reporting financial institution” means any financial institution which is:</w:t>
            </w:r>
          </w:p>
          <w:p w14:paraId="2F0F37D7" w14:textId="77777777" w:rsidR="00FA0CFF" w:rsidRPr="004E6A4A" w:rsidRDefault="00144445">
            <w:pPr>
              <w:jc w:val="both"/>
            </w:pPr>
            <w:r w:rsidRPr="004E6A4A">
              <w:rPr>
                <w:rFonts w:ascii="Times New Roman" w:eastAsia="Times New Roman" w:hAnsi="Times New Roman" w:cs="Times New Roman"/>
                <w:sz w:val="20"/>
              </w:rPr>
              <w:t>a) a governmental entity, international organisation or central bank, except:</w:t>
            </w:r>
          </w:p>
          <w:p w14:paraId="75DE1063" w14:textId="77777777" w:rsidR="00FA0CFF" w:rsidRPr="004E6A4A" w:rsidRDefault="00144445">
            <w:pPr>
              <w:jc w:val="both"/>
            </w:pPr>
            <w:r w:rsidRPr="004E6A4A">
              <w:rPr>
                <w:rFonts w:ascii="Times New Roman" w:eastAsia="Times New Roman" w:hAnsi="Times New Roman" w:cs="Times New Roman"/>
                <w:sz w:val="20"/>
              </w:rPr>
              <w:t xml:space="preserve">i) in relation to a payment arising from an obligation held in connection with a commercial financial </w:t>
            </w:r>
            <w:r w:rsidRPr="004E6A4A">
              <w:rPr>
                <w:rFonts w:ascii="Times New Roman" w:eastAsia="Times New Roman" w:hAnsi="Times New Roman" w:cs="Times New Roman"/>
                <w:sz w:val="20"/>
              </w:rPr>
              <w:lastRenderedPageBreak/>
              <w:t>activity of the type carried on by a specified insurance company, custodial institution or depository institution; or</w:t>
            </w:r>
          </w:p>
          <w:p w14:paraId="6327ABA3" w14:textId="77777777" w:rsidR="00FA0CFF" w:rsidRPr="004E6A4A" w:rsidRDefault="00144445">
            <w:pPr>
              <w:jc w:val="both"/>
            </w:pPr>
            <w:r w:rsidRPr="004E6A4A">
              <w:rPr>
                <w:rFonts w:ascii="Times New Roman" w:eastAsia="Times New Roman" w:hAnsi="Times New Roman" w:cs="Times New Roman"/>
                <w:sz w:val="20"/>
              </w:rPr>
              <w:t>ii) in relation to the activity of holding central bank digital currencies for account holders which are not financial institutions, governmental entities, international organisations or central banks;</w:t>
            </w:r>
          </w:p>
          <w:p w14:paraId="03F067DB" w14:textId="77777777" w:rsidR="00FA0CFF" w:rsidRPr="004E6A4A" w:rsidRDefault="00144445">
            <w:pPr>
              <w:jc w:val="both"/>
            </w:pPr>
            <w:r w:rsidRPr="004E6A4A">
              <w:rPr>
                <w:rFonts w:ascii="Times New Roman" w:eastAsia="Times New Roman" w:hAnsi="Times New Roman" w:cs="Times New Roman"/>
                <w:sz w:val="20"/>
              </w:rPr>
              <w:t>b) a broad participation retirement fund, a narrow participation retirement fund, a pension fund of a governmental entity, international organisation or central bank, or a qualified credit card issuer;</w:t>
            </w:r>
          </w:p>
          <w:p w14:paraId="38CCF5A8" w14:textId="77777777" w:rsidR="00FA0CFF" w:rsidRPr="004E6A4A" w:rsidRDefault="00144445">
            <w:pPr>
              <w:jc w:val="both"/>
            </w:pPr>
            <w:r w:rsidRPr="004E6A4A">
              <w:rPr>
                <w:rFonts w:ascii="Times New Roman" w:eastAsia="Times New Roman" w:hAnsi="Times New Roman" w:cs="Times New Roman"/>
                <w:sz w:val="20"/>
              </w:rPr>
              <w:t>c) any other entity which presents a low risk of being used for tax evasion, has characteristics substantially similar to the entities described in letters “a” and “b” and is determined by sub-legal act as a non-reporting financial institution and, for the purposes of the European Union profile, is included in the list of non-reporting financial institutions determined under this Law, provided that its status as a non-reporting financial institution does not undermine the purposes of the relevant regime of reporting and automatic exchange of information and, for the purposes of the application of the provisions relating to European Union law, does not undermine the purposes of Directive 2011/16/EU, as amended;</w:t>
            </w:r>
          </w:p>
          <w:p w14:paraId="29F8F13E" w14:textId="77777777" w:rsidR="00FA0CFF" w:rsidRPr="004E6A4A" w:rsidRDefault="00144445">
            <w:pPr>
              <w:jc w:val="both"/>
            </w:pPr>
            <w:r w:rsidRPr="004E6A4A">
              <w:rPr>
                <w:rFonts w:ascii="Times New Roman" w:eastAsia="Times New Roman" w:hAnsi="Times New Roman" w:cs="Times New Roman"/>
                <w:sz w:val="20"/>
              </w:rPr>
              <w:t>ç) an exempt collective investment vehicle; or</w:t>
            </w:r>
          </w:p>
          <w:p w14:paraId="4E4BAEBD" w14:textId="77777777" w:rsidR="00FA0CFF" w:rsidRPr="004E6A4A" w:rsidRDefault="00144445">
            <w:pPr>
              <w:jc w:val="both"/>
            </w:pPr>
            <w:r w:rsidRPr="004E6A4A">
              <w:rPr>
                <w:rFonts w:ascii="Times New Roman" w:eastAsia="Times New Roman" w:hAnsi="Times New Roman" w:cs="Times New Roman"/>
                <w:sz w:val="20"/>
              </w:rPr>
              <w:t>d) a trust, to the extent that the trustee of the trust is a reporting financial institution and reports all the information required to be reported in accordance with this Law in relation to all the reportable accounts of the trust.</w:t>
            </w:r>
          </w:p>
          <w:p w14:paraId="487B72FC" w14:textId="77777777" w:rsidR="00FA0CFF" w:rsidRPr="004E6A4A" w:rsidRDefault="00144445">
            <w:pPr>
              <w:jc w:val="both"/>
            </w:pPr>
            <w:r w:rsidRPr="004E6A4A">
              <w:rPr>
                <w:rFonts w:ascii="Times New Roman" w:eastAsia="Times New Roman" w:hAnsi="Times New Roman" w:cs="Times New Roman"/>
                <w:sz w:val="20"/>
              </w:rPr>
              <w:t>44. “Excluded account” means each of the following accounts:</w:t>
            </w:r>
          </w:p>
          <w:p w14:paraId="42F6FDB8" w14:textId="77777777" w:rsidR="00FA0CFF" w:rsidRPr="004E6A4A" w:rsidRDefault="00144445">
            <w:pPr>
              <w:jc w:val="both"/>
            </w:pPr>
            <w:r w:rsidRPr="004E6A4A">
              <w:rPr>
                <w:rFonts w:ascii="Times New Roman" w:eastAsia="Times New Roman" w:hAnsi="Times New Roman" w:cs="Times New Roman"/>
                <w:sz w:val="20"/>
              </w:rPr>
              <w:t xml:space="preserve">ë) any other account which presents a low risk of being used for tax evasion, has characteristics substantially similar to the accounts described in letters “a” to “e” of this point, is included in the list of excluded </w:t>
            </w:r>
            <w:r w:rsidRPr="004E6A4A">
              <w:rPr>
                <w:rFonts w:ascii="Times New Roman" w:eastAsia="Times New Roman" w:hAnsi="Times New Roman" w:cs="Times New Roman"/>
                <w:sz w:val="20"/>
              </w:rPr>
              <w:lastRenderedPageBreak/>
              <w:t>accounts determined by sub-legal act, and the status of which as an Excluded Account does not undermine, for the European Union profile, the purposes of Directive 2011/16/EU, as amended, and, for the Common Reporting Standard profile, the purposes of the Standard.</w:t>
            </w:r>
          </w:p>
          <w:p w14:paraId="18706353" w14:textId="77777777" w:rsidR="00FA0CFF" w:rsidRPr="004E6A4A" w:rsidRDefault="00FA0CFF"/>
          <w:p w14:paraId="2A9F14B6" w14:textId="2C7BA985" w:rsidR="00FA0CFF" w:rsidRPr="004E6A4A" w:rsidRDefault="00FA0CFF">
            <w:pPr>
              <w:jc w:val="both"/>
            </w:pPr>
          </w:p>
        </w:tc>
        <w:tc>
          <w:tcPr>
            <w:tcW w:w="1156" w:type="dxa"/>
          </w:tcPr>
          <w:p w14:paraId="3DA1F960" w14:textId="2EBDE266" w:rsidR="006D0605" w:rsidRPr="004E6A4A" w:rsidRDefault="0042688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N/A</w:t>
            </w:r>
          </w:p>
        </w:tc>
        <w:tc>
          <w:tcPr>
            <w:tcW w:w="2970" w:type="dxa"/>
          </w:tcPr>
          <w:p w14:paraId="33EA4E6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ECDA4E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14, point 6 of the Draft Law, Article 5 point 33, Article 5 point 44 and by Article 13, points 5 and 6 of the Decision.</w:t>
            </w:r>
          </w:p>
        </w:tc>
      </w:tr>
      <w:tr w:rsidR="004E6A4A" w:rsidRPr="004E6A4A" w14:paraId="70952CEA" w14:textId="77777777" w:rsidTr="00E11E6D">
        <w:trPr>
          <w:trHeight w:val="764"/>
        </w:trPr>
        <w:tc>
          <w:tcPr>
            <w:tcW w:w="720" w:type="dxa"/>
          </w:tcPr>
          <w:p w14:paraId="65B3FE7C"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723CC8B9"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1(3) – Article 20, paragraph 4</w:t>
            </w:r>
          </w:p>
          <w:p w14:paraId="20ED5CFE" w14:textId="77777777" w:rsidR="00F43B76"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b/>
            </w:r>
          </w:p>
          <w:p w14:paraId="4D153272" w14:textId="77777777" w:rsidR="00F43B76"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In Article 20, paragraph 4 is replaced by the following:</w:t>
            </w:r>
          </w:p>
          <w:p w14:paraId="413D25C4" w14:textId="77777777" w:rsidR="00F43B76" w:rsidRPr="004E6A4A" w:rsidRDefault="00144445" w:rsidP="00C5558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   The automatic exchange of information pursuant to Article 8 shall be sent using a standard computerised format aimed at facilitating such automatic exchange and based on the existing computerised format pursuant to Article 9 of Directive 2003/48/EC, to be used for all types of automatic exchange of information, adopted by the Commission in accordance with the procedure referred to in Article 26(2).’</w:t>
            </w:r>
          </w:p>
        </w:tc>
        <w:tc>
          <w:tcPr>
            <w:tcW w:w="1080" w:type="dxa"/>
          </w:tcPr>
          <w:p w14:paraId="5F89B157"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40654AAB"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61DEAEB0" w14:textId="77777777" w:rsidR="00FA0CFF" w:rsidRPr="004E6A4A" w:rsidRDefault="00144445">
            <w:pPr>
              <w:jc w:val="center"/>
            </w:pPr>
            <w:r w:rsidRPr="004E6A4A">
              <w:rPr>
                <w:rFonts w:ascii="Times New Roman" w:eastAsia="Times New Roman" w:hAnsi="Times New Roman" w:cs="Times New Roman"/>
                <w:b/>
                <w:sz w:val="20"/>
              </w:rPr>
              <w:t>DCM: Article 12</w:t>
            </w:r>
          </w:p>
          <w:p w14:paraId="36E071A7" w14:textId="77777777" w:rsidR="00FA0CFF" w:rsidRPr="004E6A4A" w:rsidRDefault="00144445">
            <w:pPr>
              <w:jc w:val="center"/>
            </w:pPr>
            <w:r w:rsidRPr="004E6A4A">
              <w:rPr>
                <w:rFonts w:ascii="Times New Roman" w:eastAsia="Times New Roman" w:hAnsi="Times New Roman" w:cs="Times New Roman"/>
                <w:b/>
                <w:sz w:val="20"/>
              </w:rPr>
              <w:t>Exchange of information on reportable accounts</w:t>
            </w:r>
          </w:p>
          <w:p w14:paraId="5B74D3BB" w14:textId="77777777" w:rsidR="00FA0CFF" w:rsidRPr="004E6A4A" w:rsidRDefault="00144445">
            <w:pPr>
              <w:jc w:val="both"/>
            </w:pPr>
            <w:r w:rsidRPr="004E6A4A">
              <w:rPr>
                <w:rFonts w:ascii="Times New Roman" w:eastAsia="Times New Roman" w:hAnsi="Times New Roman" w:cs="Times New Roman"/>
                <w:sz w:val="20"/>
              </w:rPr>
              <w:t>3. For exchanges with the competent authorities of the Member States of the European Union, the GDT shall use the CCN network and the standard computerised format determined in Annex VI to Commission Implementing Regulation (EU) 2015/2378, as amended, as well as the applicable rules of the European Union on validation, status messages, corrections, replacements, message routing and practical arrangements.</w:t>
            </w:r>
          </w:p>
          <w:p w14:paraId="2BEB9263" w14:textId="77777777" w:rsidR="00FA0CFF" w:rsidRPr="004E6A4A" w:rsidRDefault="00FA0CFF"/>
          <w:p w14:paraId="075BB78F" w14:textId="5B4CEE8A" w:rsidR="00FA0CFF" w:rsidRPr="004E6A4A" w:rsidRDefault="00FA0CFF">
            <w:pPr>
              <w:jc w:val="both"/>
            </w:pPr>
          </w:p>
        </w:tc>
        <w:tc>
          <w:tcPr>
            <w:tcW w:w="1156" w:type="dxa"/>
          </w:tcPr>
          <w:p w14:paraId="3D5E861D" w14:textId="5377C6DF" w:rsidR="006D0605" w:rsidRPr="004E6A4A" w:rsidRDefault="000B32A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N/A</w:t>
            </w:r>
          </w:p>
        </w:tc>
        <w:tc>
          <w:tcPr>
            <w:tcW w:w="2970" w:type="dxa"/>
          </w:tcPr>
          <w:p w14:paraId="649DA96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F781CE6" w14:textId="77777777" w:rsidR="00F43B76" w:rsidRPr="004E6A4A" w:rsidRDefault="00F43B76">
            <w:pPr>
              <w:jc w:val="both"/>
              <w:rPr>
                <w:rFonts w:ascii="Times New Roman" w:eastAsia="Times New Roman" w:hAnsi="Times New Roman" w:cs="Times New Roman"/>
                <w:sz w:val="20"/>
                <w:szCs w:val="20"/>
              </w:rPr>
            </w:pPr>
          </w:p>
          <w:p w14:paraId="0DF9668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23, point 7, of the Draft Law "On administrative cooperation in the field of taxation and the exchange of tax information", which requires automatic exchanges under the specific laws implementing Directive 2011/16/EU to be carried out using the standard forms and standard computerised formats adopted by the European Commission, and, for this Draft Law,  and Article 12, point 3, of the Decision.</w:t>
            </w:r>
          </w:p>
        </w:tc>
      </w:tr>
      <w:tr w:rsidR="004E6A4A" w:rsidRPr="004E6A4A" w14:paraId="6C5070AD" w14:textId="77777777" w:rsidTr="00E11E6D">
        <w:trPr>
          <w:trHeight w:val="764"/>
        </w:trPr>
        <w:tc>
          <w:tcPr>
            <w:tcW w:w="720" w:type="dxa"/>
          </w:tcPr>
          <w:p w14:paraId="25E8FFE0"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33DFA4CF"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1(4) – Article 21, paragraph 2</w:t>
            </w:r>
          </w:p>
          <w:p w14:paraId="25C26986"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   The Commission shall be responsible for whatever development of the CCN network is necessary to permit the exchange of that information between Member States and for ensuring the security of the CCN network.</w:t>
            </w:r>
          </w:p>
          <w:p w14:paraId="2E5708BB"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Member States shall be responsible for whatever development of their systems is necessary to enable that information to be exchanged using the CCN network and for ensuring the security of their systems.</w:t>
            </w:r>
          </w:p>
          <w:p w14:paraId="5BF6B99C"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Member States shall ensure that each individual Reportable Person is notified of a breach of security with regard to his data when that breach is likely to adversely affect the protection of his personal data or privacy.</w:t>
            </w:r>
          </w:p>
          <w:p w14:paraId="233B810C"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Member States shall waive all claims for the reimbursement of expenses incurred in applying this Directive except, where appropriate, in respect of fees paid to experts.’</w:t>
            </w:r>
          </w:p>
        </w:tc>
        <w:tc>
          <w:tcPr>
            <w:tcW w:w="1080" w:type="dxa"/>
          </w:tcPr>
          <w:p w14:paraId="64E8099A"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34C55374"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3CD26800" w14:textId="77777777" w:rsidR="00FA0CFF" w:rsidRPr="004E6A4A" w:rsidRDefault="00144445">
            <w:pPr>
              <w:jc w:val="center"/>
            </w:pPr>
            <w:r w:rsidRPr="004E6A4A">
              <w:rPr>
                <w:rFonts w:ascii="Times New Roman" w:eastAsia="Times New Roman" w:hAnsi="Times New Roman" w:cs="Times New Roman"/>
                <w:sz w:val="20"/>
              </w:rPr>
              <w:t>N/A</w:t>
            </w:r>
          </w:p>
        </w:tc>
        <w:tc>
          <w:tcPr>
            <w:tcW w:w="1156" w:type="dxa"/>
          </w:tcPr>
          <w:p w14:paraId="7C0B2A04" w14:textId="150017B4" w:rsidR="006D0605" w:rsidRPr="004E6A4A" w:rsidRDefault="000B32A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N/A</w:t>
            </w:r>
          </w:p>
        </w:tc>
        <w:tc>
          <w:tcPr>
            <w:tcW w:w="2970" w:type="dxa"/>
          </w:tcPr>
          <w:p w14:paraId="6EEC9C2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62F109C" w14:textId="77777777" w:rsidR="00F43B76" w:rsidRPr="004E6A4A" w:rsidRDefault="00F43B76">
            <w:pPr>
              <w:jc w:val="both"/>
              <w:rPr>
                <w:rFonts w:ascii="Times New Roman" w:eastAsia="Times New Roman" w:hAnsi="Times New Roman" w:cs="Times New Roman"/>
                <w:sz w:val="20"/>
                <w:szCs w:val="20"/>
              </w:rPr>
            </w:pPr>
          </w:p>
          <w:p w14:paraId="569CEA2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The first subparagraph does not require transposition, laying down the responsibility of the European Commission for the development and security of the CCN network. The second subparagraph is transposed by Article 24, points 1, 2 and 3, of the Draft Law "On administrative cooperation in the field of taxation and the exchange of tax information" and, for this </w:t>
            </w:r>
            <w:r w:rsidRPr="004E6A4A">
              <w:rPr>
                <w:rFonts w:ascii="Times New Roman" w:eastAsia="Times New Roman" w:hAnsi="Times New Roman" w:cs="Times New Roman"/>
                <w:sz w:val="20"/>
                <w:szCs w:val="20"/>
              </w:rPr>
              <w:lastRenderedPageBreak/>
              <w:t>Draft Law. The third subparagraph is transposed by Article 22, point 9, of that Draft Law, to which Article 20 of this Draft Law refers. The fourth subparagraph is transposed by Article 25, point 6, of that Draft Law.</w:t>
            </w:r>
          </w:p>
        </w:tc>
      </w:tr>
      <w:tr w:rsidR="004E6A4A" w:rsidRPr="004E6A4A" w14:paraId="615EC748" w14:textId="77777777" w:rsidTr="00E11E6D">
        <w:trPr>
          <w:trHeight w:val="764"/>
        </w:trPr>
        <w:tc>
          <w:tcPr>
            <w:tcW w:w="720" w:type="dxa"/>
          </w:tcPr>
          <w:p w14:paraId="64FF884B"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5CCF4D21"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1(5) – Article 25, paragraphs 2-4</w:t>
            </w:r>
          </w:p>
          <w:p w14:paraId="17CED3F7" w14:textId="77777777" w:rsidR="00F43B76" w:rsidRPr="004E6A4A" w:rsidRDefault="00F43B76">
            <w:pPr>
              <w:jc w:val="both"/>
              <w:rPr>
                <w:rFonts w:ascii="Times New Roman" w:eastAsia="Times New Roman" w:hAnsi="Times New Roman" w:cs="Times New Roman"/>
                <w:sz w:val="20"/>
                <w:szCs w:val="20"/>
              </w:rPr>
            </w:pPr>
          </w:p>
          <w:p w14:paraId="74A67090"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Article 25 is amended as follows:</w:t>
            </w:r>
          </w:p>
          <w:p w14:paraId="3039293E"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p>
          <w:p w14:paraId="1BEFFCC7"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current text of Article 25 becomes paragraph 1;</w:t>
            </w:r>
          </w:p>
          <w:p w14:paraId="60C11C2F"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p>
          <w:p w14:paraId="6B631242"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paragraphs are inserted:</w:t>
            </w:r>
          </w:p>
          <w:p w14:paraId="52C0705A"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   Reporting Financial Institutions and the competent authorities of each Member State shall be considered to be data controllers for the purposes of Directive 95/46/EC.</w:t>
            </w:r>
          </w:p>
          <w:p w14:paraId="3BA308A2"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Notwithstanding paragraph 1, each Member State shall ensure that each Reporting Financial Institution under its jurisdiction informs each individual Reportable Person concerned that the information relating to him referred to in Article 8(3a) will be collected and transferred in accordance with this Directive and shall ensure that the Reporting Financial Institution provides to that individual all information that he is entitled to under its domestic legislation implementing Directive 95/46/EC in sufficient time for the individual to exercise his data protection rights and, in any case, before the Reporting Financial Institution concerned reports the information referred to in Article 8(3a) to the competent authority of its Member State of residence.</w:t>
            </w:r>
          </w:p>
          <w:p w14:paraId="788F03D1" w14:textId="77777777" w:rsidR="00F43B76" w:rsidRPr="004E6A4A" w:rsidRDefault="00144445" w:rsidP="00DE2294">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   Information processed in accordance with this Directive shall be retained for no longer than necessary to achieve the purposes of this Directive, and in any case in accordance with each data controller's domestic rules on statute of limitations.’</w:t>
            </w:r>
          </w:p>
        </w:tc>
        <w:tc>
          <w:tcPr>
            <w:tcW w:w="1080" w:type="dxa"/>
          </w:tcPr>
          <w:p w14:paraId="7501A11B"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5A8E8078"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21926862" w14:textId="77777777" w:rsidR="00FA0CFF" w:rsidRPr="004E6A4A" w:rsidRDefault="00144445">
            <w:pPr>
              <w:jc w:val="center"/>
            </w:pPr>
            <w:r w:rsidRPr="004E6A4A">
              <w:rPr>
                <w:rFonts w:ascii="Times New Roman" w:eastAsia="Times New Roman" w:hAnsi="Times New Roman" w:cs="Times New Roman"/>
                <w:b/>
                <w:sz w:val="20"/>
              </w:rPr>
              <w:t>Draft Law: Article 20</w:t>
            </w:r>
          </w:p>
          <w:p w14:paraId="08BB2A08" w14:textId="77777777" w:rsidR="00FA0CFF" w:rsidRPr="004E6A4A" w:rsidRDefault="00144445">
            <w:pPr>
              <w:jc w:val="center"/>
            </w:pPr>
            <w:r w:rsidRPr="004E6A4A">
              <w:rPr>
                <w:rFonts w:ascii="Times New Roman" w:eastAsia="Times New Roman" w:hAnsi="Times New Roman" w:cs="Times New Roman"/>
                <w:b/>
                <w:sz w:val="20"/>
              </w:rPr>
              <w:t>Protection of data</w:t>
            </w:r>
          </w:p>
          <w:p w14:paraId="0F4831C0" w14:textId="77777777" w:rsidR="00FA0CFF" w:rsidRPr="004E6A4A" w:rsidRDefault="00144445">
            <w:pPr>
              <w:jc w:val="both"/>
            </w:pPr>
            <w:r w:rsidRPr="004E6A4A">
              <w:rPr>
                <w:rFonts w:ascii="Times New Roman" w:eastAsia="Times New Roman" w:hAnsi="Times New Roman" w:cs="Times New Roman"/>
                <w:sz w:val="20"/>
              </w:rPr>
              <w:t>1. For the collection, processing, reporting and exchange of data under Directive 2011/16/EU, as amended, the provisions on the protection of personal data and on data breaches of the law “On administrative cooperation in the field of taxation and the exchange of tax information” shall apply. For exchanges with other jurisdictions, the national legislation on the protection of personal data and the relevant international instrument shall apply.</w:t>
            </w:r>
          </w:p>
          <w:p w14:paraId="5FA9591B" w14:textId="77777777" w:rsidR="00FA0CFF" w:rsidRPr="004E6A4A" w:rsidRDefault="00FA0CFF"/>
          <w:p w14:paraId="7ECC5026" w14:textId="77777777" w:rsidR="00FA0CFF" w:rsidRPr="004E6A4A" w:rsidRDefault="00144445">
            <w:pPr>
              <w:jc w:val="center"/>
            </w:pPr>
            <w:r w:rsidRPr="004E6A4A">
              <w:rPr>
                <w:rFonts w:ascii="Times New Roman" w:eastAsia="Times New Roman" w:hAnsi="Times New Roman" w:cs="Times New Roman"/>
                <w:b/>
                <w:sz w:val="20"/>
              </w:rPr>
              <w:t>Draft Law: Article 7</w:t>
            </w:r>
          </w:p>
          <w:p w14:paraId="7F2BBEDB" w14:textId="77777777" w:rsidR="00FA0CFF" w:rsidRPr="004E6A4A" w:rsidRDefault="00144445">
            <w:pPr>
              <w:jc w:val="center"/>
            </w:pPr>
            <w:r w:rsidRPr="004E6A4A">
              <w:rPr>
                <w:rFonts w:ascii="Times New Roman" w:eastAsia="Times New Roman" w:hAnsi="Times New Roman" w:cs="Times New Roman"/>
                <w:b/>
                <w:sz w:val="20"/>
              </w:rPr>
              <w:t>Due diligence</w:t>
            </w:r>
          </w:p>
          <w:p w14:paraId="4C45DDE8" w14:textId="77777777" w:rsidR="00FA0CFF" w:rsidRPr="004E6A4A" w:rsidRDefault="00144445">
            <w:pPr>
              <w:jc w:val="both"/>
            </w:pPr>
            <w:r w:rsidRPr="004E6A4A">
              <w:rPr>
                <w:rFonts w:ascii="Times New Roman" w:eastAsia="Times New Roman" w:hAnsi="Times New Roman" w:cs="Times New Roman"/>
                <w:sz w:val="20"/>
              </w:rPr>
              <w:t>10. The reporting financial institution shall inform each individual concerned that the information relating to him or her will be collected, processed and transmitted for the purposes of this Law, and shall provide him or her with the information to which he or she is entitled from the data controller in sufficient time for the exercise of his or her rights and, in any event, before the reporting of the information, in accordance with the legislation on the protection of personal data.</w:t>
            </w:r>
          </w:p>
        </w:tc>
        <w:tc>
          <w:tcPr>
            <w:tcW w:w="1156" w:type="dxa"/>
          </w:tcPr>
          <w:p w14:paraId="57CA0F90" w14:textId="32FA5DFF" w:rsidR="006D0605" w:rsidRPr="004E6A4A" w:rsidRDefault="003D62FF" w:rsidP="00C4419F">
            <w:pPr>
              <w:jc w:val="center"/>
              <w:rPr>
                <w:rFonts w:ascii="Times New Roman" w:eastAsia="Calibri" w:hAnsi="Times New Roman" w:cs="Times New Roman"/>
                <w:sz w:val="18"/>
                <w:szCs w:val="18"/>
              </w:rPr>
            </w:pPr>
            <w:r>
              <w:rPr>
                <w:rFonts w:ascii="Times New Roman" w:eastAsia="Calibri" w:hAnsi="Times New Roman" w:cs="Times New Roman"/>
                <w:sz w:val="18"/>
                <w:szCs w:val="18"/>
              </w:rPr>
              <w:t>F</w:t>
            </w:r>
          </w:p>
        </w:tc>
        <w:tc>
          <w:tcPr>
            <w:tcW w:w="2970" w:type="dxa"/>
          </w:tcPr>
          <w:p w14:paraId="2F5EDAF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503B6E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22 of the Draft Law “On administrative cooperation in the field of taxation and the exchange of tax information” and, for this Draft Law, by Article 20 and by Article 12, point 7, of the Decision.</w:t>
            </w:r>
          </w:p>
        </w:tc>
      </w:tr>
      <w:tr w:rsidR="004E6A4A" w:rsidRPr="004E6A4A" w14:paraId="60FDAA90" w14:textId="77777777" w:rsidTr="00E11E6D">
        <w:trPr>
          <w:trHeight w:val="764"/>
        </w:trPr>
        <w:tc>
          <w:tcPr>
            <w:tcW w:w="720" w:type="dxa"/>
          </w:tcPr>
          <w:p w14:paraId="0C100CF8"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5A8BE4ED"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Article 1(6)</w:t>
            </w:r>
          </w:p>
          <w:p w14:paraId="43DA365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ANNEX I</w:t>
            </w:r>
          </w:p>
          <w:p w14:paraId="25642E3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REPORTING AND DUE DILIGENCE RULES FOR FINANCIAL ACCOUNT INFORMATION</w:t>
            </w:r>
          </w:p>
          <w:p w14:paraId="0F4E59D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This Annex lays down the reporting and due diligence rules that have to be applied by Reporting Financial Institutions in order to enable the Member States to communicate, by automatic exchange, the information referred to in Article 8(3a) of this Directive. This Annex also describes the rules and administrative procedures that Member States shall have in place to ensure effective implementation of, and compliance with, the reporting and due diligence procedures set out below.</w:t>
            </w:r>
          </w:p>
          <w:p w14:paraId="4BDA3140" w14:textId="77777777" w:rsidR="00F43B76" w:rsidRPr="004E6A4A" w:rsidRDefault="00F43B76">
            <w:pPr>
              <w:jc w:val="both"/>
              <w:rPr>
                <w:rFonts w:ascii="Times New Roman" w:eastAsia="Times New Roman" w:hAnsi="Times New Roman" w:cs="Times New Roman"/>
                <w:sz w:val="20"/>
                <w:szCs w:val="20"/>
              </w:rPr>
            </w:pPr>
          </w:p>
          <w:p w14:paraId="0CA04669" w14:textId="77777777" w:rsidR="00F43B76" w:rsidRPr="004E6A4A" w:rsidRDefault="00F43B76">
            <w:pPr>
              <w:jc w:val="both"/>
              <w:rPr>
                <w:rFonts w:ascii="Times New Roman" w:eastAsia="Times New Roman" w:hAnsi="Times New Roman" w:cs="Times New Roman"/>
                <w:sz w:val="20"/>
                <w:szCs w:val="20"/>
              </w:rPr>
            </w:pPr>
          </w:p>
          <w:p w14:paraId="7BB9DBAB" w14:textId="77777777" w:rsidR="00F43B76" w:rsidRPr="004E6A4A" w:rsidRDefault="00144445">
            <w:pPr>
              <w:jc w:val="both"/>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  Paragraph A</w:t>
            </w:r>
          </w:p>
          <w:p w14:paraId="242D31C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Subject to paragraphs C to F, each Reporting Financial Institution shall report to the competent authority of its Member State with respect to each Reportable Account of such Reporting Financial Institution:</w:t>
            </w:r>
          </w:p>
          <w:p w14:paraId="74DC308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the following information:</w:t>
            </w:r>
            <w:r w:rsidRPr="004E6A4A">
              <w:rPr>
                <w:rFonts w:ascii="Times New Roman" w:eastAsia="Times New Roman" w:hAnsi="Times New Roman" w:cs="Times New Roman"/>
                <w:sz w:val="20"/>
                <w:szCs w:val="20"/>
              </w:rPr>
              <w:tab/>
            </w:r>
          </w:p>
          <w:p w14:paraId="3E3FA26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the name, address, Member State(s) of residence, TIN(s) and date and place of birth (in the case of an individual) of each Reportable Person that is an Account Holder of the account and, whether the Account Holder has provided a valid self-certification;</w:t>
            </w:r>
          </w:p>
          <w:p w14:paraId="2A47571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(b) in the case of any Entity that is an Account Holder and that, after application of the due diligence procedures consistent with Sections V, VI and VII, is identified as having one or more Controlling Persons that is a Reportable Person, the name, address, Member State(s) and (if any) other jurisdiction(s) of residence and TIN(s) of the Entity and the name, address, Member State(s) of residence, TIN(s) and date and place of birth of each Reportable Person, as well as the role(s) by virtue of which each Reportable Person is a Controlling Person of the </w:t>
            </w:r>
            <w:r w:rsidRPr="004E6A4A">
              <w:rPr>
                <w:rFonts w:ascii="Times New Roman" w:eastAsia="Times New Roman" w:hAnsi="Times New Roman" w:cs="Times New Roman"/>
                <w:sz w:val="20"/>
                <w:szCs w:val="20"/>
              </w:rPr>
              <w:lastRenderedPageBreak/>
              <w:t>Entity and whether a valid self-certification has been provided for each Reportable Person;</w:t>
            </w:r>
          </w:p>
          <w:p w14:paraId="0DE3D96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whether the account is a joint account, including the number of joint Account Holders;</w:t>
            </w:r>
          </w:p>
          <w:p w14:paraId="79172C8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the account number (or functional equivalent in the absence of an account number), the type of account and whether the account is a Pre-existing Account or a New Account;</w:t>
            </w:r>
          </w:p>
          <w:p w14:paraId="09147CD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the name and identifying number (if any) of the Reporting Financial Institution;</w:t>
            </w:r>
          </w:p>
          <w:p w14:paraId="7206A56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the account balance or value (including, in the case of a Cash Value Insurance Contract or Annuity Contract, the Cash Value or surrender value) as of the end of the relevant calendar year or other appropriate reporting period or, if the account was closed during such year or period, the closure of the account;</w:t>
            </w:r>
          </w:p>
          <w:p w14:paraId="0404B4C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in the case of any Custodial Account:</w:t>
            </w:r>
          </w:p>
          <w:p w14:paraId="4397945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total gross amount of interest, the total gross amount of dividends, and the total gross amount of other income generated with respect to the assets held in the account, in each case paid or credited to the account (or with respect to the account) during the calendar year or other appropriate reporting period; and</w:t>
            </w:r>
          </w:p>
          <w:p w14:paraId="29230FA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total gross proceeds from the sale or redemption of Financial Assets paid or credited to the account during the calendar year or other appropriate reporting period with respect to which the Reporting Financial Institution acted as a custodian, broker, nominee, or otherwise as an agent for the Account Holder;</w:t>
            </w:r>
          </w:p>
          <w:p w14:paraId="411CFE3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 xml:space="preserve">in the case of any Depository Account, the total gross amount of interest paid or credited to the account during the calendar year or other appropriate reporting period; </w:t>
            </w:r>
          </w:p>
          <w:p w14:paraId="10508D4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6a. in the case of any Equity Interest held in an Investment Entity that is a legal arrangement, the role(s) by virtue of which the Reportable Person is an Equity Interest holder; and</w:t>
            </w:r>
          </w:p>
          <w:p w14:paraId="7D495AD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7.</w:t>
            </w:r>
            <w:r w:rsidRPr="004E6A4A">
              <w:rPr>
                <w:rFonts w:ascii="Times New Roman" w:eastAsia="Times New Roman" w:hAnsi="Times New Roman" w:cs="Times New Roman"/>
                <w:sz w:val="20"/>
                <w:szCs w:val="20"/>
              </w:rPr>
              <w:tab/>
              <w:t>in the case of any account not described in subparagraph A(5) or (6), the total gross amount paid or credited to the Account Holder with respect to the account during the calendar year or other appropriate reporting period with respect to which the Reporting Financial Institution is the obligor or debtor, including the aggregate amount of any redemption payments made to the Account Holder during the calendar year or other appropriate reporting period.</w:t>
            </w:r>
          </w:p>
        </w:tc>
        <w:tc>
          <w:tcPr>
            <w:tcW w:w="1080" w:type="dxa"/>
          </w:tcPr>
          <w:p w14:paraId="2B0FEA5B"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1C9E6FB1" w14:textId="44839DE2" w:rsidR="00DD7553" w:rsidRPr="004E6A4A" w:rsidRDefault="00DD7553" w:rsidP="00C4419F">
            <w:pPr>
              <w:jc w:val="center"/>
              <w:rPr>
                <w:rFonts w:ascii="Times New Roman" w:eastAsia="Times New Roman" w:hAnsi="Times New Roman" w:cs="Times New Roman"/>
                <w:sz w:val="20"/>
                <w:szCs w:val="21"/>
                <w:lang w:eastAsia="sq-AL"/>
              </w:rPr>
            </w:pPr>
            <w:r w:rsidRPr="004E6A4A">
              <w:rPr>
                <w:rFonts w:ascii="Times New Roman" w:eastAsia="Times New Roman" w:hAnsi="Times New Roman" w:cs="Times New Roman"/>
                <w:sz w:val="20"/>
                <w:szCs w:val="21"/>
                <w:lang w:eastAsia="sq-AL"/>
              </w:rPr>
              <w:t xml:space="preserve"> </w:t>
            </w:r>
          </w:p>
        </w:tc>
        <w:tc>
          <w:tcPr>
            <w:tcW w:w="4514" w:type="dxa"/>
          </w:tcPr>
          <w:p w14:paraId="02301B0C" w14:textId="77777777" w:rsidR="00FA0CFF" w:rsidRPr="004E6A4A" w:rsidRDefault="00144445">
            <w:pPr>
              <w:jc w:val="center"/>
            </w:pPr>
            <w:r w:rsidRPr="004E6A4A">
              <w:rPr>
                <w:rFonts w:ascii="Times New Roman" w:eastAsia="Times New Roman" w:hAnsi="Times New Roman" w:cs="Times New Roman"/>
                <w:b/>
                <w:sz w:val="20"/>
              </w:rPr>
              <w:t>Draft Law: Article 1</w:t>
            </w:r>
          </w:p>
          <w:p w14:paraId="0A8A3C8E" w14:textId="77777777" w:rsidR="00FA0CFF" w:rsidRPr="004E6A4A" w:rsidRDefault="00144445">
            <w:pPr>
              <w:jc w:val="center"/>
            </w:pPr>
            <w:r w:rsidRPr="004E6A4A">
              <w:rPr>
                <w:rFonts w:ascii="Times New Roman" w:eastAsia="Times New Roman" w:hAnsi="Times New Roman" w:cs="Times New Roman"/>
                <w:b/>
                <w:sz w:val="20"/>
              </w:rPr>
              <w:t>Subject matter</w:t>
            </w:r>
          </w:p>
          <w:p w14:paraId="7441D8F8" w14:textId="77777777" w:rsidR="00FA0CFF" w:rsidRPr="004E6A4A" w:rsidRDefault="00144445">
            <w:pPr>
              <w:jc w:val="both"/>
            </w:pPr>
            <w:r w:rsidRPr="004E6A4A">
              <w:rPr>
                <w:rFonts w:ascii="Times New Roman" w:eastAsia="Times New Roman" w:hAnsi="Times New Roman" w:cs="Times New Roman"/>
                <w:sz w:val="20"/>
              </w:rPr>
              <w:t>1. The subject matter of this Law is to establish the rules and procedures relating to:</w:t>
            </w:r>
          </w:p>
          <w:p w14:paraId="1D2D9A92" w14:textId="77777777" w:rsidR="00FA0CFF" w:rsidRPr="004E6A4A" w:rsidRDefault="00144445">
            <w:pPr>
              <w:jc w:val="both"/>
            </w:pPr>
            <w:r w:rsidRPr="004E6A4A">
              <w:rPr>
                <w:rFonts w:ascii="Times New Roman" w:eastAsia="Times New Roman" w:hAnsi="Times New Roman" w:cs="Times New Roman"/>
                <w:sz w:val="20"/>
              </w:rPr>
              <w:t>a) the automatic exchange of financial account information:</w:t>
            </w:r>
          </w:p>
          <w:p w14:paraId="798FA0BD" w14:textId="77777777" w:rsidR="00FA0CFF" w:rsidRPr="004E6A4A" w:rsidRDefault="00144445">
            <w:pPr>
              <w:jc w:val="both"/>
            </w:pPr>
            <w:r w:rsidRPr="004E6A4A">
              <w:rPr>
                <w:rFonts w:ascii="Times New Roman" w:eastAsia="Times New Roman" w:hAnsi="Times New Roman" w:cs="Times New Roman"/>
                <w:sz w:val="20"/>
              </w:rPr>
              <w:t>i. with the Member States of the European Union, in accordance with Article 8, paragraph 3a, and Annexes I and II to Directive 2011/16/EU, as amended; and</w:t>
            </w:r>
          </w:p>
          <w:p w14:paraId="16165A5D" w14:textId="77777777" w:rsidR="00FA0CFF" w:rsidRPr="004E6A4A" w:rsidRDefault="00144445">
            <w:pPr>
              <w:jc w:val="both"/>
            </w:pPr>
            <w:r w:rsidRPr="004E6A4A">
              <w:rPr>
                <w:rFonts w:ascii="Times New Roman" w:eastAsia="Times New Roman" w:hAnsi="Times New Roman" w:cs="Times New Roman"/>
                <w:sz w:val="20"/>
              </w:rPr>
              <w:t>ii. with other jurisdictions, in accordance with the Common Reporting Standard and the Multilateral Competent Authority Agreement on the automatic exchange of financial account information;</w:t>
            </w:r>
          </w:p>
          <w:p w14:paraId="7295643E" w14:textId="77777777" w:rsidR="00FA0CFF" w:rsidRPr="004E6A4A" w:rsidRDefault="00144445">
            <w:pPr>
              <w:jc w:val="both"/>
            </w:pPr>
            <w:r w:rsidRPr="004E6A4A">
              <w:rPr>
                <w:rFonts w:ascii="Times New Roman" w:eastAsia="Times New Roman" w:hAnsi="Times New Roman" w:cs="Times New Roman"/>
                <w:sz w:val="20"/>
              </w:rPr>
              <w:t>b) the obligation of Reporting Financial Institutions to collect and report financial account information to the Competent Authority and to apply the reporting rules and due diligence procedures laid down in this Law and in the sub-legal acts issued for its implementation;</w:t>
            </w:r>
          </w:p>
          <w:p w14:paraId="6833A325" w14:textId="77777777" w:rsidR="00FA0CFF" w:rsidRPr="004E6A4A" w:rsidRDefault="00144445">
            <w:pPr>
              <w:jc w:val="both"/>
            </w:pPr>
            <w:r w:rsidRPr="004E6A4A">
              <w:rPr>
                <w:rFonts w:ascii="Times New Roman" w:eastAsia="Times New Roman" w:hAnsi="Times New Roman" w:cs="Times New Roman"/>
                <w:sz w:val="20"/>
              </w:rPr>
              <w:t>c) the conditions for the collection, processing, updating, access, retention, use, exchange and archiving of financial account information;</w:t>
            </w:r>
          </w:p>
          <w:p w14:paraId="2006AFC4" w14:textId="77777777" w:rsidR="00FA0CFF" w:rsidRPr="004E6A4A" w:rsidRDefault="00144445">
            <w:pPr>
              <w:jc w:val="both"/>
            </w:pPr>
            <w:r w:rsidRPr="004E6A4A">
              <w:rPr>
                <w:rFonts w:ascii="Times New Roman" w:eastAsia="Times New Roman" w:hAnsi="Times New Roman" w:cs="Times New Roman"/>
                <w:sz w:val="20"/>
              </w:rPr>
              <w:t>ç) the rights and obligations of the Competent Authority to ensure the effective implementation of and compliance with the reporting and due diligence rules, including the requirements of Section IX of Annex I to Directive 2011/16/EU and Section IX of the Common Reporting Standard.</w:t>
            </w:r>
          </w:p>
          <w:p w14:paraId="3B91A634" w14:textId="77777777" w:rsidR="00FA0CFF" w:rsidRPr="004E6A4A" w:rsidRDefault="00FA0CFF"/>
          <w:p w14:paraId="5DA1F4FA" w14:textId="77777777" w:rsidR="00FA0CFF" w:rsidRPr="004E6A4A" w:rsidRDefault="00144445">
            <w:pPr>
              <w:jc w:val="center"/>
            </w:pPr>
            <w:r w:rsidRPr="004E6A4A">
              <w:rPr>
                <w:rFonts w:ascii="Times New Roman" w:eastAsia="Times New Roman" w:hAnsi="Times New Roman" w:cs="Times New Roman"/>
                <w:b/>
                <w:sz w:val="20"/>
              </w:rPr>
              <w:t>Draft Law: Article 6</w:t>
            </w:r>
          </w:p>
          <w:p w14:paraId="293FFDBA" w14:textId="77777777" w:rsidR="00FA0CFF" w:rsidRPr="004E6A4A" w:rsidRDefault="00144445">
            <w:pPr>
              <w:jc w:val="center"/>
            </w:pPr>
            <w:r w:rsidRPr="004E6A4A">
              <w:rPr>
                <w:rFonts w:ascii="Times New Roman" w:eastAsia="Times New Roman" w:hAnsi="Times New Roman" w:cs="Times New Roman"/>
                <w:b/>
                <w:sz w:val="20"/>
              </w:rPr>
              <w:t>Reporting to the Competent Authority</w:t>
            </w:r>
          </w:p>
          <w:p w14:paraId="16F5996C" w14:textId="77777777" w:rsidR="00FA0CFF" w:rsidRPr="004E6A4A" w:rsidRDefault="00144445">
            <w:pPr>
              <w:jc w:val="both"/>
            </w:pPr>
            <w:r w:rsidRPr="004E6A4A">
              <w:rPr>
                <w:rFonts w:ascii="Times New Roman" w:eastAsia="Times New Roman" w:hAnsi="Times New Roman" w:cs="Times New Roman"/>
                <w:sz w:val="20"/>
              </w:rPr>
              <w:t xml:space="preserve">1. Every reporting financial institution in the Republic of Albania shall report to the Competent Authority, for each calendar year or other appropriate reporting period, the information required for each reportable account, in accordance with this Law and the sub-legal acts issued in implementation thereof, no later than 30 May of the year following the end of the reporting </w:t>
            </w:r>
            <w:r w:rsidRPr="004E6A4A">
              <w:rPr>
                <w:rFonts w:ascii="Times New Roman" w:eastAsia="Times New Roman" w:hAnsi="Times New Roman" w:cs="Times New Roman"/>
                <w:sz w:val="20"/>
              </w:rPr>
              <w:lastRenderedPageBreak/>
              <w:t>period. The information reported shall include the elements determined in this Law, as well as the other elements determined in the sub-legal acts issued in implementation thereof.</w:t>
            </w:r>
          </w:p>
          <w:p w14:paraId="670B7755" w14:textId="77777777" w:rsidR="00FA0CFF" w:rsidRPr="004E6A4A" w:rsidRDefault="00144445">
            <w:pPr>
              <w:jc w:val="both"/>
            </w:pPr>
            <w:r w:rsidRPr="004E6A4A">
              <w:rPr>
                <w:rFonts w:ascii="Times New Roman" w:eastAsia="Times New Roman" w:hAnsi="Times New Roman" w:cs="Times New Roman"/>
                <w:sz w:val="20"/>
              </w:rPr>
              <w:t>2. If the reporting financial institution, after the application of the due diligence procedures determined under this Law and the sub-legal act, does not identify any account as a reportable account for a calendar year, it shall send to the Competent Authority, within the time limit determined in point 1 of this Article, a declaration confirming that it holds no reportable account for the reporting year.</w:t>
            </w:r>
          </w:p>
          <w:p w14:paraId="3DEDF370" w14:textId="77777777" w:rsidR="00FA0CFF" w:rsidRPr="004E6A4A" w:rsidRDefault="00144445">
            <w:pPr>
              <w:jc w:val="both"/>
            </w:pPr>
            <w:r w:rsidRPr="004E6A4A">
              <w:rPr>
                <w:rFonts w:ascii="Times New Roman" w:eastAsia="Times New Roman" w:hAnsi="Times New Roman" w:cs="Times New Roman"/>
                <w:sz w:val="20"/>
              </w:rPr>
              <w:t>3. The information shall be sent electronically, in a standardised format, using the appropriate technology, in accordance with the sub-legal acts issued in implementation of this Law.</w:t>
            </w:r>
          </w:p>
          <w:p w14:paraId="6CA0D751" w14:textId="77777777" w:rsidR="00FA0CFF" w:rsidRPr="004E6A4A" w:rsidRDefault="00FA0CFF"/>
          <w:p w14:paraId="71713123" w14:textId="77777777" w:rsidR="00FA0CFF" w:rsidRPr="004E6A4A" w:rsidRDefault="00144445">
            <w:pPr>
              <w:jc w:val="center"/>
            </w:pPr>
            <w:r w:rsidRPr="004E6A4A">
              <w:rPr>
                <w:rFonts w:ascii="Times New Roman" w:eastAsia="Times New Roman" w:hAnsi="Times New Roman" w:cs="Times New Roman"/>
                <w:b/>
                <w:sz w:val="20"/>
              </w:rPr>
              <w:t>DCM: Article 4</w:t>
            </w:r>
          </w:p>
          <w:p w14:paraId="1E770F84"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589B01E9" w14:textId="77777777" w:rsidR="00FA0CFF" w:rsidRPr="004E6A4A" w:rsidRDefault="00144445">
            <w:pPr>
              <w:jc w:val="both"/>
            </w:pPr>
            <w:r w:rsidRPr="004E6A4A">
              <w:rPr>
                <w:rFonts w:ascii="Times New Roman" w:eastAsia="Times New Roman" w:hAnsi="Times New Roman" w:cs="Times New Roman"/>
                <w:sz w:val="20"/>
              </w:rPr>
              <w:t xml:space="preserve">1. Every reporting financial institution shall report to the GDT, for each Reportable Account: a) the name, the address, the jurisdiction or jurisdictions of residence, the TIN or TINs, the date and place of birth, in the case of an individual, of each Reportable Person who is an Account Holder, as well as the fact whether a valid self-certification has been provided; b) for an entity which is an Account Holder and which, after the application of the due diligence procedures, is identified as having one or more Controlling Persons who are Reportable Persons, the name, the address, the jurisdiction or jurisdictions of residence and the TIN or TINs of the entity, as well as the name, the address, the jurisdiction or jurisdictions of residence, the TIN or TINs, the date and place of birth of each Reportable Person, the role or roles by virtue of which he or she is a Controlling Person and the fact whether a valid self-certification has been provided for each of </w:t>
            </w:r>
            <w:r w:rsidRPr="004E6A4A">
              <w:rPr>
                <w:rFonts w:ascii="Times New Roman" w:eastAsia="Times New Roman" w:hAnsi="Times New Roman" w:cs="Times New Roman"/>
                <w:sz w:val="20"/>
              </w:rPr>
              <w:lastRenderedPageBreak/>
              <w:t>them; c) the fact whether the account is a joint account and the number of Account Holders; ç) the account number or the functional equivalent, the type of account and the fact whether it is a Pre-existing Account or a New Account under the relevant profile; d) the name and the identification number, where available, of the reporting financial institution; dh) the balance or value of the account at the end of the calendar year or of the other relevant reporting period, or the fact of the closure of the account during that period; e) for a Custodial Account, the total gross amounts of interest, dividends and other income from the assets, as well as the total gross proceeds from the sale or redemption of financial assets, where the institution acted as custodian, broker, nominee or agent; ë) for a Depository Account, the total gross amount of interest; f) for each Equity Interest in an investment entity which is a legal arrangement, the role or roles by virtue of which the Reportable Person is a holder of the Equity Interest; and g) for any other account, the total gross amount paid or credited to the Account Holder, including redemption payments.</w:t>
            </w:r>
          </w:p>
          <w:p w14:paraId="4DA52202" w14:textId="77777777" w:rsidR="00FA0CFF" w:rsidRPr="004E6A4A" w:rsidRDefault="00144445">
            <w:pPr>
              <w:jc w:val="both"/>
            </w:pPr>
            <w:r w:rsidRPr="004E6A4A">
              <w:rPr>
                <w:rFonts w:ascii="Times New Roman" w:eastAsia="Times New Roman" w:hAnsi="Times New Roman" w:cs="Times New Roman"/>
                <w:sz w:val="20"/>
              </w:rPr>
              <w:t>7. The information under this Article shall be submitted to the GDT no later than 30 May of the year following the calendar year or other relevant reporting period.</w:t>
            </w:r>
          </w:p>
          <w:p w14:paraId="531682D0" w14:textId="77777777" w:rsidR="00FA0CFF" w:rsidRPr="004E6A4A" w:rsidRDefault="00144445">
            <w:pPr>
              <w:jc w:val="both"/>
            </w:pPr>
            <w:r w:rsidRPr="004E6A4A">
              <w:rPr>
                <w:rFonts w:ascii="Times New Roman" w:eastAsia="Times New Roman" w:hAnsi="Times New Roman" w:cs="Times New Roman"/>
                <w:sz w:val="20"/>
              </w:rPr>
              <w:t>8. Where, after the application of the due diligence procedures for the relevant period, the reporting financial institution does not maintain any Reportable Account, it shall submit a return without reportable data (“nil return”) in the manner determined in Annex IV.</w:t>
            </w:r>
          </w:p>
        </w:tc>
        <w:tc>
          <w:tcPr>
            <w:tcW w:w="1156" w:type="dxa"/>
          </w:tcPr>
          <w:p w14:paraId="4393637B" w14:textId="77777777" w:rsidR="00FF7A09" w:rsidRPr="004E6A4A" w:rsidRDefault="00FF7A09" w:rsidP="00C4419F">
            <w:pPr>
              <w:jc w:val="center"/>
              <w:rPr>
                <w:rFonts w:ascii="Times New Roman" w:eastAsia="Calibri" w:hAnsi="Times New Roman" w:cs="Times New Roman"/>
                <w:sz w:val="18"/>
                <w:szCs w:val="18"/>
              </w:rPr>
            </w:pPr>
          </w:p>
          <w:p w14:paraId="0BBA05A9" w14:textId="00471F96"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1A5487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CD9F471" w14:textId="136D50E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6 and Article 1  of the Draft Law and by Article 4, points 1, 7 and 8 of the Decision.</w:t>
            </w:r>
          </w:p>
        </w:tc>
      </w:tr>
      <w:tr w:rsidR="004E6A4A" w:rsidRPr="004E6A4A" w14:paraId="15160CF8" w14:textId="77777777" w:rsidTr="00E11E6D">
        <w:trPr>
          <w:trHeight w:val="764"/>
        </w:trPr>
        <w:tc>
          <w:tcPr>
            <w:tcW w:w="720" w:type="dxa"/>
          </w:tcPr>
          <w:p w14:paraId="7E8549EC"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30836C84"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  Paragraph B</w:t>
            </w:r>
          </w:p>
          <w:p w14:paraId="3CE6D92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information reported must identify the currency in which each amount is denominated.</w:t>
            </w:r>
          </w:p>
        </w:tc>
        <w:tc>
          <w:tcPr>
            <w:tcW w:w="1080" w:type="dxa"/>
          </w:tcPr>
          <w:p w14:paraId="5FAB7108"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4F1C29DB" w14:textId="051F7462"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7F254E6F" w14:textId="77777777" w:rsidR="00FA0CFF" w:rsidRPr="004E6A4A" w:rsidRDefault="00144445">
            <w:pPr>
              <w:jc w:val="center"/>
            </w:pPr>
            <w:r w:rsidRPr="004E6A4A">
              <w:rPr>
                <w:rFonts w:ascii="Times New Roman" w:eastAsia="Times New Roman" w:hAnsi="Times New Roman" w:cs="Times New Roman"/>
                <w:b/>
                <w:sz w:val="20"/>
              </w:rPr>
              <w:t>DCM: Article 4</w:t>
            </w:r>
          </w:p>
          <w:p w14:paraId="553EEB0A"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69CBBC11" w14:textId="77777777" w:rsidR="00FA0CFF" w:rsidRPr="004E6A4A" w:rsidRDefault="00144445">
            <w:pPr>
              <w:jc w:val="both"/>
            </w:pPr>
            <w:r w:rsidRPr="004E6A4A">
              <w:rPr>
                <w:rFonts w:ascii="Times New Roman" w:eastAsia="Times New Roman" w:hAnsi="Times New Roman" w:cs="Times New Roman"/>
                <w:sz w:val="20"/>
              </w:rPr>
              <w:t xml:space="preserve">2. For each amount reported, the currency in which it is expressed shall be identified. The information shall be submitted once to the GDT in accordance with the </w:t>
            </w:r>
            <w:r w:rsidRPr="004E6A4A">
              <w:rPr>
                <w:rFonts w:ascii="Times New Roman" w:eastAsia="Times New Roman" w:hAnsi="Times New Roman" w:cs="Times New Roman"/>
                <w:sz w:val="20"/>
              </w:rPr>
              <w:lastRenderedPageBreak/>
              <w:t>national specifications of Annex IV; the GDT shall carry out the validation, transformation and routing of the message under the relevant profile.</w:t>
            </w:r>
          </w:p>
        </w:tc>
        <w:tc>
          <w:tcPr>
            <w:tcW w:w="1156" w:type="dxa"/>
          </w:tcPr>
          <w:p w14:paraId="3F8AB555" w14:textId="1A0DA96F"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47FAC56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A7493A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4, point 2 of the Decision.</w:t>
            </w:r>
          </w:p>
        </w:tc>
      </w:tr>
      <w:tr w:rsidR="004E6A4A" w:rsidRPr="004E6A4A" w14:paraId="25B0C1F8" w14:textId="77777777" w:rsidTr="00E11E6D">
        <w:trPr>
          <w:trHeight w:val="764"/>
        </w:trPr>
        <w:tc>
          <w:tcPr>
            <w:tcW w:w="720" w:type="dxa"/>
          </w:tcPr>
          <w:p w14:paraId="09FC3FB8"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655067B2"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  Paragraph C</w:t>
            </w:r>
          </w:p>
          <w:p w14:paraId="58A6FA3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Notwithstanding subparagraph A(1), with respect to each Reportable Account that is a Pre-existing Account, the TIN(s) or date of birth is not required to be reported if such TIN(s) or date of birth is not in the records of the Reporting Financial Institution and is not otherwise required to be collected by such Reporting Financial Institution under domestic law or any Union legal instrument. However, a Reporting Financial Institution is required to use reasonable efforts to obtain the TIN(s) and date of birth with respect to Pre-existing Accounts by the end of the second calendar year following the year in which Pre-existing Accounts were identified as Reportable Accounts and whenever it is required to update the information relating to the Pre-existing Account pursuant to domestic AML/KYC Procedures.</w:t>
            </w:r>
          </w:p>
        </w:tc>
        <w:tc>
          <w:tcPr>
            <w:tcW w:w="1080" w:type="dxa"/>
          </w:tcPr>
          <w:p w14:paraId="03DA758C"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6EDC1C13" w14:textId="084CCB49"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18D92489" w14:textId="77777777" w:rsidR="00FA0CFF" w:rsidRPr="004E6A4A" w:rsidRDefault="00144445">
            <w:pPr>
              <w:jc w:val="center"/>
            </w:pPr>
            <w:r w:rsidRPr="004E6A4A">
              <w:rPr>
                <w:rFonts w:ascii="Times New Roman" w:eastAsia="Times New Roman" w:hAnsi="Times New Roman" w:cs="Times New Roman"/>
                <w:b/>
                <w:sz w:val="20"/>
              </w:rPr>
              <w:t>DCM: Article 4</w:t>
            </w:r>
          </w:p>
          <w:p w14:paraId="5D5B6379"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160412A5" w14:textId="77777777" w:rsidR="00FA0CFF" w:rsidRPr="004E6A4A" w:rsidRDefault="00144445">
            <w:pPr>
              <w:jc w:val="both"/>
            </w:pPr>
            <w:r w:rsidRPr="004E6A4A">
              <w:rPr>
                <w:rFonts w:ascii="Times New Roman" w:eastAsia="Times New Roman" w:hAnsi="Times New Roman" w:cs="Times New Roman"/>
                <w:sz w:val="20"/>
              </w:rPr>
              <w:t>3. For a Reportable Account which is a Pre-existing Account:</w:t>
            </w:r>
          </w:p>
          <w:p w14:paraId="354BF6D2" w14:textId="77777777" w:rsidR="00FA0CFF" w:rsidRPr="004E6A4A" w:rsidRDefault="00144445">
            <w:pPr>
              <w:jc w:val="both"/>
            </w:pPr>
            <w:r w:rsidRPr="004E6A4A">
              <w:rPr>
                <w:rFonts w:ascii="Times New Roman" w:eastAsia="Times New Roman" w:hAnsi="Times New Roman" w:cs="Times New Roman"/>
                <w:sz w:val="20"/>
              </w:rPr>
              <w:t>a) for the European Union profile, the TIN or the date of birth shall not be required to be reported where it does not appear in the records of the Reporting Financial Institution and the obtaining thereof has not been mandatory under Albanian legislation or under an applicable legal instrument of the European Union;</w:t>
            </w:r>
          </w:p>
          <w:p w14:paraId="3E489694" w14:textId="77777777" w:rsidR="00FA0CFF" w:rsidRPr="004E6A4A" w:rsidRDefault="00144445">
            <w:pPr>
              <w:jc w:val="both"/>
            </w:pPr>
            <w:r w:rsidRPr="004E6A4A">
              <w:rPr>
                <w:rFonts w:ascii="Times New Roman" w:eastAsia="Times New Roman" w:hAnsi="Times New Roman" w:cs="Times New Roman"/>
                <w:sz w:val="20"/>
              </w:rPr>
              <w:t>b) for the Common Reporting Standard profile, the TIN or the date of birth shall not be required to be reported where it does not appear in the records of the Reporting Financial Institution and the obtaining thereof has not been mandatory under Albanian legislation.</w:t>
            </w:r>
          </w:p>
          <w:p w14:paraId="01C57FC4" w14:textId="77777777" w:rsidR="00FA0CFF" w:rsidRPr="004E6A4A" w:rsidRDefault="00144445">
            <w:pPr>
              <w:jc w:val="both"/>
            </w:pPr>
            <w:r w:rsidRPr="004E6A4A">
              <w:rPr>
                <w:rFonts w:ascii="Times New Roman" w:eastAsia="Times New Roman" w:hAnsi="Times New Roman" w:cs="Times New Roman"/>
                <w:sz w:val="20"/>
              </w:rPr>
              <w:t>The reporting financial institution shall make reasonable efforts to obtain those data by the end of the second calendar year following the year in which the account is identified as a Reportable Account and whenever the information is updated under the AML/KYC procedures.</w:t>
            </w:r>
          </w:p>
        </w:tc>
        <w:tc>
          <w:tcPr>
            <w:tcW w:w="1156" w:type="dxa"/>
          </w:tcPr>
          <w:p w14:paraId="518C9A70" w14:textId="77777777" w:rsidR="00FF7A09" w:rsidRPr="004E6A4A" w:rsidRDefault="00FF7A09" w:rsidP="00C4419F">
            <w:pPr>
              <w:jc w:val="center"/>
              <w:rPr>
                <w:rFonts w:ascii="Times New Roman" w:eastAsia="Calibri" w:hAnsi="Times New Roman" w:cs="Times New Roman"/>
                <w:sz w:val="18"/>
                <w:szCs w:val="18"/>
              </w:rPr>
            </w:pPr>
          </w:p>
          <w:p w14:paraId="3A21E793" w14:textId="1E9191A1"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0C3271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9BE9F1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4, point 3 of the Decision.</w:t>
            </w:r>
          </w:p>
        </w:tc>
      </w:tr>
      <w:tr w:rsidR="004E6A4A" w:rsidRPr="004E6A4A" w14:paraId="7DE6E163" w14:textId="77777777" w:rsidTr="00E11E6D">
        <w:trPr>
          <w:trHeight w:val="764"/>
        </w:trPr>
        <w:tc>
          <w:tcPr>
            <w:tcW w:w="720" w:type="dxa"/>
          </w:tcPr>
          <w:p w14:paraId="090E14DF"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10EA96D1"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  Paragraph D</w:t>
            </w:r>
          </w:p>
          <w:p w14:paraId="12A898C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Notwithstanding subparagraph A(1), the TIN is not required to be reported if a TIN is not issued by the relevant Member State or other jurisdiction of residence.</w:t>
            </w:r>
          </w:p>
        </w:tc>
        <w:tc>
          <w:tcPr>
            <w:tcW w:w="1080" w:type="dxa"/>
          </w:tcPr>
          <w:p w14:paraId="43454321"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532D279F" w14:textId="22C0844F" w:rsidR="006D0605" w:rsidRPr="004E6A4A" w:rsidRDefault="006D0605" w:rsidP="00063722">
            <w:pPr>
              <w:rPr>
                <w:rFonts w:ascii="Times New Roman" w:eastAsia="Times New Roman" w:hAnsi="Times New Roman" w:cs="Times New Roman"/>
                <w:sz w:val="20"/>
                <w:szCs w:val="21"/>
                <w:lang w:eastAsia="sq-AL"/>
              </w:rPr>
            </w:pPr>
          </w:p>
        </w:tc>
        <w:tc>
          <w:tcPr>
            <w:tcW w:w="4514" w:type="dxa"/>
          </w:tcPr>
          <w:p w14:paraId="68F9133B" w14:textId="77777777" w:rsidR="00FA0CFF" w:rsidRPr="004E6A4A" w:rsidRDefault="00144445">
            <w:pPr>
              <w:jc w:val="center"/>
            </w:pPr>
            <w:r w:rsidRPr="004E6A4A">
              <w:rPr>
                <w:rFonts w:ascii="Times New Roman" w:eastAsia="Times New Roman" w:hAnsi="Times New Roman" w:cs="Times New Roman"/>
                <w:b/>
                <w:sz w:val="20"/>
              </w:rPr>
              <w:t>DCM: Article 4</w:t>
            </w:r>
          </w:p>
          <w:p w14:paraId="3663A696"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27FA8E67" w14:textId="77777777" w:rsidR="00FA0CFF" w:rsidRPr="004E6A4A" w:rsidRDefault="00144445">
            <w:pPr>
              <w:jc w:val="both"/>
            </w:pPr>
            <w:r w:rsidRPr="004E6A4A">
              <w:rPr>
                <w:rFonts w:ascii="Times New Roman" w:eastAsia="Times New Roman" w:hAnsi="Times New Roman" w:cs="Times New Roman"/>
                <w:sz w:val="20"/>
              </w:rPr>
              <w:t>4. For the European Union profile, the TIN shall not be required to be reported only where the TIN has not been issued by the Member State or other relevant jurisdiction of residence. For the Common Reporting Standard profile, the TIN shall not be required to be reported where: a) the TIN has not been issued by the relevant Reportable Jurisdiction; or b) the domestic legislation of that jurisdiction does not require the collection of the TIN issued by it.</w:t>
            </w:r>
          </w:p>
        </w:tc>
        <w:tc>
          <w:tcPr>
            <w:tcW w:w="1156" w:type="dxa"/>
          </w:tcPr>
          <w:p w14:paraId="4FE4FB82" w14:textId="77777777" w:rsidR="00FF7A09" w:rsidRPr="004E6A4A" w:rsidRDefault="00FF7A09" w:rsidP="00C4419F">
            <w:pPr>
              <w:jc w:val="center"/>
              <w:rPr>
                <w:rFonts w:ascii="Times New Roman" w:eastAsia="Calibri" w:hAnsi="Times New Roman" w:cs="Times New Roman"/>
                <w:sz w:val="18"/>
                <w:szCs w:val="18"/>
              </w:rPr>
            </w:pPr>
          </w:p>
          <w:p w14:paraId="28C1E255" w14:textId="05B6C660"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235CAF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4B7BBB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4, point 4 of the Decision.</w:t>
            </w:r>
          </w:p>
        </w:tc>
      </w:tr>
      <w:tr w:rsidR="004E6A4A" w:rsidRPr="004E6A4A" w14:paraId="634935DC" w14:textId="77777777" w:rsidTr="00E11E6D">
        <w:trPr>
          <w:trHeight w:val="764"/>
        </w:trPr>
        <w:tc>
          <w:tcPr>
            <w:tcW w:w="720" w:type="dxa"/>
          </w:tcPr>
          <w:p w14:paraId="1D619D49"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47A87953"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  Paragraph E</w:t>
            </w:r>
          </w:p>
          <w:p w14:paraId="254341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Notwithstanding subparagraph A(1), the place of birth is not required to be reported unless:</w:t>
            </w:r>
          </w:p>
          <w:p w14:paraId="2024E45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the Reporting Financial Institution is otherwise required to obtain and report it under domestic law or the Reporting Financial Institution is or has been otherwise required to obtain and report it under any Union legal instrument in effect or that was in effect on 5 January 2015; and</w:t>
            </w:r>
          </w:p>
          <w:p w14:paraId="42581D3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it is available in the electronically searchable data maintained by the Reporting Financial Institution.</w:t>
            </w:r>
          </w:p>
          <w:p w14:paraId="4966AC3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 Notwithstanding subparagraph A(5), point (b), and unless the Reporting Financial Institution elects otherwise with respect to any clearly identified group of accounts, the gross proceeds from the sale or redemption of a Financial Asset are not required to be reported to the extent such gross proceeds from the sale or redemption of such Financial Asset are reported by the Reporting Financial Institution in accordance with Article 8ad.</w:t>
            </w:r>
          </w:p>
        </w:tc>
        <w:tc>
          <w:tcPr>
            <w:tcW w:w="1080" w:type="dxa"/>
          </w:tcPr>
          <w:p w14:paraId="3C546F9E"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0E4AD299" w14:textId="4EA080B9"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02EA7C67" w14:textId="77777777" w:rsidR="00FA0CFF" w:rsidRPr="004E6A4A" w:rsidRDefault="00144445">
            <w:pPr>
              <w:jc w:val="center"/>
            </w:pPr>
            <w:r w:rsidRPr="004E6A4A">
              <w:rPr>
                <w:rFonts w:ascii="Times New Roman" w:eastAsia="Times New Roman" w:hAnsi="Times New Roman" w:cs="Times New Roman"/>
                <w:b/>
                <w:sz w:val="20"/>
              </w:rPr>
              <w:t>DCM: Article 4</w:t>
            </w:r>
          </w:p>
          <w:p w14:paraId="78B31F88" w14:textId="77777777" w:rsidR="00FA0CFF" w:rsidRPr="004E6A4A" w:rsidRDefault="00144445">
            <w:pPr>
              <w:jc w:val="center"/>
            </w:pPr>
            <w:r w:rsidRPr="004E6A4A">
              <w:rPr>
                <w:rFonts w:ascii="Times New Roman" w:eastAsia="Times New Roman" w:hAnsi="Times New Roman" w:cs="Times New Roman"/>
                <w:b/>
                <w:sz w:val="20"/>
              </w:rPr>
              <w:t>General reporting requirements</w:t>
            </w:r>
          </w:p>
          <w:p w14:paraId="0ACD9362" w14:textId="77777777" w:rsidR="00FA0CFF" w:rsidRPr="004E6A4A" w:rsidRDefault="00144445">
            <w:pPr>
              <w:jc w:val="both"/>
            </w:pPr>
            <w:r w:rsidRPr="004E6A4A">
              <w:rPr>
                <w:rFonts w:ascii="Times New Roman" w:eastAsia="Times New Roman" w:hAnsi="Times New Roman" w:cs="Times New Roman"/>
                <w:sz w:val="20"/>
              </w:rPr>
              <w:t>5. For the European Union profile, the place of birth shall not be required to be reported, except where the reporting financial institution is or has been obliged to obtain and report it under national legislation or under a legal instrument of the European Union in force or which was in force on 5 January 2015, and that information is available in the electronically searchable data. For the Common Reporting Standard profile, the place of birth shall be required only where the institution is obliged to obtain and report it under national legislation and that information is available in the electronically searchable data.</w:t>
            </w:r>
          </w:p>
          <w:p w14:paraId="0B9BBB18" w14:textId="77777777" w:rsidR="00FA0CFF" w:rsidRPr="004E6A4A" w:rsidRDefault="00144445">
            <w:pPr>
              <w:jc w:val="both"/>
            </w:pPr>
            <w:r w:rsidRPr="004E6A4A">
              <w:rPr>
                <w:rFonts w:ascii="Times New Roman" w:eastAsia="Times New Roman" w:hAnsi="Times New Roman" w:cs="Times New Roman"/>
                <w:sz w:val="20"/>
              </w:rPr>
              <w:t>6. For the European Union profile, the gross proceeds from the sale or redemption of a Financial Asset are not required to be reported under this Decision to the extent that the same proceeds are reported by the same Reporting Financial Institution pursuant to the provisions implementing Article 8ad of Directive 2011/16/EU, as amended, unless the institution elects otherwise for a clearly identified group of accounts. For the Common Reporting Standard profile, the corresponding rule of the Standard shall apply to gross proceeds reported under the Crypto-Asset Reporting Framework.</w:t>
            </w:r>
          </w:p>
          <w:p w14:paraId="70654CCD" w14:textId="77777777" w:rsidR="00FA0CFF" w:rsidRPr="004E6A4A" w:rsidRDefault="00FA0CFF"/>
          <w:p w14:paraId="50F9BDFE" w14:textId="38634136" w:rsidR="00FA0CFF" w:rsidRPr="004E6A4A" w:rsidRDefault="00FA0CFF">
            <w:pPr>
              <w:jc w:val="both"/>
            </w:pPr>
          </w:p>
        </w:tc>
        <w:tc>
          <w:tcPr>
            <w:tcW w:w="1156" w:type="dxa"/>
          </w:tcPr>
          <w:p w14:paraId="04DF4DC2" w14:textId="77777777" w:rsidR="00FF7A09" w:rsidRPr="004E6A4A" w:rsidRDefault="00FF7A09" w:rsidP="00C4419F">
            <w:pPr>
              <w:jc w:val="center"/>
              <w:rPr>
                <w:rFonts w:ascii="Times New Roman" w:eastAsia="Calibri" w:hAnsi="Times New Roman" w:cs="Times New Roman"/>
                <w:sz w:val="18"/>
                <w:szCs w:val="18"/>
              </w:rPr>
            </w:pPr>
          </w:p>
          <w:p w14:paraId="662DBEEB" w14:textId="4537B31E"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7FA9F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4C1FC00" w14:textId="0905A3A2"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4,</w:t>
            </w:r>
            <w:r w:rsidR="00737082" w:rsidRPr="004E6A4A">
              <w:rPr>
                <w:rFonts w:ascii="Times New Roman" w:eastAsia="Times New Roman" w:hAnsi="Times New Roman" w:cs="Times New Roman"/>
                <w:sz w:val="20"/>
                <w:szCs w:val="20"/>
              </w:rPr>
              <w:t xml:space="preserve"> </w:t>
            </w:r>
            <w:r w:rsidRPr="004E6A4A">
              <w:rPr>
                <w:rFonts w:ascii="Times New Roman" w:eastAsia="Times New Roman" w:hAnsi="Times New Roman" w:cs="Times New Roman"/>
                <w:sz w:val="20"/>
                <w:szCs w:val="20"/>
              </w:rPr>
              <w:t>points 5 and 6 of the Decision.</w:t>
            </w:r>
          </w:p>
        </w:tc>
      </w:tr>
      <w:tr w:rsidR="004E6A4A" w:rsidRPr="004E6A4A" w14:paraId="17FC5897" w14:textId="77777777" w:rsidTr="00E11E6D">
        <w:trPr>
          <w:trHeight w:val="764"/>
        </w:trPr>
        <w:tc>
          <w:tcPr>
            <w:tcW w:w="720" w:type="dxa"/>
          </w:tcPr>
          <w:p w14:paraId="0AA42306"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20ED4DB7"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II,  Paragraphs A-E</w:t>
            </w:r>
          </w:p>
          <w:p w14:paraId="4ACB24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II</w:t>
            </w:r>
          </w:p>
          <w:p w14:paraId="6E410CE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GENERAL DUE DILIGENCE REQUIREMENTS</w:t>
            </w:r>
          </w:p>
          <w:p w14:paraId="50984F8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 xml:space="preserve">An account is treated as a Reportable Account beginning as of the date it is identified as such pursuant to the due diligence procedures in Sections II through VII and, unless otherwise provided, information with respect to a Reportable Account must be reported annually in the </w:t>
            </w:r>
            <w:r w:rsidRPr="004E6A4A">
              <w:rPr>
                <w:rFonts w:ascii="Times New Roman" w:eastAsia="Times New Roman" w:hAnsi="Times New Roman" w:cs="Times New Roman"/>
                <w:sz w:val="20"/>
                <w:szCs w:val="20"/>
              </w:rPr>
              <w:lastRenderedPageBreak/>
              <w:t>calendar year following the year to which the information relates.</w:t>
            </w:r>
          </w:p>
          <w:p w14:paraId="7E2F0F8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balance or value of an account is determined as of the last day of the calendar year or other appropriate reporting period.</w:t>
            </w:r>
          </w:p>
          <w:p w14:paraId="6E74B8E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Where a balance or value threshold is to be determined as of the last day of a calendar year, the relevant balance or value must be determined as of the last day of the reporting period that ends with or within that calendar year.</w:t>
            </w:r>
          </w:p>
          <w:p w14:paraId="0EE6CC7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Each Member State may allow Reporting Financial Institutions to use service providers to fulfil the reporting and due diligence obligations imposed on such Reporting Financial Institutions, as contemplated in domestic law, but these obligations shall remain the responsibility of the Reporting Financial Institutions.</w:t>
            </w:r>
          </w:p>
          <w:p w14:paraId="473DC00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Each Member State may allow Reporting Financial Institutions to apply the due diligence procedures for New Accounts to Pre-existing Accounts, and the due diligence procedures for High Value Accounts to Lower Value Accounts. Where a Member State allows New Account due diligence procedures to be used for Pre-existing Accounts, the rules otherwise applicable to Pre-existing Accounts continue to apply.</w:t>
            </w:r>
          </w:p>
        </w:tc>
        <w:tc>
          <w:tcPr>
            <w:tcW w:w="1080" w:type="dxa"/>
          </w:tcPr>
          <w:p w14:paraId="1AAE0141"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2072ED69" w14:textId="7E77119E"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26FC9021" w14:textId="77777777" w:rsidR="00FA0CFF" w:rsidRPr="004E6A4A" w:rsidRDefault="00144445">
            <w:pPr>
              <w:jc w:val="center"/>
            </w:pPr>
            <w:r w:rsidRPr="004E6A4A">
              <w:rPr>
                <w:rFonts w:ascii="Times New Roman" w:eastAsia="Times New Roman" w:hAnsi="Times New Roman" w:cs="Times New Roman"/>
                <w:b/>
                <w:sz w:val="20"/>
              </w:rPr>
              <w:t>Draft Law: Article 7</w:t>
            </w:r>
          </w:p>
          <w:p w14:paraId="423215AF" w14:textId="77777777" w:rsidR="00FA0CFF" w:rsidRPr="004E6A4A" w:rsidRDefault="00144445">
            <w:pPr>
              <w:jc w:val="center"/>
            </w:pPr>
            <w:r w:rsidRPr="004E6A4A">
              <w:rPr>
                <w:rFonts w:ascii="Times New Roman" w:eastAsia="Times New Roman" w:hAnsi="Times New Roman" w:cs="Times New Roman"/>
                <w:b/>
                <w:sz w:val="20"/>
              </w:rPr>
              <w:t>Due diligence</w:t>
            </w:r>
          </w:p>
          <w:p w14:paraId="1676B04C" w14:textId="77777777" w:rsidR="00FA0CFF" w:rsidRPr="004E6A4A" w:rsidRDefault="00144445">
            <w:pPr>
              <w:jc w:val="both"/>
            </w:pPr>
            <w:r w:rsidRPr="004E6A4A">
              <w:rPr>
                <w:rFonts w:ascii="Times New Roman" w:eastAsia="Times New Roman" w:hAnsi="Times New Roman" w:cs="Times New Roman"/>
                <w:sz w:val="20"/>
              </w:rPr>
              <w:t>1. Reporting financial institutions shall apply the due diligence procedures for the identification of Reportable Accounts and of Reportable Persons, in accordance with this Law.</w:t>
            </w:r>
          </w:p>
          <w:p w14:paraId="6255FF4A" w14:textId="77777777" w:rsidR="00FA0CFF" w:rsidRPr="004E6A4A" w:rsidRDefault="00144445">
            <w:pPr>
              <w:jc w:val="both"/>
            </w:pPr>
            <w:r w:rsidRPr="004E6A4A">
              <w:rPr>
                <w:rFonts w:ascii="Times New Roman" w:eastAsia="Times New Roman" w:hAnsi="Times New Roman" w:cs="Times New Roman"/>
                <w:sz w:val="20"/>
              </w:rPr>
              <w:t>2. For the purposes of the due diligence procedures, reporting financial institutions shall apply special rules for:</w:t>
            </w:r>
          </w:p>
          <w:p w14:paraId="182FB61E" w14:textId="77777777" w:rsidR="00FA0CFF" w:rsidRPr="004E6A4A" w:rsidRDefault="00144445">
            <w:pPr>
              <w:jc w:val="both"/>
            </w:pPr>
            <w:r w:rsidRPr="004E6A4A">
              <w:rPr>
                <w:rFonts w:ascii="Times New Roman" w:eastAsia="Times New Roman" w:hAnsi="Times New Roman" w:cs="Times New Roman"/>
                <w:sz w:val="20"/>
              </w:rPr>
              <w:lastRenderedPageBreak/>
              <w:t>a) Pre-existing Individual Accounts;</w:t>
            </w:r>
          </w:p>
          <w:p w14:paraId="796A5684" w14:textId="77777777" w:rsidR="00FA0CFF" w:rsidRPr="004E6A4A" w:rsidRDefault="00144445">
            <w:pPr>
              <w:jc w:val="both"/>
            </w:pPr>
            <w:r w:rsidRPr="004E6A4A">
              <w:rPr>
                <w:rFonts w:ascii="Times New Roman" w:eastAsia="Times New Roman" w:hAnsi="Times New Roman" w:cs="Times New Roman"/>
                <w:sz w:val="20"/>
              </w:rPr>
              <w:t>b) New Individual Accounts;</w:t>
            </w:r>
          </w:p>
          <w:p w14:paraId="7F85F9F0" w14:textId="77777777" w:rsidR="00FA0CFF" w:rsidRPr="004E6A4A" w:rsidRDefault="00144445">
            <w:pPr>
              <w:jc w:val="both"/>
            </w:pPr>
            <w:r w:rsidRPr="004E6A4A">
              <w:rPr>
                <w:rFonts w:ascii="Times New Roman" w:eastAsia="Times New Roman" w:hAnsi="Times New Roman" w:cs="Times New Roman"/>
                <w:sz w:val="20"/>
              </w:rPr>
              <w:t>c) Pre-existing Entity Accounts; and</w:t>
            </w:r>
          </w:p>
          <w:p w14:paraId="51D27348" w14:textId="77777777" w:rsidR="00FA0CFF" w:rsidRPr="004E6A4A" w:rsidRDefault="00144445">
            <w:pPr>
              <w:jc w:val="both"/>
            </w:pPr>
            <w:r w:rsidRPr="004E6A4A">
              <w:rPr>
                <w:rFonts w:ascii="Times New Roman" w:eastAsia="Times New Roman" w:hAnsi="Times New Roman" w:cs="Times New Roman"/>
                <w:sz w:val="20"/>
              </w:rPr>
              <w:t>ç) New Entity Accounts.</w:t>
            </w:r>
          </w:p>
          <w:p w14:paraId="119D7E2E" w14:textId="77777777" w:rsidR="00FA0CFF" w:rsidRPr="004E6A4A" w:rsidRDefault="00144445">
            <w:pPr>
              <w:jc w:val="both"/>
            </w:pPr>
            <w:r w:rsidRPr="004E6A4A">
              <w:rPr>
                <w:rFonts w:ascii="Times New Roman" w:eastAsia="Times New Roman" w:hAnsi="Times New Roman" w:cs="Times New Roman"/>
                <w:sz w:val="20"/>
              </w:rPr>
              <w:t>3. The reporting financial institution shall obtain a valid self-certification in the cases required by this Law. The self-certification may form part of the account opening documentation.</w:t>
            </w:r>
          </w:p>
          <w:p w14:paraId="61FE6933" w14:textId="77777777" w:rsidR="00FA0CFF" w:rsidRPr="004E6A4A" w:rsidRDefault="00144445">
            <w:pPr>
              <w:jc w:val="both"/>
            </w:pPr>
            <w:r w:rsidRPr="004E6A4A">
              <w:rPr>
                <w:rFonts w:ascii="Times New Roman" w:eastAsia="Times New Roman" w:hAnsi="Times New Roman" w:cs="Times New Roman"/>
                <w:sz w:val="20"/>
              </w:rPr>
              <w:t>4. The reporting financial institution shall confirm the reasonableness of the self-certification, on the basis of the information which it holds or which it obtains in relation to the opening or the maintenance of the account, including the documentation collected in accordance with the procedures for the prevention of money laundering and terrorist financing.</w:t>
            </w:r>
          </w:p>
          <w:p w14:paraId="7816B618" w14:textId="77777777" w:rsidR="00FA0CFF" w:rsidRPr="004E6A4A" w:rsidRDefault="00144445">
            <w:pPr>
              <w:jc w:val="both"/>
            </w:pPr>
            <w:r w:rsidRPr="004E6A4A">
              <w:rPr>
                <w:rFonts w:ascii="Times New Roman" w:eastAsia="Times New Roman" w:hAnsi="Times New Roman" w:cs="Times New Roman"/>
                <w:sz w:val="20"/>
              </w:rPr>
              <w:t>5. A reporting financial institution may not rely on a self-certification or on documentary evidence where it knows or has reason to know that the self-certification or the documentary evidence is inaccurate or unreliable.</w:t>
            </w:r>
          </w:p>
          <w:p w14:paraId="1A54BE7E" w14:textId="77777777" w:rsidR="00FA0CFF" w:rsidRPr="004E6A4A" w:rsidRDefault="00144445">
            <w:pPr>
              <w:jc w:val="both"/>
            </w:pPr>
            <w:r w:rsidRPr="004E6A4A">
              <w:rPr>
                <w:rFonts w:ascii="Times New Roman" w:eastAsia="Times New Roman" w:hAnsi="Times New Roman" w:cs="Times New Roman"/>
                <w:sz w:val="20"/>
              </w:rPr>
              <w:t>6. Reporting financial institutions shall take into account any change of circumstances which may affect the status of the account holder or of the controlling person and, in the event of such a change, shall review the status of the account and apply the relevant due diligence procedures.</w:t>
            </w:r>
          </w:p>
          <w:p w14:paraId="401CA058" w14:textId="77777777" w:rsidR="00FA0CFF" w:rsidRPr="004E6A4A" w:rsidRDefault="00144445">
            <w:pPr>
              <w:jc w:val="both"/>
            </w:pPr>
            <w:r w:rsidRPr="004E6A4A">
              <w:rPr>
                <w:rFonts w:ascii="Times New Roman" w:eastAsia="Times New Roman" w:hAnsi="Times New Roman" w:cs="Times New Roman"/>
                <w:sz w:val="20"/>
              </w:rPr>
              <w:t>7. For the determination of the Controlling Persons of an entity, the reporting financial institution may rely on the information collected and maintained in accordance with the procedures for the prevention of money laundering and terrorist financing under the Albanian legislation in force. If the reporting financial institution is not legally subject to the application of those procedures, it shall apply substantially similar procedures for the purpose of determining the Controlling Persons.</w:t>
            </w:r>
          </w:p>
          <w:p w14:paraId="25402F21" w14:textId="77777777" w:rsidR="00FA0CFF" w:rsidRPr="004E6A4A" w:rsidRDefault="00144445">
            <w:pPr>
              <w:jc w:val="both"/>
            </w:pPr>
            <w:r w:rsidRPr="004E6A4A">
              <w:rPr>
                <w:rFonts w:ascii="Times New Roman" w:eastAsia="Times New Roman" w:hAnsi="Times New Roman" w:cs="Times New Roman"/>
                <w:sz w:val="20"/>
              </w:rPr>
              <w:lastRenderedPageBreak/>
              <w:t>8. Reporting financial institutions shall keep records of the steps undertaken and of the information used for the fulfilment of the reporting and due diligence obligations, for the period determined in this Law.</w:t>
            </w:r>
          </w:p>
          <w:p w14:paraId="2A5CD2B1" w14:textId="77777777" w:rsidR="00FA0CFF" w:rsidRPr="004E6A4A" w:rsidRDefault="00144445">
            <w:pPr>
              <w:jc w:val="both"/>
            </w:pPr>
            <w:r w:rsidRPr="004E6A4A">
              <w:rPr>
                <w:rFonts w:ascii="Times New Roman" w:eastAsia="Times New Roman" w:hAnsi="Times New Roman" w:cs="Times New Roman"/>
                <w:sz w:val="20"/>
              </w:rPr>
              <w:t>9. The detailed rules for the application of the due diligence procedures, including the format and the content of the self-certification, the supporting documentation, the indicia, and the manner of searching for and verifying the information, shall be determined by sub-legal act issued in implementation of this Law.</w:t>
            </w:r>
          </w:p>
          <w:p w14:paraId="460B91A3" w14:textId="77777777" w:rsidR="00FA0CFF" w:rsidRPr="004E6A4A" w:rsidRDefault="00144445">
            <w:pPr>
              <w:jc w:val="both"/>
            </w:pPr>
            <w:r w:rsidRPr="004E6A4A">
              <w:rPr>
                <w:rFonts w:ascii="Times New Roman" w:eastAsia="Times New Roman" w:hAnsi="Times New Roman" w:cs="Times New Roman"/>
                <w:sz w:val="20"/>
              </w:rPr>
              <w:t>10. The reporting financial institution shall inform each individual concerned that the information relating to him or her will be collected, processed and transmitted for the purposes of this Law, and shall provide him or her with the information to which he or she is entitled from the data controller in sufficient time for the exercise of his or her rights and, in any event, before the reporting of the information, in accordance with the legislation on the protection of personal data.</w:t>
            </w:r>
          </w:p>
          <w:p w14:paraId="44DF030A" w14:textId="77777777" w:rsidR="00FA0CFF" w:rsidRPr="004E6A4A" w:rsidRDefault="00144445">
            <w:pPr>
              <w:jc w:val="both"/>
            </w:pPr>
            <w:r w:rsidRPr="004E6A4A">
              <w:rPr>
                <w:rFonts w:ascii="Times New Roman" w:eastAsia="Times New Roman" w:hAnsi="Times New Roman" w:cs="Times New Roman"/>
                <w:sz w:val="20"/>
              </w:rPr>
              <w:t>11. The account holder, the Controlling Person or the other person from whom a self-certification, information or documentation is required under this Law shall be obliged to provide it in a complete, accurate and truthful manner and to notify the reporting financial institution without delay of any change of circumstances which renders the previous information inaccurate or unreliable.</w:t>
            </w:r>
          </w:p>
          <w:p w14:paraId="3A8474E5" w14:textId="77777777" w:rsidR="00FA0CFF" w:rsidRPr="004E6A4A" w:rsidRDefault="00FA0CFF"/>
          <w:p w14:paraId="06853C01" w14:textId="77777777" w:rsidR="00FA0CFF" w:rsidRPr="004E6A4A" w:rsidRDefault="00144445">
            <w:pPr>
              <w:jc w:val="center"/>
            </w:pPr>
            <w:r w:rsidRPr="004E6A4A">
              <w:rPr>
                <w:rFonts w:ascii="Times New Roman" w:eastAsia="Times New Roman" w:hAnsi="Times New Roman" w:cs="Times New Roman"/>
                <w:b/>
                <w:sz w:val="20"/>
              </w:rPr>
              <w:t>DCM: Article 5</w:t>
            </w:r>
          </w:p>
          <w:p w14:paraId="405B986D" w14:textId="77777777" w:rsidR="00FA0CFF" w:rsidRPr="004E6A4A" w:rsidRDefault="00144445">
            <w:pPr>
              <w:jc w:val="center"/>
            </w:pPr>
            <w:r w:rsidRPr="004E6A4A">
              <w:rPr>
                <w:rFonts w:ascii="Times New Roman" w:eastAsia="Times New Roman" w:hAnsi="Times New Roman" w:cs="Times New Roman"/>
                <w:b/>
                <w:sz w:val="20"/>
              </w:rPr>
              <w:t>General due diligence requirements</w:t>
            </w:r>
          </w:p>
          <w:p w14:paraId="14F371EE" w14:textId="77777777" w:rsidR="00FA0CFF" w:rsidRPr="004E6A4A" w:rsidRDefault="00144445">
            <w:pPr>
              <w:jc w:val="both"/>
            </w:pPr>
            <w:r w:rsidRPr="004E6A4A">
              <w:rPr>
                <w:rFonts w:ascii="Times New Roman" w:eastAsia="Times New Roman" w:hAnsi="Times New Roman" w:cs="Times New Roman"/>
                <w:sz w:val="20"/>
              </w:rPr>
              <w:t>1. The reporting financial institution shall establish, maintain and document the due diligence procedures of Articles 5 to 11, for the identification of Reportable Accounts.</w:t>
            </w:r>
          </w:p>
          <w:p w14:paraId="5A667341" w14:textId="77777777" w:rsidR="00FA0CFF" w:rsidRPr="004E6A4A" w:rsidRDefault="00144445">
            <w:pPr>
              <w:jc w:val="both"/>
            </w:pPr>
            <w:r w:rsidRPr="004E6A4A">
              <w:rPr>
                <w:rFonts w:ascii="Times New Roman" w:eastAsia="Times New Roman" w:hAnsi="Times New Roman" w:cs="Times New Roman"/>
                <w:sz w:val="20"/>
              </w:rPr>
              <w:lastRenderedPageBreak/>
              <w:t>2. An account shall be treated as a Reportable Account from the date on which it is identified as such and, except where otherwise provided, the information relating to it shall be reported every year in the year following the period to which the information relates.</w:t>
            </w:r>
          </w:p>
          <w:p w14:paraId="27605C82" w14:textId="77777777" w:rsidR="00FA0CFF" w:rsidRPr="004E6A4A" w:rsidRDefault="00144445">
            <w:pPr>
              <w:jc w:val="both"/>
            </w:pPr>
            <w:r w:rsidRPr="004E6A4A">
              <w:rPr>
                <w:rFonts w:ascii="Times New Roman" w:eastAsia="Times New Roman" w:hAnsi="Times New Roman" w:cs="Times New Roman"/>
                <w:sz w:val="20"/>
              </w:rPr>
              <w:t>3. The balance or value of an account shall be determined on the last day of the calendar year or of the other relevant reporting period.</w:t>
            </w:r>
          </w:p>
          <w:p w14:paraId="36C99D2D" w14:textId="77777777" w:rsidR="00FA0CFF" w:rsidRPr="004E6A4A" w:rsidRDefault="00144445">
            <w:pPr>
              <w:jc w:val="both"/>
            </w:pPr>
            <w:r w:rsidRPr="004E6A4A">
              <w:rPr>
                <w:rFonts w:ascii="Times New Roman" w:eastAsia="Times New Roman" w:hAnsi="Times New Roman" w:cs="Times New Roman"/>
                <w:sz w:val="20"/>
              </w:rPr>
              <w:t>4. Where a balance or value threshold is determined on the last day of a calendar year, the relevant balance or value shall be determined on the last day of the reporting period ending with or within that year.</w:t>
            </w:r>
          </w:p>
          <w:p w14:paraId="6F9F98CB" w14:textId="77777777" w:rsidR="00FA0CFF" w:rsidRPr="004E6A4A" w:rsidRDefault="00144445">
            <w:pPr>
              <w:jc w:val="both"/>
            </w:pPr>
            <w:r w:rsidRPr="004E6A4A">
              <w:rPr>
                <w:rFonts w:ascii="Times New Roman" w:eastAsia="Times New Roman" w:hAnsi="Times New Roman" w:cs="Times New Roman"/>
                <w:sz w:val="20"/>
              </w:rPr>
              <w:t>5. The reporting financial institution may use a service provider for the fulfilment of one or more reporting or due diligence obligations, but the responsibility for their fulfilment shall remain with the reporting financial institution.</w:t>
            </w:r>
          </w:p>
          <w:p w14:paraId="58B58E98" w14:textId="77777777" w:rsidR="00FA0CFF" w:rsidRPr="004E6A4A" w:rsidRDefault="00144445">
            <w:pPr>
              <w:jc w:val="both"/>
            </w:pPr>
            <w:r w:rsidRPr="004E6A4A">
              <w:rPr>
                <w:rFonts w:ascii="Times New Roman" w:eastAsia="Times New Roman" w:hAnsi="Times New Roman" w:cs="Times New Roman"/>
                <w:sz w:val="20"/>
              </w:rPr>
              <w:t>6. Where a financial institution, intermediary, service provider or other person enters into an arrangement or uses a practice, the main purpose or one of the main purposes of which is to avoid or circumvent the obligations under the law or under this Decision, the obligations shall apply as if the arrangement or practice had not been used.</w:t>
            </w:r>
          </w:p>
          <w:p w14:paraId="482C37F5" w14:textId="77777777" w:rsidR="00FA0CFF" w:rsidRPr="004E6A4A" w:rsidRDefault="00144445">
            <w:pPr>
              <w:jc w:val="both"/>
            </w:pPr>
            <w:r w:rsidRPr="004E6A4A">
              <w:rPr>
                <w:rFonts w:ascii="Times New Roman" w:eastAsia="Times New Roman" w:hAnsi="Times New Roman" w:cs="Times New Roman"/>
                <w:sz w:val="20"/>
              </w:rPr>
              <w:t>7. The reporting financial institution may apply the due diligence procedures for New Accounts to all or to a clearly identified group of Pre-existing Accounts, without prejudice to the rules which continue to apply to Pre-existing Accounts, and may apply the procedures for High Value Accounts to Lower Value Accounts.</w:t>
            </w:r>
          </w:p>
          <w:p w14:paraId="636B8A91" w14:textId="77777777" w:rsidR="00FA0CFF" w:rsidRPr="004E6A4A" w:rsidRDefault="00144445">
            <w:pPr>
              <w:jc w:val="both"/>
            </w:pPr>
            <w:r w:rsidRPr="004E6A4A">
              <w:rPr>
                <w:rFonts w:ascii="Times New Roman" w:eastAsia="Times New Roman" w:hAnsi="Times New Roman" w:cs="Times New Roman"/>
                <w:sz w:val="20"/>
              </w:rPr>
              <w:t xml:space="preserve">8. For the Common Reporting Standard profile, solely for the purposes of applying the due diligence procedures, the Reporting Financial Institution shall apply those procedures in relation to residences in any other jurisdiction, other than the Republic of Albania and the United States of America, as if that jurisdiction </w:t>
            </w:r>
            <w:r w:rsidRPr="004E6A4A">
              <w:rPr>
                <w:rFonts w:ascii="Times New Roman" w:eastAsia="Times New Roman" w:hAnsi="Times New Roman" w:cs="Times New Roman"/>
                <w:sz w:val="20"/>
              </w:rPr>
              <w:lastRenderedPageBreak/>
              <w:t>were a Reportable Jurisdiction. That rule shall not alter the definition of Reportable Jurisdiction and shall not create an obligation of exchange.</w:t>
            </w:r>
          </w:p>
          <w:p w14:paraId="2FAFD157" w14:textId="77777777" w:rsidR="00FA0CFF" w:rsidRPr="004E6A4A" w:rsidRDefault="00FA0CFF"/>
          <w:p w14:paraId="06FEC955" w14:textId="77777777" w:rsidR="00FA0CFF" w:rsidRPr="004E6A4A" w:rsidRDefault="00144445">
            <w:pPr>
              <w:jc w:val="center"/>
            </w:pPr>
            <w:r w:rsidRPr="004E6A4A">
              <w:rPr>
                <w:rFonts w:ascii="Times New Roman" w:eastAsia="Times New Roman" w:hAnsi="Times New Roman" w:cs="Times New Roman"/>
                <w:b/>
                <w:sz w:val="20"/>
              </w:rPr>
              <w:t>Draft Law: Article 13</w:t>
            </w:r>
          </w:p>
          <w:p w14:paraId="777E635E" w14:textId="77777777" w:rsidR="00FA0CFF" w:rsidRPr="004E6A4A" w:rsidRDefault="00144445">
            <w:pPr>
              <w:jc w:val="center"/>
            </w:pPr>
            <w:r w:rsidRPr="004E6A4A">
              <w:rPr>
                <w:rFonts w:ascii="Times New Roman" w:eastAsia="Times New Roman" w:hAnsi="Times New Roman" w:cs="Times New Roman"/>
                <w:b/>
                <w:sz w:val="20"/>
              </w:rPr>
              <w:t>Sharing of information within the same group or with third-party service providers</w:t>
            </w:r>
          </w:p>
          <w:p w14:paraId="46B714C5" w14:textId="77777777" w:rsidR="00FA0CFF" w:rsidRPr="004E6A4A" w:rsidRDefault="00144445">
            <w:pPr>
              <w:jc w:val="both"/>
            </w:pPr>
            <w:r w:rsidRPr="004E6A4A">
              <w:rPr>
                <w:rFonts w:ascii="Times New Roman" w:eastAsia="Times New Roman" w:hAnsi="Times New Roman" w:cs="Times New Roman"/>
                <w:sz w:val="20"/>
              </w:rPr>
              <w:t>1. Reporting financial institutions in the Republic of Albania may use third-party service providers or other financial institutions that are part of the same group for the fulfilment of the obligations of collecting information, reporting and due diligence provided for in this Law and in the sub-legal acts issued in implementation thereof.</w:t>
            </w:r>
          </w:p>
          <w:p w14:paraId="78A49AB6" w14:textId="77777777" w:rsidR="00FA0CFF" w:rsidRPr="004E6A4A" w:rsidRDefault="00144445">
            <w:pPr>
              <w:jc w:val="both"/>
            </w:pPr>
            <w:r w:rsidRPr="004E6A4A">
              <w:rPr>
                <w:rFonts w:ascii="Times New Roman" w:eastAsia="Times New Roman" w:hAnsi="Times New Roman" w:cs="Times New Roman"/>
                <w:sz w:val="20"/>
              </w:rPr>
              <w:t>2. Third-party service providers which hold the documentation and information necessary for the fulfilment of the obligations of collecting information, of due diligence and of reporting may make that information and documentation available to the relevant reporting financial institution.</w:t>
            </w:r>
          </w:p>
          <w:p w14:paraId="5DD02D74" w14:textId="77777777" w:rsidR="00FA0CFF" w:rsidRPr="004E6A4A" w:rsidRDefault="00144445">
            <w:pPr>
              <w:jc w:val="both"/>
            </w:pPr>
            <w:r w:rsidRPr="004E6A4A">
              <w:rPr>
                <w:rFonts w:ascii="Times New Roman" w:eastAsia="Times New Roman" w:hAnsi="Times New Roman" w:cs="Times New Roman"/>
                <w:sz w:val="20"/>
              </w:rPr>
              <w:t>3. The use of third-party service providers or of other financial institutions of the same group shall not release the reporting financial institution from the responsibility for the fulfilment of the reporting and due diligence obligations under this Law and the sub-legal acts issued in implementation thereof.</w:t>
            </w:r>
          </w:p>
          <w:p w14:paraId="166CA65E" w14:textId="77777777" w:rsidR="00FA0CFF" w:rsidRPr="004E6A4A" w:rsidRDefault="00FA0CFF"/>
          <w:p w14:paraId="613714DA"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927CB96" w14:textId="77777777" w:rsidR="00FA0CFF" w:rsidRPr="004E6A4A" w:rsidRDefault="00144445">
            <w:pPr>
              <w:jc w:val="center"/>
            </w:pPr>
            <w:r w:rsidRPr="004E6A4A">
              <w:rPr>
                <w:rFonts w:ascii="Times New Roman" w:eastAsia="Times New Roman" w:hAnsi="Times New Roman" w:cs="Times New Roman"/>
                <w:b/>
                <w:sz w:val="20"/>
              </w:rPr>
              <w:t>Definitions</w:t>
            </w:r>
          </w:p>
          <w:p w14:paraId="26B9EB8C" w14:textId="77777777" w:rsidR="00FA0CFF" w:rsidRPr="004E6A4A" w:rsidRDefault="00144445">
            <w:pPr>
              <w:jc w:val="both"/>
            </w:pPr>
            <w:r w:rsidRPr="004E6A4A">
              <w:rPr>
                <w:rFonts w:ascii="Times New Roman" w:eastAsia="Times New Roman" w:hAnsi="Times New Roman" w:cs="Times New Roman"/>
                <w:sz w:val="20"/>
              </w:rPr>
              <w:t>7. “Third-party service provider” means any person to whom a reporting financial institution entrusts the performance of one or more reporting or due diligence obligations under this Law and the sub-legal acts issued in implementation thereof, without prejudice to the responsibility of the reporting financial institution for the fulfilment of those obligations.</w:t>
            </w:r>
          </w:p>
        </w:tc>
        <w:tc>
          <w:tcPr>
            <w:tcW w:w="1156" w:type="dxa"/>
          </w:tcPr>
          <w:p w14:paraId="57413E3B" w14:textId="085C430D"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458E1A3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790D7A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Paragraphs A to C are transposed by Article 5, points 2, 3 and 4, of the Decision; paragraph D by Article 5, point 5, of the Decision, by Article 13, points 1 and 3, of the Draft Law and by the definition in Article 5, point 7, thereof; and paragraph E by Article 5, point 7, </w:t>
            </w:r>
            <w:r w:rsidRPr="004E6A4A">
              <w:rPr>
                <w:rFonts w:ascii="Times New Roman" w:eastAsia="Times New Roman" w:hAnsi="Times New Roman" w:cs="Times New Roman"/>
                <w:sz w:val="20"/>
                <w:szCs w:val="20"/>
              </w:rPr>
              <w:lastRenderedPageBreak/>
              <w:t>of the Decision. Article 7, points 1 and 8, of the Draft Law and Article 5, point 1, of the Decision lay down the obligation to apply, document and keep records of the due diligence procedures.</w:t>
            </w:r>
          </w:p>
        </w:tc>
      </w:tr>
      <w:tr w:rsidR="004E6A4A" w:rsidRPr="004E6A4A" w14:paraId="0208457C" w14:textId="77777777" w:rsidTr="00E11E6D">
        <w:trPr>
          <w:trHeight w:val="764"/>
        </w:trPr>
        <w:tc>
          <w:tcPr>
            <w:tcW w:w="720" w:type="dxa"/>
          </w:tcPr>
          <w:p w14:paraId="2A2F865D"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0AAEA898"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 xml:space="preserve">Annex I,  Section III,  </w:t>
            </w:r>
          </w:p>
          <w:p w14:paraId="6986913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III</w:t>
            </w:r>
          </w:p>
          <w:p w14:paraId="6A7E5F3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DUE DILIGENCE FOR PRE-EXISTING INDIVIDUAL ACCOUNTS</w:t>
            </w:r>
          </w:p>
          <w:p w14:paraId="0D18D36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Introduction. The following procedures apply for purposes of identifying Reportable Accounts among Pre-existing Individual Accounts.</w:t>
            </w:r>
          </w:p>
          <w:p w14:paraId="0C73A0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Annex I,  Section III,  Paragraph B</w:t>
            </w:r>
          </w:p>
          <w:p w14:paraId="4ADDD59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Lower Value Accounts. The following procedures apply with respect to Lower Value Accounts.</w:t>
            </w:r>
          </w:p>
          <w:p w14:paraId="3B585FA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Residence Address. If the Reporting Financial Institution has in its records a current residence address for the indi vidual Account Holder based on Documentary Evidence, the Reporting Financial Institution may treat the indi vidual Account Holder as being a resident for tax purposes of the Member State or other jurisdiction in which the address is located for purposes of determining whether such individual Account Holder is a Reportable Person.</w:t>
            </w:r>
          </w:p>
          <w:p w14:paraId="485A099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Electronic Record Search. If the Reporting Financial Institution does not rely on a current residence address for the individual Account Holder based on Documentary Evidence as set forth in subparagraph B(1), the Reporting Financial Institution must review electronically searchable data maintained by the Reporting Financial Institution for any of the following indicia and apply subparagraphs B(3) to (6):</w:t>
            </w:r>
          </w:p>
          <w:p w14:paraId="412EDF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identification of the Account Holder as a resident of a Member State;</w:t>
            </w:r>
          </w:p>
          <w:p w14:paraId="3E314B2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current mailing or residence address (including a post office box) in a Member State;</w:t>
            </w:r>
          </w:p>
          <w:p w14:paraId="041CC9D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(c)</w:t>
            </w:r>
            <w:r w:rsidRPr="004E6A4A">
              <w:rPr>
                <w:rFonts w:ascii="Times New Roman" w:eastAsia="Times New Roman" w:hAnsi="Times New Roman" w:cs="Times New Roman"/>
                <w:sz w:val="20"/>
                <w:szCs w:val="20"/>
              </w:rPr>
              <w:tab/>
              <w:t>one or more telephone numbers in a Member State and no telephone number in the Member State of the Reporting Financial Institution;</w:t>
            </w:r>
          </w:p>
          <w:p w14:paraId="5F774F0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standing instructions (other than with respect to a Depository Account) to transfer funds to an account main tained in a Member State;</w:t>
            </w:r>
          </w:p>
          <w:p w14:paraId="7F1FECA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(e)</w:t>
            </w:r>
            <w:r w:rsidRPr="004E6A4A">
              <w:rPr>
                <w:rFonts w:ascii="Times New Roman" w:eastAsia="Times New Roman" w:hAnsi="Times New Roman" w:cs="Times New Roman"/>
                <w:sz w:val="20"/>
                <w:szCs w:val="20"/>
              </w:rPr>
              <w:tab/>
              <w:t>currently effective power of attorney or signatory authority granted to a person with an address in a Member State; or</w:t>
            </w:r>
          </w:p>
          <w:p w14:paraId="06C5A69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a “hold mail” instruction or “in-care-of” address in a Member State if the Reporting Financial Institution does not have any other address on file for the Account Holder.</w:t>
            </w:r>
          </w:p>
          <w:p w14:paraId="6794E1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If none of the indicia listed in subparagraph B(2) are discovered in the electronic search, then no further action is required until there is a change in circumstances that results in one or more indicia being associated with the account, or the account becomes a High Value Account.</w:t>
            </w:r>
          </w:p>
          <w:p w14:paraId="5598BBA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If any of the indicia listed in subparagraph B(2)(a) through (e) are discovered in the electronic search, or if there is a change in circumstances that results in one or more indicia being associated with the account, then the Reporting Financial Institution must treat the Account Holder as a resident for tax purposes of each Member State for which an indicium is identified, unless it elects to apply subparagraph B(6) and one of the exceptions in that subparagraph applies with respect to that account.</w:t>
            </w:r>
          </w:p>
          <w:p w14:paraId="5F640A8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If a “hold mail” instruction or “in-care-of” address is discovered in the electronic search and no other address and none of the other indicia listed in subparagraph B(2)(a) through (e) are identified for the Account Holder, the Reporting Financial Institution must, in the order most appropriate to the circumstances, apply the paper record search described in subparagraph C(2), or seek to obtain from the Account Holder a self-certification or Docu mentary Evidence to establish the residence(s) for tax purposes of such Account Holder. If the paper search fails to establish an indicium and the attempt to obtain the self-certification or Documentary Evidence is not successful, the Reporting Financial Institution must report the account to the competent authority of its Member State as an undocumented account.</w:t>
            </w:r>
          </w:p>
          <w:p w14:paraId="1BF599F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6.</w:t>
            </w:r>
            <w:r w:rsidRPr="004E6A4A">
              <w:rPr>
                <w:rFonts w:ascii="Times New Roman" w:eastAsia="Times New Roman" w:hAnsi="Times New Roman" w:cs="Times New Roman"/>
                <w:sz w:val="20"/>
                <w:szCs w:val="20"/>
              </w:rPr>
              <w:tab/>
              <w:t>Notwithstanding a finding of indicia under subparagraph B(2), a Reporting Financial Institution is not required to treat an Account Holder as a resident of a Member State if:</w:t>
            </w:r>
          </w:p>
          <w:p w14:paraId="382165C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Account Holder information contains a current mailing or residence address in that Member State, one or more telephone numbers in that Member State (and no telephone number in the Member State of the Reporting Financial Institution) or standing instructions (with respect to Financial Accounts other than Depository Accounts) to transfer funds to an account maintained in a Member State, and the Reporting Finan cial Institution obtains, or has previously reviewed and maintains, a record of:</w:t>
            </w:r>
          </w:p>
          <w:p w14:paraId="744AB8E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a self-certification from the Account Holder of the Member State(s) or other jurisdiction(s) of residence of such Account Holder that does not include that Member State; and</w:t>
            </w:r>
          </w:p>
          <w:p w14:paraId="71A4F49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Documentary Evidence establishing the Account Holder's non-reportable status;</w:t>
            </w:r>
          </w:p>
          <w:p w14:paraId="60487AB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Account Holder information contains a currently effective power of attorney or signatory authority granted to a person with an address in that Member State, and the Reporting Financial Institution obtains, or has previously reviewed and maintains, a record of:</w:t>
            </w:r>
          </w:p>
          <w:p w14:paraId="5798459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a self-certification from the Account Holder of the Member State(s) or other jurisdiction(s) of residence of such Account Holder that does not include that Member State; or</w:t>
            </w:r>
          </w:p>
          <w:p w14:paraId="07B2E23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Documentary Evidence establishing the Account Holder's non-reportable status.</w:t>
            </w:r>
          </w:p>
        </w:tc>
        <w:tc>
          <w:tcPr>
            <w:tcW w:w="1080" w:type="dxa"/>
          </w:tcPr>
          <w:p w14:paraId="1A9E21B3"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3F7F9064" w14:textId="599EE6DA" w:rsidR="001A43E8" w:rsidRPr="004E6A4A" w:rsidRDefault="001A43E8" w:rsidP="00C4419F">
            <w:pPr>
              <w:jc w:val="center"/>
              <w:rPr>
                <w:rFonts w:ascii="Times New Roman" w:eastAsia="Times New Roman" w:hAnsi="Times New Roman" w:cs="Times New Roman"/>
                <w:sz w:val="20"/>
                <w:szCs w:val="21"/>
                <w:lang w:eastAsia="sq-AL"/>
              </w:rPr>
            </w:pPr>
          </w:p>
        </w:tc>
        <w:tc>
          <w:tcPr>
            <w:tcW w:w="4514" w:type="dxa"/>
          </w:tcPr>
          <w:p w14:paraId="749E07F6" w14:textId="77777777" w:rsidR="00FA0CFF" w:rsidRPr="004E6A4A" w:rsidRDefault="00144445">
            <w:pPr>
              <w:jc w:val="center"/>
            </w:pPr>
            <w:r w:rsidRPr="004E6A4A">
              <w:rPr>
                <w:rFonts w:ascii="Times New Roman" w:eastAsia="Times New Roman" w:hAnsi="Times New Roman" w:cs="Times New Roman"/>
                <w:b/>
                <w:sz w:val="20"/>
              </w:rPr>
              <w:t>Draft Law: Article 8</w:t>
            </w:r>
          </w:p>
          <w:p w14:paraId="6DA46558"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56D0E045" w14:textId="77777777" w:rsidR="00FA0CFF" w:rsidRPr="004E6A4A" w:rsidRDefault="00144445">
            <w:pPr>
              <w:jc w:val="both"/>
            </w:pPr>
            <w:r w:rsidRPr="004E6A4A">
              <w:rPr>
                <w:rFonts w:ascii="Times New Roman" w:eastAsia="Times New Roman" w:hAnsi="Times New Roman" w:cs="Times New Roman"/>
                <w:sz w:val="20"/>
              </w:rPr>
              <w:t>1. For the purposes of identifying Reportable Accounts, the reporting financial institution shall apply the due diligence procedures for Pre-existing Individual Accounts.</w:t>
            </w:r>
          </w:p>
          <w:p w14:paraId="2638A849" w14:textId="77777777" w:rsidR="00FA0CFF" w:rsidRPr="004E6A4A" w:rsidRDefault="00144445">
            <w:pPr>
              <w:jc w:val="both"/>
            </w:pPr>
            <w:r w:rsidRPr="004E6A4A">
              <w:rPr>
                <w:rFonts w:ascii="Times New Roman" w:eastAsia="Times New Roman" w:hAnsi="Times New Roman" w:cs="Times New Roman"/>
                <w:sz w:val="20"/>
              </w:rPr>
              <w:t>2. For a Lower Value Pre-existing Individual Account, the reporting financial institution shall determine the tax residence of the account holder using the available information, including the current residence address supported by documentary evidence, where applicable.</w:t>
            </w:r>
          </w:p>
          <w:p w14:paraId="669CBD9A" w14:textId="77777777" w:rsidR="00FA0CFF" w:rsidRPr="004E6A4A" w:rsidRDefault="00144445">
            <w:pPr>
              <w:jc w:val="both"/>
            </w:pPr>
            <w:r w:rsidRPr="004E6A4A">
              <w:rPr>
                <w:rFonts w:ascii="Times New Roman" w:eastAsia="Times New Roman" w:hAnsi="Times New Roman" w:cs="Times New Roman"/>
                <w:sz w:val="20"/>
              </w:rPr>
              <w:t>3. Where the reporting financial institution cannot rely on the current residence address of the account holder, it shall review the electronically searchable data at its disposal for the indicia of tax residence determined in the sub-legal act issued in implementation of this Law.</w:t>
            </w:r>
          </w:p>
          <w:p w14:paraId="2622A8EB" w14:textId="77777777" w:rsidR="00FA0CFF" w:rsidRPr="004E6A4A" w:rsidRDefault="00144445">
            <w:pPr>
              <w:jc w:val="both"/>
            </w:pPr>
            <w:r w:rsidRPr="004E6A4A">
              <w:rPr>
                <w:rFonts w:ascii="Times New Roman" w:eastAsia="Times New Roman" w:hAnsi="Times New Roman" w:cs="Times New Roman"/>
                <w:sz w:val="20"/>
              </w:rPr>
              <w:t>4. For High Value Pre-existing Individual Accounts, the reporting financial institution shall apply enhanced review procedures, including the review of the electronically searchable data and, where necessary, the review of the paper record.</w:t>
            </w:r>
          </w:p>
          <w:p w14:paraId="1AB70F66" w14:textId="77777777" w:rsidR="00FA0CFF" w:rsidRPr="004E6A4A" w:rsidRDefault="00144445">
            <w:pPr>
              <w:jc w:val="both"/>
            </w:pPr>
            <w:r w:rsidRPr="004E6A4A">
              <w:rPr>
                <w:rFonts w:ascii="Times New Roman" w:eastAsia="Times New Roman" w:hAnsi="Times New Roman" w:cs="Times New Roman"/>
                <w:sz w:val="20"/>
              </w:rPr>
              <w:t>5. Where the available information identifies one or more indicia linked to a reportable jurisdiction, the reporting financial institution shall treat the account as a Reportable Account in relation to that jurisdiction, except where one of the exceptions provided for in this Law or in the sub-legal act issued in implementation thereof applies.</w:t>
            </w:r>
          </w:p>
          <w:p w14:paraId="7BD66F3A" w14:textId="77777777" w:rsidR="00FA0CFF" w:rsidRPr="004E6A4A" w:rsidRDefault="00144445">
            <w:pPr>
              <w:jc w:val="both"/>
            </w:pPr>
            <w:r w:rsidRPr="004E6A4A">
              <w:rPr>
                <w:rFonts w:ascii="Times New Roman" w:eastAsia="Times New Roman" w:hAnsi="Times New Roman" w:cs="Times New Roman"/>
                <w:sz w:val="20"/>
              </w:rPr>
              <w:t>6. Where a reporting financial institution cannot determine the tax residence of the account holder through the procedures determined in this Article, the account shall be treated in accordance with the rules determined for undocumented accounts.</w:t>
            </w:r>
          </w:p>
          <w:p w14:paraId="6C760698" w14:textId="77777777" w:rsidR="00FA0CFF" w:rsidRPr="004E6A4A" w:rsidRDefault="00144445">
            <w:pPr>
              <w:jc w:val="both"/>
            </w:pPr>
            <w:r w:rsidRPr="004E6A4A">
              <w:rPr>
                <w:rFonts w:ascii="Times New Roman" w:eastAsia="Times New Roman" w:hAnsi="Times New Roman" w:cs="Times New Roman"/>
                <w:sz w:val="20"/>
              </w:rPr>
              <w:t xml:space="preserve">7. The reporting financial institution shall apply procedures for the identification of a change of </w:t>
            </w:r>
            <w:r w:rsidRPr="004E6A4A">
              <w:rPr>
                <w:rFonts w:ascii="Times New Roman" w:eastAsia="Times New Roman" w:hAnsi="Times New Roman" w:cs="Times New Roman"/>
                <w:sz w:val="20"/>
              </w:rPr>
              <w:lastRenderedPageBreak/>
              <w:t>circumstances, including the obligation of the relationship manager, where applicable, to identify changes of circumstances relating to the account.</w:t>
            </w:r>
          </w:p>
          <w:p w14:paraId="06E7DF3F" w14:textId="77777777" w:rsidR="00FA0CFF" w:rsidRPr="004E6A4A" w:rsidRDefault="00144445">
            <w:pPr>
              <w:jc w:val="both"/>
            </w:pPr>
            <w:r w:rsidRPr="004E6A4A">
              <w:rPr>
                <w:rFonts w:ascii="Times New Roman" w:eastAsia="Times New Roman" w:hAnsi="Times New Roman" w:cs="Times New Roman"/>
                <w:sz w:val="20"/>
              </w:rPr>
              <w:t>8. A Pre-existing Individual Account identified as a Reportable Account shall be treated as such in the subsequent years, except where the account holder ceases to be a Reportable Person.</w:t>
            </w:r>
          </w:p>
          <w:p w14:paraId="086C2844" w14:textId="77777777" w:rsidR="00FA0CFF" w:rsidRPr="004E6A4A" w:rsidRDefault="00144445">
            <w:pPr>
              <w:jc w:val="both"/>
            </w:pPr>
            <w:r w:rsidRPr="004E6A4A">
              <w:rPr>
                <w:rFonts w:ascii="Times New Roman" w:eastAsia="Times New Roman" w:hAnsi="Times New Roman" w:cs="Times New Roman"/>
                <w:sz w:val="20"/>
              </w:rPr>
              <w:t>9. The monetary thresholds, the indicia, the review procedures, the exceptions, the time limits and the rules for undocumented accounts shall be determined by sub-legal act issued in implementation of this Law.</w:t>
            </w:r>
          </w:p>
          <w:p w14:paraId="38516AE8" w14:textId="77777777" w:rsidR="00FA0CFF" w:rsidRPr="004E6A4A" w:rsidRDefault="00FA0CFF"/>
          <w:p w14:paraId="267F1495" w14:textId="77777777" w:rsidR="00FA0CFF" w:rsidRPr="004E6A4A" w:rsidRDefault="00144445">
            <w:pPr>
              <w:jc w:val="center"/>
            </w:pPr>
            <w:r w:rsidRPr="004E6A4A">
              <w:rPr>
                <w:rFonts w:ascii="Times New Roman" w:eastAsia="Times New Roman" w:hAnsi="Times New Roman" w:cs="Times New Roman"/>
                <w:b/>
                <w:sz w:val="20"/>
              </w:rPr>
              <w:t>DCM: Article 6</w:t>
            </w:r>
          </w:p>
          <w:p w14:paraId="74456AD9"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2620F50E" w14:textId="77777777" w:rsidR="00FA0CFF" w:rsidRPr="004E6A4A" w:rsidRDefault="00144445">
            <w:pPr>
              <w:jc w:val="both"/>
            </w:pPr>
            <w:r w:rsidRPr="004E6A4A">
              <w:rPr>
                <w:rFonts w:ascii="Times New Roman" w:eastAsia="Times New Roman" w:hAnsi="Times New Roman" w:cs="Times New Roman"/>
                <w:sz w:val="20"/>
              </w:rPr>
              <w:t>1. The following procedures shall apply for the identification of Reportable Accounts among Pre-existing Individual Accounts. For Lower Value Accounts the procedures of point 1 shall apply, whereas for High Value Accounts the procedures of point 2 shall apply.</w:t>
            </w:r>
          </w:p>
          <w:p w14:paraId="5965D50E" w14:textId="77777777" w:rsidR="00FA0CFF" w:rsidRPr="004E6A4A" w:rsidRDefault="00144445">
            <w:pPr>
              <w:jc w:val="both"/>
            </w:pPr>
            <w:r w:rsidRPr="004E6A4A">
              <w:rPr>
                <w:rFonts w:ascii="Times New Roman" w:eastAsia="Times New Roman" w:hAnsi="Times New Roman" w:cs="Times New Roman"/>
                <w:sz w:val="20"/>
              </w:rPr>
              <w:t>a) Residence address. If the reporting financial institution has in its records a current residence address for the individual account holder, based on documentary evidence, the reporting financial institution may treat the individual account holder as resident for tax purposes of that jurisdiction in which the address is located in order to determine whether that individual account holder is a reportable person.</w:t>
            </w:r>
          </w:p>
          <w:p w14:paraId="32AB520E" w14:textId="77777777" w:rsidR="00FA0CFF" w:rsidRPr="004E6A4A" w:rsidRDefault="00144445">
            <w:pPr>
              <w:jc w:val="both"/>
            </w:pPr>
            <w:r w:rsidRPr="004E6A4A">
              <w:rPr>
                <w:rFonts w:ascii="Times New Roman" w:eastAsia="Times New Roman" w:hAnsi="Times New Roman" w:cs="Times New Roman"/>
                <w:sz w:val="20"/>
              </w:rPr>
              <w:t>b) Electronic record search. If the reporting financial institution does not identify a current residence address for the individual account holder, based on documentary evidence, as determined above in letter “a” of point 1 of this Article, the reporting financial institution must review the electronically searchable data maintained by the reporting financial institution for each of the following indicia and apply letters “c”, “ç”, “d”, “dh” of point 1 of this Article:</w:t>
            </w:r>
          </w:p>
          <w:p w14:paraId="7177A000" w14:textId="77777777" w:rsidR="00FA0CFF" w:rsidRPr="004E6A4A" w:rsidRDefault="00144445">
            <w:pPr>
              <w:jc w:val="both"/>
            </w:pPr>
            <w:r w:rsidRPr="004E6A4A">
              <w:rPr>
                <w:rFonts w:ascii="Times New Roman" w:eastAsia="Times New Roman" w:hAnsi="Times New Roman" w:cs="Times New Roman"/>
                <w:sz w:val="20"/>
              </w:rPr>
              <w:lastRenderedPageBreak/>
              <w:t>i. identification of the account holder as a resident of a reportable jurisdiction;</w:t>
            </w:r>
          </w:p>
          <w:p w14:paraId="154213B1" w14:textId="77777777" w:rsidR="00FA0CFF" w:rsidRPr="004E6A4A" w:rsidRDefault="00144445">
            <w:pPr>
              <w:jc w:val="both"/>
            </w:pPr>
            <w:r w:rsidRPr="004E6A4A">
              <w:rPr>
                <w:rFonts w:ascii="Times New Roman" w:eastAsia="Times New Roman" w:hAnsi="Times New Roman" w:cs="Times New Roman"/>
                <w:sz w:val="20"/>
              </w:rPr>
              <w:t>ii. the current postal address or residence address (including a post office box) in a reportable jurisdiction;</w:t>
            </w:r>
          </w:p>
          <w:p w14:paraId="22FA3229" w14:textId="77777777" w:rsidR="00FA0CFF" w:rsidRPr="004E6A4A" w:rsidRDefault="00144445">
            <w:pPr>
              <w:jc w:val="both"/>
            </w:pPr>
            <w:r w:rsidRPr="004E6A4A">
              <w:rPr>
                <w:rFonts w:ascii="Times New Roman" w:eastAsia="Times New Roman" w:hAnsi="Times New Roman" w:cs="Times New Roman"/>
                <w:sz w:val="20"/>
              </w:rPr>
              <w:t>iii. one or more telephone numbers in a reportable jurisdiction and no telephone number in the jurisdiction of the reporting financial institution;</w:t>
            </w:r>
          </w:p>
          <w:p w14:paraId="736325F5" w14:textId="77777777" w:rsidR="00FA0CFF" w:rsidRPr="004E6A4A" w:rsidRDefault="00144445">
            <w:pPr>
              <w:jc w:val="both"/>
            </w:pPr>
            <w:r w:rsidRPr="004E6A4A">
              <w:rPr>
                <w:rFonts w:ascii="Times New Roman" w:eastAsia="Times New Roman" w:hAnsi="Times New Roman" w:cs="Times New Roman"/>
                <w:sz w:val="20"/>
              </w:rPr>
              <w:t>iv. standing instructions (other than those relating to a depository account) for the transfer of funds to an account maintained in a reportable jurisdiction;</w:t>
            </w:r>
          </w:p>
          <w:p w14:paraId="3DB42AC1" w14:textId="77777777" w:rsidR="00FA0CFF" w:rsidRPr="004E6A4A" w:rsidRDefault="00144445">
            <w:pPr>
              <w:jc w:val="both"/>
            </w:pPr>
            <w:r w:rsidRPr="004E6A4A">
              <w:rPr>
                <w:rFonts w:ascii="Times New Roman" w:eastAsia="Times New Roman" w:hAnsi="Times New Roman" w:cs="Times New Roman"/>
                <w:sz w:val="20"/>
              </w:rPr>
              <w:t>v. a currently effective power of attorney or signatory authority granted to a person with an address in a reportable jurisdiction; or</w:t>
            </w:r>
          </w:p>
          <w:p w14:paraId="43D9069B" w14:textId="77777777" w:rsidR="00FA0CFF" w:rsidRPr="004E6A4A" w:rsidRDefault="00144445">
            <w:pPr>
              <w:jc w:val="both"/>
            </w:pPr>
            <w:r w:rsidRPr="004E6A4A">
              <w:rPr>
                <w:rFonts w:ascii="Times New Roman" w:eastAsia="Times New Roman" w:hAnsi="Times New Roman" w:cs="Times New Roman"/>
                <w:sz w:val="20"/>
              </w:rPr>
              <w:t>vi. a “hold mail” instruction or a “in care of” address, in a reportable jurisdiction, if the reporting financial institution does not have any other address in the file of the account holder.</w:t>
            </w:r>
          </w:p>
          <w:p w14:paraId="77DF2FA3" w14:textId="77777777" w:rsidR="00FA0CFF" w:rsidRPr="004E6A4A" w:rsidRDefault="00144445">
            <w:pPr>
              <w:jc w:val="both"/>
            </w:pPr>
            <w:r w:rsidRPr="004E6A4A">
              <w:rPr>
                <w:rFonts w:ascii="Times New Roman" w:eastAsia="Times New Roman" w:hAnsi="Times New Roman" w:cs="Times New Roman"/>
                <w:sz w:val="20"/>
              </w:rPr>
              <w:t>c) If none of the indicia listed in letter “b” of point 1 of this Article is found in the electronic search, then no further action shall be required until there is a change of circumstances resulting in one or more indicia being associated with the account, or the account becomes a high value account.</w:t>
            </w:r>
          </w:p>
          <w:p w14:paraId="48337D6B" w14:textId="77777777" w:rsidR="00FA0CFF" w:rsidRPr="004E6A4A" w:rsidRDefault="00144445">
            <w:pPr>
              <w:jc w:val="both"/>
            </w:pPr>
            <w:r w:rsidRPr="004E6A4A">
              <w:rPr>
                <w:rFonts w:ascii="Times New Roman" w:eastAsia="Times New Roman" w:hAnsi="Times New Roman" w:cs="Times New Roman"/>
                <w:sz w:val="20"/>
              </w:rPr>
              <w:t>ç) If any of the indicia provided for in sub-points “i” to “v” of letter “b” of point 1 of this Article is discovered in the electronic search, or if there is a change of circumstances resulting in one or more indicia being associated with the account, then the reporting financial institution must treat the account holder as resident for tax purposes of each reportable jurisdiction for which an indicium is identified, except where it chooses to apply letter “dh” of point 1 of this Article and one of the exceptions thereof applies in relation to that account.</w:t>
            </w:r>
          </w:p>
          <w:p w14:paraId="7A5F5FCA" w14:textId="77777777" w:rsidR="00FA0CFF" w:rsidRPr="004E6A4A" w:rsidRDefault="00144445">
            <w:pPr>
              <w:jc w:val="both"/>
            </w:pPr>
            <w:r w:rsidRPr="004E6A4A">
              <w:rPr>
                <w:rFonts w:ascii="Times New Roman" w:eastAsia="Times New Roman" w:hAnsi="Times New Roman" w:cs="Times New Roman"/>
                <w:sz w:val="20"/>
              </w:rPr>
              <w:t xml:space="preserve">d) If a “hold mail” instruction or an “in care of” address is discovered during the electronic record </w:t>
            </w:r>
            <w:r w:rsidRPr="004E6A4A">
              <w:rPr>
                <w:rFonts w:ascii="Times New Roman" w:eastAsia="Times New Roman" w:hAnsi="Times New Roman" w:cs="Times New Roman"/>
                <w:sz w:val="20"/>
              </w:rPr>
              <w:lastRenderedPageBreak/>
              <w:t>search and no other address and none of the other indicia listed in sub-points “i” to “v” of letter “b” of point 1 of this Article are identified for the account holder, the reporting financial institution must, in the order most appropriate to the circumstances, apply the paper record search described in letter “b” of point 2 of this Article, or seek to obtain from the account holder a self-certification or documentary evidence in order to establish his or her residence or residences for tax purposes. If the paper record search fails to establish an indicium and the attempt to obtain the self-certification or documentary evidence is not successful, the reporting financial institution must report the account to the tax administration as an undocumented account.</w:t>
            </w:r>
          </w:p>
          <w:p w14:paraId="37EAB421" w14:textId="77777777" w:rsidR="00FA0CFF" w:rsidRPr="004E6A4A" w:rsidRDefault="00144445">
            <w:pPr>
              <w:jc w:val="both"/>
            </w:pPr>
            <w:r w:rsidRPr="004E6A4A">
              <w:rPr>
                <w:rFonts w:ascii="Times New Roman" w:eastAsia="Times New Roman" w:hAnsi="Times New Roman" w:cs="Times New Roman"/>
                <w:sz w:val="20"/>
              </w:rPr>
              <w:t>dh) Notwithstanding the finding of indicia under letter “b” of point 1 of this Article, a reporting financial institution shall not be required to treat an account holder as a resident of a reportable jurisdiction if:</w:t>
            </w:r>
          </w:p>
          <w:p w14:paraId="420D379F" w14:textId="77777777" w:rsidR="00FA0CFF" w:rsidRPr="004E6A4A" w:rsidRDefault="00144445">
            <w:pPr>
              <w:jc w:val="both"/>
            </w:pPr>
            <w:r w:rsidRPr="004E6A4A">
              <w:rPr>
                <w:rFonts w:ascii="Times New Roman" w:eastAsia="Times New Roman" w:hAnsi="Times New Roman" w:cs="Times New Roman"/>
                <w:sz w:val="20"/>
              </w:rPr>
              <w:t>i. the information of the account holder contains a postal or residence address in the reportable jurisdiction, one or more telephone numbers in the reportable jurisdiction (and no telephone number in the jurisdiction of the reporting financial institution) or standing instructions (in relation to financial accounts other than depository accounts) to transfer funds to an account maintained in a reportable jurisdiction, and the reporting financial institution obtains, or has previously reviewed and maintains a record of, both of the following:</w:t>
            </w:r>
          </w:p>
          <w:p w14:paraId="101B9C3E" w14:textId="77777777" w:rsidR="00FA0CFF" w:rsidRPr="004E6A4A" w:rsidRDefault="00144445">
            <w:pPr>
              <w:jc w:val="both"/>
            </w:pPr>
            <w:r w:rsidRPr="004E6A4A">
              <w:rPr>
                <w:rFonts w:ascii="Times New Roman" w:eastAsia="Times New Roman" w:hAnsi="Times New Roman" w:cs="Times New Roman"/>
                <w:sz w:val="20"/>
              </w:rPr>
              <w:t>- a self-certification from the account holder of the jurisdictions of residence of that account holder which does not include that reportable jurisdiction; and</w:t>
            </w:r>
          </w:p>
          <w:p w14:paraId="0E45A2F6" w14:textId="77777777" w:rsidR="00FA0CFF" w:rsidRPr="004E6A4A" w:rsidRDefault="00144445">
            <w:pPr>
              <w:jc w:val="both"/>
            </w:pPr>
            <w:r w:rsidRPr="004E6A4A">
              <w:rPr>
                <w:rFonts w:ascii="Times New Roman" w:eastAsia="Times New Roman" w:hAnsi="Times New Roman" w:cs="Times New Roman"/>
                <w:sz w:val="20"/>
              </w:rPr>
              <w:t>- documentary evidence establishing the residence of the account customer, for tax purposes, other than that reportable jurisdiction;</w:t>
            </w:r>
          </w:p>
          <w:p w14:paraId="20895FD5" w14:textId="77777777" w:rsidR="00FA0CFF" w:rsidRPr="004E6A4A" w:rsidRDefault="00144445">
            <w:pPr>
              <w:jc w:val="both"/>
            </w:pPr>
            <w:r w:rsidRPr="004E6A4A">
              <w:rPr>
                <w:rFonts w:ascii="Times New Roman" w:eastAsia="Times New Roman" w:hAnsi="Times New Roman" w:cs="Times New Roman"/>
                <w:sz w:val="20"/>
              </w:rPr>
              <w:lastRenderedPageBreak/>
              <w:t>ii. the information of the account holder contains a currently effective power of attorney or signatory authority granted to a person with an address in the reportable jurisdiction, and the reporting financial institution obtains, or has previously reviewed and maintains a record of, one of the following:</w:t>
            </w:r>
          </w:p>
          <w:p w14:paraId="512E2527" w14:textId="77777777" w:rsidR="00FA0CFF" w:rsidRPr="004E6A4A" w:rsidRDefault="00144445">
            <w:pPr>
              <w:jc w:val="both"/>
            </w:pPr>
            <w:r w:rsidRPr="004E6A4A">
              <w:rPr>
                <w:rFonts w:ascii="Times New Roman" w:eastAsia="Times New Roman" w:hAnsi="Times New Roman" w:cs="Times New Roman"/>
                <w:sz w:val="20"/>
              </w:rPr>
              <w:t>- a self-certification from the account holder of the jurisdiction or jurisdictions of his or her residence which does not include that reportable jurisdiction; or</w:t>
            </w:r>
          </w:p>
          <w:p w14:paraId="72541A8A" w14:textId="77777777" w:rsidR="00FA0CFF" w:rsidRPr="004E6A4A" w:rsidRDefault="00144445">
            <w:pPr>
              <w:jc w:val="both"/>
            </w:pPr>
            <w:r w:rsidRPr="004E6A4A">
              <w:rPr>
                <w:rFonts w:ascii="Times New Roman" w:eastAsia="Times New Roman" w:hAnsi="Times New Roman" w:cs="Times New Roman"/>
                <w:sz w:val="20"/>
              </w:rPr>
              <w:t>- documentary evidence establishing the status of the Account Holder as non-reportable in relation to that Reportable Jurisdiction.</w:t>
            </w:r>
          </w:p>
        </w:tc>
        <w:tc>
          <w:tcPr>
            <w:tcW w:w="1156" w:type="dxa"/>
          </w:tcPr>
          <w:p w14:paraId="0F983A8E" w14:textId="77777777" w:rsidR="00FF7A09" w:rsidRPr="004E6A4A" w:rsidRDefault="00FF7A09" w:rsidP="00C4419F">
            <w:pPr>
              <w:jc w:val="center"/>
              <w:rPr>
                <w:rFonts w:ascii="Times New Roman" w:eastAsia="Calibri" w:hAnsi="Times New Roman" w:cs="Times New Roman"/>
                <w:sz w:val="18"/>
                <w:szCs w:val="18"/>
              </w:rPr>
            </w:pPr>
          </w:p>
          <w:p w14:paraId="0E972F5B" w14:textId="38F44F6F" w:rsidR="006D0605" w:rsidRPr="004E6A4A" w:rsidRDefault="00FF7A09"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F8B040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325C5E0" w14:textId="77777777" w:rsidR="00F43B76" w:rsidRPr="004E6A4A" w:rsidRDefault="00F43B76">
            <w:pPr>
              <w:jc w:val="both"/>
              <w:rPr>
                <w:rFonts w:ascii="Times New Roman" w:eastAsia="Times New Roman" w:hAnsi="Times New Roman" w:cs="Times New Roman"/>
                <w:sz w:val="20"/>
                <w:szCs w:val="20"/>
              </w:rPr>
            </w:pPr>
          </w:p>
          <w:p w14:paraId="4B24F39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Paragraph A is transposed by Article 8, point 1, of the Draft Law and by the first sentence of Article 6, point 1, of the Decision. Paragraph B is transposed by Article 8, points 2, 3, 5, 6 and 9, of the Draft Law and by Article 6, point 1, letters a) to dh), of the Decision, which correspond to subparagraphs B(1) to B(6). </w:t>
            </w:r>
          </w:p>
        </w:tc>
      </w:tr>
      <w:tr w:rsidR="004E6A4A" w:rsidRPr="004E6A4A" w14:paraId="6DF59899" w14:textId="77777777" w:rsidTr="00E11E6D">
        <w:trPr>
          <w:trHeight w:val="764"/>
        </w:trPr>
        <w:tc>
          <w:tcPr>
            <w:tcW w:w="720" w:type="dxa"/>
          </w:tcPr>
          <w:p w14:paraId="125E6357"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63A20A86"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III,  Paragraph C</w:t>
            </w:r>
          </w:p>
          <w:p w14:paraId="5A7A9DA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Enhanced Review Procedures for High Value Accounts. The following enhanced review procedures apply with respect to High Value Accounts.</w:t>
            </w:r>
          </w:p>
          <w:p w14:paraId="2CFE195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Electronic Record search. With respect to High Value Accounts, the Reporting Financial Institution must review electronically searchable data maintained by the Reporting Financial Institution for any of the indicia described in subparagraph B(2).</w:t>
            </w:r>
          </w:p>
          <w:p w14:paraId="2B1F992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Paper Record Search. If the Reporting Financial Institution's electronically searchable databases include fields for, and capture all of the information described in, subparagraph C(3), then a further paper record search is not required. If the electronic databases do not capture all of this information, then with respect to a High Value Account, the Reporting Financial Institution must also review the current customer master file and, to the extent not contained in the current customer master file, the following documents associated with the account and obtained by the Reporting Financial Institution within the last five years for any of the indicia described in sub paragraph B(2):</w:t>
            </w:r>
          </w:p>
          <w:p w14:paraId="7643C9A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most recent Documentary Evidence collected with respect to the account;</w:t>
            </w:r>
          </w:p>
          <w:p w14:paraId="219D07D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(b)</w:t>
            </w:r>
            <w:r w:rsidRPr="004E6A4A">
              <w:rPr>
                <w:rFonts w:ascii="Times New Roman" w:eastAsia="Times New Roman" w:hAnsi="Times New Roman" w:cs="Times New Roman"/>
                <w:sz w:val="20"/>
                <w:szCs w:val="20"/>
              </w:rPr>
              <w:tab/>
              <w:t>the most recent account opening contract or documentation;</w:t>
            </w:r>
          </w:p>
          <w:p w14:paraId="204328E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the most recent documentation obtained by the Reporting Financial Institution pursuant to AML/KYC Proced ures or for other regulatory purposes;</w:t>
            </w:r>
          </w:p>
          <w:p w14:paraId="4B85500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any power of attorney or signature authority forms currently in effect; and</w:t>
            </w:r>
          </w:p>
          <w:p w14:paraId="545B1CA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any standing instructions (other than with respect to a Depository Account) to transfer funds currently in effect.</w:t>
            </w:r>
          </w:p>
          <w:p w14:paraId="466697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Exception To The Extent Databases Contain Sufficient Information. A Reporting Financial Institution is not required to perform the paper record search described in subparagraph C(2) to the extent the Reporting Financial Institution's electronically searchable information includes the following:</w:t>
            </w:r>
          </w:p>
          <w:p w14:paraId="68BF538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Account Holder's residence status;</w:t>
            </w:r>
          </w:p>
          <w:p w14:paraId="0EF52E4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Account Holder's residence address and mailing address currently on file with the Reporting Financial Institution;</w:t>
            </w:r>
          </w:p>
          <w:p w14:paraId="6EFD1C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the Account Holder's telephone number(s) currently on file, if any, with the Reporting Financial Institution;</w:t>
            </w:r>
          </w:p>
          <w:p w14:paraId="7F37879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in the case of Financial Accounts other than Depository Accounts, whether there are standing instructions to transfer funds in the account to another account (including an account at another branch of the Reporting Financial Institution or another Financial Institution);</w:t>
            </w:r>
          </w:p>
          <w:p w14:paraId="105A76F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whether there is a current “in-care-of” address or “hold mail” instruction for the Account Holder; and</w:t>
            </w:r>
          </w:p>
          <w:p w14:paraId="7992AEF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whether there is any power of attorney or signatory authority for the account.</w:t>
            </w:r>
          </w:p>
          <w:p w14:paraId="0B4FB77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 xml:space="preserve">Relationship Manager Inquiry for Actual Knowledge. In addition to the electronic and paper record searches described in subparagraphs C(1) and (2), the Reporting Financial Institution must treat as a Reportable </w:t>
            </w:r>
            <w:r w:rsidRPr="004E6A4A">
              <w:rPr>
                <w:rFonts w:ascii="Times New Roman" w:eastAsia="Times New Roman" w:hAnsi="Times New Roman" w:cs="Times New Roman"/>
                <w:sz w:val="20"/>
                <w:szCs w:val="20"/>
              </w:rPr>
              <w:lastRenderedPageBreak/>
              <w:t>Account any High Value Account assigned to a relationship manager (including any Financial Accounts aggregated with that High Value Account) if the relationship manager has actual knowledge that the Account Holder is a Repor table Person.</w:t>
            </w:r>
          </w:p>
          <w:p w14:paraId="0C3D1F0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Effect of Finding Indicia.</w:t>
            </w:r>
          </w:p>
          <w:p w14:paraId="1FDC132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If none of the indicia listed in subparagraph B(2) are discovered in the enhanced review of High Value Accounts described in paragraph C, and the account is not identified as held by a Reportable Person in sub paragraph C(4), then further action is not required until there is a change in circumstances that results in one or more indicia being associated with the account.</w:t>
            </w:r>
          </w:p>
          <w:p w14:paraId="58D6ACA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If any of the indicia listed in subparagraphs B(2)(a) through (e) are discovered in the enhanced review of High Value Accounts described in paragraph C, or if there is a subsequent change in circumstances that results in one or more indicia being associated with the account, then the Reporting Financial Institution must treat the account as a Reportable Account with respect to each Member State for which an indicium is identified unless it elects to apply subparagraph B(6) and one of the exceptions in that subparagraph applies with respect to that account.</w:t>
            </w:r>
          </w:p>
          <w:p w14:paraId="3EAB8B4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If a “hold mail” instruction or “in-care-of” address is discovered in the enhanced review of High Value Accounts described in paragraph C, and no other address and none of the other indicia listed in sub paragraphs B(2)(a) through (e) are identified for the Account Holder, the Reporting Financial Institution must obtain from such Account Holder a self-certification or Documentary Evidence to establish the residence(s) for tax purposes of the Account Holder. If the Reporting Financial Institution cannot obtain such self-certifica tion or Documentary Evidence, it must report the account to the competent authority of its Member State as an undocumented account.</w:t>
            </w:r>
          </w:p>
          <w:p w14:paraId="560B8E4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6.</w:t>
            </w:r>
            <w:r w:rsidRPr="004E6A4A">
              <w:rPr>
                <w:rFonts w:ascii="Times New Roman" w:eastAsia="Times New Roman" w:hAnsi="Times New Roman" w:cs="Times New Roman"/>
                <w:sz w:val="20"/>
                <w:szCs w:val="20"/>
              </w:rPr>
              <w:tab/>
              <w:t>If a Pre-existing Individual Account is not a High Value Account as of 31 December 2015, but becomes a High Value Account as of the last day of a subsequent calendar year, the Reporting Financial Institution must complete the enhanced review procedures described in paragraph C with respect to such account within the calendar year following the year in which the account becomes a High Value Account. If based on this review such account is identified as a Reportable Account, the Reporting Financial Institution must report the required information about such account with respect to the year in which it is identified as a Reportable Account and subsequent years on an annual basis, unless the Account Holder ceases to be a Reportable Person.</w:t>
            </w:r>
          </w:p>
          <w:p w14:paraId="145EA91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Once a Reporting Financial Institution applies the enhanced review procedures described in paragraph C to a High Value Account, the Reporting Financial Institution is not required to reapply such procedures, other than the relationship manager inquiry described in subparagraph C(4), to the same High Value Account in any subse quent year unless the account is undocumented where the Reporting Financial Institution should reapply them annually until such account ceases to be undocumented.</w:t>
            </w:r>
          </w:p>
          <w:p w14:paraId="0E8A9D8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If there is a change of circumstances with respect to a High Value Account that results in one or more indicia described in subparagraph B(2) being associated with the account, then the Reporting Financial Institution must treat the account as a Reportable Account with respect to each Member State for which an indicium is identified unless it elects to apply subparagraph B(6) and one of the exceptions in that subparagraph applies with respect to that account.</w:t>
            </w:r>
          </w:p>
          <w:p w14:paraId="76C9C4F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 xml:space="preserve">A Reporting Financial Institution must implement procedures to ensure that a relationship manager identifies any change in circumstances of an account. For example, if a relationship manager is notified that the Account Holder has a new mailing address in a </w:t>
            </w:r>
            <w:r w:rsidRPr="004E6A4A">
              <w:rPr>
                <w:rFonts w:ascii="Times New Roman" w:eastAsia="Times New Roman" w:hAnsi="Times New Roman" w:cs="Times New Roman"/>
                <w:sz w:val="20"/>
                <w:szCs w:val="20"/>
              </w:rPr>
              <w:lastRenderedPageBreak/>
              <w:t>Member State, the Reporting Financial Institution is required to treat the new address as a change in circumstances and, if it elects to apply subparagraph B(6), is required to obtain the appropriate documentation from the Account Holder.</w:t>
            </w:r>
          </w:p>
        </w:tc>
        <w:tc>
          <w:tcPr>
            <w:tcW w:w="1080" w:type="dxa"/>
          </w:tcPr>
          <w:p w14:paraId="41030BC4"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2CE72E14" w14:textId="400B1D60"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35953249" w14:textId="77777777" w:rsidR="00FA0CFF" w:rsidRPr="004E6A4A" w:rsidRDefault="00144445">
            <w:pPr>
              <w:jc w:val="center"/>
            </w:pPr>
            <w:r w:rsidRPr="004E6A4A">
              <w:rPr>
                <w:rFonts w:ascii="Times New Roman" w:eastAsia="Times New Roman" w:hAnsi="Times New Roman" w:cs="Times New Roman"/>
                <w:b/>
                <w:sz w:val="20"/>
              </w:rPr>
              <w:t>DCM: Article 6</w:t>
            </w:r>
          </w:p>
          <w:p w14:paraId="37B6E12E"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7DE96033" w14:textId="77777777" w:rsidR="00FA0CFF" w:rsidRPr="004E6A4A" w:rsidRDefault="00144445">
            <w:pPr>
              <w:jc w:val="both"/>
            </w:pPr>
            <w:r w:rsidRPr="004E6A4A">
              <w:rPr>
                <w:rFonts w:ascii="Times New Roman" w:eastAsia="Times New Roman" w:hAnsi="Times New Roman" w:cs="Times New Roman"/>
                <w:sz w:val="20"/>
              </w:rPr>
              <w:t>2. Enhanced review procedures for high value accounts. In relation to high value accounts, the following enhanced review procedures shall apply:</w:t>
            </w:r>
          </w:p>
          <w:p w14:paraId="7D1C7118" w14:textId="77777777" w:rsidR="00FA0CFF" w:rsidRPr="004E6A4A" w:rsidRDefault="00144445">
            <w:pPr>
              <w:jc w:val="both"/>
            </w:pPr>
            <w:r w:rsidRPr="004E6A4A">
              <w:rPr>
                <w:rFonts w:ascii="Times New Roman" w:eastAsia="Times New Roman" w:hAnsi="Times New Roman" w:cs="Times New Roman"/>
                <w:sz w:val="20"/>
              </w:rPr>
              <w:t>a) Electronic record search. In relation to high value accounts, the reporting financial institution must review the electronically searchable data maintained by the reporting financial institution for each of the indicia described in letter “b” of point 1 of this Article.</w:t>
            </w:r>
          </w:p>
          <w:p w14:paraId="472BAD90" w14:textId="77777777" w:rsidR="00FA0CFF" w:rsidRPr="004E6A4A" w:rsidRDefault="00144445">
            <w:pPr>
              <w:jc w:val="both"/>
            </w:pPr>
            <w:r w:rsidRPr="004E6A4A">
              <w:rPr>
                <w:rFonts w:ascii="Times New Roman" w:eastAsia="Times New Roman" w:hAnsi="Times New Roman" w:cs="Times New Roman"/>
                <w:sz w:val="20"/>
              </w:rPr>
              <w:t>b) Paper record search. If the electronic data of the reporting financial institution include the information provided for in letter “c” of point 2 of this Article, then no further paper record search shall be required. If the electronically searchable data do not include all of that information, then, in relation to a high value account, the reporting financial institution must also review the current customer master file and, if not contained in that file, the following documents associated with the account and obtained by the reporting financial institution within the last five years for each of the indicia described in letter “b” of point 1 of this Article:</w:t>
            </w:r>
          </w:p>
          <w:p w14:paraId="71AE534A" w14:textId="77777777" w:rsidR="00FA0CFF" w:rsidRPr="004E6A4A" w:rsidRDefault="00144445">
            <w:pPr>
              <w:jc w:val="both"/>
            </w:pPr>
            <w:r w:rsidRPr="004E6A4A">
              <w:rPr>
                <w:rFonts w:ascii="Times New Roman" w:eastAsia="Times New Roman" w:hAnsi="Times New Roman" w:cs="Times New Roman"/>
                <w:sz w:val="20"/>
              </w:rPr>
              <w:t>i. the most recent documentary evidence collected in relation to the account;</w:t>
            </w:r>
          </w:p>
          <w:p w14:paraId="47BE1FE4" w14:textId="77777777" w:rsidR="00FA0CFF" w:rsidRPr="004E6A4A" w:rsidRDefault="00144445">
            <w:pPr>
              <w:jc w:val="both"/>
            </w:pPr>
            <w:r w:rsidRPr="004E6A4A">
              <w:rPr>
                <w:rFonts w:ascii="Times New Roman" w:eastAsia="Times New Roman" w:hAnsi="Times New Roman" w:cs="Times New Roman"/>
                <w:sz w:val="20"/>
              </w:rPr>
              <w:lastRenderedPageBreak/>
              <w:t>ii. the most recent account opening contract or documentation;</w:t>
            </w:r>
          </w:p>
          <w:p w14:paraId="63DA37C8" w14:textId="77777777" w:rsidR="00FA0CFF" w:rsidRPr="004E6A4A" w:rsidRDefault="00144445">
            <w:pPr>
              <w:jc w:val="both"/>
            </w:pPr>
            <w:r w:rsidRPr="004E6A4A">
              <w:rPr>
                <w:rFonts w:ascii="Times New Roman" w:eastAsia="Times New Roman" w:hAnsi="Times New Roman" w:cs="Times New Roman"/>
                <w:sz w:val="20"/>
              </w:rPr>
              <w:t>iii. the most recent documentation obtained by the reporting financial institution in accordance with the AML/KYC procedures or for other regulatory purposes;</w:t>
            </w:r>
          </w:p>
          <w:p w14:paraId="459AD836" w14:textId="77777777" w:rsidR="00FA0CFF" w:rsidRPr="004E6A4A" w:rsidRDefault="00144445">
            <w:pPr>
              <w:jc w:val="both"/>
            </w:pPr>
            <w:r w:rsidRPr="004E6A4A">
              <w:rPr>
                <w:rFonts w:ascii="Times New Roman" w:eastAsia="Times New Roman" w:hAnsi="Times New Roman" w:cs="Times New Roman"/>
                <w:sz w:val="20"/>
              </w:rPr>
              <w:t>iv. any currently effective power of attorney or signatory authority; and</w:t>
            </w:r>
          </w:p>
          <w:p w14:paraId="60656050" w14:textId="77777777" w:rsidR="00FA0CFF" w:rsidRPr="004E6A4A" w:rsidRDefault="00144445">
            <w:pPr>
              <w:jc w:val="both"/>
            </w:pPr>
            <w:r w:rsidRPr="004E6A4A">
              <w:rPr>
                <w:rFonts w:ascii="Times New Roman" w:eastAsia="Times New Roman" w:hAnsi="Times New Roman" w:cs="Times New Roman"/>
                <w:sz w:val="20"/>
              </w:rPr>
              <w:t>v. any currently effective standing instructions (other than those relating to depository accounts) to transfer funds.</w:t>
            </w:r>
          </w:p>
          <w:p w14:paraId="2C2CCEF4" w14:textId="77777777" w:rsidR="00FA0CFF" w:rsidRPr="004E6A4A" w:rsidRDefault="00144445">
            <w:pPr>
              <w:jc w:val="both"/>
            </w:pPr>
            <w:r w:rsidRPr="004E6A4A">
              <w:rPr>
                <w:rFonts w:ascii="Times New Roman" w:eastAsia="Times New Roman" w:hAnsi="Times New Roman" w:cs="Times New Roman"/>
                <w:sz w:val="20"/>
              </w:rPr>
              <w:t>c) Exception to the extent that the databases contain sufficient information. A reporting financial institution shall not be required to carry out the paper record search described in letter “b” of point 2 of this Article, in so far as the electronically searchable information of the reporting financial institution includes:</w:t>
            </w:r>
          </w:p>
          <w:p w14:paraId="4E0C4413" w14:textId="77777777" w:rsidR="00FA0CFF" w:rsidRPr="004E6A4A" w:rsidRDefault="00144445">
            <w:pPr>
              <w:jc w:val="both"/>
            </w:pPr>
            <w:r w:rsidRPr="004E6A4A">
              <w:rPr>
                <w:rFonts w:ascii="Times New Roman" w:eastAsia="Times New Roman" w:hAnsi="Times New Roman" w:cs="Times New Roman"/>
                <w:sz w:val="20"/>
              </w:rPr>
              <w:t>i. the residence status of the account holder;</w:t>
            </w:r>
          </w:p>
          <w:p w14:paraId="479C7A26" w14:textId="77777777" w:rsidR="00FA0CFF" w:rsidRPr="004E6A4A" w:rsidRDefault="00144445">
            <w:pPr>
              <w:jc w:val="both"/>
            </w:pPr>
            <w:r w:rsidRPr="004E6A4A">
              <w:rPr>
                <w:rFonts w:ascii="Times New Roman" w:eastAsia="Times New Roman" w:hAnsi="Times New Roman" w:cs="Times New Roman"/>
                <w:sz w:val="20"/>
              </w:rPr>
              <w:t>ii. the residence address of the account holder and the postal address of the account holder currently on file with the reporting financial institution;</w:t>
            </w:r>
          </w:p>
          <w:p w14:paraId="5906D733" w14:textId="77777777" w:rsidR="00FA0CFF" w:rsidRPr="004E6A4A" w:rsidRDefault="00144445">
            <w:pPr>
              <w:jc w:val="both"/>
            </w:pPr>
            <w:r w:rsidRPr="004E6A4A">
              <w:rPr>
                <w:rFonts w:ascii="Times New Roman" w:eastAsia="Times New Roman" w:hAnsi="Times New Roman" w:cs="Times New Roman"/>
                <w:sz w:val="20"/>
              </w:rPr>
              <w:t>iii. the telephone number or numbers of the account holder currently on file (if any) with the reporting financial institution;</w:t>
            </w:r>
          </w:p>
          <w:p w14:paraId="767A9FBB" w14:textId="77777777" w:rsidR="00FA0CFF" w:rsidRPr="004E6A4A" w:rsidRDefault="00144445">
            <w:pPr>
              <w:jc w:val="both"/>
            </w:pPr>
            <w:r w:rsidRPr="004E6A4A">
              <w:rPr>
                <w:rFonts w:ascii="Times New Roman" w:eastAsia="Times New Roman" w:hAnsi="Times New Roman" w:cs="Times New Roman"/>
                <w:sz w:val="20"/>
              </w:rPr>
              <w:t>iv. in the case of financial accounts other than depository accounts, whether there are standing instructions to transfer funds from the account to another account (including an account at another branch of the reporting financial institution or at another financial institution);</w:t>
            </w:r>
          </w:p>
          <w:p w14:paraId="594ED1D4" w14:textId="77777777" w:rsidR="00FA0CFF" w:rsidRPr="004E6A4A" w:rsidRDefault="00144445">
            <w:pPr>
              <w:jc w:val="both"/>
            </w:pPr>
            <w:r w:rsidRPr="004E6A4A">
              <w:rPr>
                <w:rFonts w:ascii="Times New Roman" w:eastAsia="Times New Roman" w:hAnsi="Times New Roman" w:cs="Times New Roman"/>
                <w:sz w:val="20"/>
              </w:rPr>
              <w:t>v. whether there is a current “in care of” address or a “hold mail” instruction for the account holder; and</w:t>
            </w:r>
          </w:p>
          <w:p w14:paraId="3FD48676" w14:textId="77777777" w:rsidR="00FA0CFF" w:rsidRPr="004E6A4A" w:rsidRDefault="00144445">
            <w:pPr>
              <w:jc w:val="both"/>
            </w:pPr>
            <w:r w:rsidRPr="004E6A4A">
              <w:rPr>
                <w:rFonts w:ascii="Times New Roman" w:eastAsia="Times New Roman" w:hAnsi="Times New Roman" w:cs="Times New Roman"/>
                <w:sz w:val="20"/>
              </w:rPr>
              <w:t>vi. whether there is any special power of attorney or signatory authority for the account.</w:t>
            </w:r>
          </w:p>
          <w:p w14:paraId="57372B8A" w14:textId="77777777" w:rsidR="00FA0CFF" w:rsidRPr="004E6A4A" w:rsidRDefault="00144445">
            <w:pPr>
              <w:jc w:val="both"/>
            </w:pPr>
            <w:r w:rsidRPr="004E6A4A">
              <w:rPr>
                <w:rFonts w:ascii="Times New Roman" w:eastAsia="Times New Roman" w:hAnsi="Times New Roman" w:cs="Times New Roman"/>
                <w:sz w:val="20"/>
              </w:rPr>
              <w:t xml:space="preserve">ç) Relationship manager enquiry for actual knowledge. In addition to the electronic and paper </w:t>
            </w:r>
            <w:r w:rsidRPr="004E6A4A">
              <w:rPr>
                <w:rFonts w:ascii="Times New Roman" w:eastAsia="Times New Roman" w:hAnsi="Times New Roman" w:cs="Times New Roman"/>
                <w:sz w:val="20"/>
              </w:rPr>
              <w:lastRenderedPageBreak/>
              <w:t>record searches described in letters “a” and “b” of point 2 of this Article, the reporting financial institution must treat as a reportable account any high value account assigned to a relationship manager (including any financial account aggregated with that high value account) if the relationship manager has actual knowledge that the account belongs to a resident for tax purposes in a reportable jurisdiction.</w:t>
            </w:r>
          </w:p>
          <w:p w14:paraId="7A8E42B1" w14:textId="77777777" w:rsidR="00FA0CFF" w:rsidRPr="004E6A4A" w:rsidRDefault="00144445">
            <w:pPr>
              <w:jc w:val="both"/>
            </w:pPr>
            <w:r w:rsidRPr="004E6A4A">
              <w:rPr>
                <w:rFonts w:ascii="Times New Roman" w:eastAsia="Times New Roman" w:hAnsi="Times New Roman" w:cs="Times New Roman"/>
                <w:sz w:val="20"/>
              </w:rPr>
              <w:t>d) Effect of finding indicia:</w:t>
            </w:r>
          </w:p>
          <w:p w14:paraId="3EA18047" w14:textId="77777777" w:rsidR="00FA0CFF" w:rsidRPr="004E6A4A" w:rsidRDefault="00144445">
            <w:pPr>
              <w:jc w:val="both"/>
            </w:pPr>
            <w:r w:rsidRPr="004E6A4A">
              <w:rPr>
                <w:rFonts w:ascii="Times New Roman" w:eastAsia="Times New Roman" w:hAnsi="Times New Roman" w:cs="Times New Roman"/>
                <w:sz w:val="20"/>
              </w:rPr>
              <w:t>i. if none of the indicia listed in letter “b” of point 1 of this Article is found in the enhanced review of high value accounts described in point 2, and the account is not identified as held by a resident for tax purposes in a reportable jurisdiction under letter “ç” of point 2 of this Article, then no further action shall be required until there is a change of circumstances resulting in one or more indicia being associated with the account;</w:t>
            </w:r>
          </w:p>
          <w:p w14:paraId="54C306EC" w14:textId="77777777" w:rsidR="00FA0CFF" w:rsidRPr="004E6A4A" w:rsidRDefault="00144445">
            <w:pPr>
              <w:jc w:val="both"/>
            </w:pPr>
            <w:r w:rsidRPr="004E6A4A">
              <w:rPr>
                <w:rFonts w:ascii="Times New Roman" w:eastAsia="Times New Roman" w:hAnsi="Times New Roman" w:cs="Times New Roman"/>
                <w:sz w:val="20"/>
              </w:rPr>
              <w:t>ii. if any of the indicia listed in sub-points “i” to “v” of letter “b” of point 1 of this Article is found in the enhanced review of high value accounts described in point 2 of this Article, or if there is a subsequent change of circumstances resulting in one or more indicia being associated with the account, then the reporting financial institution must treat the account holder as resident for tax purposes of each reportable jurisdiction for which an indicium is identified, except where it chooses to apply letter “dh” of point 1 of this Article and one of the exceptions in that letter applies to that account;</w:t>
            </w:r>
          </w:p>
          <w:p w14:paraId="58ED717C" w14:textId="77777777" w:rsidR="00FA0CFF" w:rsidRPr="004E6A4A" w:rsidRDefault="00144445">
            <w:pPr>
              <w:jc w:val="both"/>
            </w:pPr>
            <w:r w:rsidRPr="004E6A4A">
              <w:rPr>
                <w:rFonts w:ascii="Times New Roman" w:eastAsia="Times New Roman" w:hAnsi="Times New Roman" w:cs="Times New Roman"/>
                <w:sz w:val="20"/>
              </w:rPr>
              <w:t xml:space="preserve">iii. if a “hold mail” instruction or an “in care of” address is found in the enhanced review of high value accounts described in point 2 of this Article and no other address and none of the other indicia listed in sub-points “i” to “v” of letter “b” of point 1 of this Article are identified for the account holder, the reporting financial institution must obtain from the account holder a self-certification or documentary </w:t>
            </w:r>
            <w:r w:rsidRPr="004E6A4A">
              <w:rPr>
                <w:rFonts w:ascii="Times New Roman" w:eastAsia="Times New Roman" w:hAnsi="Times New Roman" w:cs="Times New Roman"/>
                <w:sz w:val="20"/>
              </w:rPr>
              <w:lastRenderedPageBreak/>
              <w:t>evidence in order to establish the residence or residences for tax purposes of the account holder. If the reporting financial institution cannot obtain a self-certification or documentary evidence, it must report the account as an undocumented account to the tax administration.</w:t>
            </w:r>
          </w:p>
          <w:p w14:paraId="28279583" w14:textId="77777777" w:rsidR="00FA0CFF" w:rsidRPr="004E6A4A" w:rsidRDefault="00144445">
            <w:pPr>
              <w:jc w:val="both"/>
            </w:pPr>
            <w:r w:rsidRPr="004E6A4A">
              <w:rPr>
                <w:rFonts w:ascii="Times New Roman" w:eastAsia="Times New Roman" w:hAnsi="Times New Roman" w:cs="Times New Roman"/>
                <w:sz w:val="20"/>
              </w:rPr>
              <w:t>If a Pre-existing Individual Account is not a High Value Account on the reference date applicable to the relevant profile, but becomes a High Value Account at the end of a subsequent calendar year, the reporting financial institution shall complete the enhanced review procedures of point 2 within the calendar year following the year in which the account acquires that status. Where, on the basis of that review, the account is identified as a Reportable Account, the information shall be reported for the year in which it was identified as such and for each subsequent year, except where the Account Holder ceases to be a Reportable Person.</w:t>
            </w:r>
          </w:p>
          <w:p w14:paraId="119F98E9" w14:textId="77777777" w:rsidR="00FA0CFF" w:rsidRPr="004E6A4A" w:rsidRDefault="00144445">
            <w:pPr>
              <w:jc w:val="both"/>
            </w:pPr>
            <w:r w:rsidRPr="004E6A4A">
              <w:rPr>
                <w:rFonts w:ascii="Times New Roman" w:eastAsia="Times New Roman" w:hAnsi="Times New Roman" w:cs="Times New Roman"/>
                <w:sz w:val="20"/>
              </w:rPr>
              <w:t>e) Once a reporting financial institution applies the enhanced review procedures described in point 2 of this Article to a high value account, it shall not be required to reapply those procedures, other than the relationship manager enquiry under letter “ç” of point 2 of this Article, to the same high value account in subsequent years, except in the cases where the account is undocumented, in which cases the reporting financial institution must reapply them annually until that account ceases to be undocumented.</w:t>
            </w:r>
          </w:p>
          <w:p w14:paraId="32B9DFB6" w14:textId="77777777" w:rsidR="00FA0CFF" w:rsidRPr="004E6A4A" w:rsidRDefault="00144445">
            <w:pPr>
              <w:jc w:val="both"/>
            </w:pPr>
            <w:r w:rsidRPr="004E6A4A">
              <w:rPr>
                <w:rFonts w:ascii="Times New Roman" w:eastAsia="Times New Roman" w:hAnsi="Times New Roman" w:cs="Times New Roman"/>
                <w:sz w:val="20"/>
              </w:rPr>
              <w:t xml:space="preserve">ë) If there is a change of circumstances in relation to a high value account which results in one or more indicia described in letter “b” of point 1 of this Article being associated with the account, then the reporting financial institution must treat the account as a reportable account in relation to each reportable jurisdiction for which an indicium is identified, except where it chooses to apply letter “dh” of point 1 of this </w:t>
            </w:r>
            <w:r w:rsidRPr="004E6A4A">
              <w:rPr>
                <w:rFonts w:ascii="Times New Roman" w:eastAsia="Times New Roman" w:hAnsi="Times New Roman" w:cs="Times New Roman"/>
                <w:sz w:val="20"/>
              </w:rPr>
              <w:lastRenderedPageBreak/>
              <w:t>Article and one of the exceptions in that letter applies in relation to that account.</w:t>
            </w:r>
          </w:p>
          <w:p w14:paraId="1FC82462" w14:textId="77777777" w:rsidR="00FA0CFF" w:rsidRPr="004E6A4A" w:rsidRDefault="00144445">
            <w:pPr>
              <w:jc w:val="both"/>
            </w:pPr>
            <w:r w:rsidRPr="004E6A4A">
              <w:rPr>
                <w:rFonts w:ascii="Times New Roman" w:eastAsia="Times New Roman" w:hAnsi="Times New Roman" w:cs="Times New Roman"/>
                <w:sz w:val="20"/>
              </w:rPr>
              <w:t>f) A reporting financial institution must apply procedures to ensure that the relationship manager identifies any change of circumstances of an account. For example, if a relationship manager is notified that the account holder has a new postal address in a reportable jurisdiction, the reporting financial institution is required to treat the new address as a change of circumstances and, if it chooses to apply letter “dh” of point 1 of this Article, it is required to obtain the appropriate documentation from the account customer.</w:t>
            </w:r>
          </w:p>
        </w:tc>
        <w:tc>
          <w:tcPr>
            <w:tcW w:w="1156" w:type="dxa"/>
          </w:tcPr>
          <w:p w14:paraId="73DB22E3" w14:textId="77777777" w:rsidR="00EB704B" w:rsidRPr="004E6A4A" w:rsidRDefault="00EB704B" w:rsidP="00C4419F">
            <w:pPr>
              <w:jc w:val="center"/>
              <w:rPr>
                <w:rFonts w:ascii="Times New Roman" w:eastAsia="Calibri" w:hAnsi="Times New Roman" w:cs="Times New Roman"/>
                <w:sz w:val="18"/>
                <w:szCs w:val="18"/>
              </w:rPr>
            </w:pPr>
          </w:p>
          <w:p w14:paraId="085FA90E" w14:textId="784E6DE7"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r w:rsidRPr="004E6A4A">
              <w:rPr>
                <w:rFonts w:ascii="Times New Roman" w:eastAsia="Calibri" w:hAnsi="Times New Roman" w:cs="Times New Roman"/>
                <w:sz w:val="18"/>
                <w:szCs w:val="18"/>
              </w:rPr>
              <w:br/>
            </w:r>
          </w:p>
        </w:tc>
        <w:tc>
          <w:tcPr>
            <w:tcW w:w="2970" w:type="dxa"/>
          </w:tcPr>
          <w:p w14:paraId="5C28803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8CBBC2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6, point 2 of the Decision.</w:t>
            </w:r>
          </w:p>
        </w:tc>
      </w:tr>
      <w:tr w:rsidR="004E6A4A" w:rsidRPr="004E6A4A" w14:paraId="09C2FF69" w14:textId="77777777" w:rsidTr="00E11E6D">
        <w:trPr>
          <w:trHeight w:val="764"/>
        </w:trPr>
        <w:tc>
          <w:tcPr>
            <w:tcW w:w="720" w:type="dxa"/>
          </w:tcPr>
          <w:p w14:paraId="01EC28A3"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5AFE463D"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III,  Paragraph D</w:t>
            </w:r>
          </w:p>
          <w:p w14:paraId="67D967B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Review of Pre-existing High Value Individual Accounts must be completed by 31 December 2016. Review of Pre- existing Lower Value Individual Accounts must be completed by 31 December 2017.</w:t>
            </w:r>
          </w:p>
        </w:tc>
        <w:tc>
          <w:tcPr>
            <w:tcW w:w="1080" w:type="dxa"/>
          </w:tcPr>
          <w:p w14:paraId="2C913469"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59946920"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1A6D350C" w14:textId="77777777" w:rsidR="00FA0CFF" w:rsidRPr="004E6A4A" w:rsidRDefault="00144445">
            <w:pPr>
              <w:jc w:val="center"/>
            </w:pPr>
            <w:r w:rsidRPr="004E6A4A">
              <w:rPr>
                <w:rFonts w:ascii="Times New Roman" w:eastAsia="Times New Roman" w:hAnsi="Times New Roman" w:cs="Times New Roman"/>
                <w:b/>
                <w:sz w:val="20"/>
              </w:rPr>
              <w:t>DCM: Article 6</w:t>
            </w:r>
          </w:p>
          <w:p w14:paraId="6A98C51B"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01CE7C0C" w14:textId="77777777" w:rsidR="00FA0CFF" w:rsidRPr="004E6A4A" w:rsidRDefault="00144445">
            <w:pPr>
              <w:jc w:val="both"/>
            </w:pPr>
            <w:r w:rsidRPr="004E6A4A">
              <w:rPr>
                <w:rFonts w:ascii="Times New Roman" w:eastAsia="Times New Roman" w:hAnsi="Times New Roman" w:cs="Times New Roman"/>
                <w:sz w:val="20"/>
              </w:rPr>
              <w:t>3. The review procedures for Pre-existing Individual Accounts carried out before the date of commencement of the effects of this Decision under law No 4/2020 and the sub-legal acts thereof shall not be repeated solely by reason of the entry into application of this Decision, in so far as they remain valid under the relevant profile. For the European Union profile, only the additional procedures necessary to fulfil the requirements of Annex I to Directive 2011/16/EU, as amended, shall be carried out, within the time limit of Article 14, point 3, of this Decision.</w:t>
            </w:r>
          </w:p>
          <w:p w14:paraId="697986AA" w14:textId="77777777" w:rsidR="00FA0CFF" w:rsidRPr="004E6A4A" w:rsidRDefault="00144445">
            <w:pPr>
              <w:jc w:val="both"/>
            </w:pPr>
            <w:r w:rsidRPr="004E6A4A">
              <w:rPr>
                <w:rFonts w:ascii="Times New Roman" w:eastAsia="Times New Roman" w:hAnsi="Times New Roman" w:cs="Times New Roman"/>
                <w:sz w:val="20"/>
              </w:rPr>
              <w:t>4. Every pre-existing individual account which has been identified as a reportable account under this Article must be treated as a reportable account in all subsequent years, except where the account holder ceases to be a reportable person.</w:t>
            </w:r>
          </w:p>
          <w:p w14:paraId="76300B56" w14:textId="77777777" w:rsidR="00FA0CFF" w:rsidRPr="004E6A4A" w:rsidRDefault="00FA0CFF"/>
          <w:p w14:paraId="2C2FE272" w14:textId="77777777" w:rsidR="00FA0CFF" w:rsidRPr="004E6A4A" w:rsidRDefault="00144445">
            <w:pPr>
              <w:jc w:val="center"/>
            </w:pPr>
            <w:r w:rsidRPr="004E6A4A">
              <w:rPr>
                <w:rFonts w:ascii="Times New Roman" w:eastAsia="Times New Roman" w:hAnsi="Times New Roman" w:cs="Times New Roman"/>
                <w:b/>
                <w:sz w:val="20"/>
              </w:rPr>
              <w:t>Draft Law: Article 8</w:t>
            </w:r>
          </w:p>
          <w:p w14:paraId="440F0129"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0EAC6241" w14:textId="77777777" w:rsidR="00FA0CFF" w:rsidRPr="004E6A4A" w:rsidRDefault="00144445">
            <w:pPr>
              <w:jc w:val="both"/>
            </w:pPr>
            <w:r w:rsidRPr="004E6A4A">
              <w:rPr>
                <w:rFonts w:ascii="Times New Roman" w:eastAsia="Times New Roman" w:hAnsi="Times New Roman" w:cs="Times New Roman"/>
                <w:sz w:val="20"/>
              </w:rPr>
              <w:lastRenderedPageBreak/>
              <w:t>9. The monetary thresholds, the indicia, the review procedures, the exceptions, the time limits and the rules for undocumented accounts shall be determined by sub-legal act issued in implementation of this Law.</w:t>
            </w:r>
          </w:p>
        </w:tc>
        <w:tc>
          <w:tcPr>
            <w:tcW w:w="1156" w:type="dxa"/>
          </w:tcPr>
          <w:p w14:paraId="38C95C79" w14:textId="77777777" w:rsidR="00EB704B" w:rsidRPr="004E6A4A" w:rsidRDefault="00EB704B" w:rsidP="00C4419F">
            <w:pPr>
              <w:jc w:val="center"/>
              <w:rPr>
                <w:rFonts w:ascii="Times New Roman" w:eastAsia="Calibri" w:hAnsi="Times New Roman" w:cs="Times New Roman"/>
                <w:sz w:val="18"/>
                <w:szCs w:val="18"/>
              </w:rPr>
            </w:pPr>
          </w:p>
          <w:p w14:paraId="4C984E55" w14:textId="32DF3A39"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64221B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2145BF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6, point 3 of the Decision.</w:t>
            </w:r>
          </w:p>
        </w:tc>
      </w:tr>
      <w:tr w:rsidR="004E6A4A" w:rsidRPr="004E6A4A" w14:paraId="3F50A43A" w14:textId="77777777" w:rsidTr="00E11E6D">
        <w:trPr>
          <w:trHeight w:val="764"/>
        </w:trPr>
        <w:tc>
          <w:tcPr>
            <w:tcW w:w="720" w:type="dxa"/>
          </w:tcPr>
          <w:p w14:paraId="18CD255B"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521927E9"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III,  Paragraphs E</w:t>
            </w:r>
          </w:p>
          <w:p w14:paraId="2A1D084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Any Pre-existing Individual Account that has been identified as a Reportable Account under this Section must be treated as a Reportable Account in all subsequent years, unless the Account Holder ceases to be a Reportable Person.</w:t>
            </w:r>
          </w:p>
        </w:tc>
        <w:tc>
          <w:tcPr>
            <w:tcW w:w="1080" w:type="dxa"/>
          </w:tcPr>
          <w:p w14:paraId="65FBF761"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0E4E2367" w14:textId="2F7EDCE8" w:rsidR="006D0605" w:rsidRPr="004E6A4A" w:rsidRDefault="001A43E8" w:rsidP="00C4419F">
            <w:pPr>
              <w:jc w:val="center"/>
              <w:rPr>
                <w:rFonts w:ascii="Times New Roman" w:eastAsia="Times New Roman" w:hAnsi="Times New Roman" w:cs="Times New Roman"/>
                <w:sz w:val="20"/>
                <w:szCs w:val="21"/>
                <w:lang w:eastAsia="sq-AL"/>
              </w:rPr>
            </w:pPr>
            <w:r w:rsidRPr="004E6A4A">
              <w:rPr>
                <w:rFonts w:ascii="Times New Roman" w:eastAsia="Times New Roman" w:hAnsi="Times New Roman" w:cs="Times New Roman"/>
                <w:sz w:val="20"/>
                <w:szCs w:val="21"/>
                <w:lang w:eastAsia="sq-AL"/>
              </w:rPr>
              <w:t>Ne</w:t>
            </w:r>
          </w:p>
        </w:tc>
        <w:tc>
          <w:tcPr>
            <w:tcW w:w="4514" w:type="dxa"/>
          </w:tcPr>
          <w:p w14:paraId="36D3AEEA" w14:textId="77777777" w:rsidR="00FA0CFF" w:rsidRPr="004E6A4A" w:rsidRDefault="00144445">
            <w:pPr>
              <w:jc w:val="center"/>
            </w:pPr>
            <w:r w:rsidRPr="004E6A4A">
              <w:rPr>
                <w:rFonts w:ascii="Times New Roman" w:eastAsia="Times New Roman" w:hAnsi="Times New Roman" w:cs="Times New Roman"/>
                <w:b/>
                <w:sz w:val="20"/>
              </w:rPr>
              <w:t>DCM: Article 6</w:t>
            </w:r>
          </w:p>
          <w:p w14:paraId="71EA0B0A"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3AB67C23" w14:textId="77777777" w:rsidR="00FA0CFF" w:rsidRPr="004E6A4A" w:rsidRDefault="00144445">
            <w:pPr>
              <w:jc w:val="both"/>
            </w:pPr>
            <w:r w:rsidRPr="004E6A4A">
              <w:rPr>
                <w:rFonts w:ascii="Times New Roman" w:eastAsia="Times New Roman" w:hAnsi="Times New Roman" w:cs="Times New Roman"/>
                <w:sz w:val="20"/>
              </w:rPr>
              <w:t>4. Every pre-existing individual account which has been identified as a reportable account under this Article must be treated as a reportable account in all subsequent years, except where the account holder ceases to be a reportable person.</w:t>
            </w:r>
          </w:p>
          <w:p w14:paraId="05C52E26" w14:textId="77777777" w:rsidR="00FA0CFF" w:rsidRPr="004E6A4A" w:rsidRDefault="00FA0CFF"/>
          <w:p w14:paraId="78881CB3" w14:textId="77777777" w:rsidR="00FA0CFF" w:rsidRPr="004E6A4A" w:rsidRDefault="00144445">
            <w:pPr>
              <w:jc w:val="center"/>
            </w:pPr>
            <w:r w:rsidRPr="004E6A4A">
              <w:rPr>
                <w:rFonts w:ascii="Times New Roman" w:eastAsia="Times New Roman" w:hAnsi="Times New Roman" w:cs="Times New Roman"/>
                <w:b/>
                <w:sz w:val="20"/>
              </w:rPr>
              <w:t>Draft Law: Article 8</w:t>
            </w:r>
          </w:p>
          <w:p w14:paraId="18C20860" w14:textId="77777777" w:rsidR="00FA0CFF" w:rsidRPr="004E6A4A" w:rsidRDefault="00144445">
            <w:pPr>
              <w:jc w:val="center"/>
            </w:pPr>
            <w:r w:rsidRPr="004E6A4A">
              <w:rPr>
                <w:rFonts w:ascii="Times New Roman" w:eastAsia="Times New Roman" w:hAnsi="Times New Roman" w:cs="Times New Roman"/>
                <w:b/>
                <w:sz w:val="20"/>
              </w:rPr>
              <w:t>Due diligence for Pre-existing Individual Accounts</w:t>
            </w:r>
          </w:p>
          <w:p w14:paraId="66C7FC67" w14:textId="77777777" w:rsidR="00FA0CFF" w:rsidRPr="004E6A4A" w:rsidRDefault="00144445">
            <w:pPr>
              <w:jc w:val="both"/>
            </w:pPr>
            <w:r w:rsidRPr="004E6A4A">
              <w:rPr>
                <w:rFonts w:ascii="Times New Roman" w:eastAsia="Times New Roman" w:hAnsi="Times New Roman" w:cs="Times New Roman"/>
                <w:sz w:val="20"/>
              </w:rPr>
              <w:t>8. A Pre-existing Individual Account identified as a Reportable Account shall be treated as such in the subsequent years, except where the account holder ceases to be a Reportable Person.</w:t>
            </w:r>
          </w:p>
        </w:tc>
        <w:tc>
          <w:tcPr>
            <w:tcW w:w="1156" w:type="dxa"/>
          </w:tcPr>
          <w:p w14:paraId="27D24CD1" w14:textId="38D654ED" w:rsidR="006D0605" w:rsidRPr="004E6A4A" w:rsidRDefault="00EB704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12AD7B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3A2F26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6, point 4 of the Decision.</w:t>
            </w:r>
          </w:p>
        </w:tc>
      </w:tr>
      <w:tr w:rsidR="004E6A4A" w:rsidRPr="004E6A4A" w14:paraId="52E274F1" w14:textId="77777777" w:rsidTr="00E11E6D">
        <w:trPr>
          <w:trHeight w:val="764"/>
        </w:trPr>
        <w:tc>
          <w:tcPr>
            <w:tcW w:w="720" w:type="dxa"/>
          </w:tcPr>
          <w:p w14:paraId="13B90BE1"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1D395E17"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IV,  Paragraphs A-C</w:t>
            </w:r>
          </w:p>
          <w:p w14:paraId="3CDB4C9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IV</w:t>
            </w:r>
          </w:p>
          <w:p w14:paraId="4415BAC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DUE DILIGENCE FOR NEW INDIVIDUAL ACCOUNTS</w:t>
            </w:r>
          </w:p>
          <w:p w14:paraId="10AA7B0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procedures apply for purposes of identifying Reportable Accounts among New Individual Accounts.</w:t>
            </w:r>
          </w:p>
          <w:p w14:paraId="773E40C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With respect to New Individual Accounts, upon account opening, the Reporting Financial Institution must obtain a self-certification, which may be part of the account opening documentation, that allows the Reporting Financial Institution to determine the Account Holder's residence(s) for tax purposes and confirm the reasonableness of such self- certification based on the information obtained by the Reporting Financial Institution in connection with the opening of the account, including any documentation collected pursuant to AML/KYC Procedures.</w:t>
            </w:r>
          </w:p>
          <w:p w14:paraId="2A48544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B.</w:t>
            </w:r>
            <w:r w:rsidRPr="004E6A4A">
              <w:rPr>
                <w:rFonts w:ascii="Times New Roman" w:eastAsia="Times New Roman" w:hAnsi="Times New Roman" w:cs="Times New Roman"/>
                <w:sz w:val="20"/>
                <w:szCs w:val="20"/>
              </w:rPr>
              <w:tab/>
              <w:t>If the self-certification establishes that the Account Holder is resident for tax purposes in a Member State, the Reporting Financial Institution must treat the account as a Reportable Account and the self-certification must also include the Account Holder's TIN with respect to such Member State (subject to paragraph D of Section I) and date of birth.</w:t>
            </w:r>
          </w:p>
          <w:p w14:paraId="33D6325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If there is a change of circumstances with respect to a New Individual Account that causes the Reporting Financial Institution to know, or have reason to know, that the original self-certification is incorrect or unreliable, the Reporting Financial Institution cannot rely on the original self-certification and must obtain a valid self-certification that establishes the residence(s) for tax purposes of the Account Holder.</w:t>
            </w:r>
          </w:p>
        </w:tc>
        <w:tc>
          <w:tcPr>
            <w:tcW w:w="1080" w:type="dxa"/>
          </w:tcPr>
          <w:p w14:paraId="30F9C697"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79444AA5"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3B55E176" w14:textId="77777777" w:rsidR="00FA0CFF" w:rsidRPr="004E6A4A" w:rsidRDefault="00144445">
            <w:pPr>
              <w:jc w:val="center"/>
            </w:pPr>
            <w:r w:rsidRPr="004E6A4A">
              <w:rPr>
                <w:rFonts w:ascii="Times New Roman" w:eastAsia="Times New Roman" w:hAnsi="Times New Roman" w:cs="Times New Roman"/>
                <w:b/>
                <w:sz w:val="20"/>
              </w:rPr>
              <w:t>Draft Law: Article 9</w:t>
            </w:r>
          </w:p>
          <w:p w14:paraId="68B74BFF" w14:textId="77777777" w:rsidR="00FA0CFF" w:rsidRPr="004E6A4A" w:rsidRDefault="00144445">
            <w:pPr>
              <w:jc w:val="center"/>
            </w:pPr>
            <w:r w:rsidRPr="004E6A4A">
              <w:rPr>
                <w:rFonts w:ascii="Times New Roman" w:eastAsia="Times New Roman" w:hAnsi="Times New Roman" w:cs="Times New Roman"/>
                <w:b/>
                <w:sz w:val="20"/>
              </w:rPr>
              <w:t>Due diligence for New Individual Accounts</w:t>
            </w:r>
          </w:p>
          <w:p w14:paraId="5AEB7790" w14:textId="77777777" w:rsidR="00FA0CFF" w:rsidRPr="004E6A4A" w:rsidRDefault="00144445">
            <w:pPr>
              <w:jc w:val="both"/>
            </w:pPr>
            <w:r w:rsidRPr="004E6A4A">
              <w:rPr>
                <w:rFonts w:ascii="Times New Roman" w:eastAsia="Times New Roman" w:hAnsi="Times New Roman" w:cs="Times New Roman"/>
                <w:sz w:val="20"/>
              </w:rPr>
              <w:t>1. Upon the opening of a New Individual Account, the reporting financial institution shall obtain from the account holder a valid self-certification enabling it to determine the residence or residences of the account holder for tax purposes.</w:t>
            </w:r>
          </w:p>
          <w:p w14:paraId="1656A7CE" w14:textId="77777777" w:rsidR="00FA0CFF" w:rsidRPr="004E6A4A" w:rsidRDefault="00144445">
            <w:pPr>
              <w:jc w:val="both"/>
            </w:pPr>
            <w:r w:rsidRPr="004E6A4A">
              <w:rPr>
                <w:rFonts w:ascii="Times New Roman" w:eastAsia="Times New Roman" w:hAnsi="Times New Roman" w:cs="Times New Roman"/>
                <w:sz w:val="20"/>
              </w:rPr>
              <w:t>2. The self-certification must enable the reporting financial institution to confirm its reasonableness on the basis of the information obtained in relation to the opening of the account, including the documentation collected in accordance with the procedures for the prevention of money laundering and terrorist financing.</w:t>
            </w:r>
          </w:p>
          <w:p w14:paraId="1570512C" w14:textId="77777777" w:rsidR="00FA0CFF" w:rsidRPr="004E6A4A" w:rsidRDefault="00144445">
            <w:pPr>
              <w:jc w:val="both"/>
            </w:pPr>
            <w:r w:rsidRPr="004E6A4A">
              <w:rPr>
                <w:rFonts w:ascii="Times New Roman" w:eastAsia="Times New Roman" w:hAnsi="Times New Roman" w:cs="Times New Roman"/>
                <w:sz w:val="20"/>
              </w:rPr>
              <w:t>3. A self-certification for a New Individual Account shall be valid where:</w:t>
            </w:r>
          </w:p>
          <w:p w14:paraId="10E6B577" w14:textId="77777777" w:rsidR="00FA0CFF" w:rsidRPr="004E6A4A" w:rsidRDefault="00144445">
            <w:pPr>
              <w:jc w:val="both"/>
            </w:pPr>
            <w:r w:rsidRPr="004E6A4A">
              <w:rPr>
                <w:rFonts w:ascii="Times New Roman" w:eastAsia="Times New Roman" w:hAnsi="Times New Roman" w:cs="Times New Roman"/>
                <w:sz w:val="20"/>
              </w:rPr>
              <w:t>a) it is signed or otherwise confirmed by the account holder;</w:t>
            </w:r>
          </w:p>
          <w:p w14:paraId="7DCC5DB5" w14:textId="77777777" w:rsidR="00FA0CFF" w:rsidRPr="004E6A4A" w:rsidRDefault="00144445">
            <w:pPr>
              <w:jc w:val="both"/>
            </w:pPr>
            <w:r w:rsidRPr="004E6A4A">
              <w:rPr>
                <w:rFonts w:ascii="Times New Roman" w:eastAsia="Times New Roman" w:hAnsi="Times New Roman" w:cs="Times New Roman"/>
                <w:sz w:val="20"/>
              </w:rPr>
              <w:lastRenderedPageBreak/>
              <w:t>b) it is dated no later than the date of its receipt;</w:t>
            </w:r>
          </w:p>
          <w:p w14:paraId="2433F3E6" w14:textId="77777777" w:rsidR="00FA0CFF" w:rsidRPr="004E6A4A" w:rsidRDefault="00144445">
            <w:pPr>
              <w:jc w:val="both"/>
            </w:pPr>
            <w:r w:rsidRPr="004E6A4A">
              <w:rPr>
                <w:rFonts w:ascii="Times New Roman" w:eastAsia="Times New Roman" w:hAnsi="Times New Roman" w:cs="Times New Roman"/>
                <w:sz w:val="20"/>
              </w:rPr>
              <w:t>c) it contains the name of the account holder;</w:t>
            </w:r>
          </w:p>
          <w:p w14:paraId="78207DDE" w14:textId="77777777" w:rsidR="00FA0CFF" w:rsidRPr="004E6A4A" w:rsidRDefault="00144445">
            <w:pPr>
              <w:jc w:val="both"/>
            </w:pPr>
            <w:r w:rsidRPr="004E6A4A">
              <w:rPr>
                <w:rFonts w:ascii="Times New Roman" w:eastAsia="Times New Roman" w:hAnsi="Times New Roman" w:cs="Times New Roman"/>
                <w:sz w:val="20"/>
              </w:rPr>
              <w:t>ç) it contains the residence address;</w:t>
            </w:r>
          </w:p>
          <w:p w14:paraId="11899A26" w14:textId="77777777" w:rsidR="00FA0CFF" w:rsidRPr="004E6A4A" w:rsidRDefault="00144445">
            <w:pPr>
              <w:jc w:val="both"/>
            </w:pPr>
            <w:r w:rsidRPr="004E6A4A">
              <w:rPr>
                <w:rFonts w:ascii="Times New Roman" w:eastAsia="Times New Roman" w:hAnsi="Times New Roman" w:cs="Times New Roman"/>
                <w:sz w:val="20"/>
              </w:rPr>
              <w:t>d) it contains the jurisdiction or jurisdictions of residence for tax purposes;</w:t>
            </w:r>
          </w:p>
          <w:p w14:paraId="66EB57E1" w14:textId="77777777" w:rsidR="00FA0CFF" w:rsidRPr="004E6A4A" w:rsidRDefault="00144445">
            <w:pPr>
              <w:jc w:val="both"/>
            </w:pPr>
            <w:r w:rsidRPr="004E6A4A">
              <w:rPr>
                <w:rFonts w:ascii="Times New Roman" w:eastAsia="Times New Roman" w:hAnsi="Times New Roman" w:cs="Times New Roman"/>
                <w:sz w:val="20"/>
              </w:rPr>
              <w:t>dh) it contains the TIN for each reportable jurisdiction of residence, where required under the rules of the relevant profile; and</w:t>
            </w:r>
          </w:p>
          <w:p w14:paraId="6D9735CB" w14:textId="77777777" w:rsidR="00FA0CFF" w:rsidRPr="004E6A4A" w:rsidRDefault="00144445">
            <w:pPr>
              <w:jc w:val="both"/>
            </w:pPr>
            <w:r w:rsidRPr="004E6A4A">
              <w:rPr>
                <w:rFonts w:ascii="Times New Roman" w:eastAsia="Times New Roman" w:hAnsi="Times New Roman" w:cs="Times New Roman"/>
                <w:sz w:val="20"/>
              </w:rPr>
              <w:t>e) it contains the date of birth.</w:t>
            </w:r>
          </w:p>
          <w:p w14:paraId="5CF78B87" w14:textId="77777777" w:rsidR="00FA0CFF" w:rsidRPr="004E6A4A" w:rsidRDefault="00144445">
            <w:pPr>
              <w:jc w:val="both"/>
            </w:pPr>
            <w:r w:rsidRPr="004E6A4A">
              <w:rPr>
                <w:rFonts w:ascii="Times New Roman" w:eastAsia="Times New Roman" w:hAnsi="Times New Roman" w:cs="Times New Roman"/>
                <w:sz w:val="20"/>
              </w:rPr>
              <w:t>4. If the self-certification establishes that the account holder is resident for tax purposes in a reportable jurisdiction, the reporting financial institution shall treat the account as a Reportable Account and shall obtain the information required under this Law.</w:t>
            </w:r>
          </w:p>
          <w:p w14:paraId="1FB0B1B5" w14:textId="77777777" w:rsidR="00FA0CFF" w:rsidRPr="004E6A4A" w:rsidRDefault="00144445">
            <w:pPr>
              <w:jc w:val="both"/>
            </w:pPr>
            <w:r w:rsidRPr="004E6A4A">
              <w:rPr>
                <w:rFonts w:ascii="Times New Roman" w:eastAsia="Times New Roman" w:hAnsi="Times New Roman" w:cs="Times New Roman"/>
                <w:sz w:val="20"/>
              </w:rPr>
              <w:t>5. If a change of circumstances causes the reporting financial institution to know or to have reason to know that the original self-certification is inaccurate or unreliable, the reporting financial institution may no longer rely on the original self-certification and must obtain a new valid self-certification or the documentation necessary to determine the tax residence or residences of the account holder.</w:t>
            </w:r>
          </w:p>
          <w:p w14:paraId="589E234D" w14:textId="77777777" w:rsidR="00FA0CFF" w:rsidRPr="004E6A4A" w:rsidRDefault="00FA0CFF"/>
          <w:p w14:paraId="45BD23CE" w14:textId="77777777" w:rsidR="00FA0CFF" w:rsidRPr="004E6A4A" w:rsidRDefault="00144445">
            <w:pPr>
              <w:jc w:val="center"/>
            </w:pPr>
            <w:r w:rsidRPr="004E6A4A">
              <w:rPr>
                <w:rFonts w:ascii="Times New Roman" w:eastAsia="Times New Roman" w:hAnsi="Times New Roman" w:cs="Times New Roman"/>
                <w:b/>
                <w:sz w:val="20"/>
              </w:rPr>
              <w:t>DCM: Article 7</w:t>
            </w:r>
          </w:p>
          <w:p w14:paraId="04135FB8" w14:textId="77777777" w:rsidR="00FA0CFF" w:rsidRPr="004E6A4A" w:rsidRDefault="00144445">
            <w:pPr>
              <w:jc w:val="center"/>
            </w:pPr>
            <w:r w:rsidRPr="004E6A4A">
              <w:rPr>
                <w:rFonts w:ascii="Times New Roman" w:eastAsia="Times New Roman" w:hAnsi="Times New Roman" w:cs="Times New Roman"/>
                <w:b/>
                <w:sz w:val="20"/>
              </w:rPr>
              <w:t>Due diligence procedure for new individual accounts</w:t>
            </w:r>
          </w:p>
          <w:p w14:paraId="764BCD10" w14:textId="77777777" w:rsidR="00FA0CFF" w:rsidRPr="004E6A4A" w:rsidRDefault="00144445">
            <w:pPr>
              <w:jc w:val="both"/>
            </w:pPr>
            <w:r w:rsidRPr="004E6A4A">
              <w:rPr>
                <w:rFonts w:ascii="Times New Roman" w:eastAsia="Times New Roman" w:hAnsi="Times New Roman" w:cs="Times New Roman"/>
                <w:sz w:val="20"/>
              </w:rPr>
              <w:t>The self-certification shall be valid where it fulfils the requirements of Article 9, point 3, of the law. The technical rules for the electronic obtaining, validation, retention and traceability of the self-certification shall be determined in accordance with this Decision.</w:t>
            </w:r>
          </w:p>
        </w:tc>
        <w:tc>
          <w:tcPr>
            <w:tcW w:w="1156" w:type="dxa"/>
          </w:tcPr>
          <w:p w14:paraId="40097BC1" w14:textId="77777777" w:rsidR="006D0605" w:rsidRPr="004E6A4A" w:rsidRDefault="006D0605" w:rsidP="00C4419F">
            <w:pPr>
              <w:jc w:val="center"/>
              <w:rPr>
                <w:rFonts w:ascii="Times New Roman" w:eastAsia="Calibri" w:hAnsi="Times New Roman" w:cs="Times New Roman"/>
                <w:sz w:val="18"/>
                <w:szCs w:val="18"/>
              </w:rPr>
            </w:pPr>
          </w:p>
          <w:p w14:paraId="68584C8C" w14:textId="46DD734E" w:rsidR="00B0586E"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506D9F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2E5D6C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9 of the Draft Law and by Article 7 of the Decision.</w:t>
            </w:r>
          </w:p>
        </w:tc>
      </w:tr>
      <w:tr w:rsidR="004E6A4A" w:rsidRPr="004E6A4A" w14:paraId="56CEBAA8" w14:textId="77777777" w:rsidTr="00E11E6D">
        <w:trPr>
          <w:trHeight w:val="764"/>
        </w:trPr>
        <w:tc>
          <w:tcPr>
            <w:tcW w:w="720" w:type="dxa"/>
          </w:tcPr>
          <w:p w14:paraId="54AD1C83"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466DE457"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  Paragraphs A-C</w:t>
            </w:r>
          </w:p>
          <w:p w14:paraId="00DDB91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V</w:t>
            </w:r>
          </w:p>
          <w:p w14:paraId="5512B63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DUE DILIGENCE FOR PRE-EXISTING ENTITY ACCOUNTS</w:t>
            </w:r>
          </w:p>
          <w:p w14:paraId="49E6514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The following procedures apply for purposes of identifying Reportable Accounts among Pre-existing Entity Accounts.</w:t>
            </w:r>
          </w:p>
          <w:p w14:paraId="23C8CD3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Entity Accounts Not Required to Be Reviewed, Identified or Reported. Unless the Reporting Financial Institution elects otherwise, either with respect to all Pre-existing Entity Accounts or, separately, with respect to any clearly iden tified group of such accounts, a Pre-existing Entity Account with an aggregate account balance or value that does not exceed, as of 31 December 2015, an amount denominated in the domestic currency of each Member State that corresponds to USD 250 000, is not required to be reviewed, identified, or reported as a Reportable Account until the aggregate account balance or value exceeds that amount as of the last day of any subsequent calendar year.</w:t>
            </w:r>
          </w:p>
          <w:p w14:paraId="69746D5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Entity Accounts Subject to Review. A Pre-existing Entity Account that has an aggregate account balance or value that exceeds, as of 31 December 2015, an amount denominated in the domestic currency of each Member State that corresponds to USD 250 000, and a Pre-existing Entity Account that does not exceed, as of 31 December 2015, that amount but the aggregate account balance or value of which exceeds such amount as of the last day of any subse quent calendar year, must be reviewed in accordance with the procedures set forth in paragraph D.</w:t>
            </w:r>
          </w:p>
          <w:p w14:paraId="3293D10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Entity Accounts With Respect to Which Reporting Is Required. With respect to Pre-existing Entity Accounts described in paragraph B, only accounts that are held by one or more Entities that are Reportable Persons, or by Passive NFEs with one or more Controlling Persons who are Reportable Persons, shall be treated as Reportable Accounts.</w:t>
            </w:r>
          </w:p>
        </w:tc>
        <w:tc>
          <w:tcPr>
            <w:tcW w:w="1080" w:type="dxa"/>
          </w:tcPr>
          <w:p w14:paraId="78B416BF"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2FD99799"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6BC74113" w14:textId="77777777" w:rsidR="00FA0CFF" w:rsidRPr="004E6A4A" w:rsidRDefault="00144445">
            <w:pPr>
              <w:jc w:val="center"/>
            </w:pPr>
            <w:r w:rsidRPr="004E6A4A">
              <w:rPr>
                <w:rFonts w:ascii="Times New Roman" w:eastAsia="Times New Roman" w:hAnsi="Times New Roman" w:cs="Times New Roman"/>
                <w:b/>
                <w:sz w:val="20"/>
              </w:rPr>
              <w:t>Draft Law: Article 10</w:t>
            </w:r>
          </w:p>
          <w:p w14:paraId="56186AF0" w14:textId="77777777" w:rsidR="00FA0CFF" w:rsidRPr="004E6A4A" w:rsidRDefault="00144445">
            <w:pPr>
              <w:jc w:val="center"/>
            </w:pPr>
            <w:r w:rsidRPr="004E6A4A">
              <w:rPr>
                <w:rFonts w:ascii="Times New Roman" w:eastAsia="Times New Roman" w:hAnsi="Times New Roman" w:cs="Times New Roman"/>
                <w:b/>
                <w:sz w:val="20"/>
              </w:rPr>
              <w:t>Due diligence for Pre-existing Entity Accounts</w:t>
            </w:r>
          </w:p>
          <w:p w14:paraId="01CB6EE7" w14:textId="77777777" w:rsidR="00FA0CFF" w:rsidRPr="004E6A4A" w:rsidRDefault="00144445">
            <w:pPr>
              <w:jc w:val="both"/>
            </w:pPr>
            <w:r w:rsidRPr="004E6A4A">
              <w:rPr>
                <w:rFonts w:ascii="Times New Roman" w:eastAsia="Times New Roman" w:hAnsi="Times New Roman" w:cs="Times New Roman"/>
                <w:sz w:val="20"/>
              </w:rPr>
              <w:t>1. For the purposes of identifying Reportable Accounts, the reporting financial institution shall apply the due diligence procedures for Pre-existing Entity Accounts.</w:t>
            </w:r>
          </w:p>
          <w:p w14:paraId="746A551A" w14:textId="77777777" w:rsidR="00FA0CFF" w:rsidRPr="004E6A4A" w:rsidRDefault="00144445">
            <w:pPr>
              <w:jc w:val="both"/>
            </w:pPr>
            <w:r w:rsidRPr="004E6A4A">
              <w:rPr>
                <w:rFonts w:ascii="Times New Roman" w:eastAsia="Times New Roman" w:hAnsi="Times New Roman" w:cs="Times New Roman"/>
                <w:sz w:val="20"/>
              </w:rPr>
              <w:lastRenderedPageBreak/>
              <w:t>2. A Pre-existing Entity Account which fulfils the conditions to be subject to review shall be reviewed in order to determine whether it is held by:</w:t>
            </w:r>
          </w:p>
          <w:p w14:paraId="2E4FC7B3" w14:textId="77777777" w:rsidR="00FA0CFF" w:rsidRPr="004E6A4A" w:rsidRDefault="00144445">
            <w:pPr>
              <w:jc w:val="both"/>
            </w:pPr>
            <w:r w:rsidRPr="004E6A4A">
              <w:rPr>
                <w:rFonts w:ascii="Times New Roman" w:eastAsia="Times New Roman" w:hAnsi="Times New Roman" w:cs="Times New Roman"/>
                <w:sz w:val="20"/>
              </w:rPr>
              <w:t>a) one or more Reportable Persons; or</w:t>
            </w:r>
          </w:p>
          <w:p w14:paraId="45ACF52B" w14:textId="77777777" w:rsidR="00FA0CFF" w:rsidRPr="004E6A4A" w:rsidRDefault="00144445">
            <w:pPr>
              <w:jc w:val="both"/>
            </w:pPr>
            <w:r w:rsidRPr="004E6A4A">
              <w:rPr>
                <w:rFonts w:ascii="Times New Roman" w:eastAsia="Times New Roman" w:hAnsi="Times New Roman" w:cs="Times New Roman"/>
                <w:sz w:val="20"/>
              </w:rPr>
              <w:t>b) a Passive Non-Financial Entity with one or more Controlling Persons who are Reportable Persons.</w:t>
            </w:r>
          </w:p>
          <w:p w14:paraId="174655FB" w14:textId="77777777" w:rsidR="00FA0CFF" w:rsidRPr="004E6A4A" w:rsidRDefault="00144445">
            <w:pPr>
              <w:jc w:val="both"/>
            </w:pPr>
            <w:r w:rsidRPr="004E6A4A">
              <w:rPr>
                <w:rFonts w:ascii="Times New Roman" w:eastAsia="Times New Roman" w:hAnsi="Times New Roman" w:cs="Times New Roman"/>
                <w:sz w:val="20"/>
              </w:rPr>
              <w:t>3. For the determination of the residence of the entity, the reporting financial institution shall review the information which it holds for regulatory purposes or for the purposes of the customer relationship, including the information collected in accordance with the procedures for the prevention of money laundering and terrorist financing.</w:t>
            </w:r>
          </w:p>
          <w:p w14:paraId="005D2C1E" w14:textId="77777777" w:rsidR="00FA0CFF" w:rsidRPr="004E6A4A" w:rsidRDefault="00144445">
            <w:pPr>
              <w:jc w:val="both"/>
            </w:pPr>
            <w:r w:rsidRPr="004E6A4A">
              <w:rPr>
                <w:rFonts w:ascii="Times New Roman" w:eastAsia="Times New Roman" w:hAnsi="Times New Roman" w:cs="Times New Roman"/>
                <w:sz w:val="20"/>
              </w:rPr>
              <w:t>4. If the information indicates that the account holder is resident in a reportable jurisdiction, the account shall be treated as a Reportable Account, except where the reporting financial institution:</w:t>
            </w:r>
          </w:p>
          <w:p w14:paraId="11723BA4" w14:textId="77777777" w:rsidR="00FA0CFF" w:rsidRPr="004E6A4A" w:rsidRDefault="00144445">
            <w:pPr>
              <w:jc w:val="both"/>
            </w:pPr>
            <w:r w:rsidRPr="004E6A4A">
              <w:rPr>
                <w:rFonts w:ascii="Times New Roman" w:eastAsia="Times New Roman" w:hAnsi="Times New Roman" w:cs="Times New Roman"/>
                <w:sz w:val="20"/>
              </w:rPr>
              <w:t>a) obtains a self-certification from the account holder; or</w:t>
            </w:r>
          </w:p>
          <w:p w14:paraId="6666B3A8" w14:textId="77777777" w:rsidR="00FA0CFF" w:rsidRPr="004E6A4A" w:rsidRDefault="00144445">
            <w:pPr>
              <w:jc w:val="both"/>
            </w:pPr>
            <w:r w:rsidRPr="004E6A4A">
              <w:rPr>
                <w:rFonts w:ascii="Times New Roman" w:eastAsia="Times New Roman" w:hAnsi="Times New Roman" w:cs="Times New Roman"/>
                <w:sz w:val="20"/>
              </w:rPr>
              <w:t>b) reasonably determines, on the basis of the information which it holds or which is publicly available, that the account holder is not a Reportable Person.</w:t>
            </w:r>
          </w:p>
          <w:p w14:paraId="0D071B44" w14:textId="77777777" w:rsidR="00FA0CFF" w:rsidRPr="004E6A4A" w:rsidRDefault="00144445">
            <w:pPr>
              <w:jc w:val="both"/>
            </w:pPr>
            <w:r w:rsidRPr="004E6A4A">
              <w:rPr>
                <w:rFonts w:ascii="Times New Roman" w:eastAsia="Times New Roman" w:hAnsi="Times New Roman" w:cs="Times New Roman"/>
                <w:sz w:val="20"/>
              </w:rPr>
              <w:t>5. In order to determine whether the account holder is a Passive NFE, the reporting financial institution shall obtain a self-certification from the account holder for the determination of its status, except where the information which it holds or which is publicly available enables it reasonably to determine that the account holder is an Active NFE or a Financial Institution, other than an Investment Entity of the type which, because it is not a Financial Institution of a Participating Jurisdiction, is treated as a Passive NFE.</w:t>
            </w:r>
          </w:p>
          <w:p w14:paraId="64ADC695" w14:textId="77777777" w:rsidR="00FA0CFF" w:rsidRPr="004E6A4A" w:rsidRDefault="00144445">
            <w:pPr>
              <w:jc w:val="both"/>
            </w:pPr>
            <w:r w:rsidRPr="004E6A4A">
              <w:rPr>
                <w:rFonts w:ascii="Times New Roman" w:eastAsia="Times New Roman" w:hAnsi="Times New Roman" w:cs="Times New Roman"/>
                <w:sz w:val="20"/>
              </w:rPr>
              <w:t>6. The reporting financial institution shall determine the Controlling Persons of the Passive Non-Financial Entity and their residence for tax purposes.</w:t>
            </w:r>
          </w:p>
          <w:p w14:paraId="79A83BE2" w14:textId="77777777" w:rsidR="00FA0CFF" w:rsidRPr="004E6A4A" w:rsidRDefault="00144445">
            <w:pPr>
              <w:jc w:val="both"/>
            </w:pPr>
            <w:r w:rsidRPr="004E6A4A">
              <w:rPr>
                <w:rFonts w:ascii="Times New Roman" w:eastAsia="Times New Roman" w:hAnsi="Times New Roman" w:cs="Times New Roman"/>
                <w:sz w:val="20"/>
              </w:rPr>
              <w:lastRenderedPageBreak/>
              <w:t>7. For the determination of the Controlling Persons, the reporting financial institution may rely on the information collected and maintained in accordance with the procedures for the prevention of money laundering and terrorist financing, in accordance with point 7 of Article 7 of this Law.</w:t>
            </w:r>
          </w:p>
          <w:p w14:paraId="460E53AC" w14:textId="77777777" w:rsidR="00FA0CFF" w:rsidRPr="004E6A4A" w:rsidRDefault="00144445">
            <w:pPr>
              <w:jc w:val="both"/>
            </w:pPr>
            <w:r w:rsidRPr="004E6A4A">
              <w:rPr>
                <w:rFonts w:ascii="Times New Roman" w:eastAsia="Times New Roman" w:hAnsi="Times New Roman" w:cs="Times New Roman"/>
                <w:sz w:val="20"/>
              </w:rPr>
              <w:t>8. For the determination of whether a Controlling Person of a Passive NFE is a Reportable Person, the reporting financial institution may rely on the information collected and maintained under the AML/KYC procedures, where the Pre-existing Entity Account has an aggregate balance or value not exceeding the equivalent in the domestic currency of USD 1 000 000; where that threshold is exceeded, the reporting financial institution shall rely on a self-certification from the account holder or from the Controlling Person.</w:t>
            </w:r>
          </w:p>
          <w:p w14:paraId="2EACD004" w14:textId="77777777" w:rsidR="00FA0CFF" w:rsidRPr="004E6A4A" w:rsidRDefault="00144445">
            <w:pPr>
              <w:jc w:val="both"/>
            </w:pPr>
            <w:r w:rsidRPr="004E6A4A">
              <w:rPr>
                <w:rFonts w:ascii="Times New Roman" w:eastAsia="Times New Roman" w:hAnsi="Times New Roman" w:cs="Times New Roman"/>
                <w:sz w:val="20"/>
              </w:rPr>
              <w:t>9. If any Controlling Person of a Passive Non-Financial Entity is a Reportable Person, the account shall be treated as a Reportable Account.</w:t>
            </w:r>
          </w:p>
          <w:p w14:paraId="36B4FDD3" w14:textId="77777777" w:rsidR="00FA0CFF" w:rsidRPr="004E6A4A" w:rsidRDefault="00144445">
            <w:pPr>
              <w:jc w:val="both"/>
            </w:pPr>
            <w:r w:rsidRPr="004E6A4A">
              <w:rPr>
                <w:rFonts w:ascii="Times New Roman" w:eastAsia="Times New Roman" w:hAnsi="Times New Roman" w:cs="Times New Roman"/>
                <w:sz w:val="20"/>
              </w:rPr>
              <w:t>10. A change of circumstances which causes the reporting financial institution to know or to have reason to know that the self-certification or other documentation is inaccurate or unreliable shall entail the obligation to redetermine the status of the account in accordance with this Article.</w:t>
            </w:r>
          </w:p>
          <w:p w14:paraId="587A4F5C" w14:textId="77777777" w:rsidR="00FA0CFF" w:rsidRPr="004E6A4A" w:rsidRDefault="00144445">
            <w:pPr>
              <w:jc w:val="both"/>
            </w:pPr>
            <w:r w:rsidRPr="004E6A4A">
              <w:rPr>
                <w:rFonts w:ascii="Times New Roman" w:eastAsia="Times New Roman" w:hAnsi="Times New Roman" w:cs="Times New Roman"/>
                <w:sz w:val="20"/>
              </w:rPr>
              <w:t>11. A Pre-existing Entity Account with a balance or value not exceeding the threshold determined in the sub-legal act issued in implementation of this Law shall not be required to be subject to review, identification or reporting until the moment when its balance or value exceeds that threshold, except where the reporting financial institution chooses to apply the due diligence procedures also to those accounts.</w:t>
            </w:r>
          </w:p>
          <w:p w14:paraId="67434FBD" w14:textId="77777777" w:rsidR="00FA0CFF" w:rsidRPr="004E6A4A" w:rsidRDefault="00144445">
            <w:pPr>
              <w:jc w:val="both"/>
            </w:pPr>
            <w:r w:rsidRPr="004E6A4A">
              <w:rPr>
                <w:rFonts w:ascii="Times New Roman" w:eastAsia="Times New Roman" w:hAnsi="Times New Roman" w:cs="Times New Roman"/>
                <w:sz w:val="20"/>
              </w:rPr>
              <w:t>12. The monetary thresholds, the reference dates, the review time limits and the detailed procedures for Pre-</w:t>
            </w:r>
            <w:r w:rsidRPr="004E6A4A">
              <w:rPr>
                <w:rFonts w:ascii="Times New Roman" w:eastAsia="Times New Roman" w:hAnsi="Times New Roman" w:cs="Times New Roman"/>
                <w:sz w:val="20"/>
              </w:rPr>
              <w:lastRenderedPageBreak/>
              <w:t>existing Entity Accounts shall be determined by sub-legal act issued in implementation of this Law.</w:t>
            </w:r>
          </w:p>
          <w:p w14:paraId="1C570544" w14:textId="77777777" w:rsidR="00FA0CFF" w:rsidRPr="004E6A4A" w:rsidRDefault="00FA0CFF"/>
          <w:p w14:paraId="5171C1FE" w14:textId="77777777" w:rsidR="00FA0CFF" w:rsidRPr="004E6A4A" w:rsidRDefault="00144445">
            <w:pPr>
              <w:jc w:val="center"/>
            </w:pPr>
            <w:r w:rsidRPr="004E6A4A">
              <w:rPr>
                <w:rFonts w:ascii="Times New Roman" w:eastAsia="Times New Roman" w:hAnsi="Times New Roman" w:cs="Times New Roman"/>
                <w:b/>
                <w:sz w:val="20"/>
              </w:rPr>
              <w:t>DCM: Article 8</w:t>
            </w:r>
          </w:p>
          <w:p w14:paraId="142C0145" w14:textId="77777777" w:rsidR="00FA0CFF" w:rsidRPr="004E6A4A" w:rsidRDefault="00144445">
            <w:pPr>
              <w:jc w:val="center"/>
            </w:pPr>
            <w:r w:rsidRPr="004E6A4A">
              <w:rPr>
                <w:rFonts w:ascii="Times New Roman" w:eastAsia="Times New Roman" w:hAnsi="Times New Roman" w:cs="Times New Roman"/>
                <w:b/>
                <w:sz w:val="20"/>
              </w:rPr>
              <w:t>Due diligence for pre-existing entity accounts</w:t>
            </w:r>
          </w:p>
          <w:p w14:paraId="77397F4B" w14:textId="77777777" w:rsidR="00FA0CFF" w:rsidRPr="004E6A4A" w:rsidRDefault="00144445">
            <w:pPr>
              <w:jc w:val="both"/>
            </w:pPr>
            <w:r w:rsidRPr="004E6A4A">
              <w:rPr>
                <w:rFonts w:ascii="Times New Roman" w:eastAsia="Times New Roman" w:hAnsi="Times New Roman" w:cs="Times New Roman"/>
                <w:sz w:val="20"/>
              </w:rPr>
              <w:t>The following procedures shall apply for the identification of Reportable Accounts among Pre-existing Entity Accounts.</w:t>
            </w:r>
          </w:p>
          <w:p w14:paraId="73D5482B" w14:textId="77777777" w:rsidR="00FA0CFF" w:rsidRPr="004E6A4A" w:rsidRDefault="00144445">
            <w:pPr>
              <w:jc w:val="both"/>
            </w:pPr>
            <w:r w:rsidRPr="004E6A4A">
              <w:rPr>
                <w:rFonts w:ascii="Times New Roman" w:eastAsia="Times New Roman" w:hAnsi="Times New Roman" w:cs="Times New Roman"/>
                <w:sz w:val="20"/>
              </w:rPr>
              <w:t>1. Entity accounts which are not required to be reviewed, identified or reported. If the reporting financial institution does not choose otherwise, a Pre-existing Entity Account with an aggregate balance or value not exceeding USD 250 000 on the applicable date under the definition of Pre-existing Account for the relevant profile shall not be required to be reviewed, identified or reported until the aggregate balance or value exceeds that amount at the end of a subsequent calendar year.</w:t>
            </w:r>
          </w:p>
          <w:p w14:paraId="583E976D" w14:textId="77777777" w:rsidR="00FA0CFF" w:rsidRPr="004E6A4A" w:rsidRDefault="00144445">
            <w:pPr>
              <w:jc w:val="both"/>
            </w:pPr>
            <w:r w:rsidRPr="004E6A4A">
              <w:rPr>
                <w:rFonts w:ascii="Times New Roman" w:eastAsia="Times New Roman" w:hAnsi="Times New Roman" w:cs="Times New Roman"/>
                <w:sz w:val="20"/>
              </w:rPr>
              <w:t>2. Entity accounts which are subject to review. Every Pre-existing Entity Account with an aggregate balance or value exceeding USD 250 000 on the applicable date under the relevant profile, as well as every account which exceeds that threshold at the end of a subsequent calendar year, shall be reviewed in accordance with the procedures of point 3.</w:t>
            </w:r>
          </w:p>
          <w:p w14:paraId="74440989" w14:textId="77777777" w:rsidR="00FA0CFF" w:rsidRPr="004E6A4A" w:rsidRDefault="00FA0CFF"/>
          <w:p w14:paraId="712EBDE9" w14:textId="4552802B" w:rsidR="00314369" w:rsidRPr="004E6A4A" w:rsidRDefault="00314369" w:rsidP="00314369">
            <w:pPr>
              <w:jc w:val="center"/>
            </w:pPr>
          </w:p>
          <w:p w14:paraId="3F932E42" w14:textId="5D4758FE" w:rsidR="00FA0CFF" w:rsidRPr="004E6A4A" w:rsidRDefault="00FA0CFF">
            <w:pPr>
              <w:jc w:val="both"/>
            </w:pPr>
          </w:p>
        </w:tc>
        <w:tc>
          <w:tcPr>
            <w:tcW w:w="1156" w:type="dxa"/>
          </w:tcPr>
          <w:p w14:paraId="349022E2" w14:textId="77777777" w:rsidR="006D0605" w:rsidRPr="004E6A4A" w:rsidRDefault="006D0605" w:rsidP="00C4419F">
            <w:pPr>
              <w:jc w:val="center"/>
              <w:rPr>
                <w:rFonts w:ascii="Times New Roman" w:eastAsia="Calibri" w:hAnsi="Times New Roman" w:cs="Times New Roman"/>
                <w:sz w:val="18"/>
                <w:szCs w:val="18"/>
              </w:rPr>
            </w:pPr>
          </w:p>
          <w:p w14:paraId="21B48C0D" w14:textId="1896F77F" w:rsidR="00B0586E"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C6280D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9F614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10 of the Draft Law and by Article 8, points 1 and 2 of the Decision.</w:t>
            </w:r>
          </w:p>
        </w:tc>
      </w:tr>
      <w:tr w:rsidR="004E6A4A" w:rsidRPr="004E6A4A" w14:paraId="0DCADC7A" w14:textId="77777777" w:rsidTr="00E11E6D">
        <w:trPr>
          <w:trHeight w:val="764"/>
        </w:trPr>
        <w:tc>
          <w:tcPr>
            <w:tcW w:w="720" w:type="dxa"/>
          </w:tcPr>
          <w:p w14:paraId="53DBACA7"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306DC1F3"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  Paragraph D</w:t>
            </w:r>
          </w:p>
          <w:p w14:paraId="7DB649F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 xml:space="preserve">Review Procedures for Identifying Entity Accounts With Respect to Which Reporting Is Required. For Pre-existing Entity Accounts described in paragraph B, a Reporting Financial Institution must apply the following review proced ures to determine whether the account is held by one or more Reportable Persons, or by </w:t>
            </w:r>
            <w:r w:rsidRPr="004E6A4A">
              <w:rPr>
                <w:rFonts w:ascii="Times New Roman" w:eastAsia="Times New Roman" w:hAnsi="Times New Roman" w:cs="Times New Roman"/>
                <w:sz w:val="20"/>
                <w:szCs w:val="20"/>
              </w:rPr>
              <w:lastRenderedPageBreak/>
              <w:t>Passive NFEs with one or more Controlling Persons who are Reportable Persons:</w:t>
            </w:r>
          </w:p>
          <w:p w14:paraId="5540558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Determine Whether the Entity Is a Reportable Person.</w:t>
            </w:r>
          </w:p>
          <w:p w14:paraId="201E234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Review information maintained for regulatory or customer relationship purposes (including information collected pursuant to AML/KYC Procedures) to determine whether the information indicates that the Account Holder is resident in a Member State. For this purpose, information indicating that the Account Holder is resi dent in a Member State includes a place of incorporation or organisation, or an address in a Member State.</w:t>
            </w:r>
          </w:p>
          <w:p w14:paraId="3F3CA2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If the information indicates that the Account Holder is resident in a Member State, the Reporting Financial Institution must treat the account as a Reportable Account unless it obtains a self-certification from the Account Holder, or reasonably determines based on information in its possession or that is publicly available, that the Account Holder is not a Reportable Person.</w:t>
            </w:r>
          </w:p>
          <w:p w14:paraId="142F1F1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Determine Whether the Entity is a Passive NFE with One or More Controlling Persons who are Reportable Persons. With respect to an Account Holder of a Pre-existing Entity Account (including an Entity that is a Repor table Person), the Reporting Financial Institution must determine whether the Account Holder is a Passive NFE with one or more Controlling Persons who are Reportable Persons. If any of the Controlling Persons of a Passive NFE is a Reportable Person, then the account must be treated as a Reportable Account. In making these determi nations the Reporting Financial Institution must follow the guidance in subparagraphs D(2)(a) through (c) in the order most appropriate under the circumstances.</w:t>
            </w:r>
          </w:p>
          <w:p w14:paraId="6EC773E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 xml:space="preserve">Determining whether the Account Holder is a Passive NFE. For purposes of determining whether the Account Holder is a Passive NFE, the Reporting Financial Institution must obtain a self-certification from the Account Holder to establish its status, unless it has </w:t>
            </w:r>
            <w:r w:rsidRPr="004E6A4A">
              <w:rPr>
                <w:rFonts w:ascii="Times New Roman" w:eastAsia="Times New Roman" w:hAnsi="Times New Roman" w:cs="Times New Roman"/>
                <w:sz w:val="20"/>
                <w:szCs w:val="20"/>
              </w:rPr>
              <w:lastRenderedPageBreak/>
              <w:t>information in its possession or that is publicly available, based on which it can reasonably determine that the Account Holder is an Active NFE or a Financial Institution other than an Investment Entity described in subparagraph A(6)(b) of Section VIII that is not a Participating Jurisdic tion Financial Institution.</w:t>
            </w:r>
          </w:p>
          <w:p w14:paraId="74B5CBD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Determining the Controlling Persons of an Account Holder. For the purpose of determining the Controlling Persons of an Account Holder, a Reporting Financial Institution may rely on information collected and main tained pursuant to AML/KYC Procedures.</w:t>
            </w:r>
          </w:p>
          <w:p w14:paraId="7D58F09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Determining whether a Controlling Person of a Passive NFE is a Reportable Person. For the purposes of deter mining whether a Controlling Person of a Passive NFE is a Reportable Person, a Reporting Financial Institution may rely on:</w:t>
            </w:r>
          </w:p>
          <w:p w14:paraId="581368D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information collected and maintained pursuant to AML/KYC Procedures in the case of a Pre-existing Entity Account held by one or more NFEs with an aggregate account balance or value that does not exceed an amount denominated in the domestic currency of each Member State that corresponds to USD 1 000 000; or</w:t>
            </w:r>
          </w:p>
          <w:p w14:paraId="7BAAB82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a self-certification from the Account Holder or such Controlling Person of the Member State(s) or other jurisdiction(s) in which the controlling person is resident for tax purposes.</w:t>
            </w:r>
          </w:p>
        </w:tc>
        <w:tc>
          <w:tcPr>
            <w:tcW w:w="1080" w:type="dxa"/>
          </w:tcPr>
          <w:p w14:paraId="6F1A6A19"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6365257C" w14:textId="77777777"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5F68AB01" w14:textId="77777777" w:rsidR="00FA0CFF" w:rsidRPr="004E6A4A" w:rsidRDefault="00144445">
            <w:pPr>
              <w:jc w:val="center"/>
            </w:pPr>
            <w:r w:rsidRPr="004E6A4A">
              <w:rPr>
                <w:rFonts w:ascii="Times New Roman" w:eastAsia="Times New Roman" w:hAnsi="Times New Roman" w:cs="Times New Roman"/>
                <w:b/>
                <w:sz w:val="20"/>
              </w:rPr>
              <w:t>DCM: Article 8</w:t>
            </w:r>
          </w:p>
          <w:p w14:paraId="4D752D97" w14:textId="77777777" w:rsidR="00FA0CFF" w:rsidRPr="004E6A4A" w:rsidRDefault="00144445">
            <w:pPr>
              <w:jc w:val="center"/>
            </w:pPr>
            <w:r w:rsidRPr="004E6A4A">
              <w:rPr>
                <w:rFonts w:ascii="Times New Roman" w:eastAsia="Times New Roman" w:hAnsi="Times New Roman" w:cs="Times New Roman"/>
                <w:b/>
                <w:sz w:val="20"/>
              </w:rPr>
              <w:t>Due diligence for pre-existing entity accounts</w:t>
            </w:r>
          </w:p>
          <w:p w14:paraId="2362C6BC" w14:textId="77777777" w:rsidR="00FA0CFF" w:rsidRPr="004E6A4A" w:rsidRDefault="00144445">
            <w:pPr>
              <w:jc w:val="both"/>
            </w:pPr>
            <w:r w:rsidRPr="004E6A4A">
              <w:rPr>
                <w:rFonts w:ascii="Times New Roman" w:eastAsia="Times New Roman" w:hAnsi="Times New Roman" w:cs="Times New Roman"/>
                <w:sz w:val="20"/>
              </w:rPr>
              <w:t>The following procedures shall apply for the identification of Reportable Accounts among Pre-existing Entity Accounts.</w:t>
            </w:r>
          </w:p>
          <w:p w14:paraId="1F6EDBB6" w14:textId="77777777" w:rsidR="00FA0CFF" w:rsidRPr="004E6A4A" w:rsidRDefault="00144445">
            <w:pPr>
              <w:jc w:val="both"/>
            </w:pPr>
            <w:r w:rsidRPr="004E6A4A">
              <w:rPr>
                <w:rFonts w:ascii="Times New Roman" w:eastAsia="Times New Roman" w:hAnsi="Times New Roman" w:cs="Times New Roman"/>
                <w:sz w:val="20"/>
              </w:rPr>
              <w:t xml:space="preserve">3. Review of the procedures for the identification of entity accounts for which reporting is required. For the pre-existing entity accounts described in point 2 of </w:t>
            </w:r>
            <w:r w:rsidRPr="004E6A4A">
              <w:rPr>
                <w:rFonts w:ascii="Times New Roman" w:eastAsia="Times New Roman" w:hAnsi="Times New Roman" w:cs="Times New Roman"/>
                <w:sz w:val="20"/>
              </w:rPr>
              <w:lastRenderedPageBreak/>
              <w:t>this Article, a reporting financial institution must apply the following review procedures:</w:t>
            </w:r>
          </w:p>
          <w:p w14:paraId="7AEF9E8B" w14:textId="77777777" w:rsidR="00FA0CFF" w:rsidRPr="004E6A4A" w:rsidRDefault="00144445">
            <w:pPr>
              <w:jc w:val="both"/>
            </w:pPr>
            <w:r w:rsidRPr="004E6A4A">
              <w:rPr>
                <w:rFonts w:ascii="Times New Roman" w:eastAsia="Times New Roman" w:hAnsi="Times New Roman" w:cs="Times New Roman"/>
                <w:sz w:val="20"/>
              </w:rPr>
              <w:t>a) The residence of the entity shall be determined, as follows:</w:t>
            </w:r>
          </w:p>
          <w:p w14:paraId="55A23AFF" w14:textId="77777777" w:rsidR="00FA0CFF" w:rsidRPr="004E6A4A" w:rsidRDefault="00144445">
            <w:pPr>
              <w:jc w:val="both"/>
            </w:pPr>
            <w:r w:rsidRPr="004E6A4A">
              <w:rPr>
                <w:rFonts w:ascii="Times New Roman" w:eastAsia="Times New Roman" w:hAnsi="Times New Roman" w:cs="Times New Roman"/>
                <w:sz w:val="20"/>
              </w:rPr>
              <w:t>i. it shall review the information maintained for regulatory purposes or for the purposes of the customer relationship, including the information collected under the AML/KYC procedures, in order to determine whether that information indicates that the Account Holder is resident in a Reportable Jurisdiction. For that purpose, account shall be taken, inter alia, of the place of incorporation or organisation and of the address of the Entity in a Reportable Jurisdiction;</w:t>
            </w:r>
          </w:p>
          <w:p w14:paraId="4BBE3642" w14:textId="77777777" w:rsidR="00FA0CFF" w:rsidRPr="004E6A4A" w:rsidRDefault="00144445">
            <w:pPr>
              <w:jc w:val="both"/>
            </w:pPr>
            <w:r w:rsidRPr="004E6A4A">
              <w:rPr>
                <w:rFonts w:ascii="Times New Roman" w:eastAsia="Times New Roman" w:hAnsi="Times New Roman" w:cs="Times New Roman"/>
                <w:sz w:val="20"/>
              </w:rPr>
              <w:t>ii. if the information indicates that the account holder is a reportable person, the reporting financial institution must treat the account as a reportable account, except where it obtains a self-certification from the account holder or reasonably determines, on the basis of information in its possession or publicly available, that the account holder is not a reportable person.</w:t>
            </w:r>
          </w:p>
          <w:p w14:paraId="5B3451D9" w14:textId="77777777" w:rsidR="00FA0CFF" w:rsidRPr="004E6A4A" w:rsidRDefault="00144445">
            <w:pPr>
              <w:jc w:val="both"/>
            </w:pPr>
            <w:r w:rsidRPr="004E6A4A">
              <w:rPr>
                <w:rFonts w:ascii="Times New Roman" w:eastAsia="Times New Roman" w:hAnsi="Times New Roman" w:cs="Times New Roman"/>
                <w:sz w:val="20"/>
              </w:rPr>
              <w:t xml:space="preserve">b) It shall be determined whether the Account Holder is a Passive NFE with one or more Controlling Persons who are Reportable Persons. In relation to the Account Holder of a Pre-existing Entity Account, including an Entity which is a Reportable Person, the Reporting Financial Institution shall determine whether the Account Holder is a Passive NFE with one or more Controlling Persons and whether one or more of those Controlling Persons are Reportable Persons. If one or more Controlling Persons of a Passive NFE are Reportable Persons, the account shall be treated as a Reportable Account. For those determinations, the Reporting Financial Institution shall apply sub-points “i” to “iii” of this letter, in the </w:t>
            </w:r>
            <w:r w:rsidRPr="004E6A4A">
              <w:rPr>
                <w:rFonts w:ascii="Times New Roman" w:eastAsia="Times New Roman" w:hAnsi="Times New Roman" w:cs="Times New Roman"/>
                <w:sz w:val="20"/>
              </w:rPr>
              <w:lastRenderedPageBreak/>
              <w:t>order most appropriate depending on the circumstances:</w:t>
            </w:r>
          </w:p>
          <w:p w14:paraId="0134E3CD" w14:textId="77777777" w:rsidR="00FA0CFF" w:rsidRPr="004E6A4A" w:rsidRDefault="00144445">
            <w:pPr>
              <w:jc w:val="both"/>
            </w:pPr>
            <w:r w:rsidRPr="004E6A4A">
              <w:rPr>
                <w:rFonts w:ascii="Times New Roman" w:eastAsia="Times New Roman" w:hAnsi="Times New Roman" w:cs="Times New Roman"/>
                <w:sz w:val="20"/>
              </w:rPr>
              <w:t>i. Determination of whether the Account Holder is a Passive NFE. The Reporting Financial Institution shall obtain a self-certification from the Account Holder in order to determine its status, except where it has information, or the information is publicly available, on the basis of which it may reasonably determine that the Account Holder is an Active NFE or a Financial Institution, other than an Investment Entity described in Article 5, point 26, letter “b”, of the law, which is not a Financial Institution of a Participating Jurisdiction.</w:t>
            </w:r>
          </w:p>
          <w:p w14:paraId="6513ED83" w14:textId="77777777" w:rsidR="00FA0CFF" w:rsidRPr="004E6A4A" w:rsidRDefault="00144445">
            <w:pPr>
              <w:jc w:val="both"/>
            </w:pPr>
            <w:r w:rsidRPr="004E6A4A">
              <w:rPr>
                <w:rFonts w:ascii="Times New Roman" w:eastAsia="Times New Roman" w:hAnsi="Times New Roman" w:cs="Times New Roman"/>
                <w:sz w:val="20"/>
              </w:rPr>
              <w:t>ii. Determination of the Controlling Persons of the Account Holder. For the determination of the Controlling Persons, the Reporting Financial Institution may rely on the information collected and maintained in accordance with the AML/KYC procedures.</w:t>
            </w:r>
          </w:p>
          <w:p w14:paraId="488BA3B7" w14:textId="77777777" w:rsidR="00FA0CFF" w:rsidRPr="004E6A4A" w:rsidRDefault="00144445">
            <w:pPr>
              <w:jc w:val="both"/>
            </w:pPr>
            <w:r w:rsidRPr="004E6A4A">
              <w:rPr>
                <w:rFonts w:ascii="Times New Roman" w:eastAsia="Times New Roman" w:hAnsi="Times New Roman" w:cs="Times New Roman"/>
                <w:sz w:val="20"/>
              </w:rPr>
              <w:t>iii. Determination of whether a Controlling Person of a Passive NFE is a Reportable Person. For that purpose, the Reporting Financial Institution may rely:</w:t>
            </w:r>
          </w:p>
          <w:p w14:paraId="301482B7" w14:textId="77777777" w:rsidR="00FA0CFF" w:rsidRPr="004E6A4A" w:rsidRDefault="00144445">
            <w:pPr>
              <w:jc w:val="both"/>
            </w:pPr>
            <w:r w:rsidRPr="004E6A4A">
              <w:rPr>
                <w:rFonts w:ascii="Times New Roman" w:eastAsia="Times New Roman" w:hAnsi="Times New Roman" w:cs="Times New Roman"/>
                <w:sz w:val="20"/>
              </w:rPr>
              <w:t>1. on the information collected and maintained in accordance with the AML/KYC procedures, in the case of a Pre-existing Entity Account held by one or more NFEs, with an aggregate account balance or value not exceeding USD 1 000 000 (one million); or</w:t>
            </w:r>
          </w:p>
          <w:p w14:paraId="1DE77B27" w14:textId="77777777" w:rsidR="00FA0CFF" w:rsidRPr="004E6A4A" w:rsidRDefault="00144445">
            <w:pPr>
              <w:jc w:val="both"/>
            </w:pPr>
            <w:r w:rsidRPr="004E6A4A">
              <w:rPr>
                <w:rFonts w:ascii="Times New Roman" w:eastAsia="Times New Roman" w:hAnsi="Times New Roman" w:cs="Times New Roman"/>
                <w:sz w:val="20"/>
              </w:rPr>
              <w:t xml:space="preserve">2. on a self-certification from the Account Holder or the Controlling Person, determining the jurisdiction or jurisdictions in which the Controlling Person is resident for tax purposes. If a self-certification is not obtained, the Reporting Financial Institution shall determine the residence or residences of the Controlling Person by applying the procedures described in Article 6, point 1, letter “b”, of this Decision. If the Reporting Financial Institution does not identify any indicium in its records, no further </w:t>
            </w:r>
            <w:r w:rsidRPr="004E6A4A">
              <w:rPr>
                <w:rFonts w:ascii="Times New Roman" w:eastAsia="Times New Roman" w:hAnsi="Times New Roman" w:cs="Times New Roman"/>
                <w:sz w:val="20"/>
              </w:rPr>
              <w:lastRenderedPageBreak/>
              <w:t>action shall be required until a change of circumstances results in one or more indicia in relation to the Controlling Person associated with the account.</w:t>
            </w:r>
          </w:p>
          <w:p w14:paraId="546C4462" w14:textId="77777777" w:rsidR="00FA0CFF" w:rsidRPr="004E6A4A" w:rsidRDefault="00FA0CFF"/>
          <w:p w14:paraId="58884CCD" w14:textId="77777777" w:rsidR="00FA0CFF" w:rsidRPr="004E6A4A" w:rsidRDefault="00144445">
            <w:pPr>
              <w:jc w:val="center"/>
            </w:pPr>
            <w:r w:rsidRPr="004E6A4A">
              <w:rPr>
                <w:rFonts w:ascii="Times New Roman" w:eastAsia="Times New Roman" w:hAnsi="Times New Roman" w:cs="Times New Roman"/>
                <w:b/>
                <w:sz w:val="20"/>
              </w:rPr>
              <w:t>Draft Law: Article 10</w:t>
            </w:r>
          </w:p>
          <w:p w14:paraId="7FF72F35" w14:textId="77777777" w:rsidR="00FA0CFF" w:rsidRPr="004E6A4A" w:rsidRDefault="00144445">
            <w:pPr>
              <w:jc w:val="center"/>
            </w:pPr>
            <w:r w:rsidRPr="004E6A4A">
              <w:rPr>
                <w:rFonts w:ascii="Times New Roman" w:eastAsia="Times New Roman" w:hAnsi="Times New Roman" w:cs="Times New Roman"/>
                <w:b/>
                <w:sz w:val="20"/>
              </w:rPr>
              <w:t>Due diligence for Pre-existing Entity Accounts</w:t>
            </w:r>
          </w:p>
          <w:p w14:paraId="48DB032F" w14:textId="77777777" w:rsidR="00FA0CFF" w:rsidRPr="004E6A4A" w:rsidRDefault="00144445">
            <w:pPr>
              <w:jc w:val="both"/>
            </w:pPr>
            <w:r w:rsidRPr="004E6A4A">
              <w:rPr>
                <w:rFonts w:ascii="Times New Roman" w:eastAsia="Times New Roman" w:hAnsi="Times New Roman" w:cs="Times New Roman"/>
                <w:sz w:val="20"/>
              </w:rPr>
              <w:t>1. For the purposes of identifying Reportable Accounts, the reporting financial institution shall apply the due diligence procedures for Pre-existing Entity Accounts.</w:t>
            </w:r>
          </w:p>
          <w:p w14:paraId="1515F087" w14:textId="77777777" w:rsidR="00FA0CFF" w:rsidRPr="004E6A4A" w:rsidRDefault="00144445">
            <w:pPr>
              <w:jc w:val="both"/>
            </w:pPr>
            <w:r w:rsidRPr="004E6A4A">
              <w:rPr>
                <w:rFonts w:ascii="Times New Roman" w:eastAsia="Times New Roman" w:hAnsi="Times New Roman" w:cs="Times New Roman"/>
                <w:sz w:val="20"/>
              </w:rPr>
              <w:t>2. A Pre-existing Entity Account which fulfils the conditions to be subject to review shall be reviewed in order to determine whether it is held by:</w:t>
            </w:r>
          </w:p>
          <w:p w14:paraId="05B92557" w14:textId="77777777" w:rsidR="00FA0CFF" w:rsidRPr="004E6A4A" w:rsidRDefault="00144445">
            <w:pPr>
              <w:jc w:val="both"/>
            </w:pPr>
            <w:r w:rsidRPr="004E6A4A">
              <w:rPr>
                <w:rFonts w:ascii="Times New Roman" w:eastAsia="Times New Roman" w:hAnsi="Times New Roman" w:cs="Times New Roman"/>
                <w:sz w:val="20"/>
              </w:rPr>
              <w:t>a) one or more Reportable Persons; or</w:t>
            </w:r>
          </w:p>
          <w:p w14:paraId="2ADA3A39" w14:textId="77777777" w:rsidR="00FA0CFF" w:rsidRPr="004E6A4A" w:rsidRDefault="00144445">
            <w:pPr>
              <w:jc w:val="both"/>
            </w:pPr>
            <w:r w:rsidRPr="004E6A4A">
              <w:rPr>
                <w:rFonts w:ascii="Times New Roman" w:eastAsia="Times New Roman" w:hAnsi="Times New Roman" w:cs="Times New Roman"/>
                <w:sz w:val="20"/>
              </w:rPr>
              <w:t>b) a Passive Non-Financial Entity with one or more Controlling Persons who are Reportable Persons.</w:t>
            </w:r>
          </w:p>
          <w:p w14:paraId="10F8585A" w14:textId="77777777" w:rsidR="00FA0CFF" w:rsidRPr="004E6A4A" w:rsidRDefault="00144445">
            <w:pPr>
              <w:jc w:val="both"/>
            </w:pPr>
            <w:r w:rsidRPr="004E6A4A">
              <w:rPr>
                <w:rFonts w:ascii="Times New Roman" w:eastAsia="Times New Roman" w:hAnsi="Times New Roman" w:cs="Times New Roman"/>
                <w:sz w:val="20"/>
              </w:rPr>
              <w:t>3. For the determination of the residence of the entity, the reporting financial institution shall review the information which it holds for regulatory purposes or for the purposes of the customer relationship, including the information collected in accordance with the procedures for the prevention of money laundering and terrorist financing.</w:t>
            </w:r>
          </w:p>
          <w:p w14:paraId="22623EA7" w14:textId="77777777" w:rsidR="00FA0CFF" w:rsidRPr="004E6A4A" w:rsidRDefault="00144445">
            <w:pPr>
              <w:jc w:val="both"/>
            </w:pPr>
            <w:r w:rsidRPr="004E6A4A">
              <w:rPr>
                <w:rFonts w:ascii="Times New Roman" w:eastAsia="Times New Roman" w:hAnsi="Times New Roman" w:cs="Times New Roman"/>
                <w:sz w:val="20"/>
              </w:rPr>
              <w:t>4. If the information indicates that the account holder is resident in a reportable jurisdiction, the account shall be treated as a Reportable Account, except where the reporting financial institution:</w:t>
            </w:r>
          </w:p>
          <w:p w14:paraId="2E0A4ADC" w14:textId="77777777" w:rsidR="00FA0CFF" w:rsidRPr="004E6A4A" w:rsidRDefault="00144445">
            <w:pPr>
              <w:jc w:val="both"/>
            </w:pPr>
            <w:r w:rsidRPr="004E6A4A">
              <w:rPr>
                <w:rFonts w:ascii="Times New Roman" w:eastAsia="Times New Roman" w:hAnsi="Times New Roman" w:cs="Times New Roman"/>
                <w:sz w:val="20"/>
              </w:rPr>
              <w:t>a) obtains a self-certification from the account holder; or</w:t>
            </w:r>
          </w:p>
          <w:p w14:paraId="5BE6AA9E" w14:textId="77777777" w:rsidR="00FA0CFF" w:rsidRPr="004E6A4A" w:rsidRDefault="00144445">
            <w:pPr>
              <w:jc w:val="both"/>
            </w:pPr>
            <w:r w:rsidRPr="004E6A4A">
              <w:rPr>
                <w:rFonts w:ascii="Times New Roman" w:eastAsia="Times New Roman" w:hAnsi="Times New Roman" w:cs="Times New Roman"/>
                <w:sz w:val="20"/>
              </w:rPr>
              <w:t>b) reasonably determines, on the basis of the information which it holds or which is publicly available, that the account holder is not a Reportable Person.</w:t>
            </w:r>
          </w:p>
          <w:p w14:paraId="3B2C614A" w14:textId="77777777" w:rsidR="00FA0CFF" w:rsidRPr="004E6A4A" w:rsidRDefault="00144445">
            <w:pPr>
              <w:jc w:val="both"/>
            </w:pPr>
            <w:r w:rsidRPr="004E6A4A">
              <w:rPr>
                <w:rFonts w:ascii="Times New Roman" w:eastAsia="Times New Roman" w:hAnsi="Times New Roman" w:cs="Times New Roman"/>
                <w:sz w:val="20"/>
              </w:rPr>
              <w:t xml:space="preserve">5. In order to determine whether the account holder is a Passive NFE, the reporting financial institution shall obtain a self-certification from the account holder for the determination of its status, except where the </w:t>
            </w:r>
            <w:r w:rsidRPr="004E6A4A">
              <w:rPr>
                <w:rFonts w:ascii="Times New Roman" w:eastAsia="Times New Roman" w:hAnsi="Times New Roman" w:cs="Times New Roman"/>
                <w:sz w:val="20"/>
              </w:rPr>
              <w:lastRenderedPageBreak/>
              <w:t>information which it holds or which is publicly available enables it reasonably to determine that the account holder is an Active NFE or a Financial Institution, other than an Investment Entity of the type which, because it is not a Financial Institution of a Participating Jurisdiction, is treated as a Passive NFE.</w:t>
            </w:r>
          </w:p>
          <w:p w14:paraId="309D3152" w14:textId="77777777" w:rsidR="00FA0CFF" w:rsidRPr="004E6A4A" w:rsidRDefault="00144445">
            <w:pPr>
              <w:jc w:val="both"/>
            </w:pPr>
            <w:r w:rsidRPr="004E6A4A">
              <w:rPr>
                <w:rFonts w:ascii="Times New Roman" w:eastAsia="Times New Roman" w:hAnsi="Times New Roman" w:cs="Times New Roman"/>
                <w:sz w:val="20"/>
              </w:rPr>
              <w:t>6. The reporting financial institution shall determine the Controlling Persons of the Passive Non-Financial Entity and their residence for tax purposes.</w:t>
            </w:r>
          </w:p>
          <w:p w14:paraId="1979DDAD" w14:textId="77777777" w:rsidR="00FA0CFF" w:rsidRPr="004E6A4A" w:rsidRDefault="00144445">
            <w:pPr>
              <w:jc w:val="both"/>
            </w:pPr>
            <w:r w:rsidRPr="004E6A4A">
              <w:rPr>
                <w:rFonts w:ascii="Times New Roman" w:eastAsia="Times New Roman" w:hAnsi="Times New Roman" w:cs="Times New Roman"/>
                <w:sz w:val="20"/>
              </w:rPr>
              <w:t>7. For the determination of the Controlling Persons, the reporting financial institution may rely on the information collected and maintained in accordance with the procedures for the prevention of money laundering and terrorist financing, in accordance with point 7 of Article 7 of this Law.</w:t>
            </w:r>
          </w:p>
          <w:p w14:paraId="7339E2E0" w14:textId="77777777" w:rsidR="00FA0CFF" w:rsidRPr="004E6A4A" w:rsidRDefault="00144445">
            <w:pPr>
              <w:jc w:val="both"/>
            </w:pPr>
            <w:r w:rsidRPr="004E6A4A">
              <w:rPr>
                <w:rFonts w:ascii="Times New Roman" w:eastAsia="Times New Roman" w:hAnsi="Times New Roman" w:cs="Times New Roman"/>
                <w:sz w:val="20"/>
              </w:rPr>
              <w:t>8. For the determination of whether a Controlling Person of a Passive NFE is a Reportable Person, the reporting financial institution may rely on the information collected and maintained under the AML/KYC procedures, where the Pre-existing Entity Account has an aggregate balance or value not exceeding the equivalent in the domestic currency of USD 1 000 000; where that threshold is exceeded, the reporting financial institution shall rely on a self-certification from the account holder or from the Controlling Person.</w:t>
            </w:r>
          </w:p>
          <w:p w14:paraId="0EC1B1F3" w14:textId="77777777" w:rsidR="00FA0CFF" w:rsidRPr="004E6A4A" w:rsidRDefault="00144445">
            <w:pPr>
              <w:jc w:val="both"/>
            </w:pPr>
            <w:r w:rsidRPr="004E6A4A">
              <w:rPr>
                <w:rFonts w:ascii="Times New Roman" w:eastAsia="Times New Roman" w:hAnsi="Times New Roman" w:cs="Times New Roman"/>
                <w:sz w:val="20"/>
              </w:rPr>
              <w:t>9. If any Controlling Person of a Passive Non-Financial Entity is a Reportable Person, the account shall be treated as a Reportable Account.</w:t>
            </w:r>
          </w:p>
          <w:p w14:paraId="37D47372" w14:textId="77777777" w:rsidR="00FA0CFF" w:rsidRPr="004E6A4A" w:rsidRDefault="00144445">
            <w:pPr>
              <w:jc w:val="both"/>
            </w:pPr>
            <w:r w:rsidRPr="004E6A4A">
              <w:rPr>
                <w:rFonts w:ascii="Times New Roman" w:eastAsia="Times New Roman" w:hAnsi="Times New Roman" w:cs="Times New Roman"/>
                <w:sz w:val="20"/>
              </w:rPr>
              <w:t>10. A change of circumstances which causes the reporting financial institution to know or to have reason to know that the self-certification or other documentation is inaccurate or unreliable shall entail the obligation to redetermine the status of the account in accordance with this Article.</w:t>
            </w:r>
          </w:p>
          <w:p w14:paraId="6C5DB0C8" w14:textId="77777777" w:rsidR="00FA0CFF" w:rsidRPr="004E6A4A" w:rsidRDefault="00144445">
            <w:pPr>
              <w:jc w:val="both"/>
            </w:pPr>
            <w:r w:rsidRPr="004E6A4A">
              <w:rPr>
                <w:rFonts w:ascii="Times New Roman" w:eastAsia="Times New Roman" w:hAnsi="Times New Roman" w:cs="Times New Roman"/>
                <w:sz w:val="20"/>
              </w:rPr>
              <w:t xml:space="preserve">11. A Pre-existing Entity Account with a balance or value not exceeding the threshold determined in the </w:t>
            </w:r>
            <w:r w:rsidRPr="004E6A4A">
              <w:rPr>
                <w:rFonts w:ascii="Times New Roman" w:eastAsia="Times New Roman" w:hAnsi="Times New Roman" w:cs="Times New Roman"/>
                <w:sz w:val="20"/>
              </w:rPr>
              <w:lastRenderedPageBreak/>
              <w:t>sub-legal act issued in implementation of this Law shall not be required to be subject to review, identification or reporting until the moment when its balance or value exceeds that threshold, except where the reporting financial institution chooses to apply the due diligence procedures also to those accounts.</w:t>
            </w:r>
          </w:p>
          <w:p w14:paraId="6153D6B9" w14:textId="77777777" w:rsidR="00FA0CFF" w:rsidRPr="004E6A4A" w:rsidRDefault="00144445">
            <w:pPr>
              <w:jc w:val="both"/>
            </w:pPr>
            <w:r w:rsidRPr="004E6A4A">
              <w:rPr>
                <w:rFonts w:ascii="Times New Roman" w:eastAsia="Times New Roman" w:hAnsi="Times New Roman" w:cs="Times New Roman"/>
                <w:sz w:val="20"/>
              </w:rPr>
              <w:t>12. The monetary thresholds, the reference dates, the review time limits and the detailed procedures for Pre-existing Entity Accounts shall be determined by sub-legal act issued in implementation of this Law.</w:t>
            </w:r>
          </w:p>
        </w:tc>
        <w:tc>
          <w:tcPr>
            <w:tcW w:w="1156" w:type="dxa"/>
          </w:tcPr>
          <w:p w14:paraId="03F3370D" w14:textId="77777777" w:rsidR="003A0A4C" w:rsidRPr="004E6A4A" w:rsidRDefault="003A0A4C" w:rsidP="00C4419F">
            <w:pPr>
              <w:jc w:val="center"/>
              <w:rPr>
                <w:rFonts w:ascii="Times New Roman" w:eastAsia="Calibri" w:hAnsi="Times New Roman" w:cs="Times New Roman"/>
                <w:sz w:val="18"/>
                <w:szCs w:val="18"/>
              </w:rPr>
            </w:pPr>
          </w:p>
          <w:p w14:paraId="73F33EC0" w14:textId="3A5903CA"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86170F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D3793E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8, point 3 of the Decision and article 10 of the draft law.</w:t>
            </w:r>
          </w:p>
        </w:tc>
      </w:tr>
      <w:tr w:rsidR="004E6A4A" w:rsidRPr="004E6A4A" w14:paraId="39248AAE" w14:textId="77777777" w:rsidTr="00E11E6D">
        <w:trPr>
          <w:trHeight w:val="764"/>
        </w:trPr>
        <w:tc>
          <w:tcPr>
            <w:tcW w:w="720" w:type="dxa"/>
          </w:tcPr>
          <w:p w14:paraId="3A78EB2B"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583340B8"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  Paragraph E</w:t>
            </w:r>
          </w:p>
          <w:p w14:paraId="4146A74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Timing of Review and Additional Procedures Applicable to Pre-existing Entity Accounts</w:t>
            </w:r>
          </w:p>
          <w:p w14:paraId="4E8C908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Review of Pre-existing Entity Accounts with an aggregate account balance or value that exceeds, as of 31 December 2015, an amount denominated in the domestic currency of each Member State that corresponds to USD 250 000, must be completed by 31 December 2017.</w:t>
            </w:r>
          </w:p>
          <w:p w14:paraId="01928D2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Review of Pre-existing Entity Accounts with an aggregate account balance or value that does not exceed, as of 31 December 2015, an amount denominated in the domestic currency of each Member State that corresponds to USD 250 000 but exceeds that amount as of 31 December of a subsequent year, must be completed within the calendar year following the year in which the aggregate account balance or value exceeds such amount.</w:t>
            </w:r>
          </w:p>
          <w:p w14:paraId="6E3DC4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If there is a change of circumstances with respect to a Pre-existing Entity Account that causes the Reporting Financial Institution to know, or have reason to know, that the self-certification or other documentation asso ciated with an account is incorrect or unreliable, the Reporting Financial Institution must re-determine the status of the account in accordance with the procedures set forth in paragraph D.</w:t>
            </w:r>
          </w:p>
        </w:tc>
        <w:tc>
          <w:tcPr>
            <w:tcW w:w="1080" w:type="dxa"/>
          </w:tcPr>
          <w:p w14:paraId="5178C520"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212F3BB6" w14:textId="0572C019"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52A52000" w14:textId="77777777" w:rsidR="00FA0CFF" w:rsidRPr="004E6A4A" w:rsidRDefault="00144445">
            <w:pPr>
              <w:jc w:val="center"/>
            </w:pPr>
            <w:r w:rsidRPr="004E6A4A">
              <w:rPr>
                <w:rFonts w:ascii="Times New Roman" w:eastAsia="Times New Roman" w:hAnsi="Times New Roman" w:cs="Times New Roman"/>
                <w:b/>
                <w:sz w:val="20"/>
              </w:rPr>
              <w:t>DCM: Article 8</w:t>
            </w:r>
          </w:p>
          <w:p w14:paraId="23C9915E" w14:textId="77777777" w:rsidR="00FA0CFF" w:rsidRPr="004E6A4A" w:rsidRDefault="00144445">
            <w:pPr>
              <w:jc w:val="center"/>
            </w:pPr>
            <w:r w:rsidRPr="004E6A4A">
              <w:rPr>
                <w:rFonts w:ascii="Times New Roman" w:eastAsia="Times New Roman" w:hAnsi="Times New Roman" w:cs="Times New Roman"/>
                <w:b/>
                <w:sz w:val="20"/>
              </w:rPr>
              <w:t>Due diligence for pre-existing entity accounts</w:t>
            </w:r>
          </w:p>
          <w:p w14:paraId="06DA962C" w14:textId="77777777" w:rsidR="00FA0CFF" w:rsidRPr="004E6A4A" w:rsidRDefault="00144445">
            <w:pPr>
              <w:jc w:val="both"/>
            </w:pPr>
            <w:r w:rsidRPr="004E6A4A">
              <w:rPr>
                <w:rFonts w:ascii="Times New Roman" w:eastAsia="Times New Roman" w:hAnsi="Times New Roman" w:cs="Times New Roman"/>
                <w:sz w:val="20"/>
              </w:rPr>
              <w:t>The following procedures shall apply for the identification of Reportable Accounts among Pre-existing Entity Accounts.</w:t>
            </w:r>
          </w:p>
          <w:p w14:paraId="0ABFD35B" w14:textId="77777777" w:rsidR="00FA0CFF" w:rsidRPr="004E6A4A" w:rsidRDefault="00144445">
            <w:pPr>
              <w:jc w:val="both"/>
            </w:pPr>
            <w:r w:rsidRPr="004E6A4A">
              <w:rPr>
                <w:rFonts w:ascii="Times New Roman" w:eastAsia="Times New Roman" w:hAnsi="Times New Roman" w:cs="Times New Roman"/>
                <w:sz w:val="20"/>
              </w:rPr>
              <w:t>4. Time limit for the review and additional procedures applicable to pre-existing entity accounts.</w:t>
            </w:r>
          </w:p>
          <w:p w14:paraId="7C1BF477" w14:textId="77777777" w:rsidR="00FA0CFF" w:rsidRPr="004E6A4A" w:rsidRDefault="00144445">
            <w:pPr>
              <w:jc w:val="both"/>
            </w:pPr>
            <w:r w:rsidRPr="004E6A4A">
              <w:rPr>
                <w:rFonts w:ascii="Times New Roman" w:eastAsia="Times New Roman" w:hAnsi="Times New Roman" w:cs="Times New Roman"/>
                <w:sz w:val="20"/>
              </w:rPr>
              <w:t>a) The review procedures for Pre-existing Entity Accounts completed under the previous regime shall not recommence solely by reason of the entry into application of this Decision. For the European Union profile, only the additional procedures which are necessary for conformity with Annex I to Directive 2011/16/EU, as amended, shall be carried out, within the time limit of Article 14, point 3.</w:t>
            </w:r>
          </w:p>
          <w:p w14:paraId="577E7217" w14:textId="77777777" w:rsidR="00FA0CFF" w:rsidRPr="004E6A4A" w:rsidRDefault="00144445">
            <w:pPr>
              <w:jc w:val="both"/>
            </w:pPr>
            <w:r w:rsidRPr="004E6A4A">
              <w:rPr>
                <w:rFonts w:ascii="Times New Roman" w:eastAsia="Times New Roman" w:hAnsi="Times New Roman" w:cs="Times New Roman"/>
                <w:sz w:val="20"/>
              </w:rPr>
              <w:t>b) Where a Pre-existing Entity Account does not exceed USD 250 000 on the reference date applicable to the relevant profile, but exceeds that threshold at the end of a subsequent calendar year, its review shall be completed within the calendar year following the year in which the aggregate balance or value of the account exceeds that amount.</w:t>
            </w:r>
          </w:p>
          <w:p w14:paraId="28EBB5BF" w14:textId="77777777" w:rsidR="00FA0CFF" w:rsidRPr="004E6A4A" w:rsidRDefault="00144445">
            <w:pPr>
              <w:jc w:val="both"/>
            </w:pPr>
            <w:r w:rsidRPr="004E6A4A">
              <w:rPr>
                <w:rFonts w:ascii="Times New Roman" w:eastAsia="Times New Roman" w:hAnsi="Times New Roman" w:cs="Times New Roman"/>
                <w:sz w:val="20"/>
              </w:rPr>
              <w:t xml:space="preserve">c) If there is a change of circumstances in relation to a pre-existing entity account, of which the reporting financial institution has knowledge or, on the basis of the circumstances, ought to have had knowledge that the self-certification or supporting documentation is </w:t>
            </w:r>
            <w:r w:rsidRPr="004E6A4A">
              <w:rPr>
                <w:rFonts w:ascii="Times New Roman" w:eastAsia="Times New Roman" w:hAnsi="Times New Roman" w:cs="Times New Roman"/>
                <w:sz w:val="20"/>
              </w:rPr>
              <w:lastRenderedPageBreak/>
              <w:t>inaccurate or unreliable, the reporting financial institution must redetermine the status of the account, in accordance with the procedures determined in point 3 of this Article.</w:t>
            </w:r>
          </w:p>
        </w:tc>
        <w:tc>
          <w:tcPr>
            <w:tcW w:w="1156" w:type="dxa"/>
          </w:tcPr>
          <w:p w14:paraId="6D8C44F1" w14:textId="77777777" w:rsidR="003A0A4C" w:rsidRPr="004E6A4A" w:rsidRDefault="003A0A4C" w:rsidP="00C4419F">
            <w:pPr>
              <w:jc w:val="center"/>
              <w:rPr>
                <w:rFonts w:ascii="Times New Roman" w:eastAsia="Calibri" w:hAnsi="Times New Roman" w:cs="Times New Roman"/>
                <w:sz w:val="18"/>
                <w:szCs w:val="18"/>
              </w:rPr>
            </w:pPr>
          </w:p>
          <w:p w14:paraId="5C261FA7" w14:textId="4D5FC16D"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5A82E9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01108C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8, point 4 of the Decision.</w:t>
            </w:r>
          </w:p>
        </w:tc>
      </w:tr>
      <w:tr w:rsidR="004E6A4A" w:rsidRPr="004E6A4A" w14:paraId="1CC8EC10" w14:textId="77777777" w:rsidTr="00E11E6D">
        <w:trPr>
          <w:trHeight w:val="764"/>
        </w:trPr>
        <w:tc>
          <w:tcPr>
            <w:tcW w:w="720" w:type="dxa"/>
          </w:tcPr>
          <w:p w14:paraId="49E910A0"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388AF970"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VI</w:t>
            </w:r>
          </w:p>
          <w:p w14:paraId="468FFF2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procedures apply for purposes of identifying Reportable Accounts among New Entity Accounts.</w:t>
            </w:r>
          </w:p>
          <w:p w14:paraId="1D3D31C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Review Procedures for Identifying Entity Accounts With Respect to Which Reporting Is Required. For New Entity Accounts, a Reporting Financial Institution must apply the following review procedures to determine whether the account is held by one or more Reportable Persons, or by Passive NFEs with one or more Controlling Persons who are Reportable Persons:</w:t>
            </w:r>
          </w:p>
          <w:p w14:paraId="4FAA42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Determine Whether the Entity Is a Reportable Person.</w:t>
            </w:r>
          </w:p>
          <w:p w14:paraId="51C2575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Obtain a self-certification, which may be part of the account opening documentation, that allows the Reporting Financial Institution to determine the Account Holder's residence(s) for tax purposes and confirm the reasonable ness of such self-certification based on the information obtained by the Reporting Financial Institution in connection with the opening of the account, including any documentation collected pursuant to AML/KYC Procedures. If the Entity certifies that it has no residence for tax purposes, the Reporting Financial Institution may rely on the address of the principal office of the Entity to determine the residence of the Account Holder.</w:t>
            </w:r>
          </w:p>
          <w:p w14:paraId="279D69F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If the self-certification indicates that the Account Holder is resident in a Member State, the Reporting Financial Institution must treat the account as a Reportable Account, unless it reasonably determines based on information in its possession or that is publicly available that the Account Holder is not a Reportable Person with respect to such Member State.</w:t>
            </w:r>
          </w:p>
          <w:p w14:paraId="5CF7F06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2.</w:t>
            </w:r>
            <w:r w:rsidRPr="004E6A4A">
              <w:rPr>
                <w:rFonts w:ascii="Times New Roman" w:eastAsia="Times New Roman" w:hAnsi="Times New Roman" w:cs="Times New Roman"/>
                <w:sz w:val="20"/>
                <w:szCs w:val="20"/>
              </w:rPr>
              <w:tab/>
              <w:t>Determine Whether the Entity is a Passive NFE with One or More Controlling Persons Who Are Reportable Persons. With respect to an Account Holder of a New Entity Account (including an Entity that is a Reportable Person), the Reporting Financial Institution must determine whether the Account Holder is a Passive NFE with one or more Controlling Persons who are Reportable Persons. If any of the Controlling Persons of a Passive NFE is a Reportable Person, then the account must be treated as a Reportable Account. In making these determinations the Reporting Financial Institution must follow the guidance in subparagraphs A(2)(a) through (c) in the order most appropriate under the circumstances.</w:t>
            </w:r>
          </w:p>
          <w:p w14:paraId="2ECE123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(a)</w:t>
            </w:r>
            <w:r w:rsidRPr="004E6A4A">
              <w:rPr>
                <w:rFonts w:ascii="Times New Roman" w:eastAsia="Times New Roman" w:hAnsi="Times New Roman" w:cs="Times New Roman"/>
                <w:sz w:val="20"/>
                <w:szCs w:val="20"/>
              </w:rPr>
              <w:tab/>
              <w:t>Determining whether the Account Holder is a Passive NFE. For purposes of determining whether the Account Holder is a Passive NFE, the Reporting Financial Institution must rely on a self-certification from the Account Holder to establish its status, unless it has information in its possession or that is publicly available, based on which it can reasonably determine that the Account Holder is an Active NFE or a Financial Institution other than an Investment Entity described in subparagraph A(6)(b) of Section VIII that is not a Participating Jurisdiction Financial Institution.</w:t>
            </w:r>
          </w:p>
          <w:p w14:paraId="329E3C7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Determining the Controlling Persons of an Account Holder. For the purpose of determining the Controlling Persons of an Account Holder, a Reporting Financial Institution may rely on information collected and maintained pursuant to AML/KYC Procedures, provided that such procedures are consistent with the Directive (EU) 2015/849. If the Reporting Financial Institution is not legally required to apply AML/KYC Procedures that are consistent with the Directive (EU) 2015/849, it shall apply substantially similar procedures for the purpose of determining the Controlling Persons.</w:t>
            </w:r>
          </w:p>
          <w:p w14:paraId="7B82BC0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 xml:space="preserve">Determining whether a Controlling Person of a Passive NFE is a Reportable Person. For purposes of </w:t>
            </w:r>
            <w:r w:rsidRPr="004E6A4A">
              <w:rPr>
                <w:rFonts w:ascii="Times New Roman" w:eastAsia="Times New Roman" w:hAnsi="Times New Roman" w:cs="Times New Roman"/>
                <w:sz w:val="20"/>
                <w:szCs w:val="20"/>
              </w:rPr>
              <w:lastRenderedPageBreak/>
              <w:t>determining whether a controlling person of a Passive NFE is a Reportable Person, a Reporting Financial Institution may rely on a self-certification from the Account Holder or such Controlling Person.</w:t>
            </w:r>
          </w:p>
        </w:tc>
        <w:tc>
          <w:tcPr>
            <w:tcW w:w="1080" w:type="dxa"/>
          </w:tcPr>
          <w:p w14:paraId="7567A6C8"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2476431D" w14:textId="1E4038DB"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61746315" w14:textId="77777777" w:rsidR="00FA0CFF" w:rsidRPr="004E6A4A" w:rsidRDefault="00144445">
            <w:pPr>
              <w:jc w:val="center"/>
            </w:pPr>
            <w:r w:rsidRPr="004E6A4A">
              <w:rPr>
                <w:rFonts w:ascii="Times New Roman" w:eastAsia="Times New Roman" w:hAnsi="Times New Roman" w:cs="Times New Roman"/>
                <w:b/>
                <w:sz w:val="20"/>
              </w:rPr>
              <w:t>Draft Law: Article 11</w:t>
            </w:r>
          </w:p>
          <w:p w14:paraId="490A1749" w14:textId="77777777" w:rsidR="00FA0CFF" w:rsidRPr="004E6A4A" w:rsidRDefault="00144445">
            <w:pPr>
              <w:jc w:val="center"/>
            </w:pPr>
            <w:r w:rsidRPr="004E6A4A">
              <w:rPr>
                <w:rFonts w:ascii="Times New Roman" w:eastAsia="Times New Roman" w:hAnsi="Times New Roman" w:cs="Times New Roman"/>
                <w:b/>
                <w:sz w:val="20"/>
              </w:rPr>
              <w:t>Due diligence for New Entity Accounts</w:t>
            </w:r>
          </w:p>
          <w:p w14:paraId="232C329F" w14:textId="77777777" w:rsidR="00FA0CFF" w:rsidRPr="004E6A4A" w:rsidRDefault="00144445">
            <w:pPr>
              <w:jc w:val="both"/>
            </w:pPr>
            <w:r w:rsidRPr="004E6A4A">
              <w:rPr>
                <w:rFonts w:ascii="Times New Roman" w:eastAsia="Times New Roman" w:hAnsi="Times New Roman" w:cs="Times New Roman"/>
                <w:sz w:val="20"/>
              </w:rPr>
              <w:t>1. Upon the opening of a New Entity Account, the reporting financial institution shall obtain a valid self-certification enabling it to determine the residence or residences of the entity for tax purposes and shall confirm the reasonableness of that self-certification on the basis of the information obtained in relation to the opening of the account, including the documentation collected in accordance with the procedures for the prevention of money laundering and terrorist financing.</w:t>
            </w:r>
          </w:p>
          <w:p w14:paraId="719ED533" w14:textId="77777777" w:rsidR="00FA0CFF" w:rsidRPr="004E6A4A" w:rsidRDefault="00144445">
            <w:pPr>
              <w:jc w:val="both"/>
            </w:pPr>
            <w:r w:rsidRPr="004E6A4A">
              <w:rPr>
                <w:rFonts w:ascii="Times New Roman" w:eastAsia="Times New Roman" w:hAnsi="Times New Roman" w:cs="Times New Roman"/>
                <w:sz w:val="20"/>
              </w:rPr>
              <w:t>2. If the entity declares that it has no residence for tax purposes, the reporting financial institution may rely on the address of the principal office of the entity for the determination of the residence of the account holder.</w:t>
            </w:r>
          </w:p>
          <w:p w14:paraId="756604C1" w14:textId="77777777" w:rsidR="00FA0CFF" w:rsidRPr="004E6A4A" w:rsidRDefault="00144445">
            <w:pPr>
              <w:jc w:val="both"/>
            </w:pPr>
            <w:r w:rsidRPr="004E6A4A">
              <w:rPr>
                <w:rFonts w:ascii="Times New Roman" w:eastAsia="Times New Roman" w:hAnsi="Times New Roman" w:cs="Times New Roman"/>
                <w:sz w:val="20"/>
              </w:rPr>
              <w:t>3. If the self-certification indicates that the account holder is resident in a reportable jurisdiction, the reporting financial institution shall treat the account as a Reportable Account, except where it reasonably determines, on the basis of the information which it holds or which is publicly available, that the account holder is not a Reportable Person in relation to that jurisdiction.</w:t>
            </w:r>
          </w:p>
          <w:p w14:paraId="65D14A6F" w14:textId="77777777" w:rsidR="00FA0CFF" w:rsidRPr="004E6A4A" w:rsidRDefault="00144445">
            <w:pPr>
              <w:jc w:val="both"/>
            </w:pPr>
            <w:r w:rsidRPr="004E6A4A">
              <w:rPr>
                <w:rFonts w:ascii="Times New Roman" w:eastAsia="Times New Roman" w:hAnsi="Times New Roman" w:cs="Times New Roman"/>
                <w:sz w:val="20"/>
              </w:rPr>
              <w:t xml:space="preserve">4. In order to determine whether the account holder is a Passive NFE, the reporting financial institution shall rely on a self-certification from the account holder for the determination of its status, except where the information which it holds or which is publicly available enables it reasonably to determine that the account holder is an Active NFE or a Financial Institution, other than an Investment Entity which </w:t>
            </w:r>
            <w:r w:rsidRPr="004E6A4A">
              <w:rPr>
                <w:rFonts w:ascii="Times New Roman" w:eastAsia="Times New Roman" w:hAnsi="Times New Roman" w:cs="Times New Roman"/>
                <w:sz w:val="20"/>
              </w:rPr>
              <w:lastRenderedPageBreak/>
              <w:t>must be treated as a Passive NFE under this Law. If the account holder is a Passive Non-Financial Entity, the reporting financial institution shall determine its Controlling Persons and their residence for tax purposes.</w:t>
            </w:r>
          </w:p>
          <w:p w14:paraId="29217AF0" w14:textId="77777777" w:rsidR="00FA0CFF" w:rsidRPr="004E6A4A" w:rsidRDefault="00144445">
            <w:pPr>
              <w:jc w:val="both"/>
            </w:pPr>
            <w:r w:rsidRPr="004E6A4A">
              <w:rPr>
                <w:rFonts w:ascii="Times New Roman" w:eastAsia="Times New Roman" w:hAnsi="Times New Roman" w:cs="Times New Roman"/>
                <w:sz w:val="20"/>
              </w:rPr>
              <w:t>5. For the determination of the Controlling Persons, the reporting financial institution may rely on the information collected and maintained in accordance with the procedures for the prevention of money laundering and terrorist financing, in accordance with point 7 of Article 7 of this Law.</w:t>
            </w:r>
          </w:p>
          <w:p w14:paraId="04761146" w14:textId="77777777" w:rsidR="00FA0CFF" w:rsidRPr="004E6A4A" w:rsidRDefault="00144445">
            <w:pPr>
              <w:jc w:val="both"/>
            </w:pPr>
            <w:r w:rsidRPr="004E6A4A">
              <w:rPr>
                <w:rFonts w:ascii="Times New Roman" w:eastAsia="Times New Roman" w:hAnsi="Times New Roman" w:cs="Times New Roman"/>
                <w:sz w:val="20"/>
              </w:rPr>
              <w:t>6. For the determination of whether a Controlling Person of a Passive Non-Financial Entity is a Reportable Person, the reporting financial institution shall rely on a self-certification from the account holder or from the Controlling Person.</w:t>
            </w:r>
          </w:p>
          <w:p w14:paraId="408153DE" w14:textId="77777777" w:rsidR="00FA0CFF" w:rsidRPr="004E6A4A" w:rsidRDefault="00144445">
            <w:pPr>
              <w:jc w:val="both"/>
            </w:pPr>
            <w:r w:rsidRPr="004E6A4A">
              <w:rPr>
                <w:rFonts w:ascii="Times New Roman" w:eastAsia="Times New Roman" w:hAnsi="Times New Roman" w:cs="Times New Roman"/>
                <w:sz w:val="20"/>
              </w:rPr>
              <w:t>7. If one or more Controlling Persons of a Passive Non-Financial Entity are Reportable Persons, the account shall be treated as a Reportable Account.</w:t>
            </w:r>
          </w:p>
          <w:p w14:paraId="3C7B3049" w14:textId="77777777" w:rsidR="00FA0CFF" w:rsidRPr="004E6A4A" w:rsidRDefault="00144445">
            <w:pPr>
              <w:jc w:val="both"/>
            </w:pPr>
            <w:r w:rsidRPr="004E6A4A">
              <w:rPr>
                <w:rFonts w:ascii="Times New Roman" w:eastAsia="Times New Roman" w:hAnsi="Times New Roman" w:cs="Times New Roman"/>
                <w:sz w:val="20"/>
              </w:rPr>
              <w:t>8. If a change of circumstances causes the reporting financial institution to know or to have reason to know that the self-certification or other documentation is inaccurate or unreliable, it may no longer rely on the original documentation and must redetermine the status of the account in accordance with this Law.</w:t>
            </w:r>
          </w:p>
          <w:p w14:paraId="5CF822AE" w14:textId="77777777" w:rsidR="00FA0CFF" w:rsidRPr="004E6A4A" w:rsidRDefault="00144445">
            <w:pPr>
              <w:jc w:val="both"/>
            </w:pPr>
            <w:r w:rsidRPr="004E6A4A">
              <w:rPr>
                <w:rFonts w:ascii="Times New Roman" w:eastAsia="Times New Roman" w:hAnsi="Times New Roman" w:cs="Times New Roman"/>
                <w:sz w:val="20"/>
              </w:rPr>
              <w:t>9. The self-certification obtained for a New Entity Account must be valid and must contain the information necessary for the determination of the tax residence of the entity and, as the case may be, of the Controlling Persons.</w:t>
            </w:r>
          </w:p>
          <w:p w14:paraId="365755F6" w14:textId="77777777" w:rsidR="00FA0CFF" w:rsidRPr="004E6A4A" w:rsidRDefault="00FA0CFF"/>
          <w:p w14:paraId="4F8995A8" w14:textId="77777777" w:rsidR="00FA0CFF" w:rsidRPr="004E6A4A" w:rsidRDefault="00144445">
            <w:pPr>
              <w:jc w:val="center"/>
            </w:pPr>
            <w:r w:rsidRPr="004E6A4A">
              <w:rPr>
                <w:rFonts w:ascii="Times New Roman" w:eastAsia="Times New Roman" w:hAnsi="Times New Roman" w:cs="Times New Roman"/>
                <w:b/>
                <w:sz w:val="20"/>
              </w:rPr>
              <w:t>DCM: Article 9</w:t>
            </w:r>
          </w:p>
          <w:p w14:paraId="6C3F3F52" w14:textId="77777777" w:rsidR="00FA0CFF" w:rsidRPr="004E6A4A" w:rsidRDefault="00144445">
            <w:pPr>
              <w:jc w:val="center"/>
            </w:pPr>
            <w:r w:rsidRPr="004E6A4A">
              <w:rPr>
                <w:rFonts w:ascii="Times New Roman" w:eastAsia="Times New Roman" w:hAnsi="Times New Roman" w:cs="Times New Roman"/>
                <w:b/>
                <w:sz w:val="20"/>
              </w:rPr>
              <w:t>Due diligence for new entity accounts</w:t>
            </w:r>
          </w:p>
          <w:p w14:paraId="516D1F34" w14:textId="77777777" w:rsidR="00FA0CFF" w:rsidRPr="004E6A4A" w:rsidRDefault="00144445">
            <w:pPr>
              <w:jc w:val="both"/>
            </w:pPr>
            <w:r w:rsidRPr="004E6A4A">
              <w:rPr>
                <w:rFonts w:ascii="Times New Roman" w:eastAsia="Times New Roman" w:hAnsi="Times New Roman" w:cs="Times New Roman"/>
                <w:sz w:val="20"/>
              </w:rPr>
              <w:t>The following procedures shall apply for the identification of Reportable Accounts among New Entity Accounts.</w:t>
            </w:r>
          </w:p>
          <w:p w14:paraId="6252F5D0" w14:textId="77777777" w:rsidR="00FA0CFF" w:rsidRPr="004E6A4A" w:rsidRDefault="00144445">
            <w:pPr>
              <w:jc w:val="both"/>
            </w:pPr>
            <w:r w:rsidRPr="004E6A4A">
              <w:rPr>
                <w:rFonts w:ascii="Times New Roman" w:eastAsia="Times New Roman" w:hAnsi="Times New Roman" w:cs="Times New Roman"/>
                <w:sz w:val="20"/>
              </w:rPr>
              <w:lastRenderedPageBreak/>
              <w:t>1. It shall determine the residence of the entity, in accordance with the following procedure:</w:t>
            </w:r>
          </w:p>
          <w:p w14:paraId="23AD2A4B" w14:textId="77777777" w:rsidR="00FA0CFF" w:rsidRPr="004E6A4A" w:rsidRDefault="00144445">
            <w:pPr>
              <w:jc w:val="both"/>
            </w:pPr>
            <w:r w:rsidRPr="004E6A4A">
              <w:rPr>
                <w:rFonts w:ascii="Times New Roman" w:eastAsia="Times New Roman" w:hAnsi="Times New Roman" w:cs="Times New Roman"/>
                <w:sz w:val="20"/>
              </w:rPr>
              <w:t>a) Without prejudice to Article 10, point 2, the reporting financial institution shall obtain a self-certification, which may be part of the account opening documentation, in order to determine the tax residence or residences of the Account Holder and shall confirm its reasonableness on the basis of the information obtained upon opening, including the AML/KYC documentation. Where the entity has no residence for tax purposes, the institution may rely on the address of the principal office for the determination of the residence.</w:t>
            </w:r>
          </w:p>
          <w:p w14:paraId="453C5125" w14:textId="77777777" w:rsidR="00FA0CFF" w:rsidRPr="004E6A4A" w:rsidRDefault="00144445">
            <w:pPr>
              <w:jc w:val="both"/>
            </w:pPr>
            <w:r w:rsidRPr="004E6A4A">
              <w:rPr>
                <w:rFonts w:ascii="Times New Roman" w:eastAsia="Times New Roman" w:hAnsi="Times New Roman" w:cs="Times New Roman"/>
                <w:sz w:val="20"/>
              </w:rPr>
              <w:t>b) If the self-certification indicates that the account holder is resident in a reportable jurisdiction, the reporting financial institution must treat the account as a reportable account, except where it reasonably determines, on the basis of the information which it has or which is publicly available, that the account holder is not a reportable person in relation to that reportable jurisdiction.</w:t>
            </w:r>
          </w:p>
          <w:p w14:paraId="3601C060" w14:textId="77777777" w:rsidR="00FA0CFF" w:rsidRPr="004E6A4A" w:rsidRDefault="00144445">
            <w:pPr>
              <w:jc w:val="both"/>
            </w:pPr>
            <w:r w:rsidRPr="004E6A4A">
              <w:rPr>
                <w:rFonts w:ascii="Times New Roman" w:eastAsia="Times New Roman" w:hAnsi="Times New Roman" w:cs="Times New Roman"/>
                <w:sz w:val="20"/>
              </w:rPr>
              <w:t>2. It shall determine the residence of the controlling persons of a Passive NFE. In relation to the account holder of a new entity account (including an entity which is a reportable person), the reporting financial institution must determine whether the Account Holder is a Passive NFE with one or more Controlling Persons, determine the tax residence or residences of those Controlling Persons and determine whether one or more of them are Reportable Persons. If any of the controlling persons of a Passive NFE is a reportable person, then the account must be treated as a reportable account. In making those determinations, the reporting financial institution must follow the guidance in letters “a” to “c” of point 2 of this Article in the order most appropriate depending on the circumstances:</w:t>
            </w:r>
          </w:p>
          <w:p w14:paraId="7C3DE4BC" w14:textId="77777777" w:rsidR="00FA0CFF" w:rsidRPr="004E6A4A" w:rsidRDefault="00144445">
            <w:pPr>
              <w:jc w:val="both"/>
            </w:pPr>
            <w:r w:rsidRPr="004E6A4A">
              <w:rPr>
                <w:rFonts w:ascii="Times New Roman" w:eastAsia="Times New Roman" w:hAnsi="Times New Roman" w:cs="Times New Roman"/>
                <w:sz w:val="20"/>
              </w:rPr>
              <w:lastRenderedPageBreak/>
              <w:t>a) It shall determine whether the account holder is a Passive NFE. For the purposes of determining whether the account holder is a Passive NFE, the reporting financial institution must rely on a self-certification from the account holder in order to decide on its status, except where it has information about it or information is publicly available, on the basis of which it may reasonably determine that the account holder is an Active Non-Financial Entity or a Financial Institution, other than an Investment Entity described in Article 5, point 26, letter “b”, of the law, which is not a Financial Institution of a Participating Jurisdiction.</w:t>
            </w:r>
          </w:p>
          <w:p w14:paraId="6D7CF389" w14:textId="77777777" w:rsidR="00FA0CFF" w:rsidRPr="004E6A4A" w:rsidRDefault="00144445">
            <w:pPr>
              <w:jc w:val="both"/>
            </w:pPr>
            <w:r w:rsidRPr="004E6A4A">
              <w:rPr>
                <w:rFonts w:ascii="Times New Roman" w:eastAsia="Times New Roman" w:hAnsi="Times New Roman" w:cs="Times New Roman"/>
                <w:sz w:val="20"/>
              </w:rPr>
              <w:t>b) For the determination of the Controlling Persons, the reporting financial institution may rely on the information collected and maintained under the AML/KYC procedures applicable under Article 2 of this Decision. Where the institution is not legally subject to such procedures, it shall apply substantially similar procedures for the purposes of this Decision.</w:t>
            </w:r>
          </w:p>
          <w:p w14:paraId="6D97B6B1" w14:textId="77777777" w:rsidR="00FA0CFF" w:rsidRPr="004E6A4A" w:rsidRDefault="00144445">
            <w:pPr>
              <w:jc w:val="both"/>
            </w:pPr>
            <w:r w:rsidRPr="004E6A4A">
              <w:rPr>
                <w:rFonts w:ascii="Times New Roman" w:eastAsia="Times New Roman" w:hAnsi="Times New Roman" w:cs="Times New Roman"/>
                <w:sz w:val="20"/>
              </w:rPr>
              <w:t>c) It shall determine the residence of a controlling person of a Passive Non-Financial Entity. For the purposes of determining the residence of a controlling person of a Passive Non-Financial Entity, a reporting financial institution must rely on a self-certification from the account holder or from that controlling person.</w:t>
            </w:r>
          </w:p>
          <w:p w14:paraId="7048A21A" w14:textId="77777777" w:rsidR="00FA0CFF" w:rsidRPr="004E6A4A" w:rsidRDefault="00144445">
            <w:pPr>
              <w:jc w:val="both"/>
            </w:pPr>
            <w:r w:rsidRPr="004E6A4A">
              <w:rPr>
                <w:rFonts w:ascii="Times New Roman" w:eastAsia="Times New Roman" w:hAnsi="Times New Roman" w:cs="Times New Roman"/>
                <w:sz w:val="20"/>
              </w:rPr>
              <w:t>3. Change of circumstances. If there is a change of circumstances in relation to a new entity account which causes the reporting financial institution to know or to have reason to know that the self-certification or other documentation relating to an account is inaccurate or unreliable, the reporting financial institution must redetermine the status of the account in accordance with the procedures determined in letter “c” of point 4 of Article 8 of this Decision.</w:t>
            </w:r>
          </w:p>
        </w:tc>
        <w:tc>
          <w:tcPr>
            <w:tcW w:w="1156" w:type="dxa"/>
          </w:tcPr>
          <w:p w14:paraId="0C28A541" w14:textId="77777777" w:rsidR="003A0A4C" w:rsidRPr="004E6A4A" w:rsidRDefault="003A0A4C" w:rsidP="00C4419F">
            <w:pPr>
              <w:jc w:val="center"/>
              <w:rPr>
                <w:rFonts w:ascii="Times New Roman" w:eastAsia="Calibri" w:hAnsi="Times New Roman" w:cs="Times New Roman"/>
                <w:sz w:val="18"/>
                <w:szCs w:val="18"/>
              </w:rPr>
            </w:pPr>
          </w:p>
          <w:p w14:paraId="6968CCF2" w14:textId="1179E3E6" w:rsidR="006D0605" w:rsidRPr="004E6A4A" w:rsidRDefault="003A0A4C"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D7FBEC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8C5969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11 of the Draft Law and by Article 9 of the Decision.</w:t>
            </w:r>
          </w:p>
        </w:tc>
      </w:tr>
      <w:tr w:rsidR="004E6A4A" w:rsidRPr="004E6A4A" w14:paraId="527A6C85" w14:textId="77777777" w:rsidTr="00E11E6D">
        <w:trPr>
          <w:trHeight w:val="764"/>
        </w:trPr>
        <w:tc>
          <w:tcPr>
            <w:tcW w:w="720" w:type="dxa"/>
          </w:tcPr>
          <w:p w14:paraId="6314E4DF" w14:textId="77777777" w:rsidR="006D0605" w:rsidRPr="004E6A4A" w:rsidRDefault="006D0605" w:rsidP="00C4419F">
            <w:pPr>
              <w:jc w:val="center"/>
              <w:rPr>
                <w:rFonts w:ascii="Times New Roman" w:eastAsia="Calibri" w:hAnsi="Times New Roman" w:cs="Times New Roman"/>
                <w:i/>
                <w:sz w:val="18"/>
                <w:szCs w:val="18"/>
              </w:rPr>
            </w:pPr>
          </w:p>
        </w:tc>
        <w:tc>
          <w:tcPr>
            <w:tcW w:w="4860" w:type="dxa"/>
          </w:tcPr>
          <w:p w14:paraId="6F2F7D64"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VII,  Paragraph A</w:t>
            </w:r>
          </w:p>
          <w:p w14:paraId="0BEA514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VII</w:t>
            </w:r>
          </w:p>
          <w:p w14:paraId="373DC71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SPECIAL DUE DILIGENCE RULES</w:t>
            </w:r>
          </w:p>
          <w:p w14:paraId="580ADE0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additional rules apply in implementing the due diligence procedures described above:</w:t>
            </w:r>
          </w:p>
          <w:p w14:paraId="33F54A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Reliance on Self-Certifications and Documentary Evidence. A Reporting Financial Institution may not rely on a self- certification or Documentary Evidence if the Reporting Financial Institution knows or has reason to know that the self-certification or Documentary Evidence is incorrect or unreliable.</w:t>
            </w:r>
          </w:p>
          <w:p w14:paraId="6434154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Aa. Temporary lack of self-certification. In exceptional circumstances where a self-certification cannot be obtained by a Reporting Financial Institution in respect of a New Account in time to meet its due diligence and reporting obligations with respect to the reporting period during which the account was opened, the Reporting Financial Institution shall apply the due diligence procedures for Pre-existing Accounts, until such self-certification is obtained and validated.</w:t>
            </w:r>
          </w:p>
        </w:tc>
        <w:tc>
          <w:tcPr>
            <w:tcW w:w="1080" w:type="dxa"/>
          </w:tcPr>
          <w:p w14:paraId="3013AF3C" w14:textId="77777777" w:rsidR="006D0605" w:rsidRPr="004E6A4A" w:rsidRDefault="006D0605" w:rsidP="00C4419F">
            <w:pPr>
              <w:jc w:val="center"/>
              <w:rPr>
                <w:rFonts w:ascii="Times New Roman" w:eastAsia="Calibri" w:hAnsi="Times New Roman" w:cs="Times New Roman"/>
                <w:sz w:val="18"/>
                <w:szCs w:val="18"/>
              </w:rPr>
            </w:pPr>
          </w:p>
        </w:tc>
        <w:tc>
          <w:tcPr>
            <w:tcW w:w="900" w:type="dxa"/>
          </w:tcPr>
          <w:p w14:paraId="7E366038" w14:textId="204A2A76" w:rsidR="006D0605" w:rsidRPr="004E6A4A" w:rsidRDefault="006D0605" w:rsidP="00C4419F">
            <w:pPr>
              <w:jc w:val="center"/>
              <w:rPr>
                <w:rFonts w:ascii="Times New Roman" w:eastAsia="Times New Roman" w:hAnsi="Times New Roman" w:cs="Times New Roman"/>
                <w:sz w:val="20"/>
                <w:szCs w:val="21"/>
                <w:lang w:eastAsia="sq-AL"/>
              </w:rPr>
            </w:pPr>
          </w:p>
        </w:tc>
        <w:tc>
          <w:tcPr>
            <w:tcW w:w="4514" w:type="dxa"/>
          </w:tcPr>
          <w:p w14:paraId="3D221A8B" w14:textId="77777777" w:rsidR="00FA0CFF" w:rsidRPr="004E6A4A" w:rsidRDefault="00144445">
            <w:pPr>
              <w:jc w:val="center"/>
            </w:pPr>
            <w:r w:rsidRPr="004E6A4A">
              <w:rPr>
                <w:rFonts w:ascii="Times New Roman" w:eastAsia="Times New Roman" w:hAnsi="Times New Roman" w:cs="Times New Roman"/>
                <w:b/>
                <w:sz w:val="20"/>
              </w:rPr>
              <w:t>Draft Law: Article 12</w:t>
            </w:r>
          </w:p>
          <w:p w14:paraId="60610BBA" w14:textId="77777777" w:rsidR="00FA0CFF" w:rsidRPr="004E6A4A" w:rsidRDefault="00144445">
            <w:pPr>
              <w:jc w:val="center"/>
            </w:pPr>
            <w:r w:rsidRPr="004E6A4A">
              <w:rPr>
                <w:rFonts w:ascii="Times New Roman" w:eastAsia="Times New Roman" w:hAnsi="Times New Roman" w:cs="Times New Roman"/>
                <w:b/>
                <w:sz w:val="20"/>
              </w:rPr>
              <w:t>Special due diligence rules</w:t>
            </w:r>
          </w:p>
          <w:p w14:paraId="060BD87C" w14:textId="77777777" w:rsidR="00FA0CFF" w:rsidRPr="004E6A4A" w:rsidRDefault="00144445">
            <w:pPr>
              <w:jc w:val="both"/>
            </w:pPr>
            <w:r w:rsidRPr="004E6A4A">
              <w:rPr>
                <w:rFonts w:ascii="Times New Roman" w:eastAsia="Times New Roman" w:hAnsi="Times New Roman" w:cs="Times New Roman"/>
                <w:sz w:val="20"/>
              </w:rPr>
              <w:t>1. A reporting financial institution may not rely on a self-certification or on documentary evidence if it knows or has reason to know that they are inaccurate or unreliable.</w:t>
            </w:r>
          </w:p>
          <w:p w14:paraId="0F7CAE78" w14:textId="77777777" w:rsidR="00FA0CFF" w:rsidRPr="004E6A4A" w:rsidRDefault="00144445">
            <w:pPr>
              <w:jc w:val="both"/>
            </w:pPr>
            <w:r w:rsidRPr="004E6A4A">
              <w:rPr>
                <w:rFonts w:ascii="Times New Roman" w:eastAsia="Times New Roman" w:hAnsi="Times New Roman" w:cs="Times New Roman"/>
                <w:sz w:val="20"/>
              </w:rPr>
              <w:t>2. A change of circumstances includes any change which results in the addition of information relevant to the status of a person or which conflicts with the status declared by that person, as well as any change or addition of information in the account of the account holder or in an account related to it, where that change or addition affects the status of the account holder.</w:t>
            </w:r>
          </w:p>
          <w:p w14:paraId="3D3DE585" w14:textId="77777777" w:rsidR="00FA0CFF" w:rsidRPr="004E6A4A" w:rsidRDefault="00144445">
            <w:pPr>
              <w:jc w:val="both"/>
            </w:pPr>
            <w:r w:rsidRPr="004E6A4A">
              <w:rPr>
                <w:rFonts w:ascii="Times New Roman" w:eastAsia="Times New Roman" w:hAnsi="Times New Roman" w:cs="Times New Roman"/>
                <w:sz w:val="20"/>
              </w:rPr>
              <w:t>3. Where the reporting financial institution has relied on the residence address or on documentary evidence for the determination of the tax residence and a change of circumstances causes it to know or to have reason to know that the original evidence is inaccurate or unreliable, the reporting financial institution shall obtain a self-certification and new documentary evidence for the determination of the tax residence.</w:t>
            </w:r>
          </w:p>
          <w:p w14:paraId="0A9AF470" w14:textId="77777777" w:rsidR="00FA0CFF" w:rsidRPr="004E6A4A" w:rsidRDefault="00144445">
            <w:pPr>
              <w:jc w:val="both"/>
            </w:pPr>
            <w:r w:rsidRPr="004E6A4A">
              <w:rPr>
                <w:rFonts w:ascii="Times New Roman" w:eastAsia="Times New Roman" w:hAnsi="Times New Roman" w:cs="Times New Roman"/>
                <w:sz w:val="20"/>
              </w:rPr>
              <w:t>4. If the self-certification and the new documentary evidence cannot be obtained within the time limit determined in the sub-legal act, the reporting financial institution shall apply the procedure for the electronic search of information and the other rules determined for Pre-existing Individual Accounts.</w:t>
            </w:r>
          </w:p>
          <w:p w14:paraId="75A02D59" w14:textId="77777777" w:rsidR="00FA0CFF" w:rsidRPr="004E6A4A" w:rsidRDefault="00144445">
            <w:pPr>
              <w:jc w:val="both"/>
            </w:pPr>
            <w:r w:rsidRPr="004E6A4A">
              <w:rPr>
                <w:rFonts w:ascii="Times New Roman" w:eastAsia="Times New Roman" w:hAnsi="Times New Roman" w:cs="Times New Roman"/>
                <w:sz w:val="20"/>
              </w:rPr>
              <w:t>5. For the purposes of determining the aggregate balance or value of the financial accounts held by an individual or by an entity, the reporting financial institution shall aggregate the financial accounts held by that institution or by a Related Entity, to the extent that its computerised systems link the accounts and enable the aggregation of the balances or values.</w:t>
            </w:r>
          </w:p>
          <w:p w14:paraId="1CF8A62C" w14:textId="77777777" w:rsidR="00FA0CFF" w:rsidRPr="004E6A4A" w:rsidRDefault="00144445">
            <w:pPr>
              <w:jc w:val="both"/>
            </w:pPr>
            <w:r w:rsidRPr="004E6A4A">
              <w:rPr>
                <w:rFonts w:ascii="Times New Roman" w:eastAsia="Times New Roman" w:hAnsi="Times New Roman" w:cs="Times New Roman"/>
                <w:sz w:val="20"/>
              </w:rPr>
              <w:t xml:space="preserve">6. For the purposes of determining whether an account is a High Value Account, the reporting financial </w:t>
            </w:r>
            <w:r w:rsidRPr="004E6A4A">
              <w:rPr>
                <w:rFonts w:ascii="Times New Roman" w:eastAsia="Times New Roman" w:hAnsi="Times New Roman" w:cs="Times New Roman"/>
                <w:sz w:val="20"/>
              </w:rPr>
              <w:lastRenderedPageBreak/>
              <w:t>institution shall also aggregate, as the case may be, the accounts of which a relationship manager knows or has reason to know that they are directly or indirectly owned, controlled or established, directly or indirectly, by the same person, except where they have been established in a fiduciary capacity.</w:t>
            </w:r>
          </w:p>
          <w:p w14:paraId="0A0B9CC3" w14:textId="77777777" w:rsidR="00FA0CFF" w:rsidRPr="004E6A4A" w:rsidRDefault="00144445">
            <w:pPr>
              <w:jc w:val="both"/>
            </w:pPr>
            <w:r w:rsidRPr="004E6A4A">
              <w:rPr>
                <w:rFonts w:ascii="Times New Roman" w:eastAsia="Times New Roman" w:hAnsi="Times New Roman" w:cs="Times New Roman"/>
                <w:sz w:val="20"/>
              </w:rPr>
              <w:t>7. For the purposes of this Law, amounts denominated in US dollars shall be deemed to include the equivalent amount in the domestic currency or in other currencies, according to the exchange rate determined in the implementing sub-legal act.</w:t>
            </w:r>
          </w:p>
          <w:p w14:paraId="7A898FD8" w14:textId="77777777" w:rsidR="00FA0CFF" w:rsidRPr="004E6A4A" w:rsidRDefault="00144445">
            <w:pPr>
              <w:jc w:val="both"/>
            </w:pPr>
            <w:r w:rsidRPr="004E6A4A">
              <w:rPr>
                <w:rFonts w:ascii="Times New Roman" w:eastAsia="Times New Roman" w:hAnsi="Times New Roman" w:cs="Times New Roman"/>
                <w:sz w:val="20"/>
              </w:rPr>
              <w:t>8. An account with a negative balance or value shall be deemed to have a balance or value of zero for the purposes of this Law.</w:t>
            </w:r>
          </w:p>
          <w:p w14:paraId="0A605BB7" w14:textId="77777777" w:rsidR="00FA0CFF" w:rsidRPr="004E6A4A" w:rsidRDefault="00144445">
            <w:pPr>
              <w:jc w:val="both"/>
            </w:pPr>
            <w:r w:rsidRPr="004E6A4A">
              <w:rPr>
                <w:rFonts w:ascii="Times New Roman" w:eastAsia="Times New Roman" w:hAnsi="Times New Roman" w:cs="Times New Roman"/>
                <w:sz w:val="20"/>
              </w:rPr>
              <w:t>9. A reporting financial institution may use a service provider for the fulfilment of the reporting and due diligence obligations, where this is permitted by the legislation in force, but the responsibility for the fulfilment of those obligations shall remain with the reporting financial institution.</w:t>
            </w:r>
          </w:p>
          <w:p w14:paraId="2DAB33E7" w14:textId="77777777" w:rsidR="00FA0CFF" w:rsidRPr="004E6A4A" w:rsidRDefault="00144445">
            <w:pPr>
              <w:jc w:val="both"/>
            </w:pPr>
            <w:r w:rsidRPr="004E6A4A">
              <w:rPr>
                <w:rFonts w:ascii="Times New Roman" w:eastAsia="Times New Roman" w:hAnsi="Times New Roman" w:cs="Times New Roman"/>
                <w:sz w:val="20"/>
              </w:rPr>
              <w:t>10. The detailed rules on the procedures for changes of circumstances, the aggregation of accounts, the currency rules, accounts with a negative balance and the use of service providers shall be determined by sub-legal act issued in implementation of this Law.</w:t>
            </w:r>
          </w:p>
          <w:p w14:paraId="1BF2F625" w14:textId="77777777" w:rsidR="00FA0CFF" w:rsidRPr="004E6A4A" w:rsidRDefault="00144445">
            <w:pPr>
              <w:jc w:val="both"/>
            </w:pPr>
            <w:r w:rsidRPr="004E6A4A">
              <w:rPr>
                <w:rFonts w:ascii="Times New Roman" w:eastAsia="Times New Roman" w:hAnsi="Times New Roman" w:cs="Times New Roman"/>
                <w:sz w:val="20"/>
              </w:rPr>
              <w:t>11. In exceptional circumstances, where a self-certification cannot be obtained by the reporting financial institution for a New Account in time for the fulfilment of the due diligence and reporting obligations for the period during which the account was opened, the reporting financial institution shall temporarily apply the relevant due diligence procedures for Pre-existing Accounts, until the self-certification is obtained and validated. Notwithstanding this, for reporting purposes the account shall be treated as a New Account.</w:t>
            </w:r>
          </w:p>
          <w:p w14:paraId="52D99905" w14:textId="77777777" w:rsidR="00FA0CFF" w:rsidRPr="004E6A4A" w:rsidRDefault="00144445">
            <w:pPr>
              <w:jc w:val="both"/>
            </w:pPr>
            <w:r w:rsidRPr="004E6A4A">
              <w:rPr>
                <w:rFonts w:ascii="Times New Roman" w:eastAsia="Times New Roman" w:hAnsi="Times New Roman" w:cs="Times New Roman"/>
                <w:sz w:val="20"/>
              </w:rPr>
              <w:lastRenderedPageBreak/>
              <w:t>12. The alternative due diligence procedures for cash value insurance contracts and annuity contracts, including group insurance contracts and group annuity contracts, shall be determined by the sub-legal act issued in implementation of this Law.</w:t>
            </w:r>
          </w:p>
          <w:p w14:paraId="00D03BC6" w14:textId="77777777" w:rsidR="00FA0CFF" w:rsidRPr="004E6A4A" w:rsidRDefault="00FA0CFF"/>
          <w:p w14:paraId="4F91BE12" w14:textId="77777777" w:rsidR="00FA0CFF" w:rsidRPr="004E6A4A" w:rsidRDefault="00144445">
            <w:pPr>
              <w:jc w:val="center"/>
            </w:pPr>
            <w:r w:rsidRPr="004E6A4A">
              <w:rPr>
                <w:rFonts w:ascii="Times New Roman" w:eastAsia="Times New Roman" w:hAnsi="Times New Roman" w:cs="Times New Roman"/>
                <w:b/>
                <w:sz w:val="20"/>
              </w:rPr>
              <w:t>DCM: Article 10</w:t>
            </w:r>
          </w:p>
          <w:p w14:paraId="253599A6" w14:textId="77777777" w:rsidR="00FA0CFF" w:rsidRPr="004E6A4A" w:rsidRDefault="00144445">
            <w:pPr>
              <w:jc w:val="center"/>
            </w:pPr>
            <w:r w:rsidRPr="004E6A4A">
              <w:rPr>
                <w:rFonts w:ascii="Times New Roman" w:eastAsia="Times New Roman" w:hAnsi="Times New Roman" w:cs="Times New Roman"/>
                <w:b/>
                <w:sz w:val="20"/>
              </w:rPr>
              <w:t>Special due diligence rules</w:t>
            </w:r>
          </w:p>
          <w:p w14:paraId="145443D5" w14:textId="77777777" w:rsidR="00FA0CFF" w:rsidRPr="004E6A4A" w:rsidRDefault="00144445">
            <w:pPr>
              <w:jc w:val="both"/>
            </w:pPr>
            <w:r w:rsidRPr="004E6A4A">
              <w:rPr>
                <w:rFonts w:ascii="Times New Roman" w:eastAsia="Times New Roman" w:hAnsi="Times New Roman" w:cs="Times New Roman"/>
                <w:sz w:val="20"/>
              </w:rPr>
              <w:t>The following rules shall apply for the application of the due diligence procedures described above:</w:t>
            </w:r>
          </w:p>
          <w:p w14:paraId="7FBB03A3" w14:textId="77777777" w:rsidR="00FA0CFF" w:rsidRPr="004E6A4A" w:rsidRDefault="00144445">
            <w:pPr>
              <w:jc w:val="both"/>
            </w:pPr>
            <w:r w:rsidRPr="004E6A4A">
              <w:rPr>
                <w:rFonts w:ascii="Times New Roman" w:eastAsia="Times New Roman" w:hAnsi="Times New Roman" w:cs="Times New Roman"/>
                <w:sz w:val="20"/>
              </w:rPr>
              <w:t>1. Reliance on self-certifications and documentary evidence. A reporting financial institution may not rely on a self-certification or documentary evidence if the reporting financial institution knows or has reason to know that the self-certification or the documentary evidence is inaccurate or unreliable, including in the following circumstances in relation to the self-certification, where:</w:t>
            </w:r>
          </w:p>
          <w:p w14:paraId="44878C6F" w14:textId="77777777" w:rsidR="00FA0CFF" w:rsidRPr="004E6A4A" w:rsidRDefault="00144445">
            <w:pPr>
              <w:jc w:val="both"/>
            </w:pPr>
            <w:r w:rsidRPr="004E6A4A">
              <w:rPr>
                <w:rFonts w:ascii="Times New Roman" w:eastAsia="Times New Roman" w:hAnsi="Times New Roman" w:cs="Times New Roman"/>
                <w:sz w:val="20"/>
              </w:rPr>
              <w:t>a) for the Common Reporting Standard profile, the reporting financial institution has doubts about the tax residence of the Account Holder or of the Controlling Person by reason of a claim of residence in a jurisdiction offering a potentially high-risk citizenship or residence by investment scheme (CBI/RBI) and has not taken the further measures provided for by the Standard in order to assess the tax residence;</w:t>
            </w:r>
          </w:p>
          <w:p w14:paraId="1F2360DB" w14:textId="77777777" w:rsidR="00FA0CFF" w:rsidRPr="004E6A4A" w:rsidRDefault="00144445">
            <w:pPr>
              <w:jc w:val="both"/>
            </w:pPr>
            <w:r w:rsidRPr="004E6A4A">
              <w:rPr>
                <w:rFonts w:ascii="Times New Roman" w:eastAsia="Times New Roman" w:hAnsi="Times New Roman" w:cs="Times New Roman"/>
                <w:sz w:val="20"/>
              </w:rPr>
              <w:t>b) for the Common Reporting Standard profile, the self-certification does not contain a TIN and the information published by the OECD indicates that the Reportable Jurisdiction issues TINs to all tax residents; and</w:t>
            </w:r>
          </w:p>
          <w:p w14:paraId="2B4785EE" w14:textId="77777777" w:rsidR="00FA0CFF" w:rsidRPr="004E6A4A" w:rsidRDefault="00144445">
            <w:pPr>
              <w:jc w:val="both"/>
            </w:pPr>
            <w:r w:rsidRPr="004E6A4A">
              <w:rPr>
                <w:rFonts w:ascii="Times New Roman" w:eastAsia="Times New Roman" w:hAnsi="Times New Roman" w:cs="Times New Roman"/>
                <w:sz w:val="20"/>
              </w:rPr>
              <w:t>c) there is a change in the applicable AML/KYC procedures and the additional information obtained under those amended AML/KYC procedures is inconsistent with the claims made by a person in a self-certification.</w:t>
            </w:r>
          </w:p>
          <w:p w14:paraId="71E9C32A" w14:textId="77777777" w:rsidR="00FA0CFF" w:rsidRPr="004E6A4A" w:rsidRDefault="00144445">
            <w:pPr>
              <w:jc w:val="both"/>
            </w:pPr>
            <w:r w:rsidRPr="004E6A4A">
              <w:rPr>
                <w:rFonts w:ascii="Times New Roman" w:eastAsia="Times New Roman" w:hAnsi="Times New Roman" w:cs="Times New Roman"/>
                <w:sz w:val="20"/>
              </w:rPr>
              <w:lastRenderedPageBreak/>
              <w:t>2. Temporary absence of a self-certification. In exceptional circumstances, where a reporting financial institution, in relation to a New Account, cannot obtain a self-certification in time in order to fulfil the due diligence and reporting obligations for the reporting period during which the account was opened, the institution shall temporarily apply the due diligence procedures for Pre-existing Accounts until the self-certification is obtained and validated. For the purposes of reporting under Article 4 of this Decision, the account shall be reported as a New Account.</w:t>
            </w:r>
          </w:p>
          <w:p w14:paraId="2FF11BF1" w14:textId="77777777" w:rsidR="00FA0CFF" w:rsidRPr="004E6A4A" w:rsidRDefault="00144445">
            <w:pPr>
              <w:jc w:val="both"/>
            </w:pPr>
            <w:r w:rsidRPr="004E6A4A">
              <w:rPr>
                <w:rFonts w:ascii="Times New Roman" w:eastAsia="Times New Roman" w:hAnsi="Times New Roman" w:cs="Times New Roman"/>
                <w:sz w:val="20"/>
              </w:rPr>
              <w:t>3. Reliance on tie-breaker rules. Where an Account Holder or a Controlling Person is resident for tax purposes in two or more jurisdictions under the domestic laws of those jurisdictions, that person shall not rely on the tie-breaker rules contained in tax treaties, where such rules exist, for the purpose of determining his or her tax residence and shall declare all jurisdictions in which he or she is resident.</w:t>
            </w:r>
          </w:p>
        </w:tc>
        <w:tc>
          <w:tcPr>
            <w:tcW w:w="1156" w:type="dxa"/>
          </w:tcPr>
          <w:p w14:paraId="20AA7146" w14:textId="77777777" w:rsidR="00B0586E" w:rsidRPr="004E6A4A" w:rsidRDefault="00B0586E" w:rsidP="00C4419F">
            <w:pPr>
              <w:jc w:val="center"/>
              <w:rPr>
                <w:rFonts w:ascii="Times New Roman" w:eastAsia="Calibri" w:hAnsi="Times New Roman" w:cs="Times New Roman"/>
                <w:sz w:val="18"/>
                <w:szCs w:val="18"/>
              </w:rPr>
            </w:pPr>
          </w:p>
          <w:p w14:paraId="79AA1F20" w14:textId="05441A1D" w:rsidR="006D0605"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FC9C5C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AB5BD0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12 of the Draft Law and by Article 10, points 1 and 2 of the Decision.</w:t>
            </w:r>
          </w:p>
        </w:tc>
      </w:tr>
      <w:tr w:rsidR="004E6A4A" w:rsidRPr="004E6A4A" w14:paraId="1C1BF737" w14:textId="77777777" w:rsidTr="00E11E6D">
        <w:trPr>
          <w:trHeight w:val="764"/>
        </w:trPr>
        <w:tc>
          <w:tcPr>
            <w:tcW w:w="720" w:type="dxa"/>
          </w:tcPr>
          <w:p w14:paraId="5BB6606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921D643"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VII,  Paragraph B</w:t>
            </w:r>
          </w:p>
          <w:p w14:paraId="2225B9E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Alternative Procedures for Financial Accounts held by Individual Beneficiaries of a Cash Value Insurance Contract or an Annuity Contract and for a Group Cash Value Insurance Contract or Group Annuity Contract. A Reporting Financial Institution may presume that an individual beneficiary (other than the owner) of a Cash Value Insurance Contract or an Annuity Contract receiving a death benefit is not a Reportable Person and may treat such Financial Account as other than a Reportable Account unless the Reporting Financial Institution has actual knowledge, or reason to know, that the beneficiary is a Reportable Person. A Reporting Financial Institution has reason to know that a beneficiary of a Cash Value Insurance Contract or an Annuity Contract is a Reportable Person if the information collected by the Reporting Financial Institution and associated with the beneficiary contains indicia as described in paragraph B of </w:t>
            </w:r>
            <w:r w:rsidRPr="004E6A4A">
              <w:rPr>
                <w:rFonts w:ascii="Times New Roman" w:eastAsia="Times New Roman" w:hAnsi="Times New Roman" w:cs="Times New Roman"/>
                <w:sz w:val="20"/>
                <w:szCs w:val="20"/>
              </w:rPr>
              <w:lastRenderedPageBreak/>
              <w:t>Section III. If a Reporting Financial Institution has actual knowledge, or reason to know, that the beneficiary is a Reportable Person, the Reporting Financial Institution must follow the procedures in paragraph B of Section III.</w:t>
            </w:r>
          </w:p>
          <w:p w14:paraId="1C5AC76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Reporting Financial Institution may treat a Financial Account that is a member's interest in a Group Cash Value Insurance Contract or Group Annuity Contract as a Financial Account that is not a Reportable Account until the date on which an amount is payable to the employee/certificate holder or beneficiary, if the Financial Account that is a member's interest in a Group Cash Value Insurance Contract or Group Annuity Contract meets the following requirements:</w:t>
            </w:r>
          </w:p>
          <w:p w14:paraId="619FF85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Group Cash Value Insurance Contract or Group Annuity Contract is issued to an employer and covers 25 or more employees/certificate holders;</w:t>
            </w:r>
          </w:p>
          <w:p w14:paraId="5106A6C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the employee/certificate holders are entitled to receive any contract value related to their interests and to name beneficiaries for the benefit payable upon the employee's death; and</w:t>
            </w:r>
          </w:p>
          <w:p w14:paraId="0738E83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the aggregate amount payable to any employee/certificate holder or beneficiary does not exceed an amount denominated in the domestic currency of each Member State that corresponds to USD 1 000 000.</w:t>
            </w:r>
          </w:p>
        </w:tc>
        <w:tc>
          <w:tcPr>
            <w:tcW w:w="1080" w:type="dxa"/>
          </w:tcPr>
          <w:p w14:paraId="1E986E08"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8C1F54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D31BAEF" w14:textId="77777777" w:rsidR="00FA0CFF" w:rsidRPr="004E6A4A" w:rsidRDefault="00144445">
            <w:pPr>
              <w:jc w:val="center"/>
            </w:pPr>
            <w:r w:rsidRPr="004E6A4A">
              <w:rPr>
                <w:rFonts w:ascii="Times New Roman" w:eastAsia="Times New Roman" w:hAnsi="Times New Roman" w:cs="Times New Roman"/>
                <w:b/>
                <w:sz w:val="20"/>
              </w:rPr>
              <w:t>DCM: Article 10</w:t>
            </w:r>
          </w:p>
          <w:p w14:paraId="67DD2FB3" w14:textId="77777777" w:rsidR="00FA0CFF" w:rsidRPr="004E6A4A" w:rsidRDefault="00144445">
            <w:pPr>
              <w:jc w:val="center"/>
            </w:pPr>
            <w:r w:rsidRPr="004E6A4A">
              <w:rPr>
                <w:rFonts w:ascii="Times New Roman" w:eastAsia="Times New Roman" w:hAnsi="Times New Roman" w:cs="Times New Roman"/>
                <w:b/>
                <w:sz w:val="20"/>
              </w:rPr>
              <w:t>Special due diligence rules</w:t>
            </w:r>
          </w:p>
          <w:p w14:paraId="2B7BCDCE" w14:textId="77777777" w:rsidR="00FA0CFF" w:rsidRPr="004E6A4A" w:rsidRDefault="00144445">
            <w:pPr>
              <w:jc w:val="both"/>
            </w:pPr>
            <w:r w:rsidRPr="004E6A4A">
              <w:rPr>
                <w:rFonts w:ascii="Times New Roman" w:eastAsia="Times New Roman" w:hAnsi="Times New Roman" w:cs="Times New Roman"/>
                <w:sz w:val="20"/>
              </w:rPr>
              <w:t>The following rules shall apply for the application of the due diligence procedures described above:</w:t>
            </w:r>
          </w:p>
          <w:p w14:paraId="47932144" w14:textId="77777777" w:rsidR="00FA0CFF" w:rsidRPr="004E6A4A" w:rsidRDefault="00144445">
            <w:pPr>
              <w:jc w:val="both"/>
            </w:pPr>
            <w:r w:rsidRPr="004E6A4A">
              <w:rPr>
                <w:rFonts w:ascii="Times New Roman" w:eastAsia="Times New Roman" w:hAnsi="Times New Roman" w:cs="Times New Roman"/>
                <w:sz w:val="20"/>
              </w:rPr>
              <w:t xml:space="preserve">4. Alternative procedures for financial accounts held by individual beneficiaries of a cash value insurance contract or of an annuity contract and for a group cash value insurance contract or a group annuity contract. A reporting financial institution may presume that an individual beneficiary (other than the owner) of a cash value insurance contract or of an annuity contract who receives a death benefit is not a reportable person and may treat such a financial account other than as a reportable account, except where the reporting financial institution has knowledge, or reason to know, that the beneficiary is a reportable person. A reporting financial institution has reason to know that a beneficiary of a cash value insurance contract or of </w:t>
            </w:r>
            <w:r w:rsidRPr="004E6A4A">
              <w:rPr>
                <w:rFonts w:ascii="Times New Roman" w:eastAsia="Times New Roman" w:hAnsi="Times New Roman" w:cs="Times New Roman"/>
                <w:sz w:val="20"/>
              </w:rPr>
              <w:lastRenderedPageBreak/>
              <w:t>an annuity contract is a reportable person if the information collected by the reporting financial institution and associated with the beneficiary contains indicia, as described in point 1 of Article 6 of this Decision. If a reporting financial institution has actual knowledge, or reason to know, that the beneficiary is a reportable person, the reporting financial institution must follow the procedures in point 1 of Article 6 of this Decision.</w:t>
            </w:r>
          </w:p>
          <w:p w14:paraId="727007D7" w14:textId="77777777" w:rsidR="00FA0CFF" w:rsidRPr="004E6A4A" w:rsidRDefault="00144445">
            <w:pPr>
              <w:jc w:val="both"/>
            </w:pPr>
            <w:r w:rsidRPr="004E6A4A">
              <w:rPr>
                <w:rFonts w:ascii="Times New Roman" w:eastAsia="Times New Roman" w:hAnsi="Times New Roman" w:cs="Times New Roman"/>
                <w:sz w:val="20"/>
              </w:rPr>
              <w:t>A reporting financial institution may treat a financial account that is a member's interest in a group cash value insurance contract or a group annuity contract as a financial account that is not a reportable account until the date on which an amount is payable to the employee/certificate holder or beneficiary, if the financial account that is a member's interest in a group cash value insurance contract or a group annuity contract meets the following requirements:</w:t>
            </w:r>
          </w:p>
          <w:p w14:paraId="4EE9B0A6" w14:textId="77777777" w:rsidR="00FA0CFF" w:rsidRPr="004E6A4A" w:rsidRDefault="00144445">
            <w:pPr>
              <w:jc w:val="both"/>
            </w:pPr>
            <w:r w:rsidRPr="004E6A4A">
              <w:rPr>
                <w:rFonts w:ascii="Times New Roman" w:eastAsia="Times New Roman" w:hAnsi="Times New Roman" w:cs="Times New Roman"/>
                <w:sz w:val="20"/>
              </w:rPr>
              <w:t>a) the group cash value insurance contract or the group annuity contract is issued to an employer and covers 25 or more employees/certificate holders;</w:t>
            </w:r>
          </w:p>
          <w:p w14:paraId="762ABFB8" w14:textId="77777777" w:rsidR="00FA0CFF" w:rsidRPr="004E6A4A" w:rsidRDefault="00144445">
            <w:pPr>
              <w:jc w:val="both"/>
            </w:pPr>
            <w:r w:rsidRPr="004E6A4A">
              <w:rPr>
                <w:rFonts w:ascii="Times New Roman" w:eastAsia="Times New Roman" w:hAnsi="Times New Roman" w:cs="Times New Roman"/>
                <w:sz w:val="20"/>
              </w:rPr>
              <w:t>b) the employees/certificate holders are entitled to receive any contract value related to their interests and to name beneficiaries for the benefit payable upon the employee's death;</w:t>
            </w:r>
          </w:p>
          <w:p w14:paraId="6109F9DE" w14:textId="77777777" w:rsidR="00FA0CFF" w:rsidRPr="004E6A4A" w:rsidRDefault="00144445">
            <w:pPr>
              <w:jc w:val="both"/>
            </w:pPr>
            <w:r w:rsidRPr="004E6A4A">
              <w:rPr>
                <w:rFonts w:ascii="Times New Roman" w:eastAsia="Times New Roman" w:hAnsi="Times New Roman" w:cs="Times New Roman"/>
                <w:sz w:val="20"/>
              </w:rPr>
              <w:t>c) the aggregate amount payable to any employee/certificate holder or beneficiary does not exceed the amount of USD 1 000 000 (one million).</w:t>
            </w:r>
          </w:p>
          <w:p w14:paraId="56C39596" w14:textId="77777777" w:rsidR="00FA0CFF" w:rsidRPr="004E6A4A" w:rsidRDefault="00FA0CFF"/>
          <w:p w14:paraId="1B988AB9" w14:textId="6318D48D" w:rsidR="00FA0CFF" w:rsidRPr="004E6A4A" w:rsidRDefault="00FA0CFF">
            <w:pPr>
              <w:jc w:val="both"/>
            </w:pPr>
          </w:p>
        </w:tc>
        <w:tc>
          <w:tcPr>
            <w:tcW w:w="1156" w:type="dxa"/>
          </w:tcPr>
          <w:p w14:paraId="3E9ACEF7" w14:textId="77777777" w:rsidR="00B0586E" w:rsidRPr="004E6A4A" w:rsidRDefault="00B0586E" w:rsidP="00C4419F">
            <w:pPr>
              <w:jc w:val="center"/>
              <w:rPr>
                <w:rFonts w:ascii="Times New Roman" w:eastAsia="Calibri" w:hAnsi="Times New Roman" w:cs="Times New Roman"/>
                <w:sz w:val="18"/>
                <w:szCs w:val="18"/>
              </w:rPr>
            </w:pPr>
          </w:p>
          <w:p w14:paraId="002E4386" w14:textId="28862DE1"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0E911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7E09D1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10, point 4 of the Decision.</w:t>
            </w:r>
          </w:p>
        </w:tc>
      </w:tr>
      <w:tr w:rsidR="004E6A4A" w:rsidRPr="004E6A4A" w14:paraId="10E548EF" w14:textId="77777777" w:rsidTr="00E11E6D">
        <w:trPr>
          <w:trHeight w:val="764"/>
        </w:trPr>
        <w:tc>
          <w:tcPr>
            <w:tcW w:w="720" w:type="dxa"/>
          </w:tcPr>
          <w:p w14:paraId="67E42960"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EF803C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The term “Group Cash Value Insurance Contract” means a Cash Value Insurance Contract that (i) provides coverage on individuals who are affiliated through an employer, trade association, labour union, or other association or group; and (ii) charges a premium for each member of the group (or member of a class within the group) that is determined without regard to the individual health </w:t>
            </w:r>
            <w:r w:rsidRPr="004E6A4A">
              <w:rPr>
                <w:rFonts w:ascii="Times New Roman" w:eastAsia="Times New Roman" w:hAnsi="Times New Roman" w:cs="Times New Roman"/>
                <w:sz w:val="20"/>
                <w:szCs w:val="20"/>
              </w:rPr>
              <w:lastRenderedPageBreak/>
              <w:t>characteristics other than age, gender, and smoking habits of the member (or class of members) of the group.</w:t>
            </w:r>
          </w:p>
        </w:tc>
        <w:tc>
          <w:tcPr>
            <w:tcW w:w="1080" w:type="dxa"/>
          </w:tcPr>
          <w:p w14:paraId="1F7180B3"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063172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4BB5C382"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71A2061" w14:textId="77777777" w:rsidR="00FA0CFF" w:rsidRPr="004E6A4A" w:rsidRDefault="00144445">
            <w:pPr>
              <w:jc w:val="center"/>
            </w:pPr>
            <w:r w:rsidRPr="004E6A4A">
              <w:rPr>
                <w:rFonts w:ascii="Times New Roman" w:eastAsia="Times New Roman" w:hAnsi="Times New Roman" w:cs="Times New Roman"/>
                <w:b/>
                <w:sz w:val="20"/>
              </w:rPr>
              <w:t>Definitions</w:t>
            </w:r>
          </w:p>
          <w:p w14:paraId="6058EE05" w14:textId="77777777" w:rsidR="00FA0CFF" w:rsidRPr="004E6A4A" w:rsidRDefault="00144445">
            <w:pPr>
              <w:jc w:val="both"/>
            </w:pPr>
            <w:r w:rsidRPr="004E6A4A">
              <w:rPr>
                <w:rFonts w:ascii="Times New Roman" w:eastAsia="Times New Roman" w:hAnsi="Times New Roman" w:cs="Times New Roman"/>
                <w:sz w:val="20"/>
              </w:rPr>
              <w:t xml:space="preserve">42. “Group cash value insurance contract” means a cash value insurance contract which provides coverage for individuals who are affiliated with an employer, a trade association, a labour union or another association or group and which charges a </w:t>
            </w:r>
            <w:r w:rsidRPr="004E6A4A">
              <w:rPr>
                <w:rFonts w:ascii="Times New Roman" w:eastAsia="Times New Roman" w:hAnsi="Times New Roman" w:cs="Times New Roman"/>
                <w:sz w:val="20"/>
              </w:rPr>
              <w:lastRenderedPageBreak/>
              <w:t>premium for each member of the group, or member of a category within the group, which is determined without regard to the individual health characteristics, other than the age, gender and smoking habits of the member or class of members of the group.</w:t>
            </w:r>
          </w:p>
        </w:tc>
        <w:tc>
          <w:tcPr>
            <w:tcW w:w="1156" w:type="dxa"/>
          </w:tcPr>
          <w:p w14:paraId="595295C8" w14:textId="77777777" w:rsidR="00B0586E" w:rsidRPr="004E6A4A" w:rsidRDefault="00B0586E" w:rsidP="00C4419F">
            <w:pPr>
              <w:jc w:val="center"/>
              <w:rPr>
                <w:rFonts w:ascii="Times New Roman" w:eastAsia="Calibri" w:hAnsi="Times New Roman" w:cs="Times New Roman"/>
                <w:sz w:val="18"/>
                <w:szCs w:val="18"/>
              </w:rPr>
            </w:pPr>
          </w:p>
          <w:p w14:paraId="1FB0B8E3" w14:textId="4BFD8E8D"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EB02C4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79F804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42 of the Draft Law.</w:t>
            </w:r>
          </w:p>
        </w:tc>
      </w:tr>
      <w:tr w:rsidR="004E6A4A" w:rsidRPr="004E6A4A" w14:paraId="2E04C551" w14:textId="77777777" w:rsidTr="00E11E6D">
        <w:trPr>
          <w:trHeight w:val="764"/>
        </w:trPr>
        <w:tc>
          <w:tcPr>
            <w:tcW w:w="720" w:type="dxa"/>
          </w:tcPr>
          <w:p w14:paraId="2FE3CC0D"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D09E20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term “Group Annuity Contract” means an Annuity Contract under which the obligees are individuals who are affiliated through an employer, trade association, labour union, or other association or group.</w:t>
            </w:r>
          </w:p>
        </w:tc>
        <w:tc>
          <w:tcPr>
            <w:tcW w:w="1080" w:type="dxa"/>
          </w:tcPr>
          <w:p w14:paraId="191CFDB5"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83DD44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F307757"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15F0DD0" w14:textId="77777777" w:rsidR="00FA0CFF" w:rsidRPr="004E6A4A" w:rsidRDefault="00144445">
            <w:pPr>
              <w:jc w:val="center"/>
            </w:pPr>
            <w:r w:rsidRPr="004E6A4A">
              <w:rPr>
                <w:rFonts w:ascii="Times New Roman" w:eastAsia="Times New Roman" w:hAnsi="Times New Roman" w:cs="Times New Roman"/>
                <w:b/>
                <w:sz w:val="20"/>
              </w:rPr>
              <w:t>Definitions</w:t>
            </w:r>
          </w:p>
          <w:p w14:paraId="56A1A9CC" w14:textId="77777777" w:rsidR="00FA0CFF" w:rsidRPr="004E6A4A" w:rsidRDefault="00144445">
            <w:pPr>
              <w:jc w:val="both"/>
            </w:pPr>
            <w:r w:rsidRPr="004E6A4A">
              <w:rPr>
                <w:rFonts w:ascii="Times New Roman" w:eastAsia="Times New Roman" w:hAnsi="Times New Roman" w:cs="Times New Roman"/>
                <w:sz w:val="20"/>
              </w:rPr>
              <w:t>38. “Group annuity contract” means an annuity contract which covers individuals affiliated with an employer, a trade association, a labour union or another association or group.</w:t>
            </w:r>
          </w:p>
        </w:tc>
        <w:tc>
          <w:tcPr>
            <w:tcW w:w="1156" w:type="dxa"/>
          </w:tcPr>
          <w:p w14:paraId="1245BD75" w14:textId="77777777" w:rsidR="00B0586E" w:rsidRPr="004E6A4A" w:rsidRDefault="00B0586E" w:rsidP="00C4419F">
            <w:pPr>
              <w:jc w:val="center"/>
              <w:rPr>
                <w:rFonts w:ascii="Times New Roman" w:eastAsia="Calibri" w:hAnsi="Times New Roman" w:cs="Times New Roman"/>
                <w:sz w:val="18"/>
                <w:szCs w:val="18"/>
              </w:rPr>
            </w:pPr>
          </w:p>
          <w:p w14:paraId="3F94AD1A" w14:textId="3381B692"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2FBCAA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09A56D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38 of the Draft Law.</w:t>
            </w:r>
          </w:p>
        </w:tc>
      </w:tr>
      <w:tr w:rsidR="004E6A4A" w:rsidRPr="004E6A4A" w14:paraId="271D5783" w14:textId="77777777" w:rsidTr="00E11E6D">
        <w:trPr>
          <w:trHeight w:val="764"/>
        </w:trPr>
        <w:tc>
          <w:tcPr>
            <w:tcW w:w="720" w:type="dxa"/>
          </w:tcPr>
          <w:p w14:paraId="08127099"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C0143DB"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VII,  Paragraph C</w:t>
            </w:r>
          </w:p>
          <w:p w14:paraId="7794D75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Account Balance Aggregation and Currency Rules</w:t>
            </w:r>
          </w:p>
          <w:p w14:paraId="2414FF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Aggregation of Individual Accounts. For purposes of determining the aggregate balance or value of Financial Accounts held by an individual, a Reporting Financial Institution is required to aggregate all Financial Accounts maintained by the Reporting Financial Institution, or by a Related Entity, but only to the extent that the Reporting Financial Institution's computerised systems link the Financial Accounts by reference to a data element such as client number or TIN, and allow account balances or values to be aggregated. Each holder of a jointly held Finan cial Account shall be attributed the entire balance or value of the jointly held Financial Account for purposes of applying the aggregation requirements described in this subparagraph.</w:t>
            </w:r>
          </w:p>
          <w:p w14:paraId="548AE5E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Aggregation of Entity Accounts. For purposes of determining the aggregate balance or value of Financial Accounts held by an Entity, a Reporting Financial Institution is required to take into account all Financial Accounts that are maintained by the Reporting Financial Institution, or by a Related Entity, but only to the extent that the Reporting Financial Institution's computerised systems link the Financial Accounts by reference to a data element such as client number or TIN, and allow account </w:t>
            </w:r>
            <w:r w:rsidRPr="004E6A4A">
              <w:rPr>
                <w:rFonts w:ascii="Times New Roman" w:eastAsia="Times New Roman" w:hAnsi="Times New Roman" w:cs="Times New Roman"/>
                <w:sz w:val="20"/>
                <w:szCs w:val="20"/>
              </w:rPr>
              <w:lastRenderedPageBreak/>
              <w:t>balances or values to be aggregated. Each holder of a jointly held Finan cial Account shall be attributed the entire balance or value of the jointly held Financial Account for purposes of applying the aggregation requirements described in this subparagraph.</w:t>
            </w:r>
          </w:p>
          <w:p w14:paraId="6FA2B2D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Special Aggregation Rule Applicable to Relationship Managers. For purposes of determining the aggregate balance or value of Financial Accounts held by a person to determine whether a financial account is a High Value Account, a Reporting Financial Institution is also required, in the case of any Financial Accounts that a relation ship manager knows, or has reason to know, are directly or indirectly owned, controlled, or established (other than in a fiduciary capacity) by the same person, to aggregate all such accounts.</w:t>
            </w:r>
          </w:p>
          <w:p w14:paraId="4FB4FAB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Amounts Read to Include Equivalent in Other Currencies. All amounts denominated in the domestic currency of each Member State shall be read to include equivalent amounts in other currencies, as determined by domestic law.</w:t>
            </w:r>
          </w:p>
        </w:tc>
        <w:tc>
          <w:tcPr>
            <w:tcW w:w="1080" w:type="dxa"/>
          </w:tcPr>
          <w:p w14:paraId="433EA790"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5AF12A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D021E82" w14:textId="77777777" w:rsidR="00FA0CFF" w:rsidRPr="004E6A4A" w:rsidRDefault="00144445">
            <w:pPr>
              <w:jc w:val="center"/>
            </w:pPr>
            <w:r w:rsidRPr="004E6A4A">
              <w:rPr>
                <w:rFonts w:ascii="Times New Roman" w:eastAsia="Times New Roman" w:hAnsi="Times New Roman" w:cs="Times New Roman"/>
                <w:b/>
                <w:sz w:val="20"/>
              </w:rPr>
              <w:t>DCM: Article 10</w:t>
            </w:r>
          </w:p>
          <w:p w14:paraId="055942A3" w14:textId="77777777" w:rsidR="00FA0CFF" w:rsidRPr="004E6A4A" w:rsidRDefault="00144445">
            <w:pPr>
              <w:jc w:val="center"/>
            </w:pPr>
            <w:r w:rsidRPr="004E6A4A">
              <w:rPr>
                <w:rFonts w:ascii="Times New Roman" w:eastAsia="Times New Roman" w:hAnsi="Times New Roman" w:cs="Times New Roman"/>
                <w:b/>
                <w:sz w:val="20"/>
              </w:rPr>
              <w:t>Special due diligence rules</w:t>
            </w:r>
          </w:p>
          <w:p w14:paraId="4C5E1FC9" w14:textId="77777777" w:rsidR="00FA0CFF" w:rsidRPr="004E6A4A" w:rsidRDefault="00144445">
            <w:pPr>
              <w:jc w:val="both"/>
            </w:pPr>
            <w:r w:rsidRPr="004E6A4A">
              <w:rPr>
                <w:rFonts w:ascii="Times New Roman" w:eastAsia="Times New Roman" w:hAnsi="Times New Roman" w:cs="Times New Roman"/>
                <w:sz w:val="20"/>
              </w:rPr>
              <w:t>The following rules shall apply for the application of the due diligence procedures described above:</w:t>
            </w:r>
          </w:p>
          <w:p w14:paraId="51F6412D" w14:textId="77777777" w:rsidR="00FA0CFF" w:rsidRPr="004E6A4A" w:rsidRDefault="00144445">
            <w:pPr>
              <w:jc w:val="both"/>
            </w:pPr>
            <w:r w:rsidRPr="004E6A4A">
              <w:rPr>
                <w:rFonts w:ascii="Times New Roman" w:eastAsia="Times New Roman" w:hAnsi="Times New Roman" w:cs="Times New Roman"/>
                <w:sz w:val="20"/>
              </w:rPr>
              <w:t>5. Aggregation of account balances and currency rules.</w:t>
            </w:r>
          </w:p>
          <w:p w14:paraId="6F2F4F69" w14:textId="77777777" w:rsidR="00FA0CFF" w:rsidRPr="004E6A4A" w:rsidRDefault="00144445">
            <w:pPr>
              <w:jc w:val="both"/>
            </w:pPr>
            <w:r w:rsidRPr="004E6A4A">
              <w:rPr>
                <w:rFonts w:ascii="Times New Roman" w:eastAsia="Times New Roman" w:hAnsi="Times New Roman" w:cs="Times New Roman"/>
                <w:sz w:val="20"/>
              </w:rPr>
              <w:t>a) Aggregation of individual accounts. For the purposes of determining the aggregate balance or value of the financial accounts held by an individual, a reporting financial institution is required to aggregate all the financial accounts maintained by the reporting financial institution or by an entity related to it, but only to the extent that the computerised systems of the reporting financial institution link the financial accounts, by reference to a data element such as the client number or the TIN, and allow the account balances or values to be aggregated. Each holder of a jointly held financial account shall be attributed the entire balance or value of the jointly held financial account for the purposes of applying the aggregation requirements described in this paragraph.</w:t>
            </w:r>
          </w:p>
          <w:p w14:paraId="050656D9" w14:textId="77777777" w:rsidR="00FA0CFF" w:rsidRPr="004E6A4A" w:rsidRDefault="00144445">
            <w:pPr>
              <w:jc w:val="both"/>
            </w:pPr>
            <w:r w:rsidRPr="004E6A4A">
              <w:rPr>
                <w:rFonts w:ascii="Times New Roman" w:eastAsia="Times New Roman" w:hAnsi="Times New Roman" w:cs="Times New Roman"/>
                <w:sz w:val="20"/>
              </w:rPr>
              <w:t xml:space="preserve">b) Aggregation of entity accounts. For the purposes of determining the balance or value of the financial accounts held by an entity, a reporting financial institution is required to take into account all the financial accounts maintained by the reporting </w:t>
            </w:r>
            <w:r w:rsidRPr="004E6A4A">
              <w:rPr>
                <w:rFonts w:ascii="Times New Roman" w:eastAsia="Times New Roman" w:hAnsi="Times New Roman" w:cs="Times New Roman"/>
                <w:sz w:val="20"/>
              </w:rPr>
              <w:lastRenderedPageBreak/>
              <w:t>financial institution or by an entity related to it, but only to the extent that the computerised systems of the reporting financial institution link the financial accounts, by reference to a data element such as the client number or the TIN, and allow the account values to be aggregated. Each holder of a jointly held financial account shall be attributed the entire balance or value of the financial account, for the purposes of applying the aggregation requirements described in this letter.</w:t>
            </w:r>
          </w:p>
          <w:p w14:paraId="5F3E854B" w14:textId="77777777" w:rsidR="00FA0CFF" w:rsidRPr="004E6A4A" w:rsidRDefault="00144445">
            <w:pPr>
              <w:jc w:val="both"/>
            </w:pPr>
            <w:r w:rsidRPr="004E6A4A">
              <w:rPr>
                <w:rFonts w:ascii="Times New Roman" w:eastAsia="Times New Roman" w:hAnsi="Times New Roman" w:cs="Times New Roman"/>
                <w:sz w:val="20"/>
              </w:rPr>
              <w:t>c) Special aggregation rule applicable to relationship managers. For the purposes of determining the balance or value of the financial accounts held by a person in order to determine whether a financial account is a high value account, a reporting financial institution is also required, in the case of financial accounts which a relationship manager knows, or has reason to know, are directly or indirectly owned, controlled or established (other than in a fiduciary capacity) by the same person, to aggregate all those accounts.</w:t>
            </w:r>
          </w:p>
          <w:p w14:paraId="7C8C6C81" w14:textId="77777777" w:rsidR="00FA0CFF" w:rsidRPr="004E6A4A" w:rsidRDefault="00144445">
            <w:pPr>
              <w:jc w:val="both"/>
            </w:pPr>
            <w:r w:rsidRPr="004E6A4A">
              <w:rPr>
                <w:rFonts w:ascii="Times New Roman" w:eastAsia="Times New Roman" w:hAnsi="Times New Roman" w:cs="Times New Roman"/>
                <w:sz w:val="20"/>
              </w:rPr>
              <w:t>6. All amounts expressed in United States dollars shall be deemed to include the equivalent amount in other currencies. For the conversion of a threshold expressed in United States dollars into lek or into another currency, the official exchange rate published by the Bank of Albania for the date for which the balance or value of the account is determined shall be used. Where no official rate is published for that date, the last official rate published before that date shall be used.</w:t>
            </w:r>
          </w:p>
          <w:p w14:paraId="322B7E09" w14:textId="77777777" w:rsidR="00FA0CFF" w:rsidRPr="004E6A4A" w:rsidRDefault="00144445">
            <w:pPr>
              <w:jc w:val="both"/>
            </w:pPr>
            <w:r w:rsidRPr="004E6A4A">
              <w:rPr>
                <w:rFonts w:ascii="Times New Roman" w:eastAsia="Times New Roman" w:hAnsi="Times New Roman" w:cs="Times New Roman"/>
                <w:sz w:val="20"/>
              </w:rPr>
              <w:t>7. Accounts with a negative balance. An account with a balance or value that is negative shall be deemed to have a balance or value equal to zero.</w:t>
            </w:r>
          </w:p>
          <w:p w14:paraId="498EEBC5" w14:textId="77777777" w:rsidR="00FA0CFF" w:rsidRPr="004E6A4A" w:rsidRDefault="00FA0CFF"/>
          <w:p w14:paraId="0AF7CFDE" w14:textId="77777777" w:rsidR="00FA0CFF" w:rsidRPr="004E6A4A" w:rsidRDefault="00144445">
            <w:pPr>
              <w:jc w:val="center"/>
            </w:pPr>
            <w:r w:rsidRPr="004E6A4A">
              <w:rPr>
                <w:rFonts w:ascii="Times New Roman" w:eastAsia="Times New Roman" w:hAnsi="Times New Roman" w:cs="Times New Roman"/>
                <w:b/>
                <w:sz w:val="20"/>
              </w:rPr>
              <w:t>Draft Law: Article 12</w:t>
            </w:r>
          </w:p>
          <w:p w14:paraId="5FEE2F52" w14:textId="77777777" w:rsidR="00FA0CFF" w:rsidRPr="004E6A4A" w:rsidRDefault="00144445">
            <w:pPr>
              <w:jc w:val="center"/>
            </w:pPr>
            <w:r w:rsidRPr="004E6A4A">
              <w:rPr>
                <w:rFonts w:ascii="Times New Roman" w:eastAsia="Times New Roman" w:hAnsi="Times New Roman" w:cs="Times New Roman"/>
                <w:b/>
                <w:sz w:val="20"/>
              </w:rPr>
              <w:t>Special due diligence rules</w:t>
            </w:r>
          </w:p>
          <w:p w14:paraId="4F9A350E" w14:textId="77777777" w:rsidR="00FA0CFF" w:rsidRPr="004E6A4A" w:rsidRDefault="00144445">
            <w:pPr>
              <w:jc w:val="both"/>
            </w:pPr>
            <w:r w:rsidRPr="004E6A4A">
              <w:rPr>
                <w:rFonts w:ascii="Times New Roman" w:eastAsia="Times New Roman" w:hAnsi="Times New Roman" w:cs="Times New Roman"/>
                <w:sz w:val="20"/>
              </w:rPr>
              <w:lastRenderedPageBreak/>
              <w:t>5. For the purposes of determining the aggregate balance or value of the financial accounts held by an individual or by an entity, the reporting financial institution shall aggregate the financial accounts held by that institution or by a Related Entity, to the extent that its computerised systems link the accounts and enable the aggregation of the balances or values.</w:t>
            </w:r>
          </w:p>
          <w:p w14:paraId="69F232E0" w14:textId="77777777" w:rsidR="00FA0CFF" w:rsidRPr="004E6A4A" w:rsidRDefault="00144445">
            <w:pPr>
              <w:jc w:val="both"/>
            </w:pPr>
            <w:r w:rsidRPr="004E6A4A">
              <w:rPr>
                <w:rFonts w:ascii="Times New Roman" w:eastAsia="Times New Roman" w:hAnsi="Times New Roman" w:cs="Times New Roman"/>
                <w:sz w:val="20"/>
              </w:rPr>
              <w:t>6. For the purposes of determining whether an account is a High Value Account, the reporting financial institution shall also aggregate, as the case may be, the accounts of which a relationship manager knows or has reason to know that they are directly or indirectly owned, controlled or established, directly or indirectly, by the same person, except where they have been established in a fiduciary capacity.</w:t>
            </w:r>
          </w:p>
          <w:p w14:paraId="0B969E95" w14:textId="77777777" w:rsidR="00FA0CFF" w:rsidRPr="004E6A4A" w:rsidRDefault="00144445">
            <w:pPr>
              <w:jc w:val="both"/>
            </w:pPr>
            <w:r w:rsidRPr="004E6A4A">
              <w:rPr>
                <w:rFonts w:ascii="Times New Roman" w:eastAsia="Times New Roman" w:hAnsi="Times New Roman" w:cs="Times New Roman"/>
                <w:sz w:val="20"/>
              </w:rPr>
              <w:t>7. For the purposes of this Law, amounts denominated in US dollars shall be deemed to include the equivalent amount in the domestic currency or in other currencies, according to the exchange rate determined in the implementing sub-legal act.</w:t>
            </w:r>
          </w:p>
          <w:p w14:paraId="2C4E807D" w14:textId="77777777" w:rsidR="00FA0CFF" w:rsidRPr="004E6A4A" w:rsidRDefault="00144445">
            <w:pPr>
              <w:jc w:val="both"/>
            </w:pPr>
            <w:r w:rsidRPr="004E6A4A">
              <w:rPr>
                <w:rFonts w:ascii="Times New Roman" w:eastAsia="Times New Roman" w:hAnsi="Times New Roman" w:cs="Times New Roman"/>
                <w:sz w:val="20"/>
              </w:rPr>
              <w:t>8. An account with a negative balance or value shall be deemed to have a balance or value of zero for the purposes of this Law.</w:t>
            </w:r>
          </w:p>
        </w:tc>
        <w:tc>
          <w:tcPr>
            <w:tcW w:w="1156" w:type="dxa"/>
          </w:tcPr>
          <w:p w14:paraId="36164DB0" w14:textId="77777777" w:rsidR="00B0586E" w:rsidRPr="004E6A4A" w:rsidRDefault="00B0586E" w:rsidP="00C4419F">
            <w:pPr>
              <w:jc w:val="center"/>
              <w:rPr>
                <w:rFonts w:ascii="Times New Roman" w:eastAsia="Calibri" w:hAnsi="Times New Roman" w:cs="Times New Roman"/>
                <w:sz w:val="18"/>
                <w:szCs w:val="18"/>
              </w:rPr>
            </w:pPr>
          </w:p>
          <w:p w14:paraId="6F0C1B01" w14:textId="1B05518D" w:rsidR="000A21ED" w:rsidRPr="004E6A4A" w:rsidRDefault="00B0586E"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AA4046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149470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10, points 5, 6 and 7 of the Decision.</w:t>
            </w:r>
          </w:p>
        </w:tc>
      </w:tr>
      <w:tr w:rsidR="004E6A4A" w:rsidRPr="004E6A4A" w14:paraId="4D67ED31" w14:textId="77777777" w:rsidTr="00E11E6D">
        <w:trPr>
          <w:trHeight w:val="764"/>
        </w:trPr>
        <w:tc>
          <w:tcPr>
            <w:tcW w:w="720" w:type="dxa"/>
          </w:tcPr>
          <w:p w14:paraId="2BB3051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3366AB9"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  Section VIII,  Paragraph A</w:t>
            </w:r>
          </w:p>
          <w:p w14:paraId="69A9283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VIII</w:t>
            </w:r>
          </w:p>
          <w:p w14:paraId="19791DE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DEFINED TERMS</w:t>
            </w:r>
          </w:p>
          <w:p w14:paraId="567DD34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following terms have the meanings set forth below:</w:t>
            </w:r>
          </w:p>
          <w:p w14:paraId="342038B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Reporting Financial Institution</w:t>
            </w:r>
          </w:p>
          <w:p w14:paraId="532DAFF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The term “Reporting Financial Institution” means any Member State Financial Institution that is not a Non- Reporting Financial Institution. The term “Member State Financial Institution” means: (i) any Financial Institution that is resident in a Member State, but excludes any branch of that Financial Institution that is located outside that Member State; and (ii) any branch of a Financial Institution that is not resident in a Member State, if that branch is located in that Member State.</w:t>
            </w:r>
          </w:p>
        </w:tc>
        <w:tc>
          <w:tcPr>
            <w:tcW w:w="1080" w:type="dxa"/>
          </w:tcPr>
          <w:p w14:paraId="3D88D280"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5003CE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AC4292A"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26BFDF5" w14:textId="77777777" w:rsidR="00FA0CFF" w:rsidRPr="004E6A4A" w:rsidRDefault="00144445">
            <w:pPr>
              <w:jc w:val="center"/>
            </w:pPr>
            <w:r w:rsidRPr="004E6A4A">
              <w:rPr>
                <w:rFonts w:ascii="Times New Roman" w:eastAsia="Times New Roman" w:hAnsi="Times New Roman" w:cs="Times New Roman"/>
                <w:b/>
                <w:sz w:val="20"/>
              </w:rPr>
              <w:t>Definitions</w:t>
            </w:r>
          </w:p>
          <w:p w14:paraId="33FA87B5" w14:textId="77777777" w:rsidR="00FA0CFF" w:rsidRPr="004E6A4A" w:rsidRDefault="00144445">
            <w:pPr>
              <w:jc w:val="both"/>
            </w:pPr>
            <w:r w:rsidRPr="004E6A4A">
              <w:rPr>
                <w:rFonts w:ascii="Times New Roman" w:eastAsia="Times New Roman" w:hAnsi="Times New Roman" w:cs="Times New Roman"/>
                <w:sz w:val="20"/>
              </w:rPr>
              <w:t>4. “Reporting financial institution” means any financial institution in the Republic of Albania which is not a non-reporting financial institution.</w:t>
            </w:r>
          </w:p>
          <w:p w14:paraId="2D34ED37" w14:textId="77777777" w:rsidR="00FA0CFF" w:rsidRPr="004E6A4A" w:rsidRDefault="00144445">
            <w:pPr>
              <w:jc w:val="both"/>
            </w:pPr>
            <w:r w:rsidRPr="004E6A4A">
              <w:rPr>
                <w:rFonts w:ascii="Times New Roman" w:eastAsia="Times New Roman" w:hAnsi="Times New Roman" w:cs="Times New Roman"/>
                <w:sz w:val="20"/>
              </w:rPr>
              <w:t>3. “Financial institution in the Republic of Albania” means:</w:t>
            </w:r>
          </w:p>
          <w:p w14:paraId="627D353D" w14:textId="77777777" w:rsidR="00FA0CFF" w:rsidRPr="004E6A4A" w:rsidRDefault="00144445">
            <w:pPr>
              <w:jc w:val="both"/>
            </w:pPr>
            <w:r w:rsidRPr="004E6A4A">
              <w:rPr>
                <w:rFonts w:ascii="Times New Roman" w:eastAsia="Times New Roman" w:hAnsi="Times New Roman" w:cs="Times New Roman"/>
                <w:sz w:val="20"/>
              </w:rPr>
              <w:t>a) any financial institution resident in the Republic of Albania, with the exception of any branch of that financial institution which is located outside the territory of the Republic of Albania; and</w:t>
            </w:r>
          </w:p>
          <w:p w14:paraId="78705254" w14:textId="77777777" w:rsidR="00FA0CFF" w:rsidRPr="004E6A4A" w:rsidRDefault="00144445">
            <w:pPr>
              <w:jc w:val="both"/>
            </w:pPr>
            <w:r w:rsidRPr="004E6A4A">
              <w:rPr>
                <w:rFonts w:ascii="Times New Roman" w:eastAsia="Times New Roman" w:hAnsi="Times New Roman" w:cs="Times New Roman"/>
                <w:sz w:val="20"/>
              </w:rPr>
              <w:t>b) any branch of a financial institution not resident in the Republic of Albania, if that branch is located in the Republic of Albania.</w:t>
            </w:r>
          </w:p>
          <w:p w14:paraId="0813534F" w14:textId="77777777" w:rsidR="00FA0CFF" w:rsidRPr="004E6A4A" w:rsidRDefault="00144445">
            <w:pPr>
              <w:jc w:val="both"/>
            </w:pPr>
            <w:r w:rsidRPr="004E6A4A">
              <w:rPr>
                <w:rFonts w:ascii="Times New Roman" w:eastAsia="Times New Roman" w:hAnsi="Times New Roman" w:cs="Times New Roman"/>
                <w:sz w:val="20"/>
              </w:rPr>
              <w:lastRenderedPageBreak/>
              <w:t>The term “financial institution” includes a custodial institution, a depository institution, an investment entity and a specified insurance company, as determined in this Law.</w:t>
            </w:r>
          </w:p>
          <w:p w14:paraId="686FBBAA" w14:textId="77777777" w:rsidR="00FA0CFF" w:rsidRPr="004E6A4A" w:rsidRDefault="00FA0CFF"/>
          <w:p w14:paraId="04629E92" w14:textId="35C6023F" w:rsidR="00FA0CFF" w:rsidRPr="004E6A4A" w:rsidRDefault="00FA0CFF">
            <w:pPr>
              <w:jc w:val="both"/>
            </w:pPr>
          </w:p>
        </w:tc>
        <w:tc>
          <w:tcPr>
            <w:tcW w:w="1156" w:type="dxa"/>
          </w:tcPr>
          <w:p w14:paraId="04307D02" w14:textId="77777777" w:rsidR="00F24961" w:rsidRPr="004E6A4A" w:rsidRDefault="00F24961" w:rsidP="00C4419F">
            <w:pPr>
              <w:jc w:val="center"/>
              <w:rPr>
                <w:rFonts w:ascii="Times New Roman" w:eastAsia="Calibri" w:hAnsi="Times New Roman" w:cs="Times New Roman"/>
                <w:sz w:val="18"/>
                <w:szCs w:val="18"/>
              </w:rPr>
            </w:pPr>
          </w:p>
          <w:p w14:paraId="2F1E2174" w14:textId="7DD8E0AE" w:rsidR="000A21ED" w:rsidRPr="004E6A4A" w:rsidRDefault="00F2496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669FB4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AD92A5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 and Article 5, point 3 of the Draft Law.</w:t>
            </w:r>
          </w:p>
        </w:tc>
      </w:tr>
      <w:tr w:rsidR="004E6A4A" w:rsidRPr="004E6A4A" w14:paraId="7A240BF0" w14:textId="77777777" w:rsidTr="00E11E6D">
        <w:trPr>
          <w:trHeight w:val="764"/>
        </w:trPr>
        <w:tc>
          <w:tcPr>
            <w:tcW w:w="720" w:type="dxa"/>
          </w:tcPr>
          <w:p w14:paraId="2703544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839D56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The term “Participating Jurisdiction Financial Institution” means (i) any Financial Institution that is resident in a Participating Jurisdiction, but excludes any branch of that Financial Institution that is located outside such Participating Jurisdiction; and (ii) any branch of a Financial Institution that is not resident in a Participating Jurisdiction, if that branch is located in such Participating Jurisdiction.</w:t>
            </w:r>
          </w:p>
        </w:tc>
        <w:tc>
          <w:tcPr>
            <w:tcW w:w="1080" w:type="dxa"/>
          </w:tcPr>
          <w:p w14:paraId="5B5C978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A2E3AF7"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DBD623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56D5A28" w14:textId="77777777" w:rsidR="00FA0CFF" w:rsidRPr="004E6A4A" w:rsidRDefault="00144445">
            <w:pPr>
              <w:jc w:val="center"/>
            </w:pPr>
            <w:r w:rsidRPr="004E6A4A">
              <w:rPr>
                <w:rFonts w:ascii="Times New Roman" w:eastAsia="Times New Roman" w:hAnsi="Times New Roman" w:cs="Times New Roman"/>
                <w:b/>
                <w:sz w:val="20"/>
              </w:rPr>
              <w:t>Definitions</w:t>
            </w:r>
          </w:p>
          <w:p w14:paraId="4F286E46" w14:textId="77777777" w:rsidR="00FA0CFF" w:rsidRPr="004E6A4A" w:rsidRDefault="00144445">
            <w:pPr>
              <w:jc w:val="both"/>
            </w:pPr>
            <w:r w:rsidRPr="004E6A4A">
              <w:rPr>
                <w:rFonts w:ascii="Times New Roman" w:eastAsia="Times New Roman" w:hAnsi="Times New Roman" w:cs="Times New Roman"/>
                <w:sz w:val="20"/>
              </w:rPr>
              <w:t>32. “Financial institution of a participating jurisdiction” means:</w:t>
            </w:r>
          </w:p>
          <w:p w14:paraId="5D1B40AE" w14:textId="77777777" w:rsidR="00FA0CFF" w:rsidRPr="004E6A4A" w:rsidRDefault="00144445">
            <w:pPr>
              <w:jc w:val="both"/>
            </w:pPr>
            <w:r w:rsidRPr="004E6A4A">
              <w:rPr>
                <w:rFonts w:ascii="Times New Roman" w:eastAsia="Times New Roman" w:hAnsi="Times New Roman" w:cs="Times New Roman"/>
                <w:sz w:val="20"/>
              </w:rPr>
              <w:t>a) any financial institution which is resident in the participating jurisdiction, with the exception of any branch of that financial institution which is located outside that jurisdiction; and</w:t>
            </w:r>
          </w:p>
          <w:p w14:paraId="798D3776" w14:textId="77777777" w:rsidR="00FA0CFF" w:rsidRPr="004E6A4A" w:rsidRDefault="00144445">
            <w:pPr>
              <w:jc w:val="both"/>
            </w:pPr>
            <w:r w:rsidRPr="004E6A4A">
              <w:rPr>
                <w:rFonts w:ascii="Times New Roman" w:eastAsia="Times New Roman" w:hAnsi="Times New Roman" w:cs="Times New Roman"/>
                <w:sz w:val="20"/>
              </w:rPr>
              <w:t>b) any branch of a financial institution which is not resident in the participating jurisdiction, if that branch is located in the participating jurisdiction.</w:t>
            </w:r>
          </w:p>
        </w:tc>
        <w:tc>
          <w:tcPr>
            <w:tcW w:w="1156" w:type="dxa"/>
          </w:tcPr>
          <w:p w14:paraId="55B8EB92" w14:textId="77777777" w:rsidR="00F24961" w:rsidRPr="004E6A4A" w:rsidRDefault="00F24961" w:rsidP="00C4419F">
            <w:pPr>
              <w:jc w:val="center"/>
              <w:rPr>
                <w:rFonts w:ascii="Times New Roman" w:eastAsia="Calibri" w:hAnsi="Times New Roman" w:cs="Times New Roman"/>
                <w:sz w:val="18"/>
                <w:szCs w:val="18"/>
              </w:rPr>
            </w:pPr>
          </w:p>
          <w:p w14:paraId="413835C4" w14:textId="4A69BE5E" w:rsidR="000A21ED" w:rsidRPr="004E6A4A" w:rsidRDefault="00F2496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995AB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DDE03F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32 of the Draft Law.</w:t>
            </w:r>
          </w:p>
        </w:tc>
      </w:tr>
      <w:tr w:rsidR="004E6A4A" w:rsidRPr="004E6A4A" w14:paraId="336B78CD" w14:textId="77777777" w:rsidTr="00E11E6D">
        <w:trPr>
          <w:trHeight w:val="764"/>
        </w:trPr>
        <w:tc>
          <w:tcPr>
            <w:tcW w:w="720" w:type="dxa"/>
          </w:tcPr>
          <w:p w14:paraId="53EAE17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094AB0E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The term “Financial Institution” means a Custodial Institution, a Depository Institution, an Investment Entity, or a Specified Insurance Company.</w:t>
            </w:r>
          </w:p>
        </w:tc>
        <w:tc>
          <w:tcPr>
            <w:tcW w:w="1080" w:type="dxa"/>
          </w:tcPr>
          <w:p w14:paraId="4B166DE5"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3682C32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171AB7F"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0CCDA3D" w14:textId="77777777" w:rsidR="00FA0CFF" w:rsidRPr="004E6A4A" w:rsidRDefault="00144445">
            <w:pPr>
              <w:jc w:val="center"/>
            </w:pPr>
            <w:r w:rsidRPr="004E6A4A">
              <w:rPr>
                <w:rFonts w:ascii="Times New Roman" w:eastAsia="Times New Roman" w:hAnsi="Times New Roman" w:cs="Times New Roman"/>
                <w:b/>
                <w:sz w:val="20"/>
              </w:rPr>
              <w:t>Definitions</w:t>
            </w:r>
          </w:p>
          <w:p w14:paraId="5DDD2B5A" w14:textId="77777777" w:rsidR="00FA0CFF" w:rsidRPr="004E6A4A" w:rsidRDefault="00144445">
            <w:pPr>
              <w:jc w:val="both"/>
            </w:pPr>
            <w:r w:rsidRPr="004E6A4A">
              <w:rPr>
                <w:rFonts w:ascii="Times New Roman" w:eastAsia="Times New Roman" w:hAnsi="Times New Roman" w:cs="Times New Roman"/>
                <w:sz w:val="20"/>
              </w:rPr>
              <w:t>31. “Financial institution” means a custodial institution, a depository institution, an investment entity or a specified insurance company.</w:t>
            </w:r>
          </w:p>
        </w:tc>
        <w:tc>
          <w:tcPr>
            <w:tcW w:w="1156" w:type="dxa"/>
          </w:tcPr>
          <w:p w14:paraId="6BE56877" w14:textId="77777777" w:rsidR="000A21ED" w:rsidRPr="004E6A4A" w:rsidRDefault="000A21ED" w:rsidP="00C4419F">
            <w:pPr>
              <w:jc w:val="center"/>
              <w:rPr>
                <w:rFonts w:ascii="Times New Roman" w:eastAsia="Calibri" w:hAnsi="Times New Roman" w:cs="Times New Roman"/>
                <w:sz w:val="18"/>
                <w:szCs w:val="18"/>
              </w:rPr>
            </w:pPr>
          </w:p>
        </w:tc>
        <w:tc>
          <w:tcPr>
            <w:tcW w:w="2970" w:type="dxa"/>
          </w:tcPr>
          <w:p w14:paraId="08D509B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FE197A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31 of the Draft Law.</w:t>
            </w:r>
          </w:p>
        </w:tc>
      </w:tr>
      <w:tr w:rsidR="004E6A4A" w:rsidRPr="004E6A4A" w14:paraId="5974719B" w14:textId="77777777" w:rsidTr="00E11E6D">
        <w:trPr>
          <w:trHeight w:val="764"/>
        </w:trPr>
        <w:tc>
          <w:tcPr>
            <w:tcW w:w="720" w:type="dxa"/>
          </w:tcPr>
          <w:p w14:paraId="3D062D89"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C83BF0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The term “Custodial Institution” means any Entity that holds, as a substantial portion of its business, Financial Assets for the account of others. An Entity holds Financial Assets for the account of others as a substantial portion of its business if the Entity's gross income attributable to the holding of Financial Assets and related financial services equals or exceeds 20 % of the Entity's gross income during the shorter of: (i) the three-year period that ends on 31 December (or the final day of a non-calendar year accounting period) prior to the year in which the determination is being made; or (ii) the period during which the Entity has been in existence.</w:t>
            </w:r>
          </w:p>
        </w:tc>
        <w:tc>
          <w:tcPr>
            <w:tcW w:w="1080" w:type="dxa"/>
          </w:tcPr>
          <w:p w14:paraId="746C9EFB"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61C07E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54455F9"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9A2F08C" w14:textId="77777777" w:rsidR="00FA0CFF" w:rsidRPr="004E6A4A" w:rsidRDefault="00144445">
            <w:pPr>
              <w:jc w:val="center"/>
            </w:pPr>
            <w:r w:rsidRPr="004E6A4A">
              <w:rPr>
                <w:rFonts w:ascii="Times New Roman" w:eastAsia="Times New Roman" w:hAnsi="Times New Roman" w:cs="Times New Roman"/>
                <w:b/>
                <w:sz w:val="20"/>
              </w:rPr>
              <w:t>Definitions</w:t>
            </w:r>
          </w:p>
          <w:p w14:paraId="0AF30274" w14:textId="77777777" w:rsidR="00FA0CFF" w:rsidRPr="004E6A4A" w:rsidRDefault="00144445">
            <w:pPr>
              <w:jc w:val="both"/>
            </w:pPr>
            <w:r w:rsidRPr="004E6A4A">
              <w:rPr>
                <w:rFonts w:ascii="Times New Roman" w:eastAsia="Times New Roman" w:hAnsi="Times New Roman" w:cs="Times New Roman"/>
                <w:sz w:val="20"/>
              </w:rPr>
              <w:t>34. “Custodial institution” means an entity which holds, as a substantial portion of its business, financial assets for the account of others.</w:t>
            </w:r>
          </w:p>
          <w:p w14:paraId="27B1DC95" w14:textId="77777777" w:rsidR="00FA0CFF" w:rsidRPr="004E6A4A" w:rsidRDefault="00144445">
            <w:pPr>
              <w:jc w:val="both"/>
            </w:pPr>
            <w:r w:rsidRPr="004E6A4A">
              <w:rPr>
                <w:rFonts w:ascii="Times New Roman" w:eastAsia="Times New Roman" w:hAnsi="Times New Roman" w:cs="Times New Roman"/>
                <w:sz w:val="20"/>
              </w:rPr>
              <w:t>An entity shall be considered to hold financial assets for the account of others as a substantial portion of its business if the gross income of the entity attributable to the holding of financial assets and related financial services is equal to or exceeds 20 per cent of the gross income of the entity during the shorter of:</w:t>
            </w:r>
          </w:p>
          <w:p w14:paraId="6D67FBB2" w14:textId="77777777" w:rsidR="00FA0CFF" w:rsidRPr="004E6A4A" w:rsidRDefault="00144445">
            <w:pPr>
              <w:jc w:val="both"/>
            </w:pPr>
            <w:r w:rsidRPr="004E6A4A">
              <w:rPr>
                <w:rFonts w:ascii="Times New Roman" w:eastAsia="Times New Roman" w:hAnsi="Times New Roman" w:cs="Times New Roman"/>
                <w:sz w:val="20"/>
              </w:rPr>
              <w:t>a) the three-year period ending on 31 December of the year preceding the year in which the determination is made; and</w:t>
            </w:r>
          </w:p>
          <w:p w14:paraId="492FC503" w14:textId="77777777" w:rsidR="00FA0CFF" w:rsidRPr="004E6A4A" w:rsidRDefault="00144445">
            <w:pPr>
              <w:jc w:val="both"/>
            </w:pPr>
            <w:r w:rsidRPr="004E6A4A">
              <w:rPr>
                <w:rFonts w:ascii="Times New Roman" w:eastAsia="Times New Roman" w:hAnsi="Times New Roman" w:cs="Times New Roman"/>
                <w:sz w:val="20"/>
              </w:rPr>
              <w:lastRenderedPageBreak/>
              <w:t>b) the period during which the entity has existed.</w:t>
            </w:r>
          </w:p>
          <w:p w14:paraId="48A5ECEA" w14:textId="77777777" w:rsidR="00FA0CFF" w:rsidRPr="004E6A4A" w:rsidRDefault="00144445">
            <w:pPr>
              <w:jc w:val="both"/>
            </w:pPr>
            <w:r w:rsidRPr="004E6A4A">
              <w:rPr>
                <w:rFonts w:ascii="Times New Roman" w:eastAsia="Times New Roman" w:hAnsi="Times New Roman" w:cs="Times New Roman"/>
                <w:sz w:val="20"/>
              </w:rPr>
              <w:t>For the determination of whether an entity holds financial assets for the account of others as a substantial portion of its business, all the income for the relevant activities of the entity shall be taken into account, irrespective of whether that income is paid directly to the entity or to another entity.</w:t>
            </w:r>
          </w:p>
        </w:tc>
        <w:tc>
          <w:tcPr>
            <w:tcW w:w="1156" w:type="dxa"/>
          </w:tcPr>
          <w:p w14:paraId="12767376" w14:textId="77777777" w:rsidR="00463768" w:rsidRPr="004E6A4A" w:rsidRDefault="00463768" w:rsidP="00C4419F">
            <w:pPr>
              <w:jc w:val="center"/>
              <w:rPr>
                <w:rFonts w:ascii="Times New Roman" w:eastAsia="Calibri" w:hAnsi="Times New Roman" w:cs="Times New Roman"/>
                <w:sz w:val="18"/>
                <w:szCs w:val="18"/>
              </w:rPr>
            </w:pPr>
          </w:p>
          <w:p w14:paraId="1EB3FDEB" w14:textId="5AEEB3D9"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07EAB4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67D3CE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34 of the Draft Law.</w:t>
            </w:r>
          </w:p>
        </w:tc>
      </w:tr>
      <w:tr w:rsidR="004E6A4A" w:rsidRPr="004E6A4A" w14:paraId="151E7338" w14:textId="77777777" w:rsidTr="00E11E6D">
        <w:trPr>
          <w:trHeight w:val="764"/>
        </w:trPr>
        <w:tc>
          <w:tcPr>
            <w:tcW w:w="720" w:type="dxa"/>
          </w:tcPr>
          <w:p w14:paraId="63372557"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D9529C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The term “Depository Institution” means any Entity that:</w:t>
            </w:r>
          </w:p>
          <w:p w14:paraId="5E7181C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accepts deposits in the ordinary course of a banking or similar business or</w:t>
            </w:r>
          </w:p>
          <w:p w14:paraId="438D77B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holds E-money or Central Bank Digital Currencies for the benefit of customers.</w:t>
            </w:r>
          </w:p>
        </w:tc>
        <w:tc>
          <w:tcPr>
            <w:tcW w:w="1080" w:type="dxa"/>
          </w:tcPr>
          <w:p w14:paraId="0857CB97"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B2A1CB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536134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68D5671" w14:textId="77777777" w:rsidR="00FA0CFF" w:rsidRPr="004E6A4A" w:rsidRDefault="00144445">
            <w:pPr>
              <w:jc w:val="center"/>
            </w:pPr>
            <w:r w:rsidRPr="004E6A4A">
              <w:rPr>
                <w:rFonts w:ascii="Times New Roman" w:eastAsia="Times New Roman" w:hAnsi="Times New Roman" w:cs="Times New Roman"/>
                <w:b/>
                <w:sz w:val="20"/>
              </w:rPr>
              <w:t>Definitions</w:t>
            </w:r>
          </w:p>
          <w:p w14:paraId="1739FEE0" w14:textId="77777777" w:rsidR="00FA0CFF" w:rsidRPr="004E6A4A" w:rsidRDefault="00144445">
            <w:pPr>
              <w:jc w:val="both"/>
            </w:pPr>
            <w:r w:rsidRPr="004E6A4A">
              <w:rPr>
                <w:rFonts w:ascii="Times New Roman" w:eastAsia="Times New Roman" w:hAnsi="Times New Roman" w:cs="Times New Roman"/>
                <w:sz w:val="20"/>
              </w:rPr>
              <w:t>30. “Depository institution” means any entity which:</w:t>
            </w:r>
          </w:p>
          <w:p w14:paraId="26F39857" w14:textId="77777777" w:rsidR="00FA0CFF" w:rsidRPr="004E6A4A" w:rsidRDefault="00144445">
            <w:pPr>
              <w:jc w:val="both"/>
            </w:pPr>
            <w:r w:rsidRPr="004E6A4A">
              <w:rPr>
                <w:rFonts w:ascii="Times New Roman" w:eastAsia="Times New Roman" w:hAnsi="Times New Roman" w:cs="Times New Roman"/>
                <w:sz w:val="20"/>
              </w:rPr>
              <w:t>a) accepts deposits in the ordinary course of a banking or similar business; or</w:t>
            </w:r>
          </w:p>
          <w:p w14:paraId="6A280796" w14:textId="77777777" w:rsidR="00FA0CFF" w:rsidRPr="004E6A4A" w:rsidRDefault="00144445">
            <w:pPr>
              <w:jc w:val="both"/>
            </w:pPr>
            <w:r w:rsidRPr="004E6A4A">
              <w:rPr>
                <w:rFonts w:ascii="Times New Roman" w:eastAsia="Times New Roman" w:hAnsi="Times New Roman" w:cs="Times New Roman"/>
                <w:sz w:val="20"/>
              </w:rPr>
              <w:t>b) for the purposes of the European Union profile, holds Electronic Money or Central Bank Digital Currencies for the benefit of customers; or, for the purposes of the Common Reporting Standard profile, holds Specified Electronic Money Products or Central Bank Digital Currencies for the benefit of customers.</w:t>
            </w:r>
          </w:p>
        </w:tc>
        <w:tc>
          <w:tcPr>
            <w:tcW w:w="1156" w:type="dxa"/>
          </w:tcPr>
          <w:p w14:paraId="686268DB" w14:textId="77777777" w:rsidR="00463768" w:rsidRPr="004E6A4A" w:rsidRDefault="00463768" w:rsidP="00C4419F">
            <w:pPr>
              <w:jc w:val="center"/>
              <w:rPr>
                <w:rFonts w:ascii="Times New Roman" w:eastAsia="Calibri" w:hAnsi="Times New Roman" w:cs="Times New Roman"/>
                <w:sz w:val="18"/>
                <w:szCs w:val="18"/>
              </w:rPr>
            </w:pPr>
          </w:p>
          <w:p w14:paraId="37F02FF2" w14:textId="189D5F6C"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CB7F85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8BFA65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30 of the Draft Law.</w:t>
            </w:r>
          </w:p>
        </w:tc>
      </w:tr>
      <w:tr w:rsidR="004E6A4A" w:rsidRPr="004E6A4A" w14:paraId="2A8111C8" w14:textId="77777777" w:rsidTr="00E11E6D">
        <w:trPr>
          <w:trHeight w:val="764"/>
        </w:trPr>
        <w:tc>
          <w:tcPr>
            <w:tcW w:w="720" w:type="dxa"/>
          </w:tcPr>
          <w:p w14:paraId="4C36F200"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B5DCF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The term “Investment Entity” means any Entity:</w:t>
            </w:r>
          </w:p>
          <w:p w14:paraId="68DEA3F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which primarily conducts as a business one or more of the following activities or operations for or on behalf of a customer:</w:t>
            </w:r>
          </w:p>
          <w:p w14:paraId="4045D35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trading in money market instruments (cheques, bills, certificates of deposit, derivatives, etc.); foreign exchange; exchange, interest rate and index instruments; transferable securities; or commodity futures trading;</w:t>
            </w:r>
          </w:p>
          <w:p w14:paraId="51C96D72" w14:textId="77777777" w:rsidR="00F43B76" w:rsidRPr="004E6A4A" w:rsidRDefault="00F43B76">
            <w:pPr>
              <w:jc w:val="both"/>
              <w:rPr>
                <w:rFonts w:ascii="Times New Roman" w:eastAsia="Times New Roman" w:hAnsi="Times New Roman" w:cs="Times New Roman"/>
                <w:sz w:val="20"/>
                <w:szCs w:val="20"/>
              </w:rPr>
            </w:pPr>
          </w:p>
          <w:p w14:paraId="37789B2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individual and collective portfolio management; or</w:t>
            </w:r>
          </w:p>
          <w:p w14:paraId="28E456B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otherwise investing, administering, or managing Financial Assets, money or Reportable Crypto-Assets on behalf of other persons; or</w:t>
            </w:r>
          </w:p>
          <w:p w14:paraId="5ADEC15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the gross income of which is primarily attributable to investing, reinvesting, or trading in Financial Assets or Reportable Crypto-Assets, if the Entity is managed by another Entity that is a Depository Institution, a Custodial Institution, a Specified Insurance </w:t>
            </w:r>
            <w:r w:rsidRPr="004E6A4A">
              <w:rPr>
                <w:rFonts w:ascii="Times New Roman" w:eastAsia="Times New Roman" w:hAnsi="Times New Roman" w:cs="Times New Roman"/>
                <w:sz w:val="20"/>
                <w:szCs w:val="20"/>
              </w:rPr>
              <w:lastRenderedPageBreak/>
              <w:t>Company, or an Investment Entity described in subparagraph A(6), point (a).</w:t>
            </w:r>
          </w:p>
          <w:p w14:paraId="2EAC9FF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 Entity is treated as primarily conducting as a business one or more of the activities described in subparagraph A(6), point (a), or an Entity's gross income is primarily attributable to investing, reinvesting, or trading in Financial Assets or Reportable Crypto-Assets for the purposes of subparagraph A(6), point (b), if the Entity's gross income attributable to the relevant activities equals or exceeds 50 % of the Entity's gross income during the shorter of: (i) the three-year period ending on 31 December of the year preceding the year in which the determination is made; or (ii) the period during which the Entity has been in existence. For the purposes of subparagraph A(6), point (a)(iii), the term “otherwise investing, administering, or managing Financial Assets, money, or Reportable Crypto-Assets on behalf of other persons” does not include the provision of services effectuating Exchange Transactions for or on behalf of customers. The term “Investment Entity” does not include an Entity that is an Active NFE because that Entity meets any of the criteria in subparagraph D(8), points (d) to (g).</w:t>
            </w:r>
          </w:p>
          <w:p w14:paraId="2F81B3C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This subparagraph shall be interpreted in a manner consistent with the similar language set out in the definition of “financial institution” in Directive (EU) 2015/849.</w:t>
            </w:r>
          </w:p>
        </w:tc>
        <w:tc>
          <w:tcPr>
            <w:tcW w:w="1080" w:type="dxa"/>
          </w:tcPr>
          <w:p w14:paraId="4E826DC4"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CB9D9A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DD9B19B"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37F4D84" w14:textId="77777777" w:rsidR="00FA0CFF" w:rsidRPr="004E6A4A" w:rsidRDefault="00144445">
            <w:pPr>
              <w:jc w:val="center"/>
            </w:pPr>
            <w:r w:rsidRPr="004E6A4A">
              <w:rPr>
                <w:rFonts w:ascii="Times New Roman" w:eastAsia="Times New Roman" w:hAnsi="Times New Roman" w:cs="Times New Roman"/>
                <w:b/>
                <w:sz w:val="20"/>
              </w:rPr>
              <w:t>Definitions</w:t>
            </w:r>
          </w:p>
          <w:p w14:paraId="05CDA25D" w14:textId="77777777" w:rsidR="00FA0CFF" w:rsidRPr="004E6A4A" w:rsidRDefault="00144445">
            <w:pPr>
              <w:jc w:val="both"/>
            </w:pPr>
            <w:r w:rsidRPr="004E6A4A">
              <w:rPr>
                <w:rFonts w:ascii="Times New Roman" w:eastAsia="Times New Roman" w:hAnsi="Times New Roman" w:cs="Times New Roman"/>
                <w:sz w:val="20"/>
              </w:rPr>
              <w:t>26. “Investment entity” means any entity:</w:t>
            </w:r>
          </w:p>
          <w:p w14:paraId="3CDA825B" w14:textId="77777777" w:rsidR="00FA0CFF" w:rsidRPr="004E6A4A" w:rsidRDefault="00144445">
            <w:pPr>
              <w:jc w:val="both"/>
            </w:pPr>
            <w:r w:rsidRPr="004E6A4A">
              <w:rPr>
                <w:rFonts w:ascii="Times New Roman" w:eastAsia="Times New Roman" w:hAnsi="Times New Roman" w:cs="Times New Roman"/>
                <w:sz w:val="20"/>
              </w:rPr>
              <w:t>a) which primarily carries on, as a business, one or more of the following activities or operations for or on behalf of a customer:</w:t>
            </w:r>
          </w:p>
          <w:p w14:paraId="25C7BC38" w14:textId="77777777" w:rsidR="00FA0CFF" w:rsidRPr="004E6A4A" w:rsidRDefault="00144445">
            <w:pPr>
              <w:jc w:val="both"/>
            </w:pPr>
            <w:r w:rsidRPr="004E6A4A">
              <w:rPr>
                <w:rFonts w:ascii="Times New Roman" w:eastAsia="Times New Roman" w:hAnsi="Times New Roman" w:cs="Times New Roman"/>
                <w:sz w:val="20"/>
              </w:rPr>
              <w:t>i) trading in money market instruments, including cheques, bills, certificates of deposit and derivatives; trading in foreign exchange; exchange, interest rate and index instruments; transferable securities; or commodity futures contracts;</w:t>
            </w:r>
          </w:p>
          <w:p w14:paraId="7A8C7E0B" w14:textId="77777777" w:rsidR="00FA0CFF" w:rsidRPr="004E6A4A" w:rsidRDefault="00144445">
            <w:pPr>
              <w:jc w:val="both"/>
            </w:pPr>
            <w:r w:rsidRPr="004E6A4A">
              <w:rPr>
                <w:rFonts w:ascii="Times New Roman" w:eastAsia="Times New Roman" w:hAnsi="Times New Roman" w:cs="Times New Roman"/>
                <w:sz w:val="20"/>
              </w:rPr>
              <w:t>ii) individual and collective portfolio management; or</w:t>
            </w:r>
          </w:p>
          <w:p w14:paraId="7ACC53B2" w14:textId="77777777" w:rsidR="00FA0CFF" w:rsidRPr="004E6A4A" w:rsidRDefault="00144445">
            <w:pPr>
              <w:jc w:val="both"/>
            </w:pPr>
            <w:r w:rsidRPr="004E6A4A">
              <w:rPr>
                <w:rFonts w:ascii="Times New Roman" w:eastAsia="Times New Roman" w:hAnsi="Times New Roman" w:cs="Times New Roman"/>
                <w:sz w:val="20"/>
              </w:rPr>
              <w:t>iii) investing, administering or managing financial assets, money or Reportable Crypto-Assets for the European Union profile or Relevant Crypto-Assets for the Common Reporting Standard profile on behalf of other persons;</w:t>
            </w:r>
          </w:p>
          <w:p w14:paraId="0BB3BC7E" w14:textId="77777777" w:rsidR="00FA0CFF" w:rsidRPr="004E6A4A" w:rsidRDefault="00144445">
            <w:pPr>
              <w:jc w:val="both"/>
            </w:pPr>
            <w:r w:rsidRPr="004E6A4A">
              <w:rPr>
                <w:rFonts w:ascii="Times New Roman" w:eastAsia="Times New Roman" w:hAnsi="Times New Roman" w:cs="Times New Roman"/>
                <w:sz w:val="20"/>
              </w:rPr>
              <w:t>or</w:t>
            </w:r>
          </w:p>
          <w:p w14:paraId="0952E5C0" w14:textId="77777777" w:rsidR="00FA0CFF" w:rsidRPr="004E6A4A" w:rsidRDefault="00144445">
            <w:pPr>
              <w:jc w:val="both"/>
            </w:pPr>
            <w:r w:rsidRPr="004E6A4A">
              <w:rPr>
                <w:rFonts w:ascii="Times New Roman" w:eastAsia="Times New Roman" w:hAnsi="Times New Roman" w:cs="Times New Roman"/>
                <w:sz w:val="20"/>
              </w:rPr>
              <w:lastRenderedPageBreak/>
              <w:t>b) the gross income of which is primarily attributable to investing, reinvesting or trading in financial assets or Reportable Crypto-Assets for the European Union profile or Relevant Crypto-Assets for the Common Reporting Standard profile, if the entity is managed by another entity which is a depository institution, a custodial institution, a specified insurance company or an investment entity described in letter “a”.</w:t>
            </w:r>
          </w:p>
          <w:p w14:paraId="4C449E29" w14:textId="77777777" w:rsidR="00FA0CFF" w:rsidRPr="004E6A4A" w:rsidRDefault="00144445">
            <w:pPr>
              <w:jc w:val="both"/>
            </w:pPr>
            <w:r w:rsidRPr="004E6A4A">
              <w:rPr>
                <w:rFonts w:ascii="Times New Roman" w:eastAsia="Times New Roman" w:hAnsi="Times New Roman" w:cs="Times New Roman"/>
                <w:sz w:val="20"/>
              </w:rPr>
              <w:t>An entity is “managed” by another entity if the managing entity carries out, directly or through another service provider, one or more of the activities or operations described in letter “a” on behalf of the managed entity. However, an entity shall not be considered to manage another entity if it does not have the authority to manage the assets of the entity, in whole or in part.</w:t>
            </w:r>
          </w:p>
          <w:p w14:paraId="7F74798F" w14:textId="77777777" w:rsidR="00FA0CFF" w:rsidRPr="004E6A4A" w:rsidRDefault="00144445">
            <w:pPr>
              <w:jc w:val="both"/>
            </w:pPr>
            <w:r w:rsidRPr="004E6A4A">
              <w:rPr>
                <w:rFonts w:ascii="Times New Roman" w:eastAsia="Times New Roman" w:hAnsi="Times New Roman" w:cs="Times New Roman"/>
                <w:sz w:val="20"/>
              </w:rPr>
              <w:t>Where an entity is managed by a combination of financial institutions, non-financial entities or individuals, the entity shall be considered to be managed by another entity which is a depository institution, a custodial institution, a specified insurance company or an investment entity described in letter “a”, if any of the managing entities is such an entity.</w:t>
            </w:r>
          </w:p>
          <w:p w14:paraId="32686E04" w14:textId="77777777" w:rsidR="00FA0CFF" w:rsidRPr="004E6A4A" w:rsidRDefault="00144445">
            <w:pPr>
              <w:jc w:val="both"/>
            </w:pPr>
            <w:r w:rsidRPr="004E6A4A">
              <w:rPr>
                <w:rFonts w:ascii="Times New Roman" w:eastAsia="Times New Roman" w:hAnsi="Times New Roman" w:cs="Times New Roman"/>
                <w:sz w:val="20"/>
              </w:rPr>
              <w:t>An entity shall be considered to carry on primarily as a business one or more of the activities described in letter “a”, or its gross income shall be considered to be primarily attributable to investing, reinvesting or trading in financial assets or Reportable Crypto-Assets for the European Union profile or Relevant Crypto-Assets for the Common Reporting Standard profile, for the purposes of letter “b”, if the gross income of the entity attributable to the relevant activities is equal to or exceeds 50 per cent of the gross income of the entity during the shorter of:</w:t>
            </w:r>
          </w:p>
          <w:p w14:paraId="6B516E16" w14:textId="77777777" w:rsidR="00FA0CFF" w:rsidRPr="004E6A4A" w:rsidRDefault="00144445">
            <w:pPr>
              <w:jc w:val="both"/>
            </w:pPr>
            <w:r w:rsidRPr="004E6A4A">
              <w:rPr>
                <w:rFonts w:ascii="Times New Roman" w:eastAsia="Times New Roman" w:hAnsi="Times New Roman" w:cs="Times New Roman"/>
                <w:sz w:val="20"/>
              </w:rPr>
              <w:lastRenderedPageBreak/>
              <w:t>i) the three-year period ending on 31 December of the year preceding the year in which the determination is made; and</w:t>
            </w:r>
          </w:p>
          <w:p w14:paraId="2DF92BA4" w14:textId="77777777" w:rsidR="00FA0CFF" w:rsidRPr="004E6A4A" w:rsidRDefault="00144445">
            <w:pPr>
              <w:jc w:val="both"/>
            </w:pPr>
            <w:r w:rsidRPr="004E6A4A">
              <w:rPr>
                <w:rFonts w:ascii="Times New Roman" w:eastAsia="Times New Roman" w:hAnsi="Times New Roman" w:cs="Times New Roman"/>
                <w:sz w:val="20"/>
              </w:rPr>
              <w:t>ii) the period during which the entity has existed.</w:t>
            </w:r>
          </w:p>
          <w:p w14:paraId="4B0C10EA" w14:textId="77777777" w:rsidR="00FA0CFF" w:rsidRPr="004E6A4A" w:rsidRDefault="00144445">
            <w:pPr>
              <w:jc w:val="both"/>
            </w:pPr>
            <w:r w:rsidRPr="004E6A4A">
              <w:rPr>
                <w:rFonts w:ascii="Times New Roman" w:eastAsia="Times New Roman" w:hAnsi="Times New Roman" w:cs="Times New Roman"/>
                <w:sz w:val="20"/>
              </w:rPr>
              <w:t>For that gross income test, all payments for the relevant activities of the entity shall be taken into account, irrespective of whether the payment is made directly to the entity for which the test is carried out or to another entity.</w:t>
            </w:r>
          </w:p>
          <w:p w14:paraId="28F1AEC9" w14:textId="77777777" w:rsidR="00FA0CFF" w:rsidRPr="004E6A4A" w:rsidRDefault="00144445">
            <w:pPr>
              <w:jc w:val="both"/>
            </w:pPr>
            <w:r w:rsidRPr="004E6A4A">
              <w:rPr>
                <w:rFonts w:ascii="Times New Roman" w:eastAsia="Times New Roman" w:hAnsi="Times New Roman" w:cs="Times New Roman"/>
                <w:sz w:val="20"/>
              </w:rPr>
              <w:t>For the purposes of sub-point “iii” of letter “a”, the term “investing, administering or managing financial assets, money or Reportable Crypto-Assets for the European Union profile or Relevant Crypto-Assets for the Common Reporting Standard profile on behalf of other persons” does not include the provision of services effectuating exchange transactions for or on behalf of customers.</w:t>
            </w:r>
          </w:p>
          <w:p w14:paraId="5ACB1D53" w14:textId="77777777" w:rsidR="00FA0CFF" w:rsidRPr="004E6A4A" w:rsidRDefault="00144445">
            <w:pPr>
              <w:jc w:val="both"/>
            </w:pPr>
            <w:r w:rsidRPr="004E6A4A">
              <w:rPr>
                <w:rFonts w:ascii="Times New Roman" w:eastAsia="Times New Roman" w:hAnsi="Times New Roman" w:cs="Times New Roman"/>
                <w:sz w:val="20"/>
              </w:rPr>
              <w:t>“Investment entity” does not include an entity which is an Active NFE because it fulfils one of the criteria determined in point 57, letters “ç”, “d”, “dh” or “e”, of this Article.</w:t>
            </w:r>
          </w:p>
        </w:tc>
        <w:tc>
          <w:tcPr>
            <w:tcW w:w="1156" w:type="dxa"/>
          </w:tcPr>
          <w:p w14:paraId="2CC768ED" w14:textId="77777777" w:rsidR="00463768" w:rsidRPr="004E6A4A" w:rsidRDefault="00463768" w:rsidP="00C4419F">
            <w:pPr>
              <w:jc w:val="center"/>
              <w:rPr>
                <w:rFonts w:ascii="Times New Roman" w:eastAsia="Calibri" w:hAnsi="Times New Roman" w:cs="Times New Roman"/>
                <w:sz w:val="18"/>
                <w:szCs w:val="18"/>
              </w:rPr>
            </w:pPr>
          </w:p>
          <w:p w14:paraId="510FC75C" w14:textId="0C90DEFE" w:rsidR="000A21ED" w:rsidRPr="004E6A4A" w:rsidRDefault="0046376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D30DDD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6BBF93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26 of the Draft Law.</w:t>
            </w:r>
          </w:p>
        </w:tc>
      </w:tr>
      <w:tr w:rsidR="004E6A4A" w:rsidRPr="004E6A4A" w14:paraId="0F4763D3" w14:textId="77777777" w:rsidTr="00E11E6D">
        <w:trPr>
          <w:trHeight w:val="764"/>
        </w:trPr>
        <w:tc>
          <w:tcPr>
            <w:tcW w:w="720" w:type="dxa"/>
          </w:tcPr>
          <w:p w14:paraId="3493F1D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453B67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The term “Financial Asset” includes a security (for example, a share of stock in a corporation; partnership or bene ficial ownership interest in a widely held or publicly traded partnership or trust; note, bond, debenture, or other evidence of indebtedness), partnership interest, commodity, swap (for example, interest rate swaps, currency swaps, basis swaps, interest rate caps, interest rate floors, commodity swaps, equity swaps, equity index swaps, and similar agreements), Insurance Contract or Annuity Contract, or any interest (including a futures or forward contract or option) in a security, Reportable Crypto-Asset, partnership interest, commodity, swap, Insurance Contract, or Annuity Contract. The term “Financial Asset” does not include a non-debt, direct interest in real property.</w:t>
            </w:r>
          </w:p>
        </w:tc>
        <w:tc>
          <w:tcPr>
            <w:tcW w:w="1080" w:type="dxa"/>
          </w:tcPr>
          <w:p w14:paraId="165AA27E"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E186C2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A8B37F6"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9EEBE92" w14:textId="77777777" w:rsidR="00FA0CFF" w:rsidRPr="004E6A4A" w:rsidRDefault="00144445">
            <w:pPr>
              <w:jc w:val="center"/>
            </w:pPr>
            <w:r w:rsidRPr="004E6A4A">
              <w:rPr>
                <w:rFonts w:ascii="Times New Roman" w:eastAsia="Times New Roman" w:hAnsi="Times New Roman" w:cs="Times New Roman"/>
                <w:b/>
                <w:sz w:val="20"/>
              </w:rPr>
              <w:t>Definitions</w:t>
            </w:r>
          </w:p>
          <w:p w14:paraId="4711B796" w14:textId="77777777" w:rsidR="00FA0CFF" w:rsidRPr="004E6A4A" w:rsidRDefault="00144445">
            <w:pPr>
              <w:jc w:val="both"/>
            </w:pPr>
            <w:r w:rsidRPr="004E6A4A">
              <w:rPr>
                <w:rFonts w:ascii="Times New Roman" w:eastAsia="Times New Roman" w:hAnsi="Times New Roman" w:cs="Times New Roman"/>
                <w:sz w:val="20"/>
              </w:rPr>
              <w:t>12. “Financial asset” includes a security (for example, a share in a company; a partnership interest or a beneficial ownership interest in a widely held or publicly traded partnership or trust; a note, bond, debt instrument or other evidence of indebtedness), a partnership interest, a commodity, a swap contract (for example, interest rate swaps, currency swaps, basis swaps, interest rate caps, interest rate floors, commodity swaps, equity swaps and equity index swaps, as well as similar agreements); an insurance contract or an annuity contract; or any interest, including a futures contract or a forward contract and options, in a security, a Reportable Crypto-Asset for the European Union profile or a Relevant Crypto-</w:t>
            </w:r>
            <w:r w:rsidRPr="004E6A4A">
              <w:rPr>
                <w:rFonts w:ascii="Times New Roman" w:eastAsia="Times New Roman" w:hAnsi="Times New Roman" w:cs="Times New Roman"/>
                <w:sz w:val="20"/>
              </w:rPr>
              <w:lastRenderedPageBreak/>
              <w:t>Asset for the Common Reporting Standard profile, a partnership interest, a commodity, a swap contract, an insurance contract or an annuity contract. “Financial asset” does not include a direct non-debt interest in immovable property.</w:t>
            </w:r>
          </w:p>
        </w:tc>
        <w:tc>
          <w:tcPr>
            <w:tcW w:w="1156" w:type="dxa"/>
          </w:tcPr>
          <w:p w14:paraId="7BAE6436" w14:textId="77777777" w:rsidR="009726F8" w:rsidRPr="004E6A4A" w:rsidRDefault="009726F8" w:rsidP="00C4419F">
            <w:pPr>
              <w:jc w:val="center"/>
              <w:rPr>
                <w:rFonts w:ascii="Times New Roman" w:eastAsia="Calibri" w:hAnsi="Times New Roman" w:cs="Times New Roman"/>
                <w:sz w:val="18"/>
                <w:szCs w:val="18"/>
              </w:rPr>
            </w:pPr>
          </w:p>
          <w:p w14:paraId="289F309C" w14:textId="3309026A"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DBCD97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0EED0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12 of the Draft Law.</w:t>
            </w:r>
          </w:p>
        </w:tc>
      </w:tr>
      <w:tr w:rsidR="004E6A4A" w:rsidRPr="004E6A4A" w14:paraId="6F55ED14" w14:textId="77777777" w:rsidTr="00E11E6D">
        <w:trPr>
          <w:trHeight w:val="764"/>
        </w:trPr>
        <w:tc>
          <w:tcPr>
            <w:tcW w:w="720" w:type="dxa"/>
          </w:tcPr>
          <w:p w14:paraId="40CD3C3E"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04B1EED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The term “Specified Insurance Company” means any Entity that is an insurance company (or the holding company of an insurance company) which issues, or is obligated to make payments with respect to, a Cash Value Insurance Contract or an Annuity Contract.</w:t>
            </w:r>
          </w:p>
        </w:tc>
        <w:tc>
          <w:tcPr>
            <w:tcW w:w="1080" w:type="dxa"/>
          </w:tcPr>
          <w:p w14:paraId="63502F97"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163E8E5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924FBA2"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AD658E8" w14:textId="77777777" w:rsidR="00FA0CFF" w:rsidRPr="004E6A4A" w:rsidRDefault="00144445">
            <w:pPr>
              <w:jc w:val="center"/>
            </w:pPr>
            <w:r w:rsidRPr="004E6A4A">
              <w:rPr>
                <w:rFonts w:ascii="Times New Roman" w:eastAsia="Times New Roman" w:hAnsi="Times New Roman" w:cs="Times New Roman"/>
                <w:b/>
                <w:sz w:val="20"/>
              </w:rPr>
              <w:t>Definitions</w:t>
            </w:r>
          </w:p>
          <w:p w14:paraId="6C1D9B10" w14:textId="77777777" w:rsidR="00FA0CFF" w:rsidRPr="004E6A4A" w:rsidRDefault="00144445">
            <w:pPr>
              <w:jc w:val="both"/>
            </w:pPr>
            <w:r w:rsidRPr="004E6A4A">
              <w:rPr>
                <w:rFonts w:ascii="Times New Roman" w:eastAsia="Times New Roman" w:hAnsi="Times New Roman" w:cs="Times New Roman"/>
                <w:sz w:val="20"/>
              </w:rPr>
              <w:t>68. “Specified insurance company” means any entity which is an insurance company, or a holding company of an insurance company, which issues or is obliged to make payments in relation to cash value insurance contracts or annuity contracts.</w:t>
            </w:r>
          </w:p>
        </w:tc>
        <w:tc>
          <w:tcPr>
            <w:tcW w:w="1156" w:type="dxa"/>
          </w:tcPr>
          <w:p w14:paraId="38CED42D" w14:textId="77777777" w:rsidR="009726F8" w:rsidRPr="004E6A4A" w:rsidRDefault="009726F8" w:rsidP="00C4419F">
            <w:pPr>
              <w:jc w:val="center"/>
              <w:rPr>
                <w:rFonts w:ascii="Times New Roman" w:eastAsia="Calibri" w:hAnsi="Times New Roman" w:cs="Times New Roman"/>
                <w:sz w:val="18"/>
                <w:szCs w:val="18"/>
              </w:rPr>
            </w:pPr>
          </w:p>
          <w:p w14:paraId="0DD5F0A7" w14:textId="40A5EF01"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D2AC6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B2C9B0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68 of the Draft Law.</w:t>
            </w:r>
          </w:p>
        </w:tc>
      </w:tr>
      <w:tr w:rsidR="004E6A4A" w:rsidRPr="004E6A4A" w14:paraId="48511D8D" w14:textId="77777777" w:rsidTr="00E11E6D">
        <w:trPr>
          <w:trHeight w:val="764"/>
        </w:trPr>
        <w:tc>
          <w:tcPr>
            <w:tcW w:w="720" w:type="dxa"/>
          </w:tcPr>
          <w:p w14:paraId="4E7508B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9430F9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 For the purposes of this Annex, the term “Electronic Money” or “E-money” means any product that is:</w:t>
            </w:r>
          </w:p>
          <w:p w14:paraId="3CB9DD5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a digital representation of a single Fiat Currency;</w:t>
            </w:r>
          </w:p>
          <w:p w14:paraId="416DF38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issued on the receipt of funds for the purpose of making payment transactions;</w:t>
            </w:r>
          </w:p>
          <w:p w14:paraId="32246B7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 represented by a claim on the issuer denominated in the same Fiat Currency;</w:t>
            </w:r>
          </w:p>
          <w:p w14:paraId="3A3BA3E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 accepted in payment by a natural or legal person other than the issuer; and</w:t>
            </w:r>
          </w:p>
          <w:p w14:paraId="1D0A949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 by virtue of regulatory requirements to which the issuer is subject, redeemable at any time and at par value for the same Fiat Currency upon request of the holder of the product.</w:t>
            </w:r>
          </w:p>
          <w:p w14:paraId="39F2C13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term “Electronic Money” or “E-money” does not include a product created for the sole purpose of facilitating the transfer of funds from a customer to another person pursuant to instructions of the customer. A product is not created for the sole purpose of facilitating the transfer of funds if, in the ordinary course of business of the transferring Entity, either the funds connected with such product are held longer than 60 days after receipt of instructions to facilitate the transfer, or, if no instructions are received, the funds connected with such product are held longer than 60 days after receipt of the funds.</w:t>
            </w:r>
          </w:p>
        </w:tc>
        <w:tc>
          <w:tcPr>
            <w:tcW w:w="1080" w:type="dxa"/>
          </w:tcPr>
          <w:p w14:paraId="069D5DEE"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E29154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0EA3CF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53159C6" w14:textId="77777777" w:rsidR="00FA0CFF" w:rsidRPr="004E6A4A" w:rsidRDefault="00144445">
            <w:pPr>
              <w:jc w:val="center"/>
            </w:pPr>
            <w:r w:rsidRPr="004E6A4A">
              <w:rPr>
                <w:rFonts w:ascii="Times New Roman" w:eastAsia="Times New Roman" w:hAnsi="Times New Roman" w:cs="Times New Roman"/>
                <w:b/>
                <w:sz w:val="20"/>
              </w:rPr>
              <w:t>Definitions</w:t>
            </w:r>
          </w:p>
          <w:p w14:paraId="714DC171" w14:textId="77777777" w:rsidR="00FA0CFF" w:rsidRPr="004E6A4A" w:rsidRDefault="00144445">
            <w:pPr>
              <w:jc w:val="both"/>
            </w:pPr>
            <w:r w:rsidRPr="004E6A4A">
              <w:rPr>
                <w:rFonts w:ascii="Times New Roman" w:eastAsia="Times New Roman" w:hAnsi="Times New Roman" w:cs="Times New Roman"/>
                <w:sz w:val="20"/>
              </w:rPr>
              <w:t>13. “Electronic Money or E-money”, for the purposes of the application of the European Union rules, means any product which:</w:t>
            </w:r>
          </w:p>
          <w:p w14:paraId="4F02F4F3" w14:textId="77777777" w:rsidR="00FA0CFF" w:rsidRPr="004E6A4A" w:rsidRDefault="00144445">
            <w:pPr>
              <w:jc w:val="both"/>
            </w:pPr>
            <w:r w:rsidRPr="004E6A4A">
              <w:rPr>
                <w:rFonts w:ascii="Times New Roman" w:eastAsia="Times New Roman" w:hAnsi="Times New Roman" w:cs="Times New Roman"/>
                <w:sz w:val="20"/>
              </w:rPr>
              <w:t>a) is a digital representation of a single fiat currency;</w:t>
            </w:r>
          </w:p>
          <w:p w14:paraId="3F7BF381" w14:textId="77777777" w:rsidR="00FA0CFF" w:rsidRPr="004E6A4A" w:rsidRDefault="00144445">
            <w:pPr>
              <w:jc w:val="both"/>
            </w:pPr>
            <w:r w:rsidRPr="004E6A4A">
              <w:rPr>
                <w:rFonts w:ascii="Times New Roman" w:eastAsia="Times New Roman" w:hAnsi="Times New Roman" w:cs="Times New Roman"/>
                <w:sz w:val="20"/>
              </w:rPr>
              <w:t>b) is issued on receipt of funds, for the purpose of making payment transactions;</w:t>
            </w:r>
          </w:p>
          <w:p w14:paraId="113984EA" w14:textId="77777777" w:rsidR="00FA0CFF" w:rsidRPr="004E6A4A" w:rsidRDefault="00144445">
            <w:pPr>
              <w:jc w:val="both"/>
            </w:pPr>
            <w:r w:rsidRPr="004E6A4A">
              <w:rPr>
                <w:rFonts w:ascii="Times New Roman" w:eastAsia="Times New Roman" w:hAnsi="Times New Roman" w:cs="Times New Roman"/>
                <w:sz w:val="20"/>
              </w:rPr>
              <w:t>c) represents a claim on the issuer, denominated in the same fiat currency;</w:t>
            </w:r>
          </w:p>
          <w:p w14:paraId="66ACD1CF" w14:textId="77777777" w:rsidR="00FA0CFF" w:rsidRPr="004E6A4A" w:rsidRDefault="00144445">
            <w:pPr>
              <w:jc w:val="both"/>
            </w:pPr>
            <w:r w:rsidRPr="004E6A4A">
              <w:rPr>
                <w:rFonts w:ascii="Times New Roman" w:eastAsia="Times New Roman" w:hAnsi="Times New Roman" w:cs="Times New Roman"/>
                <w:sz w:val="20"/>
              </w:rPr>
              <w:t>ç) is accepted as a means of payment by a natural or legal person other than the issuer; and</w:t>
            </w:r>
          </w:p>
          <w:p w14:paraId="0EF9D303" w14:textId="77777777" w:rsidR="00FA0CFF" w:rsidRPr="004E6A4A" w:rsidRDefault="00144445">
            <w:pPr>
              <w:jc w:val="both"/>
            </w:pPr>
            <w:r w:rsidRPr="004E6A4A">
              <w:rPr>
                <w:rFonts w:ascii="Times New Roman" w:eastAsia="Times New Roman" w:hAnsi="Times New Roman" w:cs="Times New Roman"/>
                <w:sz w:val="20"/>
              </w:rPr>
              <w:t>d) by virtue of the regulatory requirements to which the issuer is subject, may be redeemed at any time and at par value, in the same fiat currency, at the request of the holder of the product.</w:t>
            </w:r>
          </w:p>
          <w:p w14:paraId="2120C148" w14:textId="77777777" w:rsidR="00FA0CFF" w:rsidRPr="004E6A4A" w:rsidRDefault="00144445">
            <w:pPr>
              <w:jc w:val="both"/>
            </w:pPr>
            <w:r w:rsidRPr="004E6A4A">
              <w:rPr>
                <w:rFonts w:ascii="Times New Roman" w:eastAsia="Times New Roman" w:hAnsi="Times New Roman" w:cs="Times New Roman"/>
                <w:sz w:val="20"/>
              </w:rPr>
              <w:t xml:space="preserve">“Electronic Money or E-money” does not include a product created for the sole purpose of facilitating the transfer of funds from a customer to another person, in accordance with the customer's instructions. A product shall not be considered to have been created for the sole purpose of facilitating the transfer of funds if, in the ordinary course of business of the entity carrying out the transfer, the funds connected with that product are held for more than 60 days after receipt of </w:t>
            </w:r>
            <w:r w:rsidRPr="004E6A4A">
              <w:rPr>
                <w:rFonts w:ascii="Times New Roman" w:eastAsia="Times New Roman" w:hAnsi="Times New Roman" w:cs="Times New Roman"/>
                <w:sz w:val="20"/>
              </w:rPr>
              <w:lastRenderedPageBreak/>
              <w:t>the instructions to facilitate the transfer or, if no instructions have been received, the funds connected with that product are held for more than 60 days after receipt of the funds.</w:t>
            </w:r>
          </w:p>
          <w:p w14:paraId="00A39A90" w14:textId="77777777" w:rsidR="00FA0CFF" w:rsidRPr="004E6A4A" w:rsidRDefault="00144445">
            <w:pPr>
              <w:jc w:val="both"/>
            </w:pPr>
            <w:r w:rsidRPr="004E6A4A">
              <w:rPr>
                <w:rFonts w:ascii="Times New Roman" w:eastAsia="Times New Roman" w:hAnsi="Times New Roman" w:cs="Times New Roman"/>
                <w:sz w:val="20"/>
              </w:rPr>
              <w:t>14. “Specified Electronic Money Product”, for the purposes of the application of the Common Reporting Standard, means any product which:</w:t>
            </w:r>
          </w:p>
          <w:p w14:paraId="1F6D2AA8" w14:textId="77777777" w:rsidR="00FA0CFF" w:rsidRPr="004E6A4A" w:rsidRDefault="00144445">
            <w:pPr>
              <w:jc w:val="both"/>
            </w:pPr>
            <w:r w:rsidRPr="004E6A4A">
              <w:rPr>
                <w:rFonts w:ascii="Times New Roman" w:eastAsia="Times New Roman" w:hAnsi="Times New Roman" w:cs="Times New Roman"/>
                <w:sz w:val="20"/>
              </w:rPr>
              <w:t>a) is a digital representation of a single fiat currency;</w:t>
            </w:r>
          </w:p>
          <w:p w14:paraId="3A0A262E" w14:textId="77777777" w:rsidR="00FA0CFF" w:rsidRPr="004E6A4A" w:rsidRDefault="00144445">
            <w:pPr>
              <w:jc w:val="both"/>
            </w:pPr>
            <w:r w:rsidRPr="004E6A4A">
              <w:rPr>
                <w:rFonts w:ascii="Times New Roman" w:eastAsia="Times New Roman" w:hAnsi="Times New Roman" w:cs="Times New Roman"/>
                <w:sz w:val="20"/>
              </w:rPr>
              <w:t>b) is issued on receipt of funds, for the purpose of making payment transactions;</w:t>
            </w:r>
          </w:p>
          <w:p w14:paraId="32678C10" w14:textId="77777777" w:rsidR="00FA0CFF" w:rsidRPr="004E6A4A" w:rsidRDefault="00144445">
            <w:pPr>
              <w:jc w:val="both"/>
            </w:pPr>
            <w:r w:rsidRPr="004E6A4A">
              <w:rPr>
                <w:rFonts w:ascii="Times New Roman" w:eastAsia="Times New Roman" w:hAnsi="Times New Roman" w:cs="Times New Roman"/>
                <w:sz w:val="20"/>
              </w:rPr>
              <w:t>c) represents a claim on the issuer, denominated in the same fiat currency;</w:t>
            </w:r>
          </w:p>
          <w:p w14:paraId="49751FC6" w14:textId="77777777" w:rsidR="00FA0CFF" w:rsidRPr="004E6A4A" w:rsidRDefault="00144445">
            <w:pPr>
              <w:jc w:val="both"/>
            </w:pPr>
            <w:r w:rsidRPr="004E6A4A">
              <w:rPr>
                <w:rFonts w:ascii="Times New Roman" w:eastAsia="Times New Roman" w:hAnsi="Times New Roman" w:cs="Times New Roman"/>
                <w:sz w:val="20"/>
              </w:rPr>
              <w:t>d) is accepted as a means of payment by a natural or legal person other than the issuer; and</w:t>
            </w:r>
          </w:p>
          <w:p w14:paraId="2D50C03A" w14:textId="77777777" w:rsidR="00FA0CFF" w:rsidRPr="004E6A4A" w:rsidRDefault="00144445">
            <w:pPr>
              <w:jc w:val="both"/>
            </w:pPr>
            <w:r w:rsidRPr="004E6A4A">
              <w:rPr>
                <w:rFonts w:ascii="Times New Roman" w:eastAsia="Times New Roman" w:hAnsi="Times New Roman" w:cs="Times New Roman"/>
                <w:sz w:val="20"/>
              </w:rPr>
              <w:t>e) by virtue of the regulatory requirements to which the issuer is subject, may be redeemed at any time and at par value, in the same fiat currency, at the request of the holder of the product.</w:t>
            </w:r>
          </w:p>
          <w:p w14:paraId="0DEB4DFC" w14:textId="77777777" w:rsidR="00FA0CFF" w:rsidRPr="004E6A4A" w:rsidRDefault="00144445">
            <w:pPr>
              <w:jc w:val="both"/>
            </w:pPr>
            <w:r w:rsidRPr="004E6A4A">
              <w:rPr>
                <w:rFonts w:ascii="Times New Roman" w:eastAsia="Times New Roman" w:hAnsi="Times New Roman" w:cs="Times New Roman"/>
                <w:sz w:val="20"/>
              </w:rPr>
              <w:t>The “Specified Electronic Money Product” does not include a product created for the sole purpose of facilitating the transfer of funds from a customer to another person, in accordance with the customer's instructions. A product shall not be considered to have been created for the sole purpose of facilitating the transfer of funds if, in the ordinary course of business of the entity carrying out the transfer, the funds connected with that product are held for more than 60 days after receipt of the instructions to facilitate the transfer or, if no instructions have been received, the funds connected with that product are held for more than 60 days after receipt of the funds.</w:t>
            </w:r>
          </w:p>
        </w:tc>
        <w:tc>
          <w:tcPr>
            <w:tcW w:w="1156" w:type="dxa"/>
          </w:tcPr>
          <w:p w14:paraId="0F7C4422" w14:textId="77777777" w:rsidR="009726F8" w:rsidRPr="004E6A4A" w:rsidRDefault="009726F8" w:rsidP="00C4419F">
            <w:pPr>
              <w:jc w:val="center"/>
              <w:rPr>
                <w:rFonts w:ascii="Times New Roman" w:eastAsia="Calibri" w:hAnsi="Times New Roman" w:cs="Times New Roman"/>
                <w:sz w:val="18"/>
                <w:szCs w:val="18"/>
              </w:rPr>
            </w:pPr>
          </w:p>
          <w:p w14:paraId="3A09B11E" w14:textId="64403D4B"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71B790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3FE585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13 and Article 5, point 14 of the Draft Law.</w:t>
            </w:r>
          </w:p>
        </w:tc>
      </w:tr>
      <w:tr w:rsidR="004E6A4A" w:rsidRPr="004E6A4A" w14:paraId="79F5CD4F" w14:textId="77777777" w:rsidTr="00E11E6D">
        <w:trPr>
          <w:trHeight w:val="764"/>
        </w:trPr>
        <w:tc>
          <w:tcPr>
            <w:tcW w:w="720" w:type="dxa"/>
          </w:tcPr>
          <w:p w14:paraId="6AE79345"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F8F927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10. The term “Fiat Currency” means the official currency of a jurisdiction, issued by a jurisdiction or by a jurisdiction’s designated Central Bank or monetary authority, as represented by physical banknotes or coins or by money in different digital forms, including bank reserves and Central Bank Digital Currencies. The term </w:t>
            </w:r>
            <w:r w:rsidRPr="004E6A4A">
              <w:rPr>
                <w:rFonts w:ascii="Times New Roman" w:eastAsia="Times New Roman" w:hAnsi="Times New Roman" w:cs="Times New Roman"/>
                <w:sz w:val="20"/>
                <w:szCs w:val="20"/>
              </w:rPr>
              <w:lastRenderedPageBreak/>
              <w:t>also includes commercial bank money and electronic money products (Electronic Money).</w:t>
            </w:r>
          </w:p>
        </w:tc>
        <w:tc>
          <w:tcPr>
            <w:tcW w:w="1080" w:type="dxa"/>
          </w:tcPr>
          <w:p w14:paraId="7BE10550"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295C8F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1F2B40C"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36F221E0" w14:textId="77777777" w:rsidR="00FA0CFF" w:rsidRPr="004E6A4A" w:rsidRDefault="00144445">
            <w:pPr>
              <w:jc w:val="center"/>
            </w:pPr>
            <w:r w:rsidRPr="004E6A4A">
              <w:rPr>
                <w:rFonts w:ascii="Times New Roman" w:eastAsia="Times New Roman" w:hAnsi="Times New Roman" w:cs="Times New Roman"/>
                <w:b/>
                <w:sz w:val="20"/>
              </w:rPr>
              <w:t>Definitions</w:t>
            </w:r>
          </w:p>
          <w:p w14:paraId="020A6F56" w14:textId="77777777" w:rsidR="00FA0CFF" w:rsidRPr="004E6A4A" w:rsidRDefault="00144445">
            <w:pPr>
              <w:jc w:val="both"/>
            </w:pPr>
            <w:r w:rsidRPr="004E6A4A">
              <w:rPr>
                <w:rFonts w:ascii="Times New Roman" w:eastAsia="Times New Roman" w:hAnsi="Times New Roman" w:cs="Times New Roman"/>
                <w:sz w:val="20"/>
              </w:rPr>
              <w:t>15. “Fiat currency”:</w:t>
            </w:r>
          </w:p>
          <w:p w14:paraId="655DEB5D" w14:textId="77777777" w:rsidR="00FA0CFF" w:rsidRPr="004E6A4A" w:rsidRDefault="00144445">
            <w:pPr>
              <w:jc w:val="both"/>
            </w:pPr>
            <w:r w:rsidRPr="004E6A4A">
              <w:rPr>
                <w:rFonts w:ascii="Times New Roman" w:eastAsia="Times New Roman" w:hAnsi="Times New Roman" w:cs="Times New Roman"/>
                <w:sz w:val="20"/>
              </w:rPr>
              <w:t xml:space="preserve">a) for the purposes of the application of the European Union rules, has the same meaning as that determined </w:t>
            </w:r>
            <w:r w:rsidRPr="004E6A4A">
              <w:rPr>
                <w:rFonts w:ascii="Times New Roman" w:eastAsia="Times New Roman" w:hAnsi="Times New Roman" w:cs="Times New Roman"/>
                <w:sz w:val="20"/>
              </w:rPr>
              <w:lastRenderedPageBreak/>
              <w:t>in the law “On the automatic exchange of information on crypto-assets”; and</w:t>
            </w:r>
          </w:p>
          <w:p w14:paraId="5F1B46AC" w14:textId="77777777" w:rsidR="00FA0CFF" w:rsidRPr="004E6A4A" w:rsidRDefault="00144445">
            <w:pPr>
              <w:jc w:val="both"/>
            </w:pPr>
            <w:r w:rsidRPr="004E6A4A">
              <w:rPr>
                <w:rFonts w:ascii="Times New Roman" w:eastAsia="Times New Roman" w:hAnsi="Times New Roman" w:cs="Times New Roman"/>
                <w:sz w:val="20"/>
              </w:rPr>
              <w:t>b) for the purposes of the application of the Common Reporting Standard, means the official currency of a jurisdiction, issued by the jurisdiction or by the central bank or monetary authority designated by it, represented by physical banknotes or coins or by money in various digital forms, including bank reserves and Central bank digital currencies. That term also includes commercial bank money and electronic money products, including Specified electronic money products.</w:t>
            </w:r>
          </w:p>
        </w:tc>
        <w:tc>
          <w:tcPr>
            <w:tcW w:w="1156" w:type="dxa"/>
          </w:tcPr>
          <w:p w14:paraId="41E696FB" w14:textId="77777777" w:rsidR="009726F8" w:rsidRPr="004E6A4A" w:rsidRDefault="009726F8" w:rsidP="00C4419F">
            <w:pPr>
              <w:jc w:val="center"/>
              <w:rPr>
                <w:rFonts w:ascii="Times New Roman" w:eastAsia="Calibri" w:hAnsi="Times New Roman" w:cs="Times New Roman"/>
                <w:sz w:val="18"/>
                <w:szCs w:val="18"/>
              </w:rPr>
            </w:pPr>
          </w:p>
          <w:p w14:paraId="19F05608" w14:textId="3AF7723E" w:rsidR="000A21ED" w:rsidRPr="004E6A4A" w:rsidRDefault="009726F8"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47316F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E43E8F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15 of the Draft Law.</w:t>
            </w:r>
          </w:p>
        </w:tc>
      </w:tr>
      <w:tr w:rsidR="004E6A4A" w:rsidRPr="004E6A4A" w14:paraId="3D60E7F1" w14:textId="77777777" w:rsidTr="00E11E6D">
        <w:trPr>
          <w:trHeight w:val="764"/>
        </w:trPr>
        <w:tc>
          <w:tcPr>
            <w:tcW w:w="720" w:type="dxa"/>
          </w:tcPr>
          <w:p w14:paraId="65D24808"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E4CA47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11. The term “Central Bank Digital Currency” means any digital Fiat Currency issued by a Central Bank or other monetary authority.</w:t>
            </w:r>
          </w:p>
        </w:tc>
        <w:tc>
          <w:tcPr>
            <w:tcW w:w="1080" w:type="dxa"/>
          </w:tcPr>
          <w:p w14:paraId="72702577"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35A319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D4E6289"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32724E4" w14:textId="77777777" w:rsidR="00FA0CFF" w:rsidRPr="004E6A4A" w:rsidRDefault="00144445">
            <w:pPr>
              <w:jc w:val="center"/>
            </w:pPr>
            <w:r w:rsidRPr="004E6A4A">
              <w:rPr>
                <w:rFonts w:ascii="Times New Roman" w:eastAsia="Times New Roman" w:hAnsi="Times New Roman" w:cs="Times New Roman"/>
                <w:b/>
                <w:sz w:val="20"/>
              </w:rPr>
              <w:t>Definitions</w:t>
            </w:r>
          </w:p>
          <w:p w14:paraId="3FBF3A3C" w14:textId="77777777" w:rsidR="00FA0CFF" w:rsidRPr="004E6A4A" w:rsidRDefault="00144445">
            <w:pPr>
              <w:jc w:val="both"/>
            </w:pPr>
            <w:r w:rsidRPr="004E6A4A">
              <w:rPr>
                <w:rFonts w:ascii="Times New Roman" w:eastAsia="Times New Roman" w:hAnsi="Times New Roman" w:cs="Times New Roman"/>
                <w:sz w:val="20"/>
              </w:rPr>
              <w:t>17. “Central bank digital currency”:</w:t>
            </w:r>
          </w:p>
          <w:p w14:paraId="2629EFEF" w14:textId="77777777" w:rsidR="00FA0CFF" w:rsidRPr="004E6A4A" w:rsidRDefault="00144445">
            <w:pPr>
              <w:jc w:val="both"/>
            </w:pPr>
            <w:r w:rsidRPr="004E6A4A">
              <w:rPr>
                <w:rFonts w:ascii="Times New Roman" w:eastAsia="Times New Roman" w:hAnsi="Times New Roman" w:cs="Times New Roman"/>
                <w:sz w:val="20"/>
              </w:rPr>
              <w:t>a) for the purposes of the application of the European Union rules, has the same meaning as that determined in the law “On the automatic exchange of information on crypto-assets”; and</w:t>
            </w:r>
          </w:p>
          <w:p w14:paraId="31E65906" w14:textId="77777777" w:rsidR="00FA0CFF" w:rsidRPr="004E6A4A" w:rsidRDefault="00144445">
            <w:pPr>
              <w:jc w:val="both"/>
            </w:pPr>
            <w:r w:rsidRPr="004E6A4A">
              <w:rPr>
                <w:rFonts w:ascii="Times New Roman" w:eastAsia="Times New Roman" w:hAnsi="Times New Roman" w:cs="Times New Roman"/>
                <w:sz w:val="20"/>
              </w:rPr>
              <w:t>b) for the purposes of the application of the Common Reporting Standard, means any digital fiat currency issued by a central bank.</w:t>
            </w:r>
          </w:p>
        </w:tc>
        <w:tc>
          <w:tcPr>
            <w:tcW w:w="1156" w:type="dxa"/>
          </w:tcPr>
          <w:p w14:paraId="6512AF4A" w14:textId="064BB1C6"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CF213A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DE974D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17 of the Draft Law.</w:t>
            </w:r>
          </w:p>
        </w:tc>
      </w:tr>
      <w:tr w:rsidR="004E6A4A" w:rsidRPr="004E6A4A" w14:paraId="4B4D4F93" w14:textId="77777777" w:rsidTr="00E11E6D">
        <w:trPr>
          <w:trHeight w:val="764"/>
        </w:trPr>
        <w:tc>
          <w:tcPr>
            <w:tcW w:w="720" w:type="dxa"/>
          </w:tcPr>
          <w:p w14:paraId="49AEDD25"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0334CC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12. The term “Crypto-Asset” means crypto-asset as defined in Article 3(1), point (5), of Regulation (EU) 2023/1114.</w:t>
            </w:r>
          </w:p>
        </w:tc>
        <w:tc>
          <w:tcPr>
            <w:tcW w:w="1080" w:type="dxa"/>
          </w:tcPr>
          <w:p w14:paraId="02A32D0C"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903D95C"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B14E90C"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C3D5624" w14:textId="77777777" w:rsidR="00FA0CFF" w:rsidRPr="004E6A4A" w:rsidRDefault="00144445">
            <w:pPr>
              <w:jc w:val="center"/>
            </w:pPr>
            <w:r w:rsidRPr="004E6A4A">
              <w:rPr>
                <w:rFonts w:ascii="Times New Roman" w:eastAsia="Times New Roman" w:hAnsi="Times New Roman" w:cs="Times New Roman"/>
                <w:b/>
                <w:sz w:val="20"/>
              </w:rPr>
              <w:t>Definitions</w:t>
            </w:r>
          </w:p>
          <w:p w14:paraId="781E6264" w14:textId="77777777" w:rsidR="00FA0CFF" w:rsidRPr="004E6A4A" w:rsidRDefault="00144445">
            <w:pPr>
              <w:jc w:val="both"/>
            </w:pPr>
            <w:r w:rsidRPr="004E6A4A">
              <w:rPr>
                <w:rFonts w:ascii="Times New Roman" w:eastAsia="Times New Roman" w:hAnsi="Times New Roman" w:cs="Times New Roman"/>
                <w:sz w:val="20"/>
              </w:rPr>
              <w:t>16. “Crypto-asset”:</w:t>
            </w:r>
          </w:p>
          <w:p w14:paraId="40B182D3" w14:textId="77777777" w:rsidR="00FA0CFF" w:rsidRPr="004E6A4A" w:rsidRDefault="00144445">
            <w:pPr>
              <w:jc w:val="both"/>
            </w:pPr>
            <w:r w:rsidRPr="004E6A4A">
              <w:rPr>
                <w:rFonts w:ascii="Times New Roman" w:eastAsia="Times New Roman" w:hAnsi="Times New Roman" w:cs="Times New Roman"/>
                <w:sz w:val="20"/>
              </w:rPr>
              <w:t>a) for the purposes of the application of the European Union rules, has the same meaning as in the legislation in force on markets in crypto-assets; and</w:t>
            </w:r>
          </w:p>
          <w:p w14:paraId="74F4B316" w14:textId="77777777" w:rsidR="00FA0CFF" w:rsidRPr="004E6A4A" w:rsidRDefault="00144445">
            <w:pPr>
              <w:jc w:val="both"/>
            </w:pPr>
            <w:r w:rsidRPr="004E6A4A">
              <w:rPr>
                <w:rFonts w:ascii="Times New Roman" w:eastAsia="Times New Roman" w:hAnsi="Times New Roman" w:cs="Times New Roman"/>
                <w:sz w:val="20"/>
              </w:rPr>
              <w:t>b) for the purposes of the application of the Common Reporting Standard, means a digital representation of value that relies on a cryptographically secured distributed ledger or a similar technology for the validation and securing of transactions. Drarft</w:t>
            </w:r>
          </w:p>
        </w:tc>
        <w:tc>
          <w:tcPr>
            <w:tcW w:w="1156" w:type="dxa"/>
          </w:tcPr>
          <w:p w14:paraId="7A86C722" w14:textId="137839BD"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A875C6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5F1071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16 of the Draft Law.</w:t>
            </w:r>
          </w:p>
        </w:tc>
      </w:tr>
      <w:tr w:rsidR="004E6A4A" w:rsidRPr="004E6A4A" w14:paraId="4A83D104" w14:textId="77777777" w:rsidTr="00E11E6D">
        <w:trPr>
          <w:trHeight w:val="764"/>
        </w:trPr>
        <w:tc>
          <w:tcPr>
            <w:tcW w:w="720" w:type="dxa"/>
          </w:tcPr>
          <w:p w14:paraId="6FF29D74"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6AA9696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13. The term “Reportable Crypto-Asset” means any Crypto-Asset other than a Central Bank Digital Currency, Electronic Money, or any Crypto-Asset for which the Reporting Crypto-Asset Service Provider has adequately </w:t>
            </w:r>
            <w:r w:rsidRPr="004E6A4A">
              <w:rPr>
                <w:rFonts w:ascii="Times New Roman" w:eastAsia="Times New Roman" w:hAnsi="Times New Roman" w:cs="Times New Roman"/>
                <w:sz w:val="20"/>
                <w:szCs w:val="20"/>
              </w:rPr>
              <w:lastRenderedPageBreak/>
              <w:t>determined that it cannot be used for payment or investment purposes.</w:t>
            </w:r>
          </w:p>
        </w:tc>
        <w:tc>
          <w:tcPr>
            <w:tcW w:w="1080" w:type="dxa"/>
          </w:tcPr>
          <w:p w14:paraId="1ED3982F"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3681F99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003E484D"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068734F" w14:textId="77777777" w:rsidR="00FA0CFF" w:rsidRPr="004E6A4A" w:rsidRDefault="00144445">
            <w:pPr>
              <w:jc w:val="center"/>
            </w:pPr>
            <w:r w:rsidRPr="004E6A4A">
              <w:rPr>
                <w:rFonts w:ascii="Times New Roman" w:eastAsia="Times New Roman" w:hAnsi="Times New Roman" w:cs="Times New Roman"/>
                <w:b/>
                <w:sz w:val="20"/>
              </w:rPr>
              <w:t>Definitions</w:t>
            </w:r>
          </w:p>
          <w:p w14:paraId="721C8686" w14:textId="77777777" w:rsidR="00FA0CFF" w:rsidRPr="004E6A4A" w:rsidRDefault="00144445">
            <w:pPr>
              <w:jc w:val="both"/>
            </w:pPr>
            <w:r w:rsidRPr="004E6A4A">
              <w:rPr>
                <w:rFonts w:ascii="Times New Roman" w:eastAsia="Times New Roman" w:hAnsi="Times New Roman" w:cs="Times New Roman"/>
                <w:sz w:val="20"/>
              </w:rPr>
              <w:t xml:space="preserve">18. “Reportable crypto-asset”, for the purposes of the application of the European Union rules, means any </w:t>
            </w:r>
            <w:r w:rsidRPr="004E6A4A">
              <w:rPr>
                <w:rFonts w:ascii="Times New Roman" w:eastAsia="Times New Roman" w:hAnsi="Times New Roman" w:cs="Times New Roman"/>
                <w:sz w:val="20"/>
              </w:rPr>
              <w:lastRenderedPageBreak/>
              <w:t>crypto-asset, with the exception of a Central bank digital currency, Electronic money or any crypto-asset for which the Reporting Crypto-Asset Service Provider has adequately determined that it cannot be used for payment or investment purposes.</w:t>
            </w:r>
          </w:p>
          <w:p w14:paraId="4B61AF66" w14:textId="77777777" w:rsidR="00FA0CFF" w:rsidRPr="004E6A4A" w:rsidRDefault="00FA0CFF"/>
          <w:p w14:paraId="7C618F55" w14:textId="08510182" w:rsidR="00FA0CFF" w:rsidRPr="004E6A4A" w:rsidRDefault="00FA0CFF">
            <w:pPr>
              <w:jc w:val="both"/>
            </w:pPr>
          </w:p>
        </w:tc>
        <w:tc>
          <w:tcPr>
            <w:tcW w:w="1156" w:type="dxa"/>
          </w:tcPr>
          <w:p w14:paraId="725F3018" w14:textId="45316839"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45C4AB3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4E90FD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Transposed by Article 5, point 18, </w:t>
            </w:r>
          </w:p>
        </w:tc>
      </w:tr>
      <w:tr w:rsidR="004E6A4A" w:rsidRPr="004E6A4A" w14:paraId="6C0EA57A" w14:textId="77777777" w:rsidTr="00E11E6D">
        <w:trPr>
          <w:trHeight w:val="764"/>
        </w:trPr>
        <w:tc>
          <w:tcPr>
            <w:tcW w:w="720" w:type="dxa"/>
          </w:tcPr>
          <w:p w14:paraId="3DF65893"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C122B3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14. The term “Exchange Transaction” means any:</w:t>
            </w:r>
          </w:p>
          <w:p w14:paraId="00108A9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exchange between Reportable Crypto-Assets and Fiat Currencies; and</w:t>
            </w:r>
          </w:p>
          <w:p w14:paraId="15A2744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exchange between one or more forms of Reportable Crypto-Assets.</w:t>
            </w:r>
          </w:p>
        </w:tc>
        <w:tc>
          <w:tcPr>
            <w:tcW w:w="1080" w:type="dxa"/>
          </w:tcPr>
          <w:p w14:paraId="51FDEC05"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1554702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453164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28A13B9" w14:textId="77777777" w:rsidR="00FA0CFF" w:rsidRPr="004E6A4A" w:rsidRDefault="00144445">
            <w:pPr>
              <w:jc w:val="center"/>
            </w:pPr>
            <w:r w:rsidRPr="004E6A4A">
              <w:rPr>
                <w:rFonts w:ascii="Times New Roman" w:eastAsia="Times New Roman" w:hAnsi="Times New Roman" w:cs="Times New Roman"/>
                <w:b/>
                <w:sz w:val="20"/>
              </w:rPr>
              <w:t>Definitions</w:t>
            </w:r>
          </w:p>
          <w:p w14:paraId="162392DE" w14:textId="77777777" w:rsidR="00FA0CFF" w:rsidRPr="004E6A4A" w:rsidRDefault="00144445">
            <w:pPr>
              <w:jc w:val="both"/>
            </w:pPr>
            <w:r w:rsidRPr="004E6A4A">
              <w:rPr>
                <w:rFonts w:ascii="Times New Roman" w:eastAsia="Times New Roman" w:hAnsi="Times New Roman" w:cs="Times New Roman"/>
                <w:sz w:val="20"/>
              </w:rPr>
              <w:t>21. “Exchange transaction” means:</w:t>
            </w:r>
          </w:p>
          <w:p w14:paraId="6DC61D2C" w14:textId="77777777" w:rsidR="00FA0CFF" w:rsidRPr="004E6A4A" w:rsidRDefault="00144445">
            <w:pPr>
              <w:jc w:val="both"/>
            </w:pPr>
            <w:r w:rsidRPr="004E6A4A">
              <w:rPr>
                <w:rFonts w:ascii="Times New Roman" w:eastAsia="Times New Roman" w:hAnsi="Times New Roman" w:cs="Times New Roman"/>
                <w:sz w:val="20"/>
              </w:rPr>
              <w:t>a) for the purposes of the European Union profile, any:</w:t>
            </w:r>
          </w:p>
          <w:p w14:paraId="645A089C" w14:textId="77777777" w:rsidR="00FA0CFF" w:rsidRPr="004E6A4A" w:rsidRDefault="00144445">
            <w:pPr>
              <w:jc w:val="both"/>
            </w:pPr>
            <w:r w:rsidRPr="004E6A4A">
              <w:rPr>
                <w:rFonts w:ascii="Times New Roman" w:eastAsia="Times New Roman" w:hAnsi="Times New Roman" w:cs="Times New Roman"/>
                <w:sz w:val="20"/>
              </w:rPr>
              <w:t>i) exchange between Reportable Crypto-Assets and Fiat Currencies; and</w:t>
            </w:r>
          </w:p>
          <w:p w14:paraId="6D092A9A" w14:textId="77777777" w:rsidR="00FA0CFF" w:rsidRPr="004E6A4A" w:rsidRDefault="00144445">
            <w:pPr>
              <w:jc w:val="both"/>
            </w:pPr>
            <w:r w:rsidRPr="004E6A4A">
              <w:rPr>
                <w:rFonts w:ascii="Times New Roman" w:eastAsia="Times New Roman" w:hAnsi="Times New Roman" w:cs="Times New Roman"/>
                <w:sz w:val="20"/>
              </w:rPr>
              <w:t>ii) exchange between one or more forms of Reportable Crypto-Assets;</w:t>
            </w:r>
          </w:p>
          <w:p w14:paraId="13B43F4C" w14:textId="77777777" w:rsidR="00FA0CFF" w:rsidRPr="004E6A4A" w:rsidRDefault="00144445">
            <w:pPr>
              <w:jc w:val="both"/>
            </w:pPr>
            <w:r w:rsidRPr="004E6A4A">
              <w:rPr>
                <w:rFonts w:ascii="Times New Roman" w:eastAsia="Times New Roman" w:hAnsi="Times New Roman" w:cs="Times New Roman"/>
                <w:sz w:val="20"/>
              </w:rPr>
              <w:t>b) for the purposes of the Common Reporting Standard profile, any:</w:t>
            </w:r>
          </w:p>
          <w:p w14:paraId="04ED0913" w14:textId="77777777" w:rsidR="00FA0CFF" w:rsidRPr="004E6A4A" w:rsidRDefault="00144445">
            <w:pPr>
              <w:jc w:val="both"/>
            </w:pPr>
            <w:r w:rsidRPr="004E6A4A">
              <w:rPr>
                <w:rFonts w:ascii="Times New Roman" w:eastAsia="Times New Roman" w:hAnsi="Times New Roman" w:cs="Times New Roman"/>
                <w:sz w:val="20"/>
              </w:rPr>
              <w:t>i) exchange between Relevant Crypto-Assets and Fiat Currencies; and</w:t>
            </w:r>
          </w:p>
          <w:p w14:paraId="1481D5CD" w14:textId="77777777" w:rsidR="00FA0CFF" w:rsidRPr="004E6A4A" w:rsidRDefault="00144445">
            <w:pPr>
              <w:jc w:val="both"/>
            </w:pPr>
            <w:r w:rsidRPr="004E6A4A">
              <w:rPr>
                <w:rFonts w:ascii="Times New Roman" w:eastAsia="Times New Roman" w:hAnsi="Times New Roman" w:cs="Times New Roman"/>
                <w:sz w:val="20"/>
              </w:rPr>
              <w:t>ii) exchange between one or more forms of Relevant Crypto-Assets”.</w:t>
            </w:r>
          </w:p>
        </w:tc>
        <w:tc>
          <w:tcPr>
            <w:tcW w:w="1156" w:type="dxa"/>
          </w:tcPr>
          <w:p w14:paraId="05FF4314" w14:textId="73BA17D6"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3F3E04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4DEFF69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21 of the Draft Law.</w:t>
            </w:r>
          </w:p>
        </w:tc>
      </w:tr>
      <w:tr w:rsidR="004E6A4A" w:rsidRPr="004E6A4A" w14:paraId="5CB30001" w14:textId="77777777" w:rsidTr="00E11E6D">
        <w:trPr>
          <w:trHeight w:val="764"/>
        </w:trPr>
        <w:tc>
          <w:tcPr>
            <w:tcW w:w="720" w:type="dxa"/>
          </w:tcPr>
          <w:p w14:paraId="08EF266B"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09D3967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Non-Reporting Financial Institution</w:t>
            </w:r>
          </w:p>
          <w:p w14:paraId="153FE8A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The term “Non-Reporting Financial Institution” means any Financial Institution which is:</w:t>
            </w:r>
          </w:p>
          <w:p w14:paraId="4FCD734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a Governmental Entity, International Organisation or Central Bank, other than:</w:t>
            </w:r>
          </w:p>
          <w:p w14:paraId="17CC93D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 with respect to a payment that is derived from an obligation held in connection with a commercial financial activity of a type engaged in by a Specified Insurance Company, Custodial Institution, or Depository Institution; or</w:t>
            </w:r>
          </w:p>
          <w:p w14:paraId="1E5023D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 with respect to the activity of maintaining Central Bank Digital Currencies for Account Holders which are not Financial Institutions, Governmental Entities, International Organisations or Central Banks;</w:t>
            </w:r>
          </w:p>
          <w:p w14:paraId="037B408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a Broad Participation Retirement Fund; a Narrow Participation Retirement Fund; a Pension Fund of a </w:t>
            </w:r>
            <w:r w:rsidRPr="004E6A4A">
              <w:rPr>
                <w:rFonts w:ascii="Times New Roman" w:eastAsia="Times New Roman" w:hAnsi="Times New Roman" w:cs="Times New Roman"/>
                <w:sz w:val="20"/>
                <w:szCs w:val="20"/>
              </w:rPr>
              <w:lastRenderedPageBreak/>
              <w:t>Govern mental Entity, International Organisation or Central Bank; or a Qualified Credit Card Issuer;</w:t>
            </w:r>
          </w:p>
          <w:p w14:paraId="2A6649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any other Entity that presents a low risk of being used to evade tax, has substantially similar characteristics to any of the Entities described in subparagraphs B(1)(a) and (b), and is included in the list of Non-Reporting Financial Institutions referred to in Article 8(7a) of this Directive, provided that the status of such Entity as a Non-Reporting Financial Institution does not frustrate the purposes of this Directive;</w:t>
            </w:r>
          </w:p>
          <w:p w14:paraId="310EC1F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(d)</w:t>
            </w:r>
            <w:r w:rsidRPr="004E6A4A">
              <w:rPr>
                <w:rFonts w:ascii="Times New Roman" w:eastAsia="Times New Roman" w:hAnsi="Times New Roman" w:cs="Times New Roman"/>
                <w:sz w:val="20"/>
                <w:szCs w:val="20"/>
              </w:rPr>
              <w:tab/>
              <w:t>an Exempt Collective Investment Vehicle; or</w:t>
            </w:r>
          </w:p>
          <w:p w14:paraId="1E34B7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 trust to the extent that the trustee of the trust is a Reporting Financial Institution and reports all informa tion required to be reported pursuant to Section I with respect to all Reportable Accounts of the trust.</w:t>
            </w:r>
          </w:p>
        </w:tc>
        <w:tc>
          <w:tcPr>
            <w:tcW w:w="1080" w:type="dxa"/>
          </w:tcPr>
          <w:p w14:paraId="27F72AF8"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038278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760BF5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598C86B" w14:textId="77777777" w:rsidR="00FA0CFF" w:rsidRPr="004E6A4A" w:rsidRDefault="00144445">
            <w:pPr>
              <w:jc w:val="center"/>
            </w:pPr>
            <w:r w:rsidRPr="004E6A4A">
              <w:rPr>
                <w:rFonts w:ascii="Times New Roman" w:eastAsia="Times New Roman" w:hAnsi="Times New Roman" w:cs="Times New Roman"/>
                <w:b/>
                <w:sz w:val="20"/>
              </w:rPr>
              <w:t>Definitions</w:t>
            </w:r>
          </w:p>
          <w:p w14:paraId="514D6E9C" w14:textId="77777777" w:rsidR="00FA0CFF" w:rsidRPr="004E6A4A" w:rsidRDefault="00144445">
            <w:pPr>
              <w:jc w:val="both"/>
            </w:pPr>
            <w:r w:rsidRPr="004E6A4A">
              <w:rPr>
                <w:rFonts w:ascii="Times New Roman" w:eastAsia="Times New Roman" w:hAnsi="Times New Roman" w:cs="Times New Roman"/>
                <w:sz w:val="20"/>
              </w:rPr>
              <w:t>33. “Non-reporting financial institution” means any financial institution which is:</w:t>
            </w:r>
          </w:p>
          <w:p w14:paraId="22994A4A" w14:textId="77777777" w:rsidR="00FA0CFF" w:rsidRPr="004E6A4A" w:rsidRDefault="00144445">
            <w:pPr>
              <w:jc w:val="both"/>
            </w:pPr>
            <w:r w:rsidRPr="004E6A4A">
              <w:rPr>
                <w:rFonts w:ascii="Times New Roman" w:eastAsia="Times New Roman" w:hAnsi="Times New Roman" w:cs="Times New Roman"/>
                <w:sz w:val="20"/>
              </w:rPr>
              <w:t>a) a governmental entity, international organisation or central bank, except:</w:t>
            </w:r>
          </w:p>
          <w:p w14:paraId="6DC3B6C5" w14:textId="77777777" w:rsidR="00FA0CFF" w:rsidRPr="004E6A4A" w:rsidRDefault="00144445">
            <w:pPr>
              <w:jc w:val="both"/>
            </w:pPr>
            <w:r w:rsidRPr="004E6A4A">
              <w:rPr>
                <w:rFonts w:ascii="Times New Roman" w:eastAsia="Times New Roman" w:hAnsi="Times New Roman" w:cs="Times New Roman"/>
                <w:sz w:val="20"/>
              </w:rPr>
              <w:t>i) in relation to a payment arising from an obligation held in connection with a commercial financial activity of the type carried on by a specified insurance company, custodial institution or depository institution; or</w:t>
            </w:r>
          </w:p>
          <w:p w14:paraId="0847A51F" w14:textId="77777777" w:rsidR="00FA0CFF" w:rsidRPr="004E6A4A" w:rsidRDefault="00144445">
            <w:pPr>
              <w:jc w:val="both"/>
            </w:pPr>
            <w:r w:rsidRPr="004E6A4A">
              <w:rPr>
                <w:rFonts w:ascii="Times New Roman" w:eastAsia="Times New Roman" w:hAnsi="Times New Roman" w:cs="Times New Roman"/>
                <w:sz w:val="20"/>
              </w:rPr>
              <w:t>ii) in relation to the activity of holding central bank digital currencies for account holders which are not financial institutions, governmental entities, international organisations or central banks;</w:t>
            </w:r>
          </w:p>
          <w:p w14:paraId="3F964BFC" w14:textId="77777777" w:rsidR="00FA0CFF" w:rsidRPr="004E6A4A" w:rsidRDefault="00144445">
            <w:pPr>
              <w:jc w:val="both"/>
            </w:pPr>
            <w:r w:rsidRPr="004E6A4A">
              <w:rPr>
                <w:rFonts w:ascii="Times New Roman" w:eastAsia="Times New Roman" w:hAnsi="Times New Roman" w:cs="Times New Roman"/>
                <w:sz w:val="20"/>
              </w:rPr>
              <w:lastRenderedPageBreak/>
              <w:t>b) a broad participation retirement fund, a narrow participation retirement fund, a pension fund of a governmental entity, international organisation or central bank, or a qualified credit card issuer;</w:t>
            </w:r>
          </w:p>
          <w:p w14:paraId="03EDE575" w14:textId="77777777" w:rsidR="00FA0CFF" w:rsidRPr="004E6A4A" w:rsidRDefault="00144445">
            <w:pPr>
              <w:jc w:val="both"/>
            </w:pPr>
            <w:r w:rsidRPr="004E6A4A">
              <w:rPr>
                <w:rFonts w:ascii="Times New Roman" w:eastAsia="Times New Roman" w:hAnsi="Times New Roman" w:cs="Times New Roman"/>
                <w:sz w:val="20"/>
              </w:rPr>
              <w:t>c) any other entity which presents a low risk of being used for tax evasion, has characteristics substantially similar to the entities described in letters “a” and “b” and is determined by sub-legal act as a non-reporting financial institution and, for the purposes of the European Union profile, is included in the list of non-reporting financial institutions determined under this Law, provided that its status as a non-reporting financial institution does not undermine the purposes of the relevant regime of reporting and automatic exchange of information and, for the purposes of the application of the provisions relating to European Union law, does not undermine the purposes of Directive 2011/16/EU, as amended;</w:t>
            </w:r>
          </w:p>
          <w:p w14:paraId="588863FD" w14:textId="77777777" w:rsidR="00FA0CFF" w:rsidRPr="004E6A4A" w:rsidRDefault="00144445">
            <w:pPr>
              <w:jc w:val="both"/>
            </w:pPr>
            <w:r w:rsidRPr="004E6A4A">
              <w:rPr>
                <w:rFonts w:ascii="Times New Roman" w:eastAsia="Times New Roman" w:hAnsi="Times New Roman" w:cs="Times New Roman"/>
                <w:sz w:val="20"/>
              </w:rPr>
              <w:t>ç) an exempt collective investment vehicle; or</w:t>
            </w:r>
          </w:p>
          <w:p w14:paraId="0370BA61" w14:textId="77777777" w:rsidR="00FA0CFF" w:rsidRPr="004E6A4A" w:rsidRDefault="00144445">
            <w:pPr>
              <w:jc w:val="both"/>
            </w:pPr>
            <w:r w:rsidRPr="004E6A4A">
              <w:rPr>
                <w:rFonts w:ascii="Times New Roman" w:eastAsia="Times New Roman" w:hAnsi="Times New Roman" w:cs="Times New Roman"/>
                <w:sz w:val="20"/>
              </w:rPr>
              <w:t>d) a trust, to the extent that the trustee of the trust is a reporting financial institution and reports all the information required to be reported in accordance with this Law in relation to all the reportable accounts of the trust.</w:t>
            </w:r>
          </w:p>
        </w:tc>
        <w:tc>
          <w:tcPr>
            <w:tcW w:w="1156" w:type="dxa"/>
          </w:tcPr>
          <w:p w14:paraId="6F4D057C" w14:textId="77777777" w:rsidR="004C3BDB" w:rsidRPr="004E6A4A" w:rsidRDefault="004C3BDB" w:rsidP="00C4419F">
            <w:pPr>
              <w:jc w:val="center"/>
              <w:rPr>
                <w:rFonts w:ascii="Times New Roman" w:eastAsia="Calibri" w:hAnsi="Times New Roman" w:cs="Times New Roman"/>
                <w:sz w:val="18"/>
                <w:szCs w:val="18"/>
              </w:rPr>
            </w:pPr>
          </w:p>
          <w:p w14:paraId="5249F8EB" w14:textId="2277F70A"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6AACA1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116DC2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33 of the Draft Law.</w:t>
            </w:r>
          </w:p>
        </w:tc>
      </w:tr>
      <w:tr w:rsidR="004E6A4A" w:rsidRPr="004E6A4A" w14:paraId="70ADCE21" w14:textId="77777777" w:rsidTr="00E11E6D">
        <w:trPr>
          <w:trHeight w:val="764"/>
        </w:trPr>
        <w:tc>
          <w:tcPr>
            <w:tcW w:w="720" w:type="dxa"/>
          </w:tcPr>
          <w:p w14:paraId="5A141B53"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509505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The term “Governmental Entity” means the government of a Member State or other jurisdiction, any political subdivision of a Member State or other jurisdiction (which, for the avoidance of doubt, includes a state, province, county, or municipality), or any wholly owned agency or instrumentality of a Member State or other jurisdiction or of any one or more of the foregoing (each, a “Governmental Entity”). This category is comprised of the integral parts, controlled entities, and political subdivisions of a Member State or other jurisdiction.</w:t>
            </w:r>
          </w:p>
          <w:p w14:paraId="615BD09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 xml:space="preserve">An “integral part” of a Member State or other jurisdiction means any person, organisation, agency, </w:t>
            </w:r>
            <w:r w:rsidRPr="004E6A4A">
              <w:rPr>
                <w:rFonts w:ascii="Times New Roman" w:eastAsia="Times New Roman" w:hAnsi="Times New Roman" w:cs="Times New Roman"/>
                <w:sz w:val="20"/>
                <w:szCs w:val="20"/>
              </w:rPr>
              <w:lastRenderedPageBreak/>
              <w:t>bureau, fund, instrumentality, or other body, however designated, that constitutes a governing authority of a Member State or other jurisdiction. The net earnings of the governing authority must be credited to its own account or to other accounts of the Member State or other jurisdiction, with no portion inuring to the benefit of any private person. An integral part does not include any individual who is a sovereign, official, or administrator acting in a private or personal capacity.</w:t>
            </w:r>
          </w:p>
          <w:p w14:paraId="1A5E8A3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A “controlled entity” means an Entity which is separate in form from the Member State or other jurisdiction or which otherwise constitutes a separate juridical entity, provided that:</w:t>
            </w:r>
          </w:p>
          <w:p w14:paraId="37E9843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Entity is wholly owned and controlled by one or more Governmental Entities directly or through one or more controlled entities;</w:t>
            </w:r>
          </w:p>
          <w:p w14:paraId="14825E8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the Entity's net earnings are credited to its own account or to the accounts of one or more Governmental Entities, with no portion of its income inuring to the benefit of any private person; and</w:t>
            </w:r>
          </w:p>
          <w:p w14:paraId="6871BA2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the Entity's assets vest in one or more Governmental Entities upon dissolution.</w:t>
            </w:r>
          </w:p>
          <w:p w14:paraId="6E00860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Income does not inure to the benefit of private persons if such persons are the intended beneficiaries of a governmental programme, and the programme activities are performed for the general public with respect to the common welfare or relate to the administration of some phase of government. Notwithstanding the fore going, however, income is considered to inure to the benefit of private persons if the income is derived from the use of a Governmental Entity to conduct a commercial business, such as a commercial banking business, that provides financial services to private persons.</w:t>
            </w:r>
          </w:p>
        </w:tc>
        <w:tc>
          <w:tcPr>
            <w:tcW w:w="1080" w:type="dxa"/>
          </w:tcPr>
          <w:p w14:paraId="6E0CD61F"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D7F4604"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523668F"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A223A83" w14:textId="77777777" w:rsidR="00FA0CFF" w:rsidRPr="004E6A4A" w:rsidRDefault="00144445">
            <w:pPr>
              <w:jc w:val="center"/>
            </w:pPr>
            <w:r w:rsidRPr="004E6A4A">
              <w:rPr>
                <w:rFonts w:ascii="Times New Roman" w:eastAsia="Times New Roman" w:hAnsi="Times New Roman" w:cs="Times New Roman"/>
                <w:b/>
                <w:sz w:val="20"/>
              </w:rPr>
              <w:t>Definitions</w:t>
            </w:r>
          </w:p>
          <w:p w14:paraId="6E2BA720" w14:textId="77777777" w:rsidR="00FA0CFF" w:rsidRPr="004E6A4A" w:rsidRDefault="00144445">
            <w:pPr>
              <w:jc w:val="both"/>
            </w:pPr>
            <w:r w:rsidRPr="004E6A4A">
              <w:rPr>
                <w:rFonts w:ascii="Times New Roman" w:eastAsia="Times New Roman" w:hAnsi="Times New Roman" w:cs="Times New Roman"/>
                <w:sz w:val="20"/>
              </w:rPr>
              <w:t>61. “Governmental entity” means the government of a jurisdiction, any political subdivision of a jurisdiction, which includes the State, the province, the county or the municipality, or any agency or instrumentality wholly owned by the jurisdiction or by one or more of the foregoing, each of which constitutes a “governmental entity”. That category consists of the integral parts, controlled entities and political subdivisions of a jurisdiction.</w:t>
            </w:r>
          </w:p>
          <w:p w14:paraId="1BB77A47" w14:textId="77777777" w:rsidR="00FA0CFF" w:rsidRPr="004E6A4A" w:rsidRDefault="00144445">
            <w:pPr>
              <w:jc w:val="both"/>
            </w:pPr>
            <w:r w:rsidRPr="004E6A4A">
              <w:rPr>
                <w:rFonts w:ascii="Times New Roman" w:eastAsia="Times New Roman" w:hAnsi="Times New Roman" w:cs="Times New Roman"/>
                <w:sz w:val="20"/>
              </w:rPr>
              <w:t xml:space="preserve">a) An “integral part” of a jurisdiction means any person, organisation, agency, bureau, fund, </w:t>
            </w:r>
            <w:r w:rsidRPr="004E6A4A">
              <w:rPr>
                <w:rFonts w:ascii="Times New Roman" w:eastAsia="Times New Roman" w:hAnsi="Times New Roman" w:cs="Times New Roman"/>
                <w:sz w:val="20"/>
              </w:rPr>
              <w:lastRenderedPageBreak/>
              <w:t>instrumentality or other body, whatever its designation, which constitutes a governing authority of a jurisdiction. The net earnings of the governing authority must be credited to its own account or to other accounts of the jurisdiction, with no portion thereof inuring to the benefit of any private person. An integral part does not include any individual who may be a sovereign, official or administrator acting in a private or personal capacity.</w:t>
            </w:r>
          </w:p>
          <w:p w14:paraId="68DAAED0" w14:textId="77777777" w:rsidR="00FA0CFF" w:rsidRPr="004E6A4A" w:rsidRDefault="00144445">
            <w:pPr>
              <w:jc w:val="both"/>
            </w:pPr>
            <w:r w:rsidRPr="004E6A4A">
              <w:rPr>
                <w:rFonts w:ascii="Times New Roman" w:eastAsia="Times New Roman" w:hAnsi="Times New Roman" w:cs="Times New Roman"/>
                <w:sz w:val="20"/>
              </w:rPr>
              <w:t>b) A “controlled entity” means an entity which is separate in form from the jurisdiction or which otherwise constitutes a separate juridical entity, provided that:</w:t>
            </w:r>
          </w:p>
          <w:p w14:paraId="2871442B" w14:textId="77777777" w:rsidR="00FA0CFF" w:rsidRPr="004E6A4A" w:rsidRDefault="00144445">
            <w:pPr>
              <w:jc w:val="both"/>
            </w:pPr>
            <w:r w:rsidRPr="004E6A4A">
              <w:rPr>
                <w:rFonts w:ascii="Times New Roman" w:eastAsia="Times New Roman" w:hAnsi="Times New Roman" w:cs="Times New Roman"/>
                <w:sz w:val="20"/>
              </w:rPr>
              <w:t>i) the entity is wholly owned or controlled by one or more governmental entities, directly or through one or more controlled entities;</w:t>
            </w:r>
          </w:p>
          <w:p w14:paraId="1C5100F6" w14:textId="77777777" w:rsidR="00FA0CFF" w:rsidRPr="004E6A4A" w:rsidRDefault="00144445">
            <w:pPr>
              <w:jc w:val="both"/>
            </w:pPr>
            <w:r w:rsidRPr="004E6A4A">
              <w:rPr>
                <w:rFonts w:ascii="Times New Roman" w:eastAsia="Times New Roman" w:hAnsi="Times New Roman" w:cs="Times New Roman"/>
                <w:sz w:val="20"/>
              </w:rPr>
              <w:t>ii) the net earnings of the entity are credited to its own account or to the accounts of one or more governmental entities, with no portion thereof inuring to the benefit of any private person; and</w:t>
            </w:r>
          </w:p>
          <w:p w14:paraId="6A9EA0F3" w14:textId="77777777" w:rsidR="00FA0CFF" w:rsidRPr="004E6A4A" w:rsidRDefault="00144445">
            <w:pPr>
              <w:jc w:val="both"/>
            </w:pPr>
            <w:r w:rsidRPr="004E6A4A">
              <w:rPr>
                <w:rFonts w:ascii="Times New Roman" w:eastAsia="Times New Roman" w:hAnsi="Times New Roman" w:cs="Times New Roman"/>
                <w:sz w:val="20"/>
              </w:rPr>
              <w:t>iii) upon dissolution, the assets of the entity vest in one or more governmental entities.</w:t>
            </w:r>
          </w:p>
          <w:p w14:paraId="62918455" w14:textId="77777777" w:rsidR="00FA0CFF" w:rsidRPr="004E6A4A" w:rsidRDefault="00144445">
            <w:pPr>
              <w:jc w:val="both"/>
            </w:pPr>
            <w:r w:rsidRPr="004E6A4A">
              <w:rPr>
                <w:rFonts w:ascii="Times New Roman" w:eastAsia="Times New Roman" w:hAnsi="Times New Roman" w:cs="Times New Roman"/>
                <w:sz w:val="20"/>
              </w:rPr>
              <w:t>c) Income shall not be considered to inure to the benefit of private persons if those persons are the intended beneficiaries of a governmental programme and the activities of the programme are carried out for the general public for the common welfare or relate to the administration of some phase of government. However, notwithstanding the foregoing, income shall be considered to inure to the benefit of private persons if the income results from the use of a governmental entity to carry on a commercial activity, such as commercial banking business providing financial services to private persons.</w:t>
            </w:r>
          </w:p>
        </w:tc>
        <w:tc>
          <w:tcPr>
            <w:tcW w:w="1156" w:type="dxa"/>
          </w:tcPr>
          <w:p w14:paraId="6B42FEA0" w14:textId="77777777" w:rsidR="004C3BDB" w:rsidRPr="004E6A4A" w:rsidRDefault="004C3BDB" w:rsidP="00C4419F">
            <w:pPr>
              <w:jc w:val="center"/>
              <w:rPr>
                <w:rFonts w:ascii="Times New Roman" w:eastAsia="Calibri" w:hAnsi="Times New Roman" w:cs="Times New Roman"/>
                <w:sz w:val="18"/>
                <w:szCs w:val="18"/>
              </w:rPr>
            </w:pPr>
          </w:p>
          <w:p w14:paraId="29FEB118" w14:textId="31F3A663"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38EACF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38E2B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61 of the Draft Law.</w:t>
            </w:r>
          </w:p>
        </w:tc>
      </w:tr>
      <w:tr w:rsidR="004E6A4A" w:rsidRPr="004E6A4A" w14:paraId="739FAF30" w14:textId="77777777" w:rsidTr="00E11E6D">
        <w:trPr>
          <w:trHeight w:val="764"/>
        </w:trPr>
        <w:tc>
          <w:tcPr>
            <w:tcW w:w="720" w:type="dxa"/>
          </w:tcPr>
          <w:p w14:paraId="56C9B6E2"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024576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 xml:space="preserve">The term “International Organisation” means any international organisation or wholly owned agency or instru mentality thereof. This category includes any </w:t>
            </w:r>
            <w:r w:rsidRPr="004E6A4A">
              <w:rPr>
                <w:rFonts w:ascii="Times New Roman" w:eastAsia="Times New Roman" w:hAnsi="Times New Roman" w:cs="Times New Roman"/>
                <w:sz w:val="20"/>
                <w:szCs w:val="20"/>
              </w:rPr>
              <w:lastRenderedPageBreak/>
              <w:t>intergovernmental organisation (including a supranational organisation) (i) that is comprised primarily of governments; (ii) that has in effect a headquarters or substantially similar agreement with the Member State; and (iii) the income of which does not inure to the benefit of private persons.</w:t>
            </w:r>
          </w:p>
        </w:tc>
        <w:tc>
          <w:tcPr>
            <w:tcW w:w="1080" w:type="dxa"/>
          </w:tcPr>
          <w:p w14:paraId="43145B9A"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F0B0DB7"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D38DDDC"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9A40E8D" w14:textId="77777777" w:rsidR="00FA0CFF" w:rsidRPr="004E6A4A" w:rsidRDefault="00144445">
            <w:pPr>
              <w:jc w:val="center"/>
            </w:pPr>
            <w:r w:rsidRPr="004E6A4A">
              <w:rPr>
                <w:rFonts w:ascii="Times New Roman" w:eastAsia="Times New Roman" w:hAnsi="Times New Roman" w:cs="Times New Roman"/>
                <w:b/>
                <w:sz w:val="20"/>
              </w:rPr>
              <w:t>Definitions</w:t>
            </w:r>
          </w:p>
          <w:p w14:paraId="15CEF198" w14:textId="77777777" w:rsidR="00FA0CFF" w:rsidRPr="004E6A4A" w:rsidRDefault="00144445">
            <w:pPr>
              <w:jc w:val="both"/>
            </w:pPr>
            <w:r w:rsidRPr="004E6A4A">
              <w:rPr>
                <w:rFonts w:ascii="Times New Roman" w:eastAsia="Times New Roman" w:hAnsi="Times New Roman" w:cs="Times New Roman"/>
                <w:sz w:val="20"/>
              </w:rPr>
              <w:lastRenderedPageBreak/>
              <w:t>62. “International organisation” means any international organisation or agency or instrumentality wholly owned by it. That category includes any intergovernmental organisation, including supranational organisations:</w:t>
            </w:r>
          </w:p>
          <w:p w14:paraId="3F171ACD" w14:textId="77777777" w:rsidR="00FA0CFF" w:rsidRPr="004E6A4A" w:rsidRDefault="00144445">
            <w:pPr>
              <w:jc w:val="both"/>
            </w:pPr>
            <w:r w:rsidRPr="004E6A4A">
              <w:rPr>
                <w:rFonts w:ascii="Times New Roman" w:eastAsia="Times New Roman" w:hAnsi="Times New Roman" w:cs="Times New Roman"/>
                <w:sz w:val="20"/>
              </w:rPr>
              <w:t>a) which is comprised primarily of governments;</w:t>
            </w:r>
          </w:p>
          <w:p w14:paraId="746C085B" w14:textId="77777777" w:rsidR="00FA0CFF" w:rsidRPr="004E6A4A" w:rsidRDefault="00144445">
            <w:pPr>
              <w:jc w:val="both"/>
            </w:pPr>
            <w:r w:rsidRPr="004E6A4A">
              <w:rPr>
                <w:rFonts w:ascii="Times New Roman" w:eastAsia="Times New Roman" w:hAnsi="Times New Roman" w:cs="Times New Roman"/>
                <w:sz w:val="20"/>
              </w:rPr>
              <w:t>b) which has in effect a headquarters agreement or a substantially similar agreement with the jurisdiction; and</w:t>
            </w:r>
          </w:p>
          <w:p w14:paraId="6F897BC0" w14:textId="77777777" w:rsidR="00FA0CFF" w:rsidRPr="004E6A4A" w:rsidRDefault="00144445">
            <w:pPr>
              <w:jc w:val="both"/>
            </w:pPr>
            <w:r w:rsidRPr="004E6A4A">
              <w:rPr>
                <w:rFonts w:ascii="Times New Roman" w:eastAsia="Times New Roman" w:hAnsi="Times New Roman" w:cs="Times New Roman"/>
                <w:sz w:val="20"/>
              </w:rPr>
              <w:t>c) the income of which does not inure to the benefit of private persons.</w:t>
            </w:r>
          </w:p>
        </w:tc>
        <w:tc>
          <w:tcPr>
            <w:tcW w:w="1156" w:type="dxa"/>
          </w:tcPr>
          <w:p w14:paraId="4410865A" w14:textId="77777777" w:rsidR="004C3BDB" w:rsidRPr="004E6A4A" w:rsidRDefault="004C3BDB" w:rsidP="00C4419F">
            <w:pPr>
              <w:jc w:val="center"/>
              <w:rPr>
                <w:rFonts w:ascii="Times New Roman" w:eastAsia="Calibri" w:hAnsi="Times New Roman" w:cs="Times New Roman"/>
                <w:sz w:val="18"/>
                <w:szCs w:val="18"/>
              </w:rPr>
            </w:pPr>
          </w:p>
          <w:p w14:paraId="1335E6FC" w14:textId="40C7979F"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85D55C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FB0BC2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62 of the Draft Law.</w:t>
            </w:r>
          </w:p>
        </w:tc>
      </w:tr>
      <w:tr w:rsidR="004E6A4A" w:rsidRPr="004E6A4A" w14:paraId="1FFC31BF" w14:textId="77777777" w:rsidTr="00E11E6D">
        <w:trPr>
          <w:trHeight w:val="764"/>
        </w:trPr>
        <w:tc>
          <w:tcPr>
            <w:tcW w:w="720" w:type="dxa"/>
          </w:tcPr>
          <w:p w14:paraId="5010A7F1"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A3051C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The term “Central Bank” means an institution that is by law or government sanction the principal authority, other than the government of the Member State itself, issuing instruments intended to circulate as currency. Such an institution may include an instrumentality that is separate from the government of the Member State, whether or not owned in whole or in part by the Member State.</w:t>
            </w:r>
          </w:p>
        </w:tc>
        <w:tc>
          <w:tcPr>
            <w:tcW w:w="1080" w:type="dxa"/>
          </w:tcPr>
          <w:p w14:paraId="032F9985"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4213525"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ABF3A0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5230C58" w14:textId="77777777" w:rsidR="00FA0CFF" w:rsidRPr="004E6A4A" w:rsidRDefault="00144445">
            <w:pPr>
              <w:jc w:val="center"/>
            </w:pPr>
            <w:r w:rsidRPr="004E6A4A">
              <w:rPr>
                <w:rFonts w:ascii="Times New Roman" w:eastAsia="Times New Roman" w:hAnsi="Times New Roman" w:cs="Times New Roman"/>
                <w:b/>
                <w:sz w:val="20"/>
              </w:rPr>
              <w:t>Definitions</w:t>
            </w:r>
          </w:p>
          <w:p w14:paraId="6C9D5CF7" w14:textId="77777777" w:rsidR="00FA0CFF" w:rsidRPr="004E6A4A" w:rsidRDefault="00144445">
            <w:pPr>
              <w:jc w:val="both"/>
            </w:pPr>
            <w:r w:rsidRPr="004E6A4A">
              <w:rPr>
                <w:rFonts w:ascii="Times New Roman" w:eastAsia="Times New Roman" w:hAnsi="Times New Roman" w:cs="Times New Roman"/>
                <w:sz w:val="20"/>
              </w:rPr>
              <w:t>22. “Central bank” has the same meaning as that determined in the law “On the automatic exchange of information on crypto-assets”.</w:t>
            </w:r>
          </w:p>
        </w:tc>
        <w:tc>
          <w:tcPr>
            <w:tcW w:w="1156" w:type="dxa"/>
          </w:tcPr>
          <w:p w14:paraId="47C46EAB" w14:textId="4794DCF8" w:rsidR="000A21ED" w:rsidRPr="004E6A4A" w:rsidRDefault="004C3BDB"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C04572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D8F804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22 of the Draft Law.</w:t>
            </w:r>
          </w:p>
        </w:tc>
      </w:tr>
      <w:tr w:rsidR="004E6A4A" w:rsidRPr="004E6A4A" w14:paraId="26E7C72D" w14:textId="77777777" w:rsidTr="00E11E6D">
        <w:trPr>
          <w:trHeight w:val="764"/>
        </w:trPr>
        <w:tc>
          <w:tcPr>
            <w:tcW w:w="720" w:type="dxa"/>
          </w:tcPr>
          <w:p w14:paraId="290D313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0539F8C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The term “Broad Participation Retirement Fund” means a fund established to provide retirement, disability, or death benefits, or any combination thereof, to beneficiaries who are current or former employees (or persons designated by such employees) of one or more employers in consideration for services rendered, provided that the fund:</w:t>
            </w:r>
          </w:p>
          <w:p w14:paraId="1C0A501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does not have a single beneficiary with a right to more than 5 % of the fund's assets;</w:t>
            </w:r>
          </w:p>
          <w:p w14:paraId="52AFAC7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is subject to government regulation and provides information reporting to the tax authorities; and</w:t>
            </w:r>
          </w:p>
          <w:p w14:paraId="3877515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satisfies at least one of the following requirements:</w:t>
            </w:r>
          </w:p>
          <w:p w14:paraId="5477DB0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fund is generally exempt from tax on investment income, or taxation of such income is deferred or taxed at a reduced rate, due to its status as a retirement or pension plan;</w:t>
            </w:r>
          </w:p>
          <w:p w14:paraId="151AA1B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(ii)</w:t>
            </w:r>
            <w:r w:rsidRPr="004E6A4A">
              <w:rPr>
                <w:rFonts w:ascii="Times New Roman" w:eastAsia="Times New Roman" w:hAnsi="Times New Roman" w:cs="Times New Roman"/>
                <w:sz w:val="20"/>
                <w:szCs w:val="20"/>
              </w:rPr>
              <w:tab/>
              <w:t>the fund receives at least 50 % of its total contributions (other than transfers of assets from other plans described in subparagraphs B(5) through (7) or from retirement and pension accounts described in sub paragraph C(17)(a)) from the sponsoring employers;</w:t>
            </w:r>
          </w:p>
          <w:p w14:paraId="39BBB5B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distributions or withdrawals from the fund are allowed only upon the occurrence of specified events related to retirement, disability, or death (except rollover distributions to other retirement funds described in subparagraphs B(5) through (7) or retirement and pension accounts described in subparagraph C(17)(a)), or penalties apply to distributions or withdrawals made before such specified events; or</w:t>
            </w:r>
          </w:p>
          <w:p w14:paraId="7136F0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contributions (other than certain permitted make-up contributions) by employees to the fund are limited by reference to earned income of the employee or may not exceed, annually, an amount denominated in the domestic currency of each Member State that corresponds to USD 50 000, applying the rules set forth in paragraph C of Section VII for account aggregation and currency translation.</w:t>
            </w:r>
          </w:p>
        </w:tc>
        <w:tc>
          <w:tcPr>
            <w:tcW w:w="1080" w:type="dxa"/>
          </w:tcPr>
          <w:p w14:paraId="485BB107"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0A3320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3A58E8D"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615A9C26" w14:textId="77777777" w:rsidR="00FA0CFF" w:rsidRPr="004E6A4A" w:rsidRDefault="00144445">
            <w:pPr>
              <w:jc w:val="center"/>
            </w:pPr>
            <w:r w:rsidRPr="004E6A4A">
              <w:rPr>
                <w:rFonts w:ascii="Times New Roman" w:eastAsia="Times New Roman" w:hAnsi="Times New Roman" w:cs="Times New Roman"/>
                <w:b/>
                <w:sz w:val="20"/>
              </w:rPr>
              <w:t>Definitions</w:t>
            </w:r>
          </w:p>
          <w:p w14:paraId="6C255157" w14:textId="77777777" w:rsidR="00FA0CFF" w:rsidRPr="004E6A4A" w:rsidRDefault="00144445">
            <w:pPr>
              <w:jc w:val="both"/>
            </w:pPr>
            <w:r w:rsidRPr="004E6A4A">
              <w:rPr>
                <w:rFonts w:ascii="Times New Roman" w:eastAsia="Times New Roman" w:hAnsi="Times New Roman" w:cs="Times New Roman"/>
                <w:sz w:val="20"/>
              </w:rPr>
              <w:t>28. "Broad participation retirement fund" means a fund established to provide retirement, disability or death benefits, or any combination thereof, to beneficiaries who are current or former employees, or persons designated by those employees, of one or more employers, in consideration of services performed, provided that the fund:</w:t>
            </w:r>
          </w:p>
          <w:p w14:paraId="6EAE7A41" w14:textId="77777777" w:rsidR="00FA0CFF" w:rsidRPr="004E6A4A" w:rsidRDefault="00144445">
            <w:pPr>
              <w:jc w:val="both"/>
            </w:pPr>
            <w:r w:rsidRPr="004E6A4A">
              <w:rPr>
                <w:rFonts w:ascii="Times New Roman" w:eastAsia="Times New Roman" w:hAnsi="Times New Roman" w:cs="Times New Roman"/>
                <w:sz w:val="20"/>
              </w:rPr>
              <w:t>a) does not have a single beneficiary with a right to more than 5 per cent of the fund's assets;</w:t>
            </w:r>
          </w:p>
          <w:p w14:paraId="3694EEFF" w14:textId="77777777" w:rsidR="00FA0CFF" w:rsidRPr="004E6A4A" w:rsidRDefault="00144445">
            <w:pPr>
              <w:jc w:val="both"/>
            </w:pPr>
            <w:r w:rsidRPr="004E6A4A">
              <w:rPr>
                <w:rFonts w:ascii="Times New Roman" w:eastAsia="Times New Roman" w:hAnsi="Times New Roman" w:cs="Times New Roman"/>
                <w:sz w:val="20"/>
              </w:rPr>
              <w:t>b) is subject to government regulation and reports information to the tax authorities; and</w:t>
            </w:r>
          </w:p>
          <w:p w14:paraId="0AA18F52" w14:textId="77777777" w:rsidR="00FA0CFF" w:rsidRPr="004E6A4A" w:rsidRDefault="00144445">
            <w:pPr>
              <w:jc w:val="both"/>
            </w:pPr>
            <w:r w:rsidRPr="004E6A4A">
              <w:rPr>
                <w:rFonts w:ascii="Times New Roman" w:eastAsia="Times New Roman" w:hAnsi="Times New Roman" w:cs="Times New Roman"/>
                <w:sz w:val="20"/>
              </w:rPr>
              <w:t>c) fulfils at least one of the following criteria:</w:t>
            </w:r>
          </w:p>
          <w:p w14:paraId="7303F8BB" w14:textId="77777777" w:rsidR="00FA0CFF" w:rsidRPr="004E6A4A" w:rsidRDefault="00144445">
            <w:pPr>
              <w:jc w:val="both"/>
            </w:pPr>
            <w:r w:rsidRPr="004E6A4A">
              <w:rPr>
                <w:rFonts w:ascii="Times New Roman" w:eastAsia="Times New Roman" w:hAnsi="Times New Roman" w:cs="Times New Roman"/>
                <w:sz w:val="20"/>
              </w:rPr>
              <w:t>i) the fund is generally exempt from tax on investment income, or taxation of such income is deferred or applied at a reduced rate, by reason of its status as a retirement fund;</w:t>
            </w:r>
          </w:p>
          <w:p w14:paraId="7A6A03C2" w14:textId="77777777" w:rsidR="00FA0CFF" w:rsidRPr="004E6A4A" w:rsidRDefault="00144445">
            <w:pPr>
              <w:jc w:val="both"/>
            </w:pPr>
            <w:r w:rsidRPr="004E6A4A">
              <w:rPr>
                <w:rFonts w:ascii="Times New Roman" w:eastAsia="Times New Roman" w:hAnsi="Times New Roman" w:cs="Times New Roman"/>
                <w:sz w:val="20"/>
              </w:rPr>
              <w:lastRenderedPageBreak/>
              <w:t>ii) the fund receives at least 50 per cent of its total contributions, other than transfers of assets from other retirement funds described in this Law or from old-age pension or retirement accounts, from the sponsoring employers;</w:t>
            </w:r>
          </w:p>
          <w:p w14:paraId="501F23FC" w14:textId="77777777" w:rsidR="00FA0CFF" w:rsidRPr="004E6A4A" w:rsidRDefault="00144445">
            <w:pPr>
              <w:jc w:val="both"/>
            </w:pPr>
            <w:r w:rsidRPr="004E6A4A">
              <w:rPr>
                <w:rFonts w:ascii="Times New Roman" w:eastAsia="Times New Roman" w:hAnsi="Times New Roman" w:cs="Times New Roman"/>
                <w:sz w:val="20"/>
              </w:rPr>
              <w:t>iii) distributions or withdrawals from the fund are allowed only if specified events relating to retirement, disability or death occur, with the exception of distributions which are reinvested in other retirement funds or in old-age pension or retirement accounts, or, in the case of distributions or withdrawals made before those events, penalties apply; or</w:t>
            </w:r>
          </w:p>
          <w:p w14:paraId="55B453C9" w14:textId="77777777" w:rsidR="00FA0CFF" w:rsidRPr="004E6A4A" w:rsidRDefault="00144445">
            <w:pPr>
              <w:jc w:val="both"/>
            </w:pPr>
            <w:r w:rsidRPr="004E6A4A">
              <w:rPr>
                <w:rFonts w:ascii="Times New Roman" w:eastAsia="Times New Roman" w:hAnsi="Times New Roman" w:cs="Times New Roman"/>
                <w:sz w:val="20"/>
              </w:rPr>
              <w:t>iv) contributions by employees to the fund, with the exception of certain permitted make-up contributions, are limited by reference to the employee's earned income or may not exceed USD 50 000 per year, applying the rules for the aggregation of accounts and the conversion of currency determined in this Law..</w:t>
            </w:r>
          </w:p>
        </w:tc>
        <w:tc>
          <w:tcPr>
            <w:tcW w:w="1156" w:type="dxa"/>
          </w:tcPr>
          <w:p w14:paraId="2E1802B5" w14:textId="77777777" w:rsidR="00A85C2A" w:rsidRPr="004E6A4A" w:rsidRDefault="00A85C2A" w:rsidP="00C4419F">
            <w:pPr>
              <w:jc w:val="center"/>
              <w:rPr>
                <w:rFonts w:ascii="Times New Roman" w:eastAsia="Calibri" w:hAnsi="Times New Roman" w:cs="Times New Roman"/>
                <w:sz w:val="18"/>
                <w:szCs w:val="18"/>
              </w:rPr>
            </w:pPr>
          </w:p>
          <w:p w14:paraId="5211CCCA" w14:textId="79362AE1"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1FF2CA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561967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28 of the Draft Law.</w:t>
            </w:r>
          </w:p>
        </w:tc>
      </w:tr>
      <w:tr w:rsidR="004E6A4A" w:rsidRPr="004E6A4A" w14:paraId="173CE67B" w14:textId="77777777" w:rsidTr="00E11E6D">
        <w:trPr>
          <w:trHeight w:val="764"/>
        </w:trPr>
        <w:tc>
          <w:tcPr>
            <w:tcW w:w="720" w:type="dxa"/>
          </w:tcPr>
          <w:p w14:paraId="24D0D8B3"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BD6B7E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The term “Narrow Participation Retirement Fund” means a fund established to provide retirement, disability, or death benefits to beneficiaries who are current or former employees (or persons designated by such employees) of one or more employers in consideration for services rendered, provided that:</w:t>
            </w:r>
          </w:p>
          <w:p w14:paraId="775A649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fund has fewer than 50 participants;</w:t>
            </w:r>
          </w:p>
          <w:p w14:paraId="61D129D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fund is sponsored by one or more employers that are not Investment Entities or Passive NFEs;</w:t>
            </w:r>
          </w:p>
          <w:p w14:paraId="303F70E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the employee and employer contributions to the fund (other than transfers of assets from retirement and pension accounts described in subparagraph C(17)(a)) are limited by reference to earned income and compen sation of the employee, respectively;</w:t>
            </w:r>
          </w:p>
          <w:p w14:paraId="0CDC210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(d)</w:t>
            </w:r>
            <w:r w:rsidRPr="004E6A4A">
              <w:rPr>
                <w:rFonts w:ascii="Times New Roman" w:eastAsia="Times New Roman" w:hAnsi="Times New Roman" w:cs="Times New Roman"/>
                <w:sz w:val="20"/>
                <w:szCs w:val="20"/>
              </w:rPr>
              <w:tab/>
              <w:t>participants that are not residents of the Member State in which the fund is established are not entitled to more than 20 % of the fund's assets; and</w:t>
            </w:r>
          </w:p>
          <w:p w14:paraId="73EC80E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the fund is subject to government regulation and provides information reporting to the tax authorities.</w:t>
            </w:r>
          </w:p>
        </w:tc>
        <w:tc>
          <w:tcPr>
            <w:tcW w:w="1080" w:type="dxa"/>
          </w:tcPr>
          <w:p w14:paraId="17DF74DF"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2934F3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319286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730E4FF" w14:textId="77777777" w:rsidR="00FA0CFF" w:rsidRPr="004E6A4A" w:rsidRDefault="00144445">
            <w:pPr>
              <w:jc w:val="center"/>
            </w:pPr>
            <w:r w:rsidRPr="004E6A4A">
              <w:rPr>
                <w:rFonts w:ascii="Times New Roman" w:eastAsia="Times New Roman" w:hAnsi="Times New Roman" w:cs="Times New Roman"/>
                <w:b/>
                <w:sz w:val="20"/>
              </w:rPr>
              <w:t>Definitions</w:t>
            </w:r>
          </w:p>
          <w:p w14:paraId="79CDC6BA" w14:textId="77777777" w:rsidR="00FA0CFF" w:rsidRPr="004E6A4A" w:rsidRDefault="00144445">
            <w:pPr>
              <w:jc w:val="both"/>
            </w:pPr>
            <w:r w:rsidRPr="004E6A4A">
              <w:rPr>
                <w:rFonts w:ascii="Times New Roman" w:eastAsia="Times New Roman" w:hAnsi="Times New Roman" w:cs="Times New Roman"/>
                <w:sz w:val="20"/>
              </w:rPr>
              <w:t>29. “Narrow participation retirement fund” means a fund established to provide retirement, disability or survivor benefits to beneficiaries who are current or former employees, or persons designated by those employees, of one or more employers, in consideration of services performed, provided that:</w:t>
            </w:r>
          </w:p>
          <w:p w14:paraId="664DC155" w14:textId="77777777" w:rsidR="00FA0CFF" w:rsidRPr="004E6A4A" w:rsidRDefault="00144445">
            <w:pPr>
              <w:jc w:val="both"/>
            </w:pPr>
            <w:r w:rsidRPr="004E6A4A">
              <w:rPr>
                <w:rFonts w:ascii="Times New Roman" w:eastAsia="Times New Roman" w:hAnsi="Times New Roman" w:cs="Times New Roman"/>
                <w:sz w:val="20"/>
              </w:rPr>
              <w:t>a) the fund has fewer than 50 participants;</w:t>
            </w:r>
          </w:p>
          <w:p w14:paraId="4FFECC25" w14:textId="77777777" w:rsidR="00FA0CFF" w:rsidRPr="004E6A4A" w:rsidRDefault="00144445">
            <w:pPr>
              <w:jc w:val="both"/>
            </w:pPr>
            <w:r w:rsidRPr="004E6A4A">
              <w:rPr>
                <w:rFonts w:ascii="Times New Roman" w:eastAsia="Times New Roman" w:hAnsi="Times New Roman" w:cs="Times New Roman"/>
                <w:sz w:val="20"/>
              </w:rPr>
              <w:t>b) the fund is sponsored by one or more employers which are not investment entities or Passive NFEs;</w:t>
            </w:r>
          </w:p>
          <w:p w14:paraId="7CEA815A" w14:textId="77777777" w:rsidR="00FA0CFF" w:rsidRPr="004E6A4A" w:rsidRDefault="00144445">
            <w:pPr>
              <w:jc w:val="both"/>
            </w:pPr>
            <w:r w:rsidRPr="004E6A4A">
              <w:rPr>
                <w:rFonts w:ascii="Times New Roman" w:eastAsia="Times New Roman" w:hAnsi="Times New Roman" w:cs="Times New Roman"/>
                <w:sz w:val="20"/>
              </w:rPr>
              <w:t>c) the contributions of the employee and of the employer to the fund, with the exception of transfers of assets from retirement or pension accounts, are limited by reference to the earned income and the compensation of the employee respectively;</w:t>
            </w:r>
          </w:p>
          <w:p w14:paraId="4B7158B3" w14:textId="77777777" w:rsidR="00FA0CFF" w:rsidRPr="004E6A4A" w:rsidRDefault="00144445">
            <w:pPr>
              <w:jc w:val="both"/>
            </w:pPr>
            <w:r w:rsidRPr="004E6A4A">
              <w:rPr>
                <w:rFonts w:ascii="Times New Roman" w:eastAsia="Times New Roman" w:hAnsi="Times New Roman" w:cs="Times New Roman"/>
                <w:sz w:val="20"/>
              </w:rPr>
              <w:lastRenderedPageBreak/>
              <w:t>ç) participants who are not residents of the jurisdiction in which the fund is established are not entitled to more than 20 per cent of the fund's assets; and</w:t>
            </w:r>
          </w:p>
          <w:p w14:paraId="5664A05F" w14:textId="77777777" w:rsidR="00FA0CFF" w:rsidRPr="004E6A4A" w:rsidRDefault="00144445">
            <w:pPr>
              <w:jc w:val="both"/>
            </w:pPr>
            <w:r w:rsidRPr="004E6A4A">
              <w:rPr>
                <w:rFonts w:ascii="Times New Roman" w:eastAsia="Times New Roman" w:hAnsi="Times New Roman" w:cs="Times New Roman"/>
                <w:sz w:val="20"/>
              </w:rPr>
              <w:t>d) the fund is subject to government regulation and reports information to the tax authority.</w:t>
            </w:r>
          </w:p>
        </w:tc>
        <w:tc>
          <w:tcPr>
            <w:tcW w:w="1156" w:type="dxa"/>
          </w:tcPr>
          <w:p w14:paraId="3AC7D492" w14:textId="77777777" w:rsidR="00A85C2A" w:rsidRPr="004E6A4A" w:rsidRDefault="00A85C2A" w:rsidP="00C4419F">
            <w:pPr>
              <w:jc w:val="center"/>
              <w:rPr>
                <w:rFonts w:ascii="Times New Roman" w:eastAsia="Calibri" w:hAnsi="Times New Roman" w:cs="Times New Roman"/>
                <w:sz w:val="18"/>
                <w:szCs w:val="18"/>
              </w:rPr>
            </w:pPr>
          </w:p>
          <w:p w14:paraId="4A8F5B6E" w14:textId="0F57EA65"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D69321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7B313B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29 of the Draft Law.</w:t>
            </w:r>
          </w:p>
        </w:tc>
      </w:tr>
      <w:tr w:rsidR="004E6A4A" w:rsidRPr="004E6A4A" w14:paraId="224E1CB3" w14:textId="77777777" w:rsidTr="00E11E6D">
        <w:trPr>
          <w:trHeight w:val="764"/>
        </w:trPr>
        <w:tc>
          <w:tcPr>
            <w:tcW w:w="720" w:type="dxa"/>
          </w:tcPr>
          <w:p w14:paraId="1662BCE6"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C0917D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The term “Pension Fund of a Governmental Entity, International Organisation or Central Bank” means a fund established by a Governmental Entity, International Organisation or Central Bank to provide retirement, disability, or death benefits to beneficiaries or participants who are current or former employees (or persons designated by such employees), or who are not current or former employees, if the benefits provided to such beneficiaries or participants are in consideration of personal services performed for the Governmental Entity, International Organ isation or Central Bank.</w:t>
            </w:r>
          </w:p>
        </w:tc>
        <w:tc>
          <w:tcPr>
            <w:tcW w:w="1080" w:type="dxa"/>
          </w:tcPr>
          <w:p w14:paraId="3BB8737B"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E32F6D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3E49FB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4D139E8" w14:textId="77777777" w:rsidR="00FA0CFF" w:rsidRPr="004E6A4A" w:rsidRDefault="00144445">
            <w:pPr>
              <w:jc w:val="center"/>
            </w:pPr>
            <w:r w:rsidRPr="004E6A4A">
              <w:rPr>
                <w:rFonts w:ascii="Times New Roman" w:eastAsia="Times New Roman" w:hAnsi="Times New Roman" w:cs="Times New Roman"/>
                <w:b/>
                <w:sz w:val="20"/>
              </w:rPr>
              <w:t>Definitions</w:t>
            </w:r>
          </w:p>
          <w:p w14:paraId="09A732C1" w14:textId="77777777" w:rsidR="00FA0CFF" w:rsidRPr="004E6A4A" w:rsidRDefault="00144445">
            <w:pPr>
              <w:jc w:val="both"/>
            </w:pPr>
            <w:r w:rsidRPr="004E6A4A">
              <w:rPr>
                <w:rFonts w:ascii="Times New Roman" w:eastAsia="Times New Roman" w:hAnsi="Times New Roman" w:cs="Times New Roman"/>
                <w:sz w:val="20"/>
              </w:rPr>
              <w:t>27. "Pension fund of a governmental entity, international organisation or central bank" means a fund established by a governmental entity, international organisation or central bank to provide retirement, disability or death benefits to beneficiaries or participants who are current or former employees, or persons designated by them, or who are not current or former employees, if the benefits provided to those beneficiaries or participants are in consideration of personal services performed for the governmental entity, international organisation or central bank.</w:t>
            </w:r>
          </w:p>
        </w:tc>
        <w:tc>
          <w:tcPr>
            <w:tcW w:w="1156" w:type="dxa"/>
          </w:tcPr>
          <w:p w14:paraId="41F798BA" w14:textId="77777777" w:rsidR="00A85C2A" w:rsidRPr="004E6A4A" w:rsidRDefault="00A85C2A" w:rsidP="00C4419F">
            <w:pPr>
              <w:jc w:val="center"/>
              <w:rPr>
                <w:rFonts w:ascii="Times New Roman" w:eastAsia="Calibri" w:hAnsi="Times New Roman" w:cs="Times New Roman"/>
                <w:sz w:val="18"/>
                <w:szCs w:val="18"/>
              </w:rPr>
            </w:pPr>
          </w:p>
          <w:p w14:paraId="48DD950E" w14:textId="68633BBC"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E52D5C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AE1027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27 of the Draft Law.</w:t>
            </w:r>
          </w:p>
        </w:tc>
      </w:tr>
      <w:tr w:rsidR="004E6A4A" w:rsidRPr="004E6A4A" w14:paraId="2DF53739" w14:textId="77777777" w:rsidTr="00E11E6D">
        <w:trPr>
          <w:trHeight w:val="764"/>
        </w:trPr>
        <w:tc>
          <w:tcPr>
            <w:tcW w:w="720" w:type="dxa"/>
          </w:tcPr>
          <w:p w14:paraId="29AFBFFE"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527BBB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The term “Qualified Credit Card Issuer” means a Financial Institution satisfying the following requirements:</w:t>
            </w:r>
          </w:p>
          <w:p w14:paraId="0058148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Financial Institution is a Financial Institution solely because it is an issuer of credit cards that accepts deposits only when a customer makes a payment in excess of a balance due with respect to the card and the overpayment is not immediately returned to the customer; and</w:t>
            </w:r>
          </w:p>
          <w:p w14:paraId="4E190EE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beginning on or before 1 January 2016, the Financial Institution implements policies and procedures either to prevent a customer from making an overpayment in excess of an amount denominated in the domestic currency of each Member State that corresponds to USD 50 000, or to ensure that any customer overpayment in excess of that amount is refunded to the customer within 60 days, in each case applying the rules set forth in paragraph C of Section VII for account aggregation and currency translation. For this purpose, a customer </w:t>
            </w:r>
            <w:r w:rsidRPr="004E6A4A">
              <w:rPr>
                <w:rFonts w:ascii="Times New Roman" w:eastAsia="Times New Roman" w:hAnsi="Times New Roman" w:cs="Times New Roman"/>
                <w:sz w:val="20"/>
                <w:szCs w:val="20"/>
              </w:rPr>
              <w:lastRenderedPageBreak/>
              <w:t>overpayment does not refer to credit balances to the extent of disputed charges but does include credit balances resulting from merchandise returns.</w:t>
            </w:r>
          </w:p>
        </w:tc>
        <w:tc>
          <w:tcPr>
            <w:tcW w:w="1080" w:type="dxa"/>
          </w:tcPr>
          <w:p w14:paraId="0452657B"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80BE49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25CCDA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D49F721" w14:textId="77777777" w:rsidR="00FA0CFF" w:rsidRPr="004E6A4A" w:rsidRDefault="00144445">
            <w:pPr>
              <w:jc w:val="center"/>
            </w:pPr>
            <w:r w:rsidRPr="004E6A4A">
              <w:rPr>
                <w:rFonts w:ascii="Times New Roman" w:eastAsia="Times New Roman" w:hAnsi="Times New Roman" w:cs="Times New Roman"/>
                <w:b/>
                <w:sz w:val="20"/>
              </w:rPr>
              <w:t>Definitions</w:t>
            </w:r>
          </w:p>
          <w:p w14:paraId="099A6BB5" w14:textId="77777777" w:rsidR="00FA0CFF" w:rsidRPr="004E6A4A" w:rsidRDefault="00144445">
            <w:pPr>
              <w:jc w:val="both"/>
            </w:pPr>
            <w:r w:rsidRPr="004E6A4A">
              <w:rPr>
                <w:rFonts w:ascii="Times New Roman" w:eastAsia="Times New Roman" w:hAnsi="Times New Roman" w:cs="Times New Roman"/>
                <w:sz w:val="20"/>
              </w:rPr>
              <w:t>24. “Qualified credit card issuer” means a financial institution which fulfils the following criteria:</w:t>
            </w:r>
          </w:p>
          <w:p w14:paraId="0422B382" w14:textId="77777777" w:rsidR="00FA0CFF" w:rsidRPr="004E6A4A" w:rsidRDefault="00144445">
            <w:pPr>
              <w:jc w:val="both"/>
            </w:pPr>
            <w:r w:rsidRPr="004E6A4A">
              <w:rPr>
                <w:rFonts w:ascii="Times New Roman" w:eastAsia="Times New Roman" w:hAnsi="Times New Roman" w:cs="Times New Roman"/>
                <w:sz w:val="20"/>
              </w:rPr>
              <w:t>a) it is a financial institution solely because it is a credit card issuer and it accepts deposits only when a customer makes payments exceeding a balance determined for the card and that overpayment is not immediately refunded to the customer; and</w:t>
            </w:r>
          </w:p>
          <w:p w14:paraId="424D30E8" w14:textId="77777777" w:rsidR="00FA0CFF" w:rsidRPr="004E6A4A" w:rsidRDefault="00144445">
            <w:pPr>
              <w:jc w:val="both"/>
            </w:pPr>
            <w:r w:rsidRPr="004E6A4A">
              <w:rPr>
                <w:rFonts w:ascii="Times New Roman" w:eastAsia="Times New Roman" w:hAnsi="Times New Roman" w:cs="Times New Roman"/>
                <w:sz w:val="20"/>
              </w:rPr>
              <w:t xml:space="preserve">b) it implements, from or before the reference date applicable to the relevant profile, policies and procedures to prevent a customer from making overpayments exceeding USD 50 000 (fifty thousand) or to ensure that any customer overpayment exceeding USD 50 000 (fifty thousand) is refunded to the customer within 60 (sixty) days, in each case applying the rules for the aggregation of accounts and the conversion of currency determined in this Law. The reference dates for the application of this definition, </w:t>
            </w:r>
            <w:r w:rsidRPr="004E6A4A">
              <w:rPr>
                <w:rFonts w:ascii="Times New Roman" w:eastAsia="Times New Roman" w:hAnsi="Times New Roman" w:cs="Times New Roman"/>
                <w:sz w:val="20"/>
              </w:rPr>
              <w:lastRenderedPageBreak/>
              <w:t>for the purposes of the automatic exchange of information under European Union law and under the Common Reporting Standard (CRS), shall be determined by sub-legal act.</w:t>
            </w:r>
          </w:p>
          <w:p w14:paraId="265A1457" w14:textId="77777777" w:rsidR="00FA0CFF" w:rsidRPr="004E6A4A" w:rsidRDefault="00144445">
            <w:pPr>
              <w:jc w:val="both"/>
            </w:pPr>
            <w:r w:rsidRPr="004E6A4A">
              <w:rPr>
                <w:rFonts w:ascii="Times New Roman" w:eastAsia="Times New Roman" w:hAnsi="Times New Roman" w:cs="Times New Roman"/>
                <w:sz w:val="20"/>
              </w:rPr>
              <w:t>For that purpose, a customer overpayment does not refer to credit balances to the extent that they relate to disputed charges, but does include credit balances resulting from the return of goods.</w:t>
            </w:r>
          </w:p>
        </w:tc>
        <w:tc>
          <w:tcPr>
            <w:tcW w:w="1156" w:type="dxa"/>
          </w:tcPr>
          <w:p w14:paraId="24278F23" w14:textId="77777777" w:rsidR="00A85C2A" w:rsidRPr="004E6A4A" w:rsidRDefault="00A85C2A" w:rsidP="00C4419F">
            <w:pPr>
              <w:jc w:val="center"/>
              <w:rPr>
                <w:rFonts w:ascii="Times New Roman" w:eastAsia="Calibri" w:hAnsi="Times New Roman" w:cs="Times New Roman"/>
                <w:sz w:val="18"/>
                <w:szCs w:val="18"/>
              </w:rPr>
            </w:pPr>
          </w:p>
          <w:p w14:paraId="78AFFD96" w14:textId="6B43D3F7"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8CB223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3EBDB2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24 of the Draft Law.</w:t>
            </w:r>
          </w:p>
        </w:tc>
      </w:tr>
      <w:tr w:rsidR="004E6A4A" w:rsidRPr="004E6A4A" w14:paraId="00D8AFEE" w14:textId="77777777" w:rsidTr="00E11E6D">
        <w:trPr>
          <w:trHeight w:val="764"/>
        </w:trPr>
        <w:tc>
          <w:tcPr>
            <w:tcW w:w="720" w:type="dxa"/>
          </w:tcPr>
          <w:p w14:paraId="33545309"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A42BB0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The term “Exempt Collective Investment Vehicle” means an Investment Entity that is regulated as a collective investment vehicle, provided that all of the interests in the collective investment vehicle are held by or through individuals or Entities that are not Reportable Persons, except a Passive NFE with Controlling Persons who are Reportable Persons.</w:t>
            </w:r>
          </w:p>
          <w:p w14:paraId="0D0E22A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An Investment Entity that is regulated as a collective investment vehicle does not fail to qualify under sub paragraph B(9) as an Exempt Collective Investment Vehicle, solely because the collective investment vehicle has issued physical shares in bearer form, provided that:</w:t>
            </w:r>
          </w:p>
          <w:p w14:paraId="72537CF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the collective investment vehicle has not issued, and does not issue, any physical shares in bearer form after 31 December 2015;</w:t>
            </w:r>
          </w:p>
          <w:p w14:paraId="07ECE61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the collective investment vehicle retires all such shares upon surrender;</w:t>
            </w:r>
          </w:p>
          <w:p w14:paraId="2643F79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the collective investment vehicle performs the due diligence procedures set forth in Sections II through VII and reports any information required to be reported with respect to any such shares when such shares are presented for redemption or other payment; and</w:t>
            </w:r>
          </w:p>
          <w:p w14:paraId="187D4F2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the collective investment vehicle has in place policies and procedures to ensure that such shares are redeemed or immobilised as soon as possible, and in any event prior to 1 January 2018.</w:t>
            </w:r>
          </w:p>
        </w:tc>
        <w:tc>
          <w:tcPr>
            <w:tcW w:w="1080" w:type="dxa"/>
          </w:tcPr>
          <w:p w14:paraId="0322DA0F"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B142778"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A51ED46"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4085E0F" w14:textId="77777777" w:rsidR="00FA0CFF" w:rsidRPr="004E6A4A" w:rsidRDefault="00144445">
            <w:pPr>
              <w:jc w:val="center"/>
            </w:pPr>
            <w:r w:rsidRPr="004E6A4A">
              <w:rPr>
                <w:rFonts w:ascii="Times New Roman" w:eastAsia="Times New Roman" w:hAnsi="Times New Roman" w:cs="Times New Roman"/>
                <w:b/>
                <w:sz w:val="20"/>
              </w:rPr>
              <w:t>Definitions</w:t>
            </w:r>
          </w:p>
          <w:p w14:paraId="600D582A" w14:textId="77777777" w:rsidR="00FA0CFF" w:rsidRPr="004E6A4A" w:rsidRDefault="00144445">
            <w:pPr>
              <w:jc w:val="both"/>
            </w:pPr>
            <w:r w:rsidRPr="004E6A4A">
              <w:rPr>
                <w:rFonts w:ascii="Times New Roman" w:eastAsia="Times New Roman" w:hAnsi="Times New Roman" w:cs="Times New Roman"/>
                <w:sz w:val="20"/>
              </w:rPr>
              <w:t>35. “Exempt collective investment vehicle” means an investment entity which is regulated as a collective investment vehicle, provided that all the interests in that vehicle are held by or through individuals or entities which are not reportable persons, with the exception of Passive NFEs with controlling persons who are reportable persons.</w:t>
            </w:r>
          </w:p>
          <w:p w14:paraId="7AFC209D" w14:textId="77777777" w:rsidR="00FA0CFF" w:rsidRPr="004E6A4A" w:rsidRDefault="00144445">
            <w:pPr>
              <w:jc w:val="both"/>
            </w:pPr>
            <w:r w:rsidRPr="004E6A4A">
              <w:rPr>
                <w:rFonts w:ascii="Times New Roman" w:eastAsia="Times New Roman" w:hAnsi="Times New Roman" w:cs="Times New Roman"/>
                <w:sz w:val="20"/>
              </w:rPr>
              <w:t>An investment entity which is regulated as a collective investment vehicle shall not lose the status of exempt collective investment vehicle solely because the vehicle has issued physical shares in bearer form, provided that:</w:t>
            </w:r>
          </w:p>
          <w:p w14:paraId="357C33AD" w14:textId="77777777" w:rsidR="00FA0CFF" w:rsidRPr="004E6A4A" w:rsidRDefault="00144445">
            <w:pPr>
              <w:jc w:val="both"/>
            </w:pPr>
            <w:r w:rsidRPr="004E6A4A">
              <w:rPr>
                <w:rFonts w:ascii="Times New Roman" w:eastAsia="Times New Roman" w:hAnsi="Times New Roman" w:cs="Times New Roman"/>
                <w:sz w:val="20"/>
              </w:rPr>
              <w:t>a) the vehicle has not issued and does not issue other physical shares in bearer form after the date determined in the implementing acts;</w:t>
            </w:r>
          </w:p>
          <w:p w14:paraId="78D74B70" w14:textId="77777777" w:rsidR="00FA0CFF" w:rsidRPr="004E6A4A" w:rsidRDefault="00144445">
            <w:pPr>
              <w:jc w:val="both"/>
            </w:pPr>
            <w:r w:rsidRPr="004E6A4A">
              <w:rPr>
                <w:rFonts w:ascii="Times New Roman" w:eastAsia="Times New Roman" w:hAnsi="Times New Roman" w:cs="Times New Roman"/>
                <w:sz w:val="20"/>
              </w:rPr>
              <w:t>b) the vehicle retires all such shares immediately upon presentation for retirement;</w:t>
            </w:r>
          </w:p>
          <w:p w14:paraId="7675EE7C" w14:textId="77777777" w:rsidR="00FA0CFF" w:rsidRPr="004E6A4A" w:rsidRDefault="00144445">
            <w:pPr>
              <w:jc w:val="both"/>
            </w:pPr>
            <w:r w:rsidRPr="004E6A4A">
              <w:rPr>
                <w:rFonts w:ascii="Times New Roman" w:eastAsia="Times New Roman" w:hAnsi="Times New Roman" w:cs="Times New Roman"/>
                <w:sz w:val="20"/>
              </w:rPr>
              <w:t>c) the vehicle carries out the due diligence procedures determined in this Law and reports any information required in relation to those shares when they are presented for redemption or for other payments; and</w:t>
            </w:r>
          </w:p>
          <w:p w14:paraId="254B1358" w14:textId="77777777" w:rsidR="00FA0CFF" w:rsidRPr="004E6A4A" w:rsidRDefault="00144445">
            <w:pPr>
              <w:jc w:val="both"/>
            </w:pPr>
            <w:r w:rsidRPr="004E6A4A">
              <w:rPr>
                <w:rFonts w:ascii="Times New Roman" w:eastAsia="Times New Roman" w:hAnsi="Times New Roman" w:cs="Times New Roman"/>
                <w:sz w:val="20"/>
              </w:rPr>
              <w:t>ç) the vehicle has policies and procedures to ensure that those shares are redeemed or immobilised as soon as possible and, in any event, within the time limit determined in the implementing acts.</w:t>
            </w:r>
          </w:p>
        </w:tc>
        <w:tc>
          <w:tcPr>
            <w:tcW w:w="1156" w:type="dxa"/>
          </w:tcPr>
          <w:p w14:paraId="624273D6" w14:textId="77777777" w:rsidR="00A85C2A" w:rsidRPr="004E6A4A" w:rsidRDefault="00A85C2A" w:rsidP="00C4419F">
            <w:pPr>
              <w:jc w:val="center"/>
              <w:rPr>
                <w:rFonts w:ascii="Times New Roman" w:eastAsia="Calibri" w:hAnsi="Times New Roman" w:cs="Times New Roman"/>
                <w:sz w:val="18"/>
                <w:szCs w:val="18"/>
              </w:rPr>
            </w:pPr>
          </w:p>
          <w:p w14:paraId="1B15AB52" w14:textId="5E1B8ECF" w:rsidR="000A21ED" w:rsidRPr="004E6A4A" w:rsidRDefault="00A85C2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C31DA0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F862E3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35 of the Draft Law.</w:t>
            </w:r>
          </w:p>
        </w:tc>
      </w:tr>
      <w:tr w:rsidR="004E6A4A" w:rsidRPr="004E6A4A" w14:paraId="2C267613" w14:textId="77777777" w:rsidTr="00E11E6D">
        <w:trPr>
          <w:trHeight w:val="764"/>
        </w:trPr>
        <w:tc>
          <w:tcPr>
            <w:tcW w:w="720" w:type="dxa"/>
          </w:tcPr>
          <w:p w14:paraId="13E1FB94"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9A6B3A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Financial Account</w:t>
            </w:r>
          </w:p>
          <w:p w14:paraId="1B466A0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The term “Financial Account” means an account maintained by a Financial Institution, and includes a Depository Account, a Custodial Account and:</w:t>
            </w:r>
          </w:p>
          <w:p w14:paraId="775D708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 the case of an Investment Entity, any equity or debt interest in the Financial Institution. Notwithstanding the foregoing, the term “Financial Account” does not include any equity or debt interest in an Entity that is an Investment Entity solely because it (i) renders investment advice to, and acts on behalf of; or (ii) manages portfolios for, and acts on behalf of, a customer for the purpose of investing, managing, or administering Financial Assets deposited in the name of the customer with a Financial Institution other than such Entity;</w:t>
            </w:r>
          </w:p>
          <w:p w14:paraId="56B2751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in the case of a Financial Institution not described in subparagraph C(1)(a), any equity or debt interest in the Financial Institution, if the class of interests was established with the purpose of avoiding reporting in accordance with Section I; and</w:t>
            </w:r>
          </w:p>
          <w:p w14:paraId="17428DA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any Cash Value Insurance Contract and any Annuity Contract issued or maintained by a Financial Institution, other than a non-investment-linked, non-transferable immediate life annuity that is issued to an individual and monetises a pension or disability benefit provided under an account that is an Excluded Account.</w:t>
            </w:r>
          </w:p>
          <w:p w14:paraId="6F41368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term “Financial Account” does not include any account that is an Excluded Account.</w:t>
            </w:r>
          </w:p>
        </w:tc>
        <w:tc>
          <w:tcPr>
            <w:tcW w:w="1080" w:type="dxa"/>
          </w:tcPr>
          <w:p w14:paraId="5F3AB14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9B02944"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3D4CFDA"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636A1B6" w14:textId="77777777" w:rsidR="00FA0CFF" w:rsidRPr="004E6A4A" w:rsidRDefault="00144445">
            <w:pPr>
              <w:jc w:val="center"/>
            </w:pPr>
            <w:r w:rsidRPr="004E6A4A">
              <w:rPr>
                <w:rFonts w:ascii="Times New Roman" w:eastAsia="Times New Roman" w:hAnsi="Times New Roman" w:cs="Times New Roman"/>
                <w:b/>
                <w:sz w:val="20"/>
              </w:rPr>
              <w:t>Definitions</w:t>
            </w:r>
          </w:p>
          <w:p w14:paraId="78E6697A" w14:textId="77777777" w:rsidR="00FA0CFF" w:rsidRPr="004E6A4A" w:rsidRDefault="00144445">
            <w:pPr>
              <w:jc w:val="both"/>
            </w:pPr>
            <w:r w:rsidRPr="004E6A4A">
              <w:rPr>
                <w:rFonts w:ascii="Times New Roman" w:eastAsia="Times New Roman" w:hAnsi="Times New Roman" w:cs="Times New Roman"/>
                <w:sz w:val="20"/>
              </w:rPr>
              <w:t>48. “Financial account” means an account maintained by a financial institution and includes the depository account, the custodial account and:</w:t>
            </w:r>
          </w:p>
          <w:p w14:paraId="3A696D86" w14:textId="77777777" w:rsidR="00FA0CFF" w:rsidRPr="004E6A4A" w:rsidRDefault="00144445">
            <w:pPr>
              <w:jc w:val="both"/>
            </w:pPr>
            <w:r w:rsidRPr="004E6A4A">
              <w:rPr>
                <w:rFonts w:ascii="Times New Roman" w:eastAsia="Times New Roman" w:hAnsi="Times New Roman" w:cs="Times New Roman"/>
                <w:sz w:val="20"/>
              </w:rPr>
              <w:t>a) in the case of an investment entity, any equity or debt interest in the financial institution. Notwithstanding the foregoing, the term “financial account” does not include any equity or debt interest in an entity which is an investment entity solely because it:</w:t>
            </w:r>
          </w:p>
          <w:p w14:paraId="799B7F6C" w14:textId="77777777" w:rsidR="00FA0CFF" w:rsidRPr="004E6A4A" w:rsidRDefault="00144445">
            <w:pPr>
              <w:jc w:val="both"/>
            </w:pPr>
            <w:r w:rsidRPr="004E6A4A">
              <w:rPr>
                <w:rFonts w:ascii="Times New Roman" w:eastAsia="Times New Roman" w:hAnsi="Times New Roman" w:cs="Times New Roman"/>
                <w:sz w:val="20"/>
              </w:rPr>
              <w:t>i) provides investment advice to and acts on behalf of a customer; or</w:t>
            </w:r>
          </w:p>
          <w:p w14:paraId="5D7458F4" w14:textId="77777777" w:rsidR="00FA0CFF" w:rsidRPr="004E6A4A" w:rsidRDefault="00144445">
            <w:pPr>
              <w:jc w:val="both"/>
            </w:pPr>
            <w:r w:rsidRPr="004E6A4A">
              <w:rPr>
                <w:rFonts w:ascii="Times New Roman" w:eastAsia="Times New Roman" w:hAnsi="Times New Roman" w:cs="Times New Roman"/>
                <w:sz w:val="20"/>
              </w:rPr>
              <w:t>ii) manages portfolios for and acts on behalf of a customer for the purposes of investing, managing or administering financial assets deposited in the name of the customer with a financial institution other than that entity;</w:t>
            </w:r>
          </w:p>
          <w:p w14:paraId="53857942" w14:textId="77777777" w:rsidR="00FA0CFF" w:rsidRPr="004E6A4A" w:rsidRDefault="00144445">
            <w:pPr>
              <w:jc w:val="both"/>
            </w:pPr>
            <w:r w:rsidRPr="004E6A4A">
              <w:rPr>
                <w:rFonts w:ascii="Times New Roman" w:eastAsia="Times New Roman" w:hAnsi="Times New Roman" w:cs="Times New Roman"/>
                <w:sz w:val="20"/>
              </w:rPr>
              <w:t>b) in the case of a financial institution not described in letter “a” of this point, any equity or debt interest in the financial institution, if the type of interest was established with the purpose of avoiding reporting in accordance with this Law;</w:t>
            </w:r>
          </w:p>
          <w:p w14:paraId="4289B30A" w14:textId="77777777" w:rsidR="00FA0CFF" w:rsidRPr="004E6A4A" w:rsidRDefault="00144445">
            <w:pPr>
              <w:jc w:val="both"/>
            </w:pPr>
            <w:r w:rsidRPr="004E6A4A">
              <w:rPr>
                <w:rFonts w:ascii="Times New Roman" w:eastAsia="Times New Roman" w:hAnsi="Times New Roman" w:cs="Times New Roman"/>
                <w:sz w:val="20"/>
              </w:rPr>
              <w:t>c) any Cash Value Insurance Contract and any Annuity Contract issued or maintained by the Financial Institution, other than a non-investment-linked, non-transferable immediate life Annuity Contract which is issued to an individual and monetises a retirement or disability pension benefit provided under an Excluded Account.</w:t>
            </w:r>
          </w:p>
          <w:p w14:paraId="37A66D36" w14:textId="77777777" w:rsidR="00FA0CFF" w:rsidRPr="004E6A4A" w:rsidRDefault="00144445">
            <w:pPr>
              <w:jc w:val="both"/>
            </w:pPr>
            <w:r w:rsidRPr="004E6A4A">
              <w:rPr>
                <w:rFonts w:ascii="Times New Roman" w:eastAsia="Times New Roman" w:hAnsi="Times New Roman" w:cs="Times New Roman"/>
                <w:sz w:val="20"/>
              </w:rPr>
              <w:t>The term “financial account” does not include any account which is an excluded account.</w:t>
            </w:r>
          </w:p>
        </w:tc>
        <w:tc>
          <w:tcPr>
            <w:tcW w:w="1156" w:type="dxa"/>
          </w:tcPr>
          <w:p w14:paraId="1300C1D6" w14:textId="77777777" w:rsidR="00237B65" w:rsidRPr="004E6A4A" w:rsidRDefault="00237B65" w:rsidP="00C4419F">
            <w:pPr>
              <w:jc w:val="center"/>
              <w:rPr>
                <w:rFonts w:ascii="Times New Roman" w:eastAsia="Calibri" w:hAnsi="Times New Roman" w:cs="Times New Roman"/>
                <w:sz w:val="18"/>
                <w:szCs w:val="18"/>
              </w:rPr>
            </w:pPr>
          </w:p>
          <w:p w14:paraId="7FB6ABF9" w14:textId="60A41D31"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6B87DA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EB8F24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48 of the Draft Law.</w:t>
            </w:r>
          </w:p>
        </w:tc>
      </w:tr>
      <w:tr w:rsidR="004E6A4A" w:rsidRPr="004E6A4A" w14:paraId="146057E6" w14:textId="77777777" w:rsidTr="00E11E6D">
        <w:trPr>
          <w:trHeight w:val="764"/>
        </w:trPr>
        <w:tc>
          <w:tcPr>
            <w:tcW w:w="720" w:type="dxa"/>
          </w:tcPr>
          <w:p w14:paraId="5A8C7BA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833E86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The term “Depository Account” includes any commercial, checking, savings, time, or thrift account, or an account that is evidenced by a certificate of deposit, thrift certificate, investment certificate, certificate of indebt edness, or other similar instrument maintained by a </w:t>
            </w:r>
            <w:r w:rsidRPr="004E6A4A">
              <w:rPr>
                <w:rFonts w:ascii="Times New Roman" w:eastAsia="Times New Roman" w:hAnsi="Times New Roman" w:cs="Times New Roman"/>
                <w:sz w:val="20"/>
                <w:szCs w:val="20"/>
              </w:rPr>
              <w:lastRenderedPageBreak/>
              <w:t>Depository Institution. A Depository Account also includes:</w:t>
            </w:r>
          </w:p>
          <w:p w14:paraId="0A68C55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an amount held by an insurance company pursuant to a guaranteed investment contract or similar agreement to pay or credit interest therein;</w:t>
            </w:r>
          </w:p>
          <w:p w14:paraId="70684ED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 an account or notional account that represents all E-money held for the benefit of a customer; and (c) an account that holds one or more Central Bank Digital Currencies for the benefit of a customer.</w:t>
            </w:r>
          </w:p>
        </w:tc>
        <w:tc>
          <w:tcPr>
            <w:tcW w:w="1080" w:type="dxa"/>
          </w:tcPr>
          <w:p w14:paraId="5D863CC7"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1D67656"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6CA63219"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3EDCE3BD" w14:textId="77777777" w:rsidR="00FA0CFF" w:rsidRPr="004E6A4A" w:rsidRDefault="00144445">
            <w:pPr>
              <w:jc w:val="center"/>
            </w:pPr>
            <w:r w:rsidRPr="004E6A4A">
              <w:rPr>
                <w:rFonts w:ascii="Times New Roman" w:eastAsia="Times New Roman" w:hAnsi="Times New Roman" w:cs="Times New Roman"/>
                <w:b/>
                <w:sz w:val="20"/>
              </w:rPr>
              <w:t>Definitions</w:t>
            </w:r>
          </w:p>
          <w:p w14:paraId="3B19B0D6" w14:textId="77777777" w:rsidR="00FA0CFF" w:rsidRPr="004E6A4A" w:rsidRDefault="00144445">
            <w:pPr>
              <w:jc w:val="both"/>
            </w:pPr>
            <w:r w:rsidRPr="004E6A4A">
              <w:rPr>
                <w:rFonts w:ascii="Times New Roman" w:eastAsia="Times New Roman" w:hAnsi="Times New Roman" w:cs="Times New Roman"/>
                <w:sz w:val="20"/>
              </w:rPr>
              <w:t xml:space="preserve">43. “Depository account” includes any commercial account, current account, savings account, time deposit account or account which is evidenced by a </w:t>
            </w:r>
            <w:r w:rsidRPr="004E6A4A">
              <w:rPr>
                <w:rFonts w:ascii="Times New Roman" w:eastAsia="Times New Roman" w:hAnsi="Times New Roman" w:cs="Times New Roman"/>
                <w:sz w:val="20"/>
              </w:rPr>
              <w:lastRenderedPageBreak/>
              <w:t>certificate of deposit, savings certificate, investment certificate, certificate of indebtedness or other similar instrument maintained by a Depository Institution. The depository account also includes:</w:t>
            </w:r>
          </w:p>
          <w:p w14:paraId="63A1E026" w14:textId="77777777" w:rsidR="00FA0CFF" w:rsidRPr="004E6A4A" w:rsidRDefault="00144445">
            <w:pPr>
              <w:jc w:val="both"/>
            </w:pPr>
            <w:r w:rsidRPr="004E6A4A">
              <w:rPr>
                <w:rFonts w:ascii="Times New Roman" w:eastAsia="Times New Roman" w:hAnsi="Times New Roman" w:cs="Times New Roman"/>
                <w:sz w:val="20"/>
              </w:rPr>
              <w:t>a) an amount held by an insurance company under a guaranteed investment contract or a similar agreement to pay or credit the relevant interest;</w:t>
            </w:r>
          </w:p>
          <w:p w14:paraId="54210CE9" w14:textId="77777777" w:rsidR="00FA0CFF" w:rsidRPr="004E6A4A" w:rsidRDefault="00144445">
            <w:pPr>
              <w:jc w:val="both"/>
            </w:pPr>
            <w:r w:rsidRPr="004E6A4A">
              <w:rPr>
                <w:rFonts w:ascii="Times New Roman" w:eastAsia="Times New Roman" w:hAnsi="Times New Roman" w:cs="Times New Roman"/>
                <w:sz w:val="20"/>
              </w:rPr>
              <w:t>b) for the purposes of the application of the European Union rules, an account or notional account representing all the Electronic Money held for the benefit of a customer;</w:t>
            </w:r>
          </w:p>
          <w:p w14:paraId="12F93132" w14:textId="77777777" w:rsidR="00FA0CFF" w:rsidRPr="004E6A4A" w:rsidRDefault="00144445">
            <w:pPr>
              <w:jc w:val="both"/>
            </w:pPr>
            <w:r w:rsidRPr="004E6A4A">
              <w:rPr>
                <w:rFonts w:ascii="Times New Roman" w:eastAsia="Times New Roman" w:hAnsi="Times New Roman" w:cs="Times New Roman"/>
                <w:sz w:val="20"/>
              </w:rPr>
              <w:t>c) for the purposes of the application of the Common Reporting Standard, an account or notional account representing all the Specified Electronic Money Products held for the benefit of a customer; and</w:t>
            </w:r>
          </w:p>
          <w:p w14:paraId="7CE109E0" w14:textId="77777777" w:rsidR="00FA0CFF" w:rsidRPr="004E6A4A" w:rsidRDefault="00144445">
            <w:pPr>
              <w:jc w:val="both"/>
            </w:pPr>
            <w:r w:rsidRPr="004E6A4A">
              <w:rPr>
                <w:rFonts w:ascii="Times New Roman" w:eastAsia="Times New Roman" w:hAnsi="Times New Roman" w:cs="Times New Roman"/>
                <w:sz w:val="20"/>
              </w:rPr>
              <w:t>ç) an account holding one or more Central Bank Digital Currencies for the benefit of a customer.</w:t>
            </w:r>
          </w:p>
          <w:p w14:paraId="6044D7D9" w14:textId="77777777" w:rsidR="00FA0CFF" w:rsidRPr="004E6A4A" w:rsidRDefault="00144445">
            <w:pPr>
              <w:jc w:val="both"/>
            </w:pPr>
            <w:r w:rsidRPr="004E6A4A">
              <w:rPr>
                <w:rFonts w:ascii="Times New Roman" w:eastAsia="Times New Roman" w:hAnsi="Times New Roman" w:cs="Times New Roman"/>
                <w:sz w:val="20"/>
              </w:rPr>
              <w:t>All Electronic Money, for the purposes of the application of the European Union rules, and all Specified Electronic Money Products, for the purposes of the application of the Common Reporting Standard, which an entity holds for the benefit of a customer shall be considered together as one depository account of that customer. For the purposes of determining the value of that depository account, a reporting financial institution shall aggregate the value of all Electronic Money, for the purposes of the application of the European Union rules, and Specified Electronic Money Products, for the purposes of the application of the Common Reporting Standard, which the account holder holds with the reporting financial institution.</w:t>
            </w:r>
          </w:p>
          <w:p w14:paraId="4C199B3D" w14:textId="77777777" w:rsidR="00FA0CFF" w:rsidRPr="004E6A4A" w:rsidRDefault="00144445">
            <w:pPr>
              <w:jc w:val="both"/>
            </w:pPr>
            <w:r w:rsidRPr="004E6A4A">
              <w:rPr>
                <w:rFonts w:ascii="Times New Roman" w:eastAsia="Times New Roman" w:hAnsi="Times New Roman" w:cs="Times New Roman"/>
                <w:sz w:val="20"/>
              </w:rPr>
              <w:t>Similarly, any arrangement through which an entity holds Central Bank Digital Currency for the benefit of a customer shall be considered a depository account.</w:t>
            </w:r>
          </w:p>
          <w:p w14:paraId="0D655339" w14:textId="77777777" w:rsidR="00FA0CFF" w:rsidRPr="004E6A4A" w:rsidRDefault="00144445">
            <w:pPr>
              <w:jc w:val="both"/>
            </w:pPr>
            <w:r w:rsidRPr="004E6A4A">
              <w:rPr>
                <w:rFonts w:ascii="Times New Roman" w:eastAsia="Times New Roman" w:hAnsi="Times New Roman" w:cs="Times New Roman"/>
                <w:sz w:val="20"/>
              </w:rPr>
              <w:t xml:space="preserve">Where Electronic Money, for the purposes of the application of the European Union rules, a Specified </w:t>
            </w:r>
            <w:r w:rsidRPr="004E6A4A">
              <w:rPr>
                <w:rFonts w:ascii="Times New Roman" w:eastAsia="Times New Roman" w:hAnsi="Times New Roman" w:cs="Times New Roman"/>
                <w:sz w:val="20"/>
              </w:rPr>
              <w:lastRenderedPageBreak/>
              <w:t>Electronic Money Product, for the purposes of the application of the Common Reporting Standard, or a Central Bank Digital Currency has been issued as a crypto-asset, an entity shall be considered to hold such an asset for the benefit of a customer to the extent that it stores or administers the instruments enabling control over the asset, including private keys, and has the ability to manage, trade or transfer the asset to third parties on behalf of that customer.</w:t>
            </w:r>
          </w:p>
        </w:tc>
        <w:tc>
          <w:tcPr>
            <w:tcW w:w="1156" w:type="dxa"/>
          </w:tcPr>
          <w:p w14:paraId="0F206373" w14:textId="77777777" w:rsidR="00237B65" w:rsidRPr="004E6A4A" w:rsidRDefault="00237B65" w:rsidP="00C4419F">
            <w:pPr>
              <w:jc w:val="center"/>
              <w:rPr>
                <w:rFonts w:ascii="Times New Roman" w:eastAsia="Calibri" w:hAnsi="Times New Roman" w:cs="Times New Roman"/>
                <w:sz w:val="18"/>
                <w:szCs w:val="18"/>
              </w:rPr>
            </w:pPr>
          </w:p>
          <w:p w14:paraId="12AE0C33" w14:textId="2689CA3E"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3365FF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80B56C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43 of the Draft Law.</w:t>
            </w:r>
          </w:p>
        </w:tc>
      </w:tr>
      <w:tr w:rsidR="004E6A4A" w:rsidRPr="004E6A4A" w14:paraId="65A2AA23" w14:textId="77777777" w:rsidTr="00E11E6D">
        <w:trPr>
          <w:trHeight w:val="764"/>
        </w:trPr>
        <w:tc>
          <w:tcPr>
            <w:tcW w:w="720" w:type="dxa"/>
          </w:tcPr>
          <w:p w14:paraId="4F18DB29"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60DBD6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The term “Custodial Account” means an account (other than an Insurance Contract or Annuity Contract) which holds one or more Financial Assets for the benefit of another person.</w:t>
            </w:r>
          </w:p>
        </w:tc>
        <w:tc>
          <w:tcPr>
            <w:tcW w:w="1080" w:type="dxa"/>
          </w:tcPr>
          <w:p w14:paraId="1C049653"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707B2E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829165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B4A6788" w14:textId="77777777" w:rsidR="00FA0CFF" w:rsidRPr="004E6A4A" w:rsidRDefault="00144445">
            <w:pPr>
              <w:jc w:val="center"/>
            </w:pPr>
            <w:r w:rsidRPr="004E6A4A">
              <w:rPr>
                <w:rFonts w:ascii="Times New Roman" w:eastAsia="Times New Roman" w:hAnsi="Times New Roman" w:cs="Times New Roman"/>
                <w:b/>
                <w:sz w:val="20"/>
              </w:rPr>
              <w:t>Definitions</w:t>
            </w:r>
          </w:p>
          <w:p w14:paraId="7072D67F" w14:textId="77777777" w:rsidR="00FA0CFF" w:rsidRPr="004E6A4A" w:rsidRDefault="00144445">
            <w:pPr>
              <w:jc w:val="both"/>
            </w:pPr>
            <w:r w:rsidRPr="004E6A4A">
              <w:rPr>
                <w:rFonts w:ascii="Times New Roman" w:eastAsia="Times New Roman" w:hAnsi="Times New Roman" w:cs="Times New Roman"/>
                <w:sz w:val="20"/>
              </w:rPr>
              <w:t>50. “Custodial account” means an account, other than insurance contracts or annuity contracts, which holds one or more financial assets for the benefit of another person. An arrangement for holding or administering the instrument enabling control over one or more financial assets issued in the form of a crypto-asset, for the benefit of another person, is also a custodial account, to the extent that the entity has the ability to manage, trade or transfer to third parties those underlying financial assets on behalf of the person.</w:t>
            </w:r>
          </w:p>
        </w:tc>
        <w:tc>
          <w:tcPr>
            <w:tcW w:w="1156" w:type="dxa"/>
          </w:tcPr>
          <w:p w14:paraId="1CB46DEB" w14:textId="77777777" w:rsidR="00237B65" w:rsidRPr="004E6A4A" w:rsidRDefault="00237B65" w:rsidP="00C4419F">
            <w:pPr>
              <w:jc w:val="center"/>
              <w:rPr>
                <w:rFonts w:ascii="Times New Roman" w:eastAsia="Calibri" w:hAnsi="Times New Roman" w:cs="Times New Roman"/>
                <w:sz w:val="18"/>
                <w:szCs w:val="18"/>
              </w:rPr>
            </w:pPr>
          </w:p>
          <w:p w14:paraId="2ACEDE1B" w14:textId="784C2856"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09BBD5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1BBD8D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50 of the Draft Law.</w:t>
            </w:r>
          </w:p>
        </w:tc>
      </w:tr>
      <w:tr w:rsidR="004E6A4A" w:rsidRPr="004E6A4A" w14:paraId="5074CA57" w14:textId="77777777" w:rsidTr="00E11E6D">
        <w:trPr>
          <w:trHeight w:val="764"/>
        </w:trPr>
        <w:tc>
          <w:tcPr>
            <w:tcW w:w="720" w:type="dxa"/>
          </w:tcPr>
          <w:p w14:paraId="2C65EC8A"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E7BBF2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The term “Equity Interest” means, in the case of a partnership that is a Financial Institution, either a capital or profits interest in the partnership. In the case of a trust that is a Financial Institution, an Equity Interest is considered to be held by any person treated as a settlor or beneficiary of all or a portion of the trust, or any other natural person exercising ultimate effective control over the trust. A Reportable Person will be treated as being a beneficiary of a trust if such Reportable Person has the right to receive directly or indirectly (for example, through a nominee) a mandatory distribution or may receive, directly or indirectly, a discretionary distribution from the trust.</w:t>
            </w:r>
          </w:p>
        </w:tc>
        <w:tc>
          <w:tcPr>
            <w:tcW w:w="1080" w:type="dxa"/>
          </w:tcPr>
          <w:p w14:paraId="1C1D4221"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97EA10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C61F06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45044BB" w14:textId="77777777" w:rsidR="00FA0CFF" w:rsidRPr="004E6A4A" w:rsidRDefault="00144445">
            <w:pPr>
              <w:jc w:val="center"/>
            </w:pPr>
            <w:r w:rsidRPr="004E6A4A">
              <w:rPr>
                <w:rFonts w:ascii="Times New Roman" w:eastAsia="Times New Roman" w:hAnsi="Times New Roman" w:cs="Times New Roman"/>
                <w:b/>
                <w:sz w:val="20"/>
              </w:rPr>
              <w:t>Definitions</w:t>
            </w:r>
          </w:p>
          <w:p w14:paraId="2669A575" w14:textId="77777777" w:rsidR="00FA0CFF" w:rsidRPr="004E6A4A" w:rsidRDefault="00144445">
            <w:pPr>
              <w:jc w:val="both"/>
            </w:pPr>
            <w:r w:rsidRPr="004E6A4A">
              <w:rPr>
                <w:rFonts w:ascii="Times New Roman" w:eastAsia="Times New Roman" w:hAnsi="Times New Roman" w:cs="Times New Roman"/>
                <w:sz w:val="20"/>
              </w:rPr>
              <w:t>36. “Equity interest”, in the case of a partnership which is a financial institution, means the capital interest or the profits interest in the partnership.</w:t>
            </w:r>
          </w:p>
          <w:p w14:paraId="3DFD4615" w14:textId="77777777" w:rsidR="00FA0CFF" w:rsidRPr="004E6A4A" w:rsidRDefault="00144445">
            <w:pPr>
              <w:jc w:val="both"/>
            </w:pPr>
            <w:r w:rsidRPr="004E6A4A">
              <w:rPr>
                <w:rFonts w:ascii="Times New Roman" w:eastAsia="Times New Roman" w:hAnsi="Times New Roman" w:cs="Times New Roman"/>
                <w:sz w:val="20"/>
              </w:rPr>
              <w:t>In the case of a trust which is a financial institution, an equity interest shall be considered to be held by any person treated as the settlor or beneficiary of all or a portion of the trust, or by any other natural person exercising ultimate effective control over the trust.</w:t>
            </w:r>
          </w:p>
          <w:p w14:paraId="38765F88" w14:textId="77777777" w:rsidR="00FA0CFF" w:rsidRPr="004E6A4A" w:rsidRDefault="00144445">
            <w:pPr>
              <w:jc w:val="both"/>
            </w:pPr>
            <w:r w:rsidRPr="004E6A4A">
              <w:rPr>
                <w:rFonts w:ascii="Times New Roman" w:eastAsia="Times New Roman" w:hAnsi="Times New Roman" w:cs="Times New Roman"/>
                <w:sz w:val="20"/>
              </w:rPr>
              <w:t>A reportable person shall be treated as a beneficiary of a trust if that person has the right to receive, directly or indirectly, for example through a nominee, a mandatory distribution or may receive, directly or indirectly, a discretionary distribution from the trust.</w:t>
            </w:r>
          </w:p>
        </w:tc>
        <w:tc>
          <w:tcPr>
            <w:tcW w:w="1156" w:type="dxa"/>
          </w:tcPr>
          <w:p w14:paraId="23F4C038" w14:textId="77777777" w:rsidR="00237B65" w:rsidRPr="004E6A4A" w:rsidRDefault="00237B65" w:rsidP="00C4419F">
            <w:pPr>
              <w:jc w:val="center"/>
              <w:rPr>
                <w:rFonts w:ascii="Times New Roman" w:eastAsia="Calibri" w:hAnsi="Times New Roman" w:cs="Times New Roman"/>
                <w:sz w:val="18"/>
                <w:szCs w:val="18"/>
              </w:rPr>
            </w:pPr>
          </w:p>
          <w:p w14:paraId="3E8A4C03" w14:textId="70A5CEA0"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03BBE5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F01286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36 of the Draft Law.</w:t>
            </w:r>
          </w:p>
        </w:tc>
      </w:tr>
      <w:tr w:rsidR="004E6A4A" w:rsidRPr="004E6A4A" w14:paraId="1BAB0A12" w14:textId="77777777" w:rsidTr="00E11E6D">
        <w:trPr>
          <w:trHeight w:val="764"/>
        </w:trPr>
        <w:tc>
          <w:tcPr>
            <w:tcW w:w="720" w:type="dxa"/>
          </w:tcPr>
          <w:p w14:paraId="2B834AFE"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6A78D93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The term “Insurance Contract” means a contract (other than an Annuity Contract) under which the issuer agrees to pay an amount upon the occurrence of a specified contingency involving mortality, morbidity, accident, li ability, or property risk.</w:t>
            </w:r>
          </w:p>
        </w:tc>
        <w:tc>
          <w:tcPr>
            <w:tcW w:w="1080" w:type="dxa"/>
          </w:tcPr>
          <w:p w14:paraId="5493D94A"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703D5D5"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9327B2F"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60AC903D" w14:textId="77777777" w:rsidR="00FA0CFF" w:rsidRPr="004E6A4A" w:rsidRDefault="00144445">
            <w:pPr>
              <w:jc w:val="center"/>
            </w:pPr>
            <w:r w:rsidRPr="004E6A4A">
              <w:rPr>
                <w:rFonts w:ascii="Times New Roman" w:eastAsia="Times New Roman" w:hAnsi="Times New Roman" w:cs="Times New Roman"/>
                <w:b/>
                <w:sz w:val="20"/>
              </w:rPr>
              <w:t>Definitions</w:t>
            </w:r>
          </w:p>
          <w:p w14:paraId="57267004" w14:textId="77777777" w:rsidR="00FA0CFF" w:rsidRPr="004E6A4A" w:rsidRDefault="00144445">
            <w:pPr>
              <w:jc w:val="both"/>
            </w:pPr>
            <w:r w:rsidRPr="004E6A4A">
              <w:rPr>
                <w:rFonts w:ascii="Times New Roman" w:eastAsia="Times New Roman" w:hAnsi="Times New Roman" w:cs="Times New Roman"/>
                <w:sz w:val="20"/>
              </w:rPr>
              <w:t>41. “Insurance contract” means a contract, other than an annuity contract, under which the issuer agrees to pay a determined amount upon the occurrence of a specified contingency involving death, morbidity, accident, liability or property risk.</w:t>
            </w:r>
          </w:p>
          <w:p w14:paraId="78A42CF4" w14:textId="77777777" w:rsidR="00FA0CFF" w:rsidRPr="004E6A4A" w:rsidRDefault="00FA0CFF"/>
          <w:p w14:paraId="313CCE18" w14:textId="1468EAF9" w:rsidR="00FA0CFF" w:rsidRPr="004E6A4A" w:rsidRDefault="00FA0CFF">
            <w:pPr>
              <w:jc w:val="both"/>
            </w:pPr>
          </w:p>
        </w:tc>
        <w:tc>
          <w:tcPr>
            <w:tcW w:w="1156" w:type="dxa"/>
          </w:tcPr>
          <w:p w14:paraId="74D54387" w14:textId="77777777" w:rsidR="00237B65" w:rsidRPr="004E6A4A" w:rsidRDefault="00237B65" w:rsidP="00C4419F">
            <w:pPr>
              <w:jc w:val="center"/>
              <w:rPr>
                <w:rFonts w:ascii="Times New Roman" w:eastAsia="Calibri" w:hAnsi="Times New Roman" w:cs="Times New Roman"/>
                <w:sz w:val="18"/>
                <w:szCs w:val="18"/>
              </w:rPr>
            </w:pPr>
          </w:p>
          <w:p w14:paraId="1FEE4E9F" w14:textId="31E9E3CF"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4BB3C6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E09BC9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41 of the Draft Law.</w:t>
            </w:r>
          </w:p>
        </w:tc>
      </w:tr>
      <w:tr w:rsidR="004E6A4A" w:rsidRPr="004E6A4A" w14:paraId="34B5756E" w14:textId="77777777" w:rsidTr="00E11E6D">
        <w:trPr>
          <w:trHeight w:val="764"/>
        </w:trPr>
        <w:tc>
          <w:tcPr>
            <w:tcW w:w="720" w:type="dxa"/>
          </w:tcPr>
          <w:p w14:paraId="0BAE0E2A"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69415D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The term “Annuity Contract” means a contract under which the issuer agrees to make payments for a period of time determined in whole or in part by reference to the life expectancy of one or more individuals. The term also includes a contract that is considered to be an Annuity Contract in accordance with the law, regulation, or practice of the Member State or other jurisdiction in which the contract was issued, and under which the issuer agrees to make payments for a term of years.</w:t>
            </w:r>
          </w:p>
        </w:tc>
        <w:tc>
          <w:tcPr>
            <w:tcW w:w="1080" w:type="dxa"/>
          </w:tcPr>
          <w:p w14:paraId="5EEDB70C"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094344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A179D8C"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6703CAD0" w14:textId="77777777" w:rsidR="00FA0CFF" w:rsidRPr="004E6A4A" w:rsidRDefault="00144445">
            <w:pPr>
              <w:jc w:val="center"/>
            </w:pPr>
            <w:r w:rsidRPr="004E6A4A">
              <w:rPr>
                <w:rFonts w:ascii="Times New Roman" w:eastAsia="Times New Roman" w:hAnsi="Times New Roman" w:cs="Times New Roman"/>
                <w:b/>
                <w:sz w:val="20"/>
              </w:rPr>
              <w:t>Definitions</w:t>
            </w:r>
          </w:p>
          <w:p w14:paraId="17888E4B" w14:textId="77777777" w:rsidR="00FA0CFF" w:rsidRPr="004E6A4A" w:rsidRDefault="00144445">
            <w:pPr>
              <w:jc w:val="both"/>
            </w:pPr>
            <w:r w:rsidRPr="004E6A4A">
              <w:rPr>
                <w:rFonts w:ascii="Times New Roman" w:eastAsia="Times New Roman" w:hAnsi="Times New Roman" w:cs="Times New Roman"/>
                <w:sz w:val="20"/>
              </w:rPr>
              <w:t>40. “Annuity contract” means a contract under which the issuer agrees to make payments for a period of time determined in whole or in part by reference to the life expectancy of one or more individuals. The term also includes a contract which is considered to be an annuity contract in accordance with the laws, regulations or practice of the jurisdiction in which the contract was issued and under which the issuer agrees to make payments for a fixed number of years.</w:t>
            </w:r>
          </w:p>
        </w:tc>
        <w:tc>
          <w:tcPr>
            <w:tcW w:w="1156" w:type="dxa"/>
          </w:tcPr>
          <w:p w14:paraId="6981C184" w14:textId="77777777" w:rsidR="00237B65" w:rsidRPr="004E6A4A" w:rsidRDefault="00237B65" w:rsidP="00C4419F">
            <w:pPr>
              <w:jc w:val="center"/>
              <w:rPr>
                <w:rFonts w:ascii="Times New Roman" w:eastAsia="Calibri" w:hAnsi="Times New Roman" w:cs="Times New Roman"/>
                <w:sz w:val="18"/>
                <w:szCs w:val="18"/>
              </w:rPr>
            </w:pPr>
          </w:p>
          <w:p w14:paraId="22D5BF0A" w14:textId="0BB9947A" w:rsidR="000A21ED" w:rsidRPr="004E6A4A" w:rsidRDefault="00237B65"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CC788F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DDE750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40 of the Draft Law.</w:t>
            </w:r>
          </w:p>
        </w:tc>
      </w:tr>
      <w:tr w:rsidR="004E6A4A" w:rsidRPr="004E6A4A" w14:paraId="3ABF1F34" w14:textId="77777777" w:rsidTr="00E11E6D">
        <w:trPr>
          <w:trHeight w:val="764"/>
        </w:trPr>
        <w:tc>
          <w:tcPr>
            <w:tcW w:w="720" w:type="dxa"/>
          </w:tcPr>
          <w:p w14:paraId="3066CA83"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A3B51D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The term “Cash Value Insurance Contract” means an Insurance Contract (other than an indemnity reinsurance contract between two insurance companies) that has a Cash Value.</w:t>
            </w:r>
          </w:p>
        </w:tc>
        <w:tc>
          <w:tcPr>
            <w:tcW w:w="1080" w:type="dxa"/>
          </w:tcPr>
          <w:p w14:paraId="61FFB6C3"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A13346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0BFCB4B"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8E6F7CE" w14:textId="77777777" w:rsidR="00FA0CFF" w:rsidRPr="004E6A4A" w:rsidRDefault="00144445">
            <w:pPr>
              <w:jc w:val="center"/>
            </w:pPr>
            <w:r w:rsidRPr="004E6A4A">
              <w:rPr>
                <w:rFonts w:ascii="Times New Roman" w:eastAsia="Times New Roman" w:hAnsi="Times New Roman" w:cs="Times New Roman"/>
                <w:b/>
                <w:sz w:val="20"/>
              </w:rPr>
              <w:t>Definitions</w:t>
            </w:r>
          </w:p>
          <w:p w14:paraId="1FBD618B" w14:textId="77777777" w:rsidR="00FA0CFF" w:rsidRPr="004E6A4A" w:rsidRDefault="00144445">
            <w:pPr>
              <w:jc w:val="both"/>
            </w:pPr>
            <w:r w:rsidRPr="004E6A4A">
              <w:rPr>
                <w:rFonts w:ascii="Times New Roman" w:eastAsia="Times New Roman" w:hAnsi="Times New Roman" w:cs="Times New Roman"/>
                <w:sz w:val="20"/>
              </w:rPr>
              <w:t>39. “Cash value insurance contract” means an insurance contract, other than a reinsurance contract between two insurance companies, which has a cash value.</w:t>
            </w:r>
          </w:p>
        </w:tc>
        <w:tc>
          <w:tcPr>
            <w:tcW w:w="1156" w:type="dxa"/>
          </w:tcPr>
          <w:p w14:paraId="5DE8DE6E" w14:textId="77777777" w:rsidR="00BC33AD" w:rsidRPr="004E6A4A" w:rsidRDefault="00BC33AD" w:rsidP="00C4419F">
            <w:pPr>
              <w:jc w:val="center"/>
              <w:rPr>
                <w:rFonts w:ascii="Times New Roman" w:eastAsia="Calibri" w:hAnsi="Times New Roman" w:cs="Times New Roman"/>
                <w:sz w:val="18"/>
                <w:szCs w:val="18"/>
              </w:rPr>
            </w:pPr>
          </w:p>
          <w:p w14:paraId="4B68EA06" w14:textId="04737F57"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F53E4D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07DFF2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39 of the Draft Law.</w:t>
            </w:r>
          </w:p>
        </w:tc>
      </w:tr>
      <w:tr w:rsidR="004E6A4A" w:rsidRPr="004E6A4A" w14:paraId="3188CA27" w14:textId="77777777" w:rsidTr="00E11E6D">
        <w:trPr>
          <w:trHeight w:val="764"/>
        </w:trPr>
        <w:tc>
          <w:tcPr>
            <w:tcW w:w="720" w:type="dxa"/>
          </w:tcPr>
          <w:p w14:paraId="511CDF69"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CB2D4E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The term “Cash Value” means the greater of (i) the amount that the policyholder is entitled to receive upon surrender or termination of the contract (determined without reduction for any surrender charge or policy loan); and (ii) the amount the policyholder can borrow under or with regard to the contract. Notwithstanding the foregoing, the term “Cash Value” does not include an amount payable under an Insurance Contract:</w:t>
            </w:r>
          </w:p>
          <w:p w14:paraId="039EC2A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solely by reason of the death of an individual insured under a life insurance contract;</w:t>
            </w:r>
          </w:p>
          <w:p w14:paraId="7C9DD8C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(b)</w:t>
            </w:r>
            <w:r w:rsidRPr="004E6A4A">
              <w:rPr>
                <w:rFonts w:ascii="Times New Roman" w:eastAsia="Times New Roman" w:hAnsi="Times New Roman" w:cs="Times New Roman"/>
                <w:sz w:val="20"/>
                <w:szCs w:val="20"/>
              </w:rPr>
              <w:tab/>
              <w:t>as a personal injury or sickness benefit or other benefit providing indemnification of an economic loss incurred upon the occurrence of the event insured against;</w:t>
            </w:r>
          </w:p>
          <w:p w14:paraId="4E933EC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as a refund of a previously paid premium (less cost of insurance charges whether or not actually imposed) under an Insurance Contract (other than an investment-linked life insurance or annuity contract) due to cancellation or termination of the contract, decrease in risk exposure during the effective period of the contract, or arising from the correction of a posting or similar error with regard to the premium for the contract;</w:t>
            </w:r>
          </w:p>
          <w:p w14:paraId="01DB964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as a policyholder dividend (other than a termination dividend) provided that the dividend relates to an Insur ance Contract under which the only benefits payable are described in subparagraph C(8)(b); or</w:t>
            </w:r>
          </w:p>
          <w:p w14:paraId="6021210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as a return of an advance premium or premium deposit for an Insurance Contract for which the premium is payable at least annually if the amount of the advance premium or premium deposit does not exceed the next annual premium that will be payable under the contract.</w:t>
            </w:r>
          </w:p>
        </w:tc>
        <w:tc>
          <w:tcPr>
            <w:tcW w:w="1080" w:type="dxa"/>
          </w:tcPr>
          <w:p w14:paraId="1798A3D6"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5D213B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1FCA6FD"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49F3784" w14:textId="77777777" w:rsidR="00FA0CFF" w:rsidRPr="004E6A4A" w:rsidRDefault="00144445">
            <w:pPr>
              <w:jc w:val="center"/>
            </w:pPr>
            <w:r w:rsidRPr="004E6A4A">
              <w:rPr>
                <w:rFonts w:ascii="Times New Roman" w:eastAsia="Times New Roman" w:hAnsi="Times New Roman" w:cs="Times New Roman"/>
                <w:b/>
                <w:sz w:val="20"/>
              </w:rPr>
              <w:t>Definitions</w:t>
            </w:r>
          </w:p>
          <w:p w14:paraId="6B218350" w14:textId="77777777" w:rsidR="00FA0CFF" w:rsidRPr="004E6A4A" w:rsidRDefault="00144445">
            <w:pPr>
              <w:jc w:val="both"/>
            </w:pPr>
            <w:r w:rsidRPr="004E6A4A">
              <w:rPr>
                <w:rFonts w:ascii="Times New Roman" w:eastAsia="Times New Roman" w:hAnsi="Times New Roman" w:cs="Times New Roman"/>
                <w:sz w:val="20"/>
              </w:rPr>
              <w:t>69. “Cash value” means the greater of the following amounts:</w:t>
            </w:r>
          </w:p>
          <w:p w14:paraId="7FB79563" w14:textId="77777777" w:rsidR="00FA0CFF" w:rsidRPr="004E6A4A" w:rsidRDefault="00144445">
            <w:pPr>
              <w:jc w:val="both"/>
            </w:pPr>
            <w:r w:rsidRPr="004E6A4A">
              <w:rPr>
                <w:rFonts w:ascii="Times New Roman" w:eastAsia="Times New Roman" w:hAnsi="Times New Roman" w:cs="Times New Roman"/>
                <w:sz w:val="20"/>
              </w:rPr>
              <w:t>a) the amount which the policyholder is entitled to receive immediately upon the voluntary surrender or termination of the contract, determined without reduction for any possible surrender charge or policy loan; and</w:t>
            </w:r>
          </w:p>
          <w:p w14:paraId="40EAE496" w14:textId="77777777" w:rsidR="00FA0CFF" w:rsidRPr="004E6A4A" w:rsidRDefault="00144445">
            <w:pPr>
              <w:jc w:val="both"/>
            </w:pPr>
            <w:r w:rsidRPr="004E6A4A">
              <w:rPr>
                <w:rFonts w:ascii="Times New Roman" w:eastAsia="Times New Roman" w:hAnsi="Times New Roman" w:cs="Times New Roman"/>
                <w:sz w:val="20"/>
              </w:rPr>
              <w:lastRenderedPageBreak/>
              <w:t>b) the amount which the policyholder may borrow under the contract or in relation to it.</w:t>
            </w:r>
          </w:p>
          <w:p w14:paraId="0E501E72" w14:textId="77777777" w:rsidR="00FA0CFF" w:rsidRPr="004E6A4A" w:rsidRDefault="00144445">
            <w:pPr>
              <w:jc w:val="both"/>
            </w:pPr>
            <w:r w:rsidRPr="004E6A4A">
              <w:rPr>
                <w:rFonts w:ascii="Times New Roman" w:eastAsia="Times New Roman" w:hAnsi="Times New Roman" w:cs="Times New Roman"/>
                <w:sz w:val="20"/>
              </w:rPr>
              <w:t>Notwithstanding the foregoing, the term “cash value” does not include an amount payable under an insurance contract:</w:t>
            </w:r>
          </w:p>
          <w:p w14:paraId="32ACA79F" w14:textId="77777777" w:rsidR="00FA0CFF" w:rsidRPr="004E6A4A" w:rsidRDefault="00144445">
            <w:pPr>
              <w:jc w:val="both"/>
            </w:pPr>
            <w:r w:rsidRPr="004E6A4A">
              <w:rPr>
                <w:rFonts w:ascii="Times New Roman" w:eastAsia="Times New Roman" w:hAnsi="Times New Roman" w:cs="Times New Roman"/>
                <w:sz w:val="20"/>
              </w:rPr>
              <w:t>i) solely by reason of the death of the individual insured under a life insurance contract;</w:t>
            </w:r>
          </w:p>
          <w:p w14:paraId="24A75F0C" w14:textId="77777777" w:rsidR="00FA0CFF" w:rsidRPr="004E6A4A" w:rsidRDefault="00144445">
            <w:pPr>
              <w:jc w:val="both"/>
            </w:pPr>
            <w:r w:rsidRPr="004E6A4A">
              <w:rPr>
                <w:rFonts w:ascii="Times New Roman" w:eastAsia="Times New Roman" w:hAnsi="Times New Roman" w:cs="Times New Roman"/>
                <w:sz w:val="20"/>
              </w:rPr>
              <w:t>ii) in the form of a personal injury or sickness benefit or other benefits indemnifying an economic loss incurred upon the occurrence of an event against which insurance was taken out;</w:t>
            </w:r>
          </w:p>
          <w:p w14:paraId="43F6127F" w14:textId="77777777" w:rsidR="00FA0CFF" w:rsidRPr="004E6A4A" w:rsidRDefault="00144445">
            <w:pPr>
              <w:jc w:val="both"/>
            </w:pPr>
            <w:r w:rsidRPr="004E6A4A">
              <w:rPr>
                <w:rFonts w:ascii="Times New Roman" w:eastAsia="Times New Roman" w:hAnsi="Times New Roman" w:cs="Times New Roman"/>
                <w:sz w:val="20"/>
              </w:rPr>
              <w:t>iii) in the form of a refund of a previously paid premium, less the cost of insurance charges, whether or not actually imposed, under an insurance contract, other than an investment-linked life insurance contract or an annuity contract, by reason of the cancellation or termination of the contract, a decrease in risk exposure during the effective period of the contract, or as a result of the correction of an accounting entry or a similar error relating to the premium of the contract;</w:t>
            </w:r>
          </w:p>
          <w:p w14:paraId="52306262" w14:textId="77777777" w:rsidR="00FA0CFF" w:rsidRPr="004E6A4A" w:rsidRDefault="00144445">
            <w:pPr>
              <w:jc w:val="both"/>
            </w:pPr>
            <w:r w:rsidRPr="004E6A4A">
              <w:rPr>
                <w:rFonts w:ascii="Times New Roman" w:eastAsia="Times New Roman" w:hAnsi="Times New Roman" w:cs="Times New Roman"/>
                <w:sz w:val="20"/>
              </w:rPr>
              <w:t>iv) in the form of a policyholder dividend, other than a termination dividend, provided that the dividend relates to an insurance contract under which the only benefits payable are those described in sub-point ‘ii’ of this point; or</w:t>
            </w:r>
          </w:p>
          <w:p w14:paraId="253B380C" w14:textId="77777777" w:rsidR="00FA0CFF" w:rsidRPr="004E6A4A" w:rsidRDefault="00144445">
            <w:pPr>
              <w:jc w:val="both"/>
            </w:pPr>
            <w:r w:rsidRPr="004E6A4A">
              <w:rPr>
                <w:rFonts w:ascii="Times New Roman" w:eastAsia="Times New Roman" w:hAnsi="Times New Roman" w:cs="Times New Roman"/>
                <w:sz w:val="20"/>
              </w:rPr>
              <w:t>v) in the form of a return of an advance premium or premium deposit for an insurance contract for which the premium is payable at least annually, if the amount of the advance premium or premium deposit does not exceed the next annual premium payable under the contract.</w:t>
            </w:r>
          </w:p>
        </w:tc>
        <w:tc>
          <w:tcPr>
            <w:tcW w:w="1156" w:type="dxa"/>
          </w:tcPr>
          <w:p w14:paraId="39BF09A5" w14:textId="77777777" w:rsidR="00BC33AD" w:rsidRPr="004E6A4A" w:rsidRDefault="00BC33AD" w:rsidP="00C4419F">
            <w:pPr>
              <w:jc w:val="center"/>
              <w:rPr>
                <w:rFonts w:ascii="Times New Roman" w:eastAsia="Calibri" w:hAnsi="Times New Roman" w:cs="Times New Roman"/>
                <w:sz w:val="18"/>
                <w:szCs w:val="18"/>
              </w:rPr>
            </w:pPr>
          </w:p>
          <w:p w14:paraId="470ECE83" w14:textId="23C0E287"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BE1F42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6608D8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69 of the Draft Law.</w:t>
            </w:r>
          </w:p>
        </w:tc>
      </w:tr>
      <w:tr w:rsidR="004E6A4A" w:rsidRPr="004E6A4A" w14:paraId="48128E56" w14:textId="77777777" w:rsidTr="00E11E6D">
        <w:trPr>
          <w:trHeight w:val="764"/>
        </w:trPr>
        <w:tc>
          <w:tcPr>
            <w:tcW w:w="720" w:type="dxa"/>
          </w:tcPr>
          <w:p w14:paraId="67C00F5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1225C9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9.</w:t>
            </w:r>
            <w:r w:rsidRPr="004E6A4A">
              <w:rPr>
                <w:rFonts w:ascii="Times New Roman" w:eastAsia="Times New Roman" w:hAnsi="Times New Roman" w:cs="Times New Roman"/>
                <w:sz w:val="20"/>
                <w:szCs w:val="20"/>
              </w:rPr>
              <w:tab/>
              <w:t>The term “Pre-existing Account” means:</w:t>
            </w:r>
          </w:p>
          <w:p w14:paraId="2E460F6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a Financial Account maintained by a Reporting Financial Institution as of 31 December 2015 or, if the account is treated as a Financial Account solely by virtue of the amendments to this Directive made by Council Directive (EU) 2023/2226, as of 31 December 2025;</w:t>
            </w:r>
          </w:p>
          <w:p w14:paraId="50CA9FE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lastRenderedPageBreak/>
              <w:t>(b)</w:t>
            </w:r>
            <w:r w:rsidRPr="004E6A4A">
              <w:rPr>
                <w:rFonts w:ascii="Times New Roman" w:eastAsia="Times New Roman" w:hAnsi="Times New Roman" w:cs="Times New Roman"/>
                <w:sz w:val="20"/>
                <w:szCs w:val="20"/>
              </w:rPr>
              <w:tab/>
              <w:t>any Financial Account of an Account Holder, regardless of the date such Financial Account was opened, if:</w:t>
            </w:r>
          </w:p>
          <w:p w14:paraId="0864B8C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Account Holder also holds with the Reporting Financial Institution (or with a Related Entity within the same Member State as the Reporting Financial Institution) a Financial Account that is a Pre-existing Account under subparagraph C(9), point (a);</w:t>
            </w:r>
          </w:p>
          <w:p w14:paraId="1B10B68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the Reporting Financial Institution (and, as applicable, the Related Entity within the same Member State as the Reporting Financial Institution) treats both of the aforementioned Financial Accounts, and any other Financial Accounts of the Account Holder that are treated as Pre-existing Accounts under subparagraph C(9), point (b), as a single Financial Account for the purpose of satisfying the standards of knowledge requirements set out in Section VII, paragraph A, and for the purpose of determining the balance or value of any of the Financial Accounts when applying any of the account thresholds;</w:t>
            </w:r>
          </w:p>
          <w:p w14:paraId="6B3740E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with respect to a Financial Account that is subject to AML/KYC Procedures, the Reporting Financial Institution is permitted to satisfy such AML/KYC Procedures for the Financial Account by relying upon the AML/KYC Procedures performed for the Pre-existing Account described in subparagraph C(9), point (a); and</w:t>
            </w:r>
          </w:p>
          <w:p w14:paraId="41C1619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the opening of the Financial Account does not require the provision of new, additional or amended customer information by the Account Holder other than for the purposes of this Directive.</w:t>
            </w:r>
          </w:p>
        </w:tc>
        <w:tc>
          <w:tcPr>
            <w:tcW w:w="1080" w:type="dxa"/>
          </w:tcPr>
          <w:p w14:paraId="5CDA173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35B9C31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2C9B3F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F093FCC" w14:textId="77777777" w:rsidR="00FA0CFF" w:rsidRPr="004E6A4A" w:rsidRDefault="00144445">
            <w:pPr>
              <w:jc w:val="center"/>
            </w:pPr>
            <w:r w:rsidRPr="004E6A4A">
              <w:rPr>
                <w:rFonts w:ascii="Times New Roman" w:eastAsia="Times New Roman" w:hAnsi="Times New Roman" w:cs="Times New Roman"/>
                <w:b/>
                <w:sz w:val="20"/>
              </w:rPr>
              <w:t>Definitions</w:t>
            </w:r>
          </w:p>
          <w:p w14:paraId="20E1831A" w14:textId="77777777" w:rsidR="00FA0CFF" w:rsidRPr="004E6A4A" w:rsidRDefault="00144445">
            <w:pPr>
              <w:jc w:val="both"/>
            </w:pPr>
            <w:r w:rsidRPr="004E6A4A">
              <w:rPr>
                <w:rFonts w:ascii="Times New Roman" w:eastAsia="Times New Roman" w:hAnsi="Times New Roman" w:cs="Times New Roman"/>
                <w:sz w:val="20"/>
              </w:rPr>
              <w:t>53. “Pre-existing account” means:</w:t>
            </w:r>
          </w:p>
          <w:p w14:paraId="066F3804" w14:textId="77777777" w:rsidR="00FA0CFF" w:rsidRPr="004E6A4A" w:rsidRDefault="00144445">
            <w:pPr>
              <w:jc w:val="both"/>
            </w:pPr>
            <w:r w:rsidRPr="004E6A4A">
              <w:rPr>
                <w:rFonts w:ascii="Times New Roman" w:eastAsia="Times New Roman" w:hAnsi="Times New Roman" w:cs="Times New Roman"/>
                <w:sz w:val="20"/>
              </w:rPr>
              <w:t>a) a Financial Account maintained by a Reporting Financial Institution:</w:t>
            </w:r>
          </w:p>
          <w:p w14:paraId="73C4B470" w14:textId="77777777" w:rsidR="00FA0CFF" w:rsidRPr="004E6A4A" w:rsidRDefault="00144445">
            <w:pPr>
              <w:jc w:val="both"/>
            </w:pPr>
            <w:r w:rsidRPr="004E6A4A">
              <w:rPr>
                <w:rFonts w:ascii="Times New Roman" w:eastAsia="Times New Roman" w:hAnsi="Times New Roman" w:cs="Times New Roman"/>
                <w:sz w:val="20"/>
              </w:rPr>
              <w:lastRenderedPageBreak/>
              <w:t>i) for the European Union profile, as at 31 December 2015 or, where the account is treated as a Financial Account solely by reason of the amendments to Directive 2011/16/EU made by Directive (EU) 2023/2226, as at 31 December 2025;</w:t>
            </w:r>
          </w:p>
          <w:p w14:paraId="5C4B155C" w14:textId="77777777" w:rsidR="00FA0CFF" w:rsidRPr="004E6A4A" w:rsidRDefault="00144445">
            <w:pPr>
              <w:jc w:val="both"/>
            </w:pPr>
            <w:r w:rsidRPr="004E6A4A">
              <w:rPr>
                <w:rFonts w:ascii="Times New Roman" w:eastAsia="Times New Roman" w:hAnsi="Times New Roman" w:cs="Times New Roman"/>
                <w:sz w:val="20"/>
              </w:rPr>
              <w:t>ii) for the Common Reporting Standard profile, as at 31 December 2018 or, where the account is treated as a Financial Account solely by reason of the amendments to the Standard, as at 31 December 2025;</w:t>
            </w:r>
          </w:p>
          <w:p w14:paraId="477F612F" w14:textId="77777777" w:rsidR="00FA0CFF" w:rsidRPr="004E6A4A" w:rsidRDefault="00144445">
            <w:pPr>
              <w:jc w:val="both"/>
            </w:pPr>
            <w:r w:rsidRPr="004E6A4A">
              <w:rPr>
                <w:rFonts w:ascii="Times New Roman" w:eastAsia="Times New Roman" w:hAnsi="Times New Roman" w:cs="Times New Roman"/>
                <w:sz w:val="20"/>
              </w:rPr>
              <w:t>b) any Financial Account of the account holder, irrespective of the date on which that Financial Account was opened, if:</w:t>
            </w:r>
          </w:p>
          <w:p w14:paraId="7CC01E17" w14:textId="77777777" w:rsidR="00FA0CFF" w:rsidRPr="004E6A4A" w:rsidRDefault="00144445">
            <w:pPr>
              <w:jc w:val="both"/>
            </w:pPr>
            <w:r w:rsidRPr="004E6A4A">
              <w:rPr>
                <w:rFonts w:ascii="Times New Roman" w:eastAsia="Times New Roman" w:hAnsi="Times New Roman" w:cs="Times New Roman"/>
                <w:sz w:val="20"/>
              </w:rPr>
              <w:t>i) the account holder also holds with the Reporting Financial Institution, or with a Related Entity belonging to the same jurisdiction as the Reporting Financial Institution, a Financial Account which is a Pre-existing Account under letter “a” of this point;</w:t>
            </w:r>
          </w:p>
          <w:p w14:paraId="714F4646" w14:textId="77777777" w:rsidR="00FA0CFF" w:rsidRPr="004E6A4A" w:rsidRDefault="00144445">
            <w:pPr>
              <w:jc w:val="both"/>
            </w:pPr>
            <w:r w:rsidRPr="004E6A4A">
              <w:rPr>
                <w:rFonts w:ascii="Times New Roman" w:eastAsia="Times New Roman" w:hAnsi="Times New Roman" w:cs="Times New Roman"/>
                <w:sz w:val="20"/>
              </w:rPr>
              <w:t>ii) the Reporting Financial Institution and, as the case may be, the Related Entity of the same jurisdiction, treats both of the aforementioned Financial Accounts and any other Financial Account of the account holder which is treated as a Pre-existing Account in accordance with this letter, as a single Financial Account for the fulfilment of the requirements relating to knowledge or reason to know determined in Article 12, point 1, and for the determination of the balance or value of each Financial Account during the application of the relevant thresholds;</w:t>
            </w:r>
          </w:p>
          <w:p w14:paraId="0947D741" w14:textId="77777777" w:rsidR="00FA0CFF" w:rsidRPr="004E6A4A" w:rsidRDefault="00144445">
            <w:pPr>
              <w:jc w:val="both"/>
            </w:pPr>
            <w:r w:rsidRPr="004E6A4A">
              <w:rPr>
                <w:rFonts w:ascii="Times New Roman" w:eastAsia="Times New Roman" w:hAnsi="Times New Roman" w:cs="Times New Roman"/>
                <w:sz w:val="20"/>
              </w:rPr>
              <w:t>iii) in the case of a Financial Account which is subject to the AML/KYC procedures, the Reporting Financial Institution is permitted to complete the AML/KYC procedures for the Financial Account by relying on the AML/KYC procedures carried out for the Pre-existing Account under letter “a” of this point; and</w:t>
            </w:r>
          </w:p>
          <w:p w14:paraId="24199AC7" w14:textId="77777777" w:rsidR="00FA0CFF" w:rsidRPr="004E6A4A" w:rsidRDefault="00144445">
            <w:pPr>
              <w:jc w:val="both"/>
            </w:pPr>
            <w:r w:rsidRPr="004E6A4A">
              <w:rPr>
                <w:rFonts w:ascii="Times New Roman" w:eastAsia="Times New Roman" w:hAnsi="Times New Roman" w:cs="Times New Roman"/>
                <w:sz w:val="20"/>
              </w:rPr>
              <w:t xml:space="preserve">iv) the opening of the Financial Account does not require the provision of new, additional or amended </w:t>
            </w:r>
            <w:r w:rsidRPr="004E6A4A">
              <w:rPr>
                <w:rFonts w:ascii="Times New Roman" w:eastAsia="Times New Roman" w:hAnsi="Times New Roman" w:cs="Times New Roman"/>
                <w:sz w:val="20"/>
              </w:rPr>
              <w:lastRenderedPageBreak/>
              <w:t>information by the account holder, other than for the purposes of this Law.</w:t>
            </w:r>
          </w:p>
        </w:tc>
        <w:tc>
          <w:tcPr>
            <w:tcW w:w="1156" w:type="dxa"/>
          </w:tcPr>
          <w:p w14:paraId="3A9FE956" w14:textId="77777777" w:rsidR="00BC33AD" w:rsidRPr="004E6A4A" w:rsidRDefault="00BC33AD" w:rsidP="00C4419F">
            <w:pPr>
              <w:jc w:val="center"/>
              <w:rPr>
                <w:rFonts w:ascii="Times New Roman" w:eastAsia="Calibri" w:hAnsi="Times New Roman" w:cs="Times New Roman"/>
                <w:sz w:val="18"/>
                <w:szCs w:val="18"/>
              </w:rPr>
            </w:pPr>
          </w:p>
          <w:p w14:paraId="34973F74" w14:textId="77777777" w:rsidR="00BC33AD" w:rsidRPr="004E6A4A" w:rsidRDefault="00BC33AD" w:rsidP="00C4419F">
            <w:pPr>
              <w:jc w:val="center"/>
              <w:rPr>
                <w:rFonts w:ascii="Times New Roman" w:eastAsia="Calibri" w:hAnsi="Times New Roman" w:cs="Times New Roman"/>
                <w:sz w:val="18"/>
                <w:szCs w:val="18"/>
              </w:rPr>
            </w:pPr>
          </w:p>
          <w:p w14:paraId="0B77BEA9" w14:textId="23C76C6C"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55386A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7062988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53 of the Draft Law.</w:t>
            </w:r>
          </w:p>
        </w:tc>
      </w:tr>
      <w:tr w:rsidR="004E6A4A" w:rsidRPr="004E6A4A" w14:paraId="744419D7" w14:textId="77777777" w:rsidTr="00E11E6D">
        <w:trPr>
          <w:trHeight w:val="764"/>
        </w:trPr>
        <w:tc>
          <w:tcPr>
            <w:tcW w:w="720" w:type="dxa"/>
          </w:tcPr>
          <w:p w14:paraId="0AEB6238"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118157C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10.</w:t>
            </w:r>
            <w:r w:rsidRPr="004E6A4A">
              <w:rPr>
                <w:rFonts w:ascii="Times New Roman" w:eastAsia="Times New Roman" w:hAnsi="Times New Roman" w:cs="Times New Roman"/>
                <w:sz w:val="20"/>
                <w:szCs w:val="20"/>
              </w:rPr>
              <w:tab/>
              <w:t>The term “New Account” means a Financial Account maintained by a Reporting Financial Institution opened on or after 1 January 2016 or, if the account is treated as a Financial Account solely by virtue of the amendments to this Directive made by Directive (EU) 2023/2226, on or after 1 January 2026.</w:t>
            </w:r>
          </w:p>
        </w:tc>
        <w:tc>
          <w:tcPr>
            <w:tcW w:w="1080" w:type="dxa"/>
          </w:tcPr>
          <w:p w14:paraId="0E29D748"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6348BF8"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A11D2CD"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8D0C3F7" w14:textId="77777777" w:rsidR="00FA0CFF" w:rsidRPr="004E6A4A" w:rsidRDefault="00144445">
            <w:pPr>
              <w:jc w:val="center"/>
            </w:pPr>
            <w:r w:rsidRPr="004E6A4A">
              <w:rPr>
                <w:rFonts w:ascii="Times New Roman" w:eastAsia="Times New Roman" w:hAnsi="Times New Roman" w:cs="Times New Roman"/>
                <w:b/>
                <w:sz w:val="20"/>
              </w:rPr>
              <w:t>Definitions</w:t>
            </w:r>
          </w:p>
          <w:p w14:paraId="4BFA84C4" w14:textId="77777777" w:rsidR="00FA0CFF" w:rsidRPr="004E6A4A" w:rsidRDefault="00144445">
            <w:pPr>
              <w:jc w:val="both"/>
            </w:pPr>
            <w:r w:rsidRPr="004E6A4A">
              <w:rPr>
                <w:rFonts w:ascii="Times New Roman" w:eastAsia="Times New Roman" w:hAnsi="Times New Roman" w:cs="Times New Roman"/>
                <w:sz w:val="20"/>
              </w:rPr>
              <w:t>45. “New account” means:</w:t>
            </w:r>
          </w:p>
          <w:p w14:paraId="64C42938" w14:textId="77777777" w:rsidR="00FA0CFF" w:rsidRPr="004E6A4A" w:rsidRDefault="00144445">
            <w:pPr>
              <w:jc w:val="both"/>
            </w:pPr>
            <w:r w:rsidRPr="004E6A4A">
              <w:rPr>
                <w:rFonts w:ascii="Times New Roman" w:eastAsia="Times New Roman" w:hAnsi="Times New Roman" w:cs="Times New Roman"/>
                <w:sz w:val="20"/>
              </w:rPr>
              <w:t>a) for the European Union profile, a Financial Account maintained by a Reporting Financial Institution, opened on or after 1 January 2016, or, where the account is treated as a Financial Account solely by reason of the amendments to Directive 2011/16/EU made by Directive (EU) 2023/2226, opened on or after 1 January 2026;</w:t>
            </w:r>
          </w:p>
          <w:p w14:paraId="546E3743" w14:textId="77777777" w:rsidR="00FA0CFF" w:rsidRPr="004E6A4A" w:rsidRDefault="00144445">
            <w:pPr>
              <w:jc w:val="both"/>
            </w:pPr>
            <w:r w:rsidRPr="004E6A4A">
              <w:rPr>
                <w:rFonts w:ascii="Times New Roman" w:eastAsia="Times New Roman" w:hAnsi="Times New Roman" w:cs="Times New Roman"/>
                <w:sz w:val="20"/>
              </w:rPr>
              <w:t>b) for the Common Reporting Standard profile, a Financial Account maintained by a Reporting Financial Institution, opened on or after 1 January 2019, or, where the account is treated as a Financial Account solely by reason of the amendments to the Standard, opened on or after 1 January 2026.</w:t>
            </w:r>
          </w:p>
        </w:tc>
        <w:tc>
          <w:tcPr>
            <w:tcW w:w="1156" w:type="dxa"/>
          </w:tcPr>
          <w:p w14:paraId="39BE5BE7" w14:textId="77777777" w:rsidR="00BC33AD" w:rsidRPr="004E6A4A" w:rsidRDefault="00BC33AD" w:rsidP="00C4419F">
            <w:pPr>
              <w:jc w:val="center"/>
              <w:rPr>
                <w:rFonts w:ascii="Times New Roman" w:eastAsia="Calibri" w:hAnsi="Times New Roman" w:cs="Times New Roman"/>
                <w:sz w:val="18"/>
                <w:szCs w:val="18"/>
              </w:rPr>
            </w:pPr>
          </w:p>
          <w:p w14:paraId="3BA48ED8" w14:textId="5F64D14D"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34AF11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D0FBA7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45 of the Draft Law.</w:t>
            </w:r>
          </w:p>
        </w:tc>
      </w:tr>
      <w:tr w:rsidR="004E6A4A" w:rsidRPr="004E6A4A" w14:paraId="330230CC" w14:textId="77777777" w:rsidTr="00E11E6D">
        <w:trPr>
          <w:trHeight w:val="764"/>
        </w:trPr>
        <w:tc>
          <w:tcPr>
            <w:tcW w:w="720" w:type="dxa"/>
          </w:tcPr>
          <w:p w14:paraId="73A05612"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F7199D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11.</w:t>
            </w:r>
            <w:r w:rsidRPr="004E6A4A">
              <w:rPr>
                <w:rFonts w:ascii="Times New Roman" w:eastAsia="Times New Roman" w:hAnsi="Times New Roman" w:cs="Times New Roman"/>
                <w:sz w:val="20"/>
                <w:szCs w:val="20"/>
              </w:rPr>
              <w:tab/>
              <w:t>The term “Pre-existing Individual Account” means a Pre-existing Account held by one or more individuals.</w:t>
            </w:r>
          </w:p>
        </w:tc>
        <w:tc>
          <w:tcPr>
            <w:tcW w:w="1080" w:type="dxa"/>
          </w:tcPr>
          <w:p w14:paraId="16E3F830"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2B4FDB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342867F6"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D291672" w14:textId="77777777" w:rsidR="00FA0CFF" w:rsidRPr="004E6A4A" w:rsidRDefault="00144445">
            <w:pPr>
              <w:jc w:val="center"/>
            </w:pPr>
            <w:r w:rsidRPr="004E6A4A">
              <w:rPr>
                <w:rFonts w:ascii="Times New Roman" w:eastAsia="Times New Roman" w:hAnsi="Times New Roman" w:cs="Times New Roman"/>
                <w:b/>
                <w:sz w:val="20"/>
              </w:rPr>
              <w:t>Definitions</w:t>
            </w:r>
          </w:p>
          <w:p w14:paraId="7C4ED13A" w14:textId="77777777" w:rsidR="00FA0CFF" w:rsidRPr="004E6A4A" w:rsidRDefault="00144445">
            <w:pPr>
              <w:jc w:val="both"/>
            </w:pPr>
            <w:r w:rsidRPr="004E6A4A">
              <w:rPr>
                <w:rFonts w:ascii="Times New Roman" w:eastAsia="Times New Roman" w:hAnsi="Times New Roman" w:cs="Times New Roman"/>
                <w:sz w:val="20"/>
              </w:rPr>
              <w:t>49. “Pre-existing individual account” means a pre-existing account held by one or more individuals.</w:t>
            </w:r>
          </w:p>
        </w:tc>
        <w:tc>
          <w:tcPr>
            <w:tcW w:w="1156" w:type="dxa"/>
          </w:tcPr>
          <w:p w14:paraId="74719C89" w14:textId="77777777" w:rsidR="00BC33AD" w:rsidRPr="004E6A4A" w:rsidRDefault="00BC33AD" w:rsidP="00C4419F">
            <w:pPr>
              <w:jc w:val="center"/>
              <w:rPr>
                <w:rFonts w:ascii="Times New Roman" w:eastAsia="Calibri" w:hAnsi="Times New Roman" w:cs="Times New Roman"/>
                <w:sz w:val="18"/>
                <w:szCs w:val="18"/>
              </w:rPr>
            </w:pPr>
          </w:p>
          <w:p w14:paraId="56446F66" w14:textId="7ADFBD64" w:rsidR="000A21ED" w:rsidRPr="004E6A4A" w:rsidRDefault="00BC33A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6BD98A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2961EC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49 of the Draft Law.</w:t>
            </w:r>
          </w:p>
        </w:tc>
      </w:tr>
      <w:tr w:rsidR="004E6A4A" w:rsidRPr="004E6A4A" w14:paraId="05BCFDF4" w14:textId="77777777" w:rsidTr="00E11E6D">
        <w:trPr>
          <w:trHeight w:val="764"/>
        </w:trPr>
        <w:tc>
          <w:tcPr>
            <w:tcW w:w="720" w:type="dxa"/>
          </w:tcPr>
          <w:p w14:paraId="7616D19B"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4287A1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12.</w:t>
            </w:r>
            <w:r w:rsidRPr="004E6A4A">
              <w:rPr>
                <w:rFonts w:ascii="Times New Roman" w:eastAsia="Times New Roman" w:hAnsi="Times New Roman" w:cs="Times New Roman"/>
                <w:sz w:val="20"/>
                <w:szCs w:val="20"/>
              </w:rPr>
              <w:tab/>
              <w:t>The term “New Individual Account” means a New Account held by one or more individuals.</w:t>
            </w:r>
          </w:p>
        </w:tc>
        <w:tc>
          <w:tcPr>
            <w:tcW w:w="1080" w:type="dxa"/>
          </w:tcPr>
          <w:p w14:paraId="558190C1"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69B235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0FE163A2"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4B80110" w14:textId="77777777" w:rsidR="00FA0CFF" w:rsidRPr="004E6A4A" w:rsidRDefault="00144445">
            <w:pPr>
              <w:jc w:val="center"/>
            </w:pPr>
            <w:r w:rsidRPr="004E6A4A">
              <w:rPr>
                <w:rFonts w:ascii="Times New Roman" w:eastAsia="Times New Roman" w:hAnsi="Times New Roman" w:cs="Times New Roman"/>
                <w:b/>
                <w:sz w:val="20"/>
              </w:rPr>
              <w:t>Definitions</w:t>
            </w:r>
          </w:p>
          <w:p w14:paraId="320D9A08" w14:textId="77777777" w:rsidR="00FA0CFF" w:rsidRPr="004E6A4A" w:rsidRDefault="00144445">
            <w:pPr>
              <w:jc w:val="both"/>
            </w:pPr>
            <w:r w:rsidRPr="004E6A4A">
              <w:rPr>
                <w:rFonts w:ascii="Times New Roman" w:eastAsia="Times New Roman" w:hAnsi="Times New Roman" w:cs="Times New Roman"/>
                <w:sz w:val="20"/>
              </w:rPr>
              <w:t>47. “New individual account” means a new account held by one or more individuals.</w:t>
            </w:r>
          </w:p>
        </w:tc>
        <w:tc>
          <w:tcPr>
            <w:tcW w:w="1156" w:type="dxa"/>
          </w:tcPr>
          <w:p w14:paraId="319821A9" w14:textId="77777777" w:rsidR="00DD4CC1" w:rsidRPr="004E6A4A" w:rsidRDefault="00DD4CC1" w:rsidP="00C4419F">
            <w:pPr>
              <w:jc w:val="center"/>
              <w:rPr>
                <w:rFonts w:ascii="Times New Roman" w:eastAsia="Calibri" w:hAnsi="Times New Roman" w:cs="Times New Roman"/>
                <w:sz w:val="18"/>
                <w:szCs w:val="18"/>
              </w:rPr>
            </w:pPr>
          </w:p>
          <w:p w14:paraId="2515F7E2" w14:textId="0F89B958"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EDAE8D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F245CD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47 of the Draft Law.</w:t>
            </w:r>
          </w:p>
        </w:tc>
      </w:tr>
      <w:tr w:rsidR="004E6A4A" w:rsidRPr="004E6A4A" w14:paraId="25E0B556" w14:textId="77777777" w:rsidTr="00E11E6D">
        <w:trPr>
          <w:trHeight w:val="764"/>
        </w:trPr>
        <w:tc>
          <w:tcPr>
            <w:tcW w:w="720" w:type="dxa"/>
          </w:tcPr>
          <w:p w14:paraId="3E674026"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109CBC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13.</w:t>
            </w:r>
            <w:r w:rsidRPr="004E6A4A">
              <w:rPr>
                <w:rFonts w:ascii="Times New Roman" w:eastAsia="Times New Roman" w:hAnsi="Times New Roman" w:cs="Times New Roman"/>
                <w:sz w:val="20"/>
                <w:szCs w:val="20"/>
              </w:rPr>
              <w:tab/>
              <w:t>The term “Pre-existing Entity Account” means a Pre-existing Account held by one or more Entities.</w:t>
            </w:r>
          </w:p>
        </w:tc>
        <w:tc>
          <w:tcPr>
            <w:tcW w:w="1080" w:type="dxa"/>
          </w:tcPr>
          <w:p w14:paraId="2A652FA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6E220B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1FDAF22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D8779E3" w14:textId="77777777" w:rsidR="00FA0CFF" w:rsidRPr="004E6A4A" w:rsidRDefault="00144445">
            <w:pPr>
              <w:jc w:val="center"/>
            </w:pPr>
            <w:r w:rsidRPr="004E6A4A">
              <w:rPr>
                <w:rFonts w:ascii="Times New Roman" w:eastAsia="Times New Roman" w:hAnsi="Times New Roman" w:cs="Times New Roman"/>
                <w:b/>
                <w:sz w:val="20"/>
              </w:rPr>
              <w:t>Definitions</w:t>
            </w:r>
          </w:p>
          <w:p w14:paraId="415BBF26" w14:textId="77777777" w:rsidR="00FA0CFF" w:rsidRPr="004E6A4A" w:rsidRDefault="00144445">
            <w:pPr>
              <w:jc w:val="both"/>
            </w:pPr>
            <w:r w:rsidRPr="004E6A4A">
              <w:rPr>
                <w:rFonts w:ascii="Times New Roman" w:eastAsia="Times New Roman" w:hAnsi="Times New Roman" w:cs="Times New Roman"/>
                <w:sz w:val="20"/>
              </w:rPr>
              <w:t>54. “Pre-existing entity account” means a pre-existing account held by one or more entities.</w:t>
            </w:r>
          </w:p>
        </w:tc>
        <w:tc>
          <w:tcPr>
            <w:tcW w:w="1156" w:type="dxa"/>
          </w:tcPr>
          <w:p w14:paraId="34DF4EC5" w14:textId="77777777" w:rsidR="00DD4CC1" w:rsidRPr="004E6A4A" w:rsidRDefault="00DD4CC1" w:rsidP="00C4419F">
            <w:pPr>
              <w:jc w:val="center"/>
              <w:rPr>
                <w:rFonts w:ascii="Times New Roman" w:eastAsia="Calibri" w:hAnsi="Times New Roman" w:cs="Times New Roman"/>
                <w:sz w:val="18"/>
                <w:szCs w:val="18"/>
              </w:rPr>
            </w:pPr>
          </w:p>
          <w:p w14:paraId="05DD2405" w14:textId="032EC8F0"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7C0EBC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F22C68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54 of the Draft Law.</w:t>
            </w:r>
          </w:p>
        </w:tc>
      </w:tr>
      <w:tr w:rsidR="004E6A4A" w:rsidRPr="004E6A4A" w14:paraId="05186EE2" w14:textId="77777777" w:rsidTr="00E11E6D">
        <w:trPr>
          <w:trHeight w:val="764"/>
        </w:trPr>
        <w:tc>
          <w:tcPr>
            <w:tcW w:w="720" w:type="dxa"/>
          </w:tcPr>
          <w:p w14:paraId="389974F1"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427059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14.</w:t>
            </w:r>
            <w:r w:rsidRPr="004E6A4A">
              <w:rPr>
                <w:rFonts w:ascii="Times New Roman" w:eastAsia="Times New Roman" w:hAnsi="Times New Roman" w:cs="Times New Roman"/>
                <w:sz w:val="20"/>
                <w:szCs w:val="20"/>
              </w:rPr>
              <w:tab/>
              <w:t>The term “Lower Value Account” means a Pre-existing Individual Account with an aggregate balance or value as of 31 December 2015 that does not exceed an amount denominated in the domestic currency of each Member State that corresponds to USD 1 000 000.</w:t>
            </w:r>
          </w:p>
        </w:tc>
        <w:tc>
          <w:tcPr>
            <w:tcW w:w="1080" w:type="dxa"/>
          </w:tcPr>
          <w:p w14:paraId="058A95B5"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309DE15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80DE51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81B8E63" w14:textId="77777777" w:rsidR="00FA0CFF" w:rsidRPr="004E6A4A" w:rsidRDefault="00144445">
            <w:pPr>
              <w:jc w:val="center"/>
            </w:pPr>
            <w:r w:rsidRPr="004E6A4A">
              <w:rPr>
                <w:rFonts w:ascii="Times New Roman" w:eastAsia="Times New Roman" w:hAnsi="Times New Roman" w:cs="Times New Roman"/>
                <w:b/>
                <w:sz w:val="20"/>
              </w:rPr>
              <w:t>Definitions</w:t>
            </w:r>
          </w:p>
          <w:p w14:paraId="44322150" w14:textId="77777777" w:rsidR="00FA0CFF" w:rsidRPr="004E6A4A" w:rsidRDefault="00144445">
            <w:pPr>
              <w:jc w:val="both"/>
            </w:pPr>
            <w:r w:rsidRPr="004E6A4A">
              <w:rPr>
                <w:rFonts w:ascii="Times New Roman" w:eastAsia="Times New Roman" w:hAnsi="Times New Roman" w:cs="Times New Roman"/>
                <w:sz w:val="20"/>
              </w:rPr>
              <w:t>51. “Lower value account” means a Pre-existing Individual Account with an aggregate balance or value which:</w:t>
            </w:r>
          </w:p>
          <w:p w14:paraId="5234E07D" w14:textId="77777777" w:rsidR="00FA0CFF" w:rsidRPr="004E6A4A" w:rsidRDefault="00144445">
            <w:pPr>
              <w:jc w:val="both"/>
            </w:pPr>
            <w:r w:rsidRPr="004E6A4A">
              <w:rPr>
                <w:rFonts w:ascii="Times New Roman" w:eastAsia="Times New Roman" w:hAnsi="Times New Roman" w:cs="Times New Roman"/>
                <w:sz w:val="20"/>
              </w:rPr>
              <w:lastRenderedPageBreak/>
              <w:t>a) for the European Union profile, as at 31 December 2015 does not exceed the equivalent of USD 1 000 000;</w:t>
            </w:r>
          </w:p>
          <w:p w14:paraId="519500DD" w14:textId="77777777" w:rsidR="00FA0CFF" w:rsidRPr="004E6A4A" w:rsidRDefault="00144445">
            <w:pPr>
              <w:jc w:val="both"/>
            </w:pPr>
            <w:r w:rsidRPr="004E6A4A">
              <w:rPr>
                <w:rFonts w:ascii="Times New Roman" w:eastAsia="Times New Roman" w:hAnsi="Times New Roman" w:cs="Times New Roman"/>
                <w:sz w:val="20"/>
              </w:rPr>
              <w:t>b) for the Common Reporting Standard profile, as at 31 December 2018 does not exceed USD 1 000 000.</w:t>
            </w:r>
          </w:p>
          <w:p w14:paraId="5C4EF5E0" w14:textId="77777777" w:rsidR="00FA0CFF" w:rsidRPr="004E6A4A" w:rsidRDefault="00FA0CFF"/>
          <w:p w14:paraId="74FFAE24" w14:textId="180B1419" w:rsidR="00FA0CFF" w:rsidRPr="004E6A4A" w:rsidRDefault="00FA0CFF">
            <w:pPr>
              <w:jc w:val="both"/>
            </w:pPr>
          </w:p>
        </w:tc>
        <w:tc>
          <w:tcPr>
            <w:tcW w:w="1156" w:type="dxa"/>
          </w:tcPr>
          <w:p w14:paraId="70DDA1C0" w14:textId="77777777" w:rsidR="000A21ED" w:rsidRPr="004E6A4A" w:rsidRDefault="000A21ED" w:rsidP="00C4419F">
            <w:pPr>
              <w:jc w:val="center"/>
              <w:rPr>
                <w:rFonts w:ascii="Times New Roman" w:eastAsia="Calibri" w:hAnsi="Times New Roman" w:cs="Times New Roman"/>
                <w:sz w:val="18"/>
                <w:szCs w:val="18"/>
              </w:rPr>
            </w:pPr>
          </w:p>
        </w:tc>
        <w:tc>
          <w:tcPr>
            <w:tcW w:w="2970" w:type="dxa"/>
          </w:tcPr>
          <w:p w14:paraId="0FC883E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A79134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51 of the Draft Law.</w:t>
            </w:r>
          </w:p>
        </w:tc>
      </w:tr>
      <w:tr w:rsidR="004E6A4A" w:rsidRPr="004E6A4A" w14:paraId="2829C8CE" w14:textId="77777777" w:rsidTr="00E11E6D">
        <w:trPr>
          <w:trHeight w:val="764"/>
        </w:trPr>
        <w:tc>
          <w:tcPr>
            <w:tcW w:w="720" w:type="dxa"/>
          </w:tcPr>
          <w:p w14:paraId="15628735"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1E4726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15.</w:t>
            </w:r>
            <w:r w:rsidRPr="004E6A4A">
              <w:rPr>
                <w:rFonts w:ascii="Times New Roman" w:eastAsia="Times New Roman" w:hAnsi="Times New Roman" w:cs="Times New Roman"/>
                <w:sz w:val="20"/>
                <w:szCs w:val="20"/>
              </w:rPr>
              <w:tab/>
              <w:t>The term “High Value Account” means a Pre-existing Individual Account with an aggregate balance or value that exceeds, as of 31 December 2015, or 31 December of any subsequent year, an amount denominated in the domestic currency of each Member State that corresponds to USD 1 000 000.</w:t>
            </w:r>
          </w:p>
        </w:tc>
        <w:tc>
          <w:tcPr>
            <w:tcW w:w="1080" w:type="dxa"/>
          </w:tcPr>
          <w:p w14:paraId="440E40C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1D83629"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4052EA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5DAE18D" w14:textId="77777777" w:rsidR="00FA0CFF" w:rsidRPr="004E6A4A" w:rsidRDefault="00144445">
            <w:pPr>
              <w:jc w:val="center"/>
            </w:pPr>
            <w:r w:rsidRPr="004E6A4A">
              <w:rPr>
                <w:rFonts w:ascii="Times New Roman" w:eastAsia="Times New Roman" w:hAnsi="Times New Roman" w:cs="Times New Roman"/>
                <w:b/>
                <w:sz w:val="20"/>
              </w:rPr>
              <w:t>Definitions</w:t>
            </w:r>
          </w:p>
          <w:p w14:paraId="690BE338" w14:textId="77777777" w:rsidR="00FA0CFF" w:rsidRPr="004E6A4A" w:rsidRDefault="00144445">
            <w:pPr>
              <w:jc w:val="both"/>
            </w:pPr>
            <w:r w:rsidRPr="004E6A4A">
              <w:rPr>
                <w:rFonts w:ascii="Times New Roman" w:eastAsia="Times New Roman" w:hAnsi="Times New Roman" w:cs="Times New Roman"/>
                <w:sz w:val="20"/>
              </w:rPr>
              <w:t>52. “High value account” means a Pre-existing Individual Account with an aggregate balance or value which:</w:t>
            </w:r>
          </w:p>
          <w:p w14:paraId="0818C512" w14:textId="77777777" w:rsidR="00FA0CFF" w:rsidRPr="004E6A4A" w:rsidRDefault="00144445">
            <w:pPr>
              <w:jc w:val="both"/>
            </w:pPr>
            <w:r w:rsidRPr="004E6A4A">
              <w:rPr>
                <w:rFonts w:ascii="Times New Roman" w:eastAsia="Times New Roman" w:hAnsi="Times New Roman" w:cs="Times New Roman"/>
                <w:sz w:val="20"/>
              </w:rPr>
              <w:t>a) for the European Union profile, exceeds the equivalent of USD 1 000 000 as at 31 December 2015 or as at 31 December of any subsequent year;</w:t>
            </w:r>
          </w:p>
          <w:p w14:paraId="394D0254" w14:textId="77777777" w:rsidR="00FA0CFF" w:rsidRPr="004E6A4A" w:rsidRDefault="00144445">
            <w:pPr>
              <w:jc w:val="both"/>
            </w:pPr>
            <w:r w:rsidRPr="004E6A4A">
              <w:rPr>
                <w:rFonts w:ascii="Times New Roman" w:eastAsia="Times New Roman" w:hAnsi="Times New Roman" w:cs="Times New Roman"/>
                <w:sz w:val="20"/>
              </w:rPr>
              <w:t>b) for the Common Reporting Standard profile, exceeds USD 1 000 000 as at 31 December 2018 or as at 31 December of any subsequent year.</w:t>
            </w:r>
          </w:p>
          <w:p w14:paraId="5A5F3298" w14:textId="77777777" w:rsidR="00FA0CFF" w:rsidRPr="004E6A4A" w:rsidRDefault="00FA0CFF"/>
          <w:p w14:paraId="6B5BBEF5" w14:textId="6F0CF5BD" w:rsidR="00FA0CFF" w:rsidRPr="004E6A4A" w:rsidRDefault="00FA0CFF">
            <w:pPr>
              <w:jc w:val="both"/>
            </w:pPr>
          </w:p>
        </w:tc>
        <w:tc>
          <w:tcPr>
            <w:tcW w:w="1156" w:type="dxa"/>
          </w:tcPr>
          <w:p w14:paraId="5B8D43E8" w14:textId="77777777" w:rsidR="00DD4CC1" w:rsidRPr="004E6A4A" w:rsidRDefault="00DD4CC1" w:rsidP="00C4419F">
            <w:pPr>
              <w:jc w:val="center"/>
              <w:rPr>
                <w:rFonts w:ascii="Times New Roman" w:eastAsia="Calibri" w:hAnsi="Times New Roman" w:cs="Times New Roman"/>
                <w:sz w:val="18"/>
                <w:szCs w:val="18"/>
              </w:rPr>
            </w:pPr>
          </w:p>
          <w:p w14:paraId="10D0B9B3" w14:textId="2DB388A1"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9B9AC2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30D097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52 of the Draft Law.</w:t>
            </w:r>
          </w:p>
        </w:tc>
      </w:tr>
      <w:tr w:rsidR="004E6A4A" w:rsidRPr="004E6A4A" w14:paraId="47DB77D4" w14:textId="77777777" w:rsidTr="00E11E6D">
        <w:trPr>
          <w:trHeight w:val="764"/>
        </w:trPr>
        <w:tc>
          <w:tcPr>
            <w:tcW w:w="720" w:type="dxa"/>
          </w:tcPr>
          <w:p w14:paraId="66096073"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631CD4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16.</w:t>
            </w:r>
            <w:r w:rsidRPr="004E6A4A">
              <w:rPr>
                <w:rFonts w:ascii="Times New Roman" w:eastAsia="Times New Roman" w:hAnsi="Times New Roman" w:cs="Times New Roman"/>
                <w:sz w:val="20"/>
                <w:szCs w:val="20"/>
              </w:rPr>
              <w:tab/>
              <w:t>The term “New Entity Account” means a New Account held by one or more Entities.</w:t>
            </w:r>
          </w:p>
        </w:tc>
        <w:tc>
          <w:tcPr>
            <w:tcW w:w="1080" w:type="dxa"/>
          </w:tcPr>
          <w:p w14:paraId="16D0F009"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895565E"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F9D514B"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1449A0A" w14:textId="77777777" w:rsidR="00FA0CFF" w:rsidRPr="004E6A4A" w:rsidRDefault="00144445">
            <w:pPr>
              <w:jc w:val="center"/>
            </w:pPr>
            <w:r w:rsidRPr="004E6A4A">
              <w:rPr>
                <w:rFonts w:ascii="Times New Roman" w:eastAsia="Times New Roman" w:hAnsi="Times New Roman" w:cs="Times New Roman"/>
                <w:b/>
                <w:sz w:val="20"/>
              </w:rPr>
              <w:t>Definitions</w:t>
            </w:r>
          </w:p>
          <w:p w14:paraId="4FD64BC5" w14:textId="77777777" w:rsidR="00FA0CFF" w:rsidRPr="004E6A4A" w:rsidRDefault="00144445">
            <w:pPr>
              <w:jc w:val="both"/>
            </w:pPr>
            <w:r w:rsidRPr="004E6A4A">
              <w:rPr>
                <w:rFonts w:ascii="Times New Roman" w:eastAsia="Times New Roman" w:hAnsi="Times New Roman" w:cs="Times New Roman"/>
                <w:sz w:val="20"/>
              </w:rPr>
              <w:t>46. “New entity account” means a new account held by one or more entities.</w:t>
            </w:r>
          </w:p>
        </w:tc>
        <w:tc>
          <w:tcPr>
            <w:tcW w:w="1156" w:type="dxa"/>
          </w:tcPr>
          <w:p w14:paraId="4A5F90C1" w14:textId="77777777" w:rsidR="00DD4CC1" w:rsidRPr="004E6A4A" w:rsidRDefault="00DD4CC1" w:rsidP="00C4419F">
            <w:pPr>
              <w:jc w:val="center"/>
              <w:rPr>
                <w:rFonts w:ascii="Times New Roman" w:eastAsia="Calibri" w:hAnsi="Times New Roman" w:cs="Times New Roman"/>
                <w:sz w:val="18"/>
                <w:szCs w:val="18"/>
              </w:rPr>
            </w:pPr>
          </w:p>
          <w:p w14:paraId="006CB873" w14:textId="12BBD177"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B25B21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02ECB7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46 of the Draft Law.</w:t>
            </w:r>
          </w:p>
        </w:tc>
      </w:tr>
      <w:tr w:rsidR="004E6A4A" w:rsidRPr="004E6A4A" w14:paraId="0843BDAF" w14:textId="77777777" w:rsidTr="00E11E6D">
        <w:trPr>
          <w:trHeight w:val="764"/>
        </w:trPr>
        <w:tc>
          <w:tcPr>
            <w:tcW w:w="720" w:type="dxa"/>
          </w:tcPr>
          <w:p w14:paraId="4990E34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3E3F7DD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17.</w:t>
            </w:r>
            <w:r w:rsidRPr="004E6A4A">
              <w:rPr>
                <w:rFonts w:ascii="Times New Roman" w:eastAsia="Times New Roman" w:hAnsi="Times New Roman" w:cs="Times New Roman"/>
                <w:sz w:val="20"/>
                <w:szCs w:val="20"/>
              </w:rPr>
              <w:tab/>
              <w:t>The term “Excluded Account” means any of the following accounts:</w:t>
            </w:r>
          </w:p>
          <w:p w14:paraId="24CBD8D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a retirement or pension account that satisfies the following requirements:</w:t>
            </w:r>
          </w:p>
          <w:p w14:paraId="3B4A258B" w14:textId="77777777" w:rsidR="00F43B76" w:rsidRPr="004E6A4A" w:rsidRDefault="00F43B76">
            <w:pPr>
              <w:jc w:val="both"/>
              <w:rPr>
                <w:rFonts w:ascii="Times New Roman" w:eastAsia="Times New Roman" w:hAnsi="Times New Roman" w:cs="Times New Roman"/>
                <w:sz w:val="20"/>
                <w:szCs w:val="20"/>
              </w:rPr>
            </w:pPr>
          </w:p>
          <w:p w14:paraId="268F07E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account is subject to regulation as a personal retirement account or is part of a registered or regu lated retirement or pension plan for the provision of retirement or pension benefits (including disability or death benefits);</w:t>
            </w:r>
          </w:p>
          <w:p w14:paraId="582E406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 xml:space="preserve">the account is tax-favoured (i.e., contributions to the account that would otherwise be subject to tax are deductible or excluded from the gross income of the </w:t>
            </w:r>
            <w:r w:rsidRPr="004E6A4A">
              <w:rPr>
                <w:rFonts w:ascii="Times New Roman" w:eastAsia="Times New Roman" w:hAnsi="Times New Roman" w:cs="Times New Roman"/>
                <w:sz w:val="20"/>
                <w:szCs w:val="20"/>
              </w:rPr>
              <w:lastRenderedPageBreak/>
              <w:t>Account Holder or taxed at a reduced rate, or taxa tion of investment income from the account is deferred or taxed at a reduced rate);</w:t>
            </w:r>
          </w:p>
          <w:p w14:paraId="01692DA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information reporting is required to the tax authorities with respect to the account;</w:t>
            </w:r>
          </w:p>
          <w:p w14:paraId="3B07F8D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withdrawals are conditioned on reaching a specified retirement age, disability, or death, or penalties apply to withdrawals made before such specified events; and</w:t>
            </w:r>
          </w:p>
          <w:p w14:paraId="3BE12B6A" w14:textId="77777777" w:rsidR="00F43B76" w:rsidRPr="004E6A4A" w:rsidRDefault="00F43B76">
            <w:pPr>
              <w:jc w:val="both"/>
              <w:rPr>
                <w:rFonts w:ascii="Times New Roman" w:eastAsia="Times New Roman" w:hAnsi="Times New Roman" w:cs="Times New Roman"/>
                <w:sz w:val="20"/>
                <w:szCs w:val="20"/>
              </w:rPr>
            </w:pPr>
          </w:p>
          <w:p w14:paraId="484B5D5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w:t>
            </w:r>
            <w:r w:rsidRPr="004E6A4A">
              <w:rPr>
                <w:rFonts w:ascii="Times New Roman" w:eastAsia="Times New Roman" w:hAnsi="Times New Roman" w:cs="Times New Roman"/>
                <w:sz w:val="20"/>
                <w:szCs w:val="20"/>
              </w:rPr>
              <w:tab/>
              <w:t>either (i) annual contributions are limited to an amount denominated in the domestic currency of each Member State that corresponds to USD 50 000 or less; or (ii) there is a maximum lifetime contribution limit to the account of an amount denominated in the domestic currency of each Member State that corresponds to USD 1 000 000 or less, in each case applying the rules set forth in paragraph C of Section VII for account aggregation and currency translation.</w:t>
            </w:r>
          </w:p>
          <w:p w14:paraId="0E49D38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Financial Account that otherwise satisfies the requirement of subparagraph C(17)(a)(v) will not fail to satisfy such requirement solely because such Financial Account may receive assets or funds transferred from one or more Financial Accounts that meet the requirements of subparagraph C(17)(a) or (b) or from one or more retirement or pension funds that meet the requirements of any of subparagraphs B(5) through (7);</w:t>
            </w:r>
          </w:p>
          <w:p w14:paraId="414425C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an account that satisfies the following requirements:</w:t>
            </w:r>
          </w:p>
          <w:p w14:paraId="6E6B01D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account is subject to regulation as an investment vehicle for purposes other than for retirement and is regularly traded on an established securities market, or the account is subject to regulation as a savings vehicle for purposes other than for retirement;</w:t>
            </w:r>
          </w:p>
          <w:p w14:paraId="1A31685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 xml:space="preserve">the account is tax-favoured (i.e., contributions to the account that would otherwise be subject to tax are deductible or excluded from the gross income of the </w:t>
            </w:r>
            <w:r w:rsidRPr="004E6A4A">
              <w:rPr>
                <w:rFonts w:ascii="Times New Roman" w:eastAsia="Times New Roman" w:hAnsi="Times New Roman" w:cs="Times New Roman"/>
                <w:sz w:val="20"/>
                <w:szCs w:val="20"/>
              </w:rPr>
              <w:lastRenderedPageBreak/>
              <w:t>Account Holder or taxed at a reduced rate, or taxation of investment income from the account is deferred or taxed at a reduced rate);</w:t>
            </w:r>
          </w:p>
          <w:p w14:paraId="747BF10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withdrawals are conditioned on meeting specific criteria related to the purpose of the investment or savings account (for example, the provision of educational or medical benefits), or penalties apply to withdrawals made before such criteria are met; and</w:t>
            </w:r>
          </w:p>
          <w:p w14:paraId="51DA47D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(iv)</w:t>
            </w:r>
            <w:r w:rsidRPr="004E6A4A">
              <w:rPr>
                <w:rFonts w:ascii="Times New Roman" w:eastAsia="Times New Roman" w:hAnsi="Times New Roman" w:cs="Times New Roman"/>
                <w:sz w:val="20"/>
                <w:szCs w:val="20"/>
              </w:rPr>
              <w:tab/>
              <w:t>annual contributions are limited to an amount denominated in the domestic currency of each Member State that corresponds to USD 50 000 or less, applying the rules set forth in paragraph C of Section VII for account aggregation and currency translation.</w:t>
            </w:r>
          </w:p>
          <w:p w14:paraId="3E03339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Financial Account that otherwise satisfies the requirement of subparagraph C(17)(b)(iv) will not fail to satisfy such requirement solely because such Financial Account may receive assets or funds transferred from one or more Financial Accounts that meet the requirements of subparagraph C(17)(a) or (b) or from one or more retirement or pension funds that meet the requirements of any of subparagraphs B(5) through (7);</w:t>
            </w:r>
          </w:p>
          <w:p w14:paraId="1BDDEC1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 life insurance contract with a coverage period that will end before the insured individual attains age 90, provided that the contract satisfies the following requirements:</w:t>
            </w:r>
          </w:p>
          <w:p w14:paraId="2BB6DA7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periodic premiums, which do not decrease over time, are payable at least annually during the period the contract is in existence or until the insured attains age 90, whichever is shorter;</w:t>
            </w:r>
          </w:p>
          <w:p w14:paraId="20E8C6B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the contract has no contract value that any person can access (by withdrawal, loan, or otherwise) without terminating the contract;</w:t>
            </w:r>
          </w:p>
          <w:p w14:paraId="1D1C94D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 xml:space="preserve">the amount (other than a death benefit) payable upon cancellation or termination of the contract cannot exceed the aggregate premiums paid for the contract, less the sum of mortality, morbidity, and expense charges (whether or not actually imposed) for the period or periods </w:t>
            </w:r>
            <w:r w:rsidRPr="004E6A4A">
              <w:rPr>
                <w:rFonts w:ascii="Times New Roman" w:eastAsia="Times New Roman" w:hAnsi="Times New Roman" w:cs="Times New Roman"/>
                <w:sz w:val="20"/>
                <w:szCs w:val="20"/>
              </w:rPr>
              <w:lastRenderedPageBreak/>
              <w:t>of the contract's existence and any amounts paid prior to the cancellation or termination of the contract; and</w:t>
            </w:r>
          </w:p>
          <w:p w14:paraId="6C8658E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the contract is not held by a transferee for value;</w:t>
            </w:r>
          </w:p>
          <w:p w14:paraId="790CEE6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an account that is held solely by an estate if the documentation for such account includes a copy of the deceased's will or death certificate;</w:t>
            </w:r>
          </w:p>
          <w:p w14:paraId="0023D67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an account established in connection with any of the following:</w:t>
            </w:r>
          </w:p>
          <w:p w14:paraId="79E676D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a court order or judgment.</w:t>
            </w:r>
          </w:p>
          <w:p w14:paraId="196A862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a sale, exchange, or lease of real or personal property, provided that the account satisfies the following requirements:</w:t>
            </w:r>
          </w:p>
          <w:p w14:paraId="26AA53A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the account is funded solely with a down payment, earnest money, deposit in an amount appropriate to secure an obligation directly related to the transaction, or a similar payment, or is funded with a Financial Asset that is deposited in the account in connection with the sale, exchange, or lease of the property,</w:t>
            </w:r>
          </w:p>
          <w:p w14:paraId="6F58D9D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the account is established and used solely to secure the obligation of the purchaser to pay the purchase price for the property, the seller to pay any contingent liability, or the lessor or lessee to pay for any damages relating to the leased property as agreed under the lease,</w:t>
            </w:r>
          </w:p>
          <w:p w14:paraId="3EA98CE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the assets of the account, including the income earned thereon, will be paid or otherwise distributed for the benefit of the purchaser, seller, lessor, or lessee (including to satisfy such person's obligation) when the property is sold, exchanged, or surrendered, or the lease terminates,</w:t>
            </w:r>
          </w:p>
          <w:p w14:paraId="098E7F1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the account is not a margin or similar account established in connection with a sale or exchange of a Financial Asset, and</w:t>
            </w:r>
          </w:p>
          <w:p w14:paraId="3AAF3A2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t>
            </w:r>
            <w:r w:rsidRPr="004E6A4A">
              <w:rPr>
                <w:rFonts w:ascii="Times New Roman" w:eastAsia="Times New Roman" w:hAnsi="Times New Roman" w:cs="Times New Roman"/>
                <w:sz w:val="20"/>
                <w:szCs w:val="20"/>
              </w:rPr>
              <w:tab/>
              <w:t>the account is not associated with an account described in subparagraph C(17)(f);</w:t>
            </w:r>
          </w:p>
          <w:p w14:paraId="6F57A47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 xml:space="preserve">an obligation of a Financial Institution servicing a loan secured by real property to set aside a portion of a </w:t>
            </w:r>
            <w:r w:rsidRPr="004E6A4A">
              <w:rPr>
                <w:rFonts w:ascii="Times New Roman" w:eastAsia="Times New Roman" w:hAnsi="Times New Roman" w:cs="Times New Roman"/>
                <w:sz w:val="20"/>
                <w:szCs w:val="20"/>
              </w:rPr>
              <w:lastRenderedPageBreak/>
              <w:t>payment solely to facilitate the payment of taxes or insurance related to the real property at a later time;</w:t>
            </w:r>
          </w:p>
          <w:p w14:paraId="104E4EF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an obligation of a Financial Institution solely to facilitate the payment of taxes at a later time;</w:t>
            </w:r>
          </w:p>
          <w:p w14:paraId="27372D0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 a foundation or capital increase of a company provided that the account satisfies the following requirements:</w:t>
            </w:r>
          </w:p>
          <w:p w14:paraId="0AC6FED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the account is used exclusively to deposit capital that is to be used for the purposes of the foundation or capital increase of a company, as prescribed by law;</w:t>
            </w:r>
          </w:p>
          <w:p w14:paraId="0F2C73A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any amounts held in the account are blocked until the Reporting Financial Institution obtains an independent confirmation regarding the foundation or capital increase;</w:t>
            </w:r>
          </w:p>
          <w:p w14:paraId="375C86F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the account is closed or transformed into an account in the name of the company after the foundation or capital increase;</w:t>
            </w:r>
          </w:p>
          <w:p w14:paraId="73B249E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any repayments resulting from a failed foundation or capital increase, net of service provider and similar fees, are made solely to the persons who contributed the amounts; and</w:t>
            </w:r>
          </w:p>
          <w:p w14:paraId="19CB230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the account has not been established more than 12 months ago;</w:t>
            </w:r>
          </w:p>
          <w:p w14:paraId="210A947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(ea) a Depository Account that represents all Electronic Money held for the benefit of a customer, if the rolling average 90 days end-of-day aggregate account balance or value during any period of 90 consecutive days did not exceed USD 10 000 at any day during the calendar year or other appropriate reporting period;</w:t>
            </w:r>
          </w:p>
          <w:p w14:paraId="2DED539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a Depository Account that satisfies the following requirements:</w:t>
            </w:r>
          </w:p>
          <w:p w14:paraId="04ABDB7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the account exists solely because a customer makes a payment in excess of a balance due with respect to a credit card or other revolving credit facility and the overpayment is not immediately returned to the customer; and</w:t>
            </w:r>
          </w:p>
          <w:p w14:paraId="500E118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 xml:space="preserve">beginning on or before 1 January 2016, the Financial Institution implements policies and procedures either to prevent a customer from making an overpayment </w:t>
            </w:r>
            <w:r w:rsidRPr="004E6A4A">
              <w:rPr>
                <w:rFonts w:ascii="Times New Roman" w:eastAsia="Times New Roman" w:hAnsi="Times New Roman" w:cs="Times New Roman"/>
                <w:sz w:val="20"/>
                <w:szCs w:val="20"/>
              </w:rPr>
              <w:lastRenderedPageBreak/>
              <w:t>in excess of an amount denominated in the domestic currency of each Member State that corresponds to USD 50 000, or to ensure that any customer overpayment in excess of that amount is refunded to the customer within 60 days, in each case applying the rules set forth in paragraph C of Section VII for currency translation. For this purpose, a customer overpayment does not refer to credit balances to the extent of disputed charges but does include credit balances resulting from merchandise returns;</w:t>
            </w:r>
          </w:p>
          <w:p w14:paraId="46C370F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w:t>
            </w:r>
            <w:r w:rsidRPr="004E6A4A">
              <w:rPr>
                <w:rFonts w:ascii="Times New Roman" w:eastAsia="Times New Roman" w:hAnsi="Times New Roman" w:cs="Times New Roman"/>
                <w:sz w:val="20"/>
                <w:szCs w:val="20"/>
              </w:rPr>
              <w:tab/>
              <w:t>any other account that presents a low risk of being used to evade tax, has substantially similar characteristics to any of the accounts described in subparagraphs C(17)(a) through (f), and is included in the list of Excluded Accounts referred to in Article 8(7a) of this Directive, provided that the status of such account as an Excluded Account does not frustrate the purposes of this Directive.</w:t>
            </w:r>
          </w:p>
        </w:tc>
        <w:tc>
          <w:tcPr>
            <w:tcW w:w="1080" w:type="dxa"/>
          </w:tcPr>
          <w:p w14:paraId="2173670C"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3450E6D"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2D07B8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320E4A8" w14:textId="77777777" w:rsidR="00FA0CFF" w:rsidRPr="004E6A4A" w:rsidRDefault="00144445">
            <w:pPr>
              <w:jc w:val="center"/>
            </w:pPr>
            <w:r w:rsidRPr="004E6A4A">
              <w:rPr>
                <w:rFonts w:ascii="Times New Roman" w:eastAsia="Times New Roman" w:hAnsi="Times New Roman" w:cs="Times New Roman"/>
                <w:b/>
                <w:sz w:val="20"/>
              </w:rPr>
              <w:t>Definitions</w:t>
            </w:r>
          </w:p>
          <w:p w14:paraId="3FF0D45A" w14:textId="77777777" w:rsidR="00FA0CFF" w:rsidRPr="004E6A4A" w:rsidRDefault="00144445">
            <w:pPr>
              <w:jc w:val="both"/>
            </w:pPr>
            <w:r w:rsidRPr="004E6A4A">
              <w:rPr>
                <w:rFonts w:ascii="Times New Roman" w:eastAsia="Times New Roman" w:hAnsi="Times New Roman" w:cs="Times New Roman"/>
                <w:sz w:val="20"/>
              </w:rPr>
              <w:t>44. “Excluded account” means each of the following accounts:</w:t>
            </w:r>
          </w:p>
          <w:p w14:paraId="150F59F0" w14:textId="77777777" w:rsidR="00FA0CFF" w:rsidRPr="004E6A4A" w:rsidRDefault="00144445">
            <w:pPr>
              <w:jc w:val="both"/>
            </w:pPr>
            <w:r w:rsidRPr="004E6A4A">
              <w:rPr>
                <w:rFonts w:ascii="Times New Roman" w:eastAsia="Times New Roman" w:hAnsi="Times New Roman" w:cs="Times New Roman"/>
                <w:sz w:val="20"/>
              </w:rPr>
              <w:t>a) a retirement or pension account which fulfils all of the following criteria:</w:t>
            </w:r>
          </w:p>
          <w:p w14:paraId="08FA0C7B" w14:textId="77777777" w:rsidR="00FA0CFF" w:rsidRPr="004E6A4A" w:rsidRDefault="00144445">
            <w:pPr>
              <w:jc w:val="both"/>
            </w:pPr>
            <w:r w:rsidRPr="004E6A4A">
              <w:rPr>
                <w:rFonts w:ascii="Times New Roman" w:eastAsia="Times New Roman" w:hAnsi="Times New Roman" w:cs="Times New Roman"/>
                <w:sz w:val="20"/>
              </w:rPr>
              <w:t>i) the account is subject to regulation as a personal retirement account or is part of a registered and regulated retirement scheme or other pension scheme, which provides retirement benefits, including disability or death benefits;</w:t>
            </w:r>
          </w:p>
          <w:p w14:paraId="7BBD7850" w14:textId="77777777" w:rsidR="00FA0CFF" w:rsidRPr="004E6A4A" w:rsidRDefault="00144445">
            <w:pPr>
              <w:jc w:val="both"/>
            </w:pPr>
            <w:r w:rsidRPr="004E6A4A">
              <w:rPr>
                <w:rFonts w:ascii="Times New Roman" w:eastAsia="Times New Roman" w:hAnsi="Times New Roman" w:cs="Times New Roman"/>
                <w:sz w:val="20"/>
              </w:rPr>
              <w:lastRenderedPageBreak/>
              <w:t>ii) the account is tax-favoured, that is to say contributions to the account which would otherwise be subject to tax are deductible or excluded from the gross income of the account holder or taxed at reduced rates, or taxation of the investment income from the account is deferred or taxed at reduced rates;</w:t>
            </w:r>
          </w:p>
          <w:p w14:paraId="2EBD86A8" w14:textId="77777777" w:rsidR="00FA0CFF" w:rsidRPr="004E6A4A" w:rsidRDefault="00144445">
            <w:pPr>
              <w:jc w:val="both"/>
            </w:pPr>
            <w:r w:rsidRPr="004E6A4A">
              <w:rPr>
                <w:rFonts w:ascii="Times New Roman" w:eastAsia="Times New Roman" w:hAnsi="Times New Roman" w:cs="Times New Roman"/>
                <w:sz w:val="20"/>
              </w:rPr>
              <w:t>iii) in relation to the account, information reporting to the tax authorities is required;</w:t>
            </w:r>
          </w:p>
          <w:p w14:paraId="37E39C98" w14:textId="77777777" w:rsidR="00FA0CFF" w:rsidRPr="004E6A4A" w:rsidRDefault="00144445">
            <w:pPr>
              <w:jc w:val="both"/>
            </w:pPr>
            <w:r w:rsidRPr="004E6A4A">
              <w:rPr>
                <w:rFonts w:ascii="Times New Roman" w:eastAsia="Times New Roman" w:hAnsi="Times New Roman" w:cs="Times New Roman"/>
                <w:sz w:val="20"/>
              </w:rPr>
              <w:t>iv) withdrawals are conditioned on reaching a specified retirement age, disability or death, or, otherwise, penalties apply to withdrawals made before those specified events; and</w:t>
            </w:r>
          </w:p>
          <w:p w14:paraId="31FB4A96" w14:textId="77777777" w:rsidR="00FA0CFF" w:rsidRPr="004E6A4A" w:rsidRDefault="00144445">
            <w:pPr>
              <w:jc w:val="both"/>
            </w:pPr>
            <w:r w:rsidRPr="004E6A4A">
              <w:rPr>
                <w:rFonts w:ascii="Times New Roman" w:eastAsia="Times New Roman" w:hAnsi="Times New Roman" w:cs="Times New Roman"/>
                <w:sz w:val="20"/>
              </w:rPr>
              <w:t>v) annual contributions must not exceed USD 50 000 or the maximum lifetime contribution limit must not exceed USD 1 000 000, applying in each case the rules for the aggregation of accounts and the conversion of currency determined in Article 12 and in the sub-legal act issued in implementation of this Law.</w:t>
            </w:r>
          </w:p>
          <w:p w14:paraId="10692E64" w14:textId="77777777" w:rsidR="00FA0CFF" w:rsidRPr="004E6A4A" w:rsidRDefault="00144445">
            <w:pPr>
              <w:jc w:val="both"/>
            </w:pPr>
            <w:r w:rsidRPr="004E6A4A">
              <w:rPr>
                <w:rFonts w:ascii="Times New Roman" w:eastAsia="Times New Roman" w:hAnsi="Times New Roman" w:cs="Times New Roman"/>
                <w:sz w:val="20"/>
              </w:rPr>
              <w:t>A financial account which otherwise fulfils the requirements of sub-point “v” of letter “a” of this point shall not be considered as failing to fulfil those requirements solely because that financial account may receive assets or funds transferred from one or more financial accounts which fulfil the requirements of letters “a” or “b” of this point, or from one or more retirement or pension funds which fulfil the requirements determined in this Law.</w:t>
            </w:r>
          </w:p>
          <w:p w14:paraId="2E257A43" w14:textId="77777777" w:rsidR="00FA0CFF" w:rsidRPr="004E6A4A" w:rsidRDefault="00144445">
            <w:pPr>
              <w:jc w:val="both"/>
            </w:pPr>
            <w:r w:rsidRPr="004E6A4A">
              <w:rPr>
                <w:rFonts w:ascii="Times New Roman" w:eastAsia="Times New Roman" w:hAnsi="Times New Roman" w:cs="Times New Roman"/>
                <w:sz w:val="20"/>
              </w:rPr>
              <w:t>b) an account which fulfils all of the following requirements:</w:t>
            </w:r>
          </w:p>
          <w:p w14:paraId="6ED01E33" w14:textId="77777777" w:rsidR="00FA0CFF" w:rsidRPr="004E6A4A" w:rsidRDefault="00144445">
            <w:pPr>
              <w:jc w:val="both"/>
            </w:pPr>
            <w:r w:rsidRPr="004E6A4A">
              <w:rPr>
                <w:rFonts w:ascii="Times New Roman" w:eastAsia="Times New Roman" w:hAnsi="Times New Roman" w:cs="Times New Roman"/>
                <w:sz w:val="20"/>
              </w:rPr>
              <w:t>i) the account is subject to regulation as an investment vehicle for purposes other than retirement and is regularly traded on an established securities market, or the account is subject to regulation as a savings vehicle for purposes other than retirement;</w:t>
            </w:r>
          </w:p>
          <w:p w14:paraId="41237DC4" w14:textId="77777777" w:rsidR="00FA0CFF" w:rsidRPr="004E6A4A" w:rsidRDefault="00144445">
            <w:pPr>
              <w:jc w:val="both"/>
            </w:pPr>
            <w:r w:rsidRPr="004E6A4A">
              <w:rPr>
                <w:rFonts w:ascii="Times New Roman" w:eastAsia="Times New Roman" w:hAnsi="Times New Roman" w:cs="Times New Roman"/>
                <w:sz w:val="20"/>
              </w:rPr>
              <w:t xml:space="preserve">ii) the account is tax-favoured, that is to say contributions to the account which would otherwise be subject to tax are deductible or excluded from the </w:t>
            </w:r>
            <w:r w:rsidRPr="004E6A4A">
              <w:rPr>
                <w:rFonts w:ascii="Times New Roman" w:eastAsia="Times New Roman" w:hAnsi="Times New Roman" w:cs="Times New Roman"/>
                <w:sz w:val="20"/>
              </w:rPr>
              <w:lastRenderedPageBreak/>
              <w:t>gross income of the account holder or taxed at reduced rates, or taxation of the investment income from the account is deferred or taxed at reduced rates;</w:t>
            </w:r>
          </w:p>
          <w:p w14:paraId="099CB022" w14:textId="77777777" w:rsidR="00FA0CFF" w:rsidRPr="004E6A4A" w:rsidRDefault="00144445">
            <w:pPr>
              <w:jc w:val="both"/>
            </w:pPr>
            <w:r w:rsidRPr="004E6A4A">
              <w:rPr>
                <w:rFonts w:ascii="Times New Roman" w:eastAsia="Times New Roman" w:hAnsi="Times New Roman" w:cs="Times New Roman"/>
                <w:sz w:val="20"/>
              </w:rPr>
              <w:t>iii) withdrawals are conditioned on the fulfilment of specific criteria related to the purpose of the investment or savings account, for example the provision of medical or educational benefits, or penalties apply to withdrawals made before those criteria are fulfilled; and</w:t>
            </w:r>
          </w:p>
          <w:p w14:paraId="5B1DB95A" w14:textId="77777777" w:rsidR="00FA0CFF" w:rsidRPr="004E6A4A" w:rsidRDefault="00144445">
            <w:pPr>
              <w:jc w:val="both"/>
            </w:pPr>
            <w:r w:rsidRPr="004E6A4A">
              <w:rPr>
                <w:rFonts w:ascii="Times New Roman" w:eastAsia="Times New Roman" w:hAnsi="Times New Roman" w:cs="Times New Roman"/>
                <w:sz w:val="20"/>
              </w:rPr>
              <w:t>iv) annual contributions do not exceed the limit of USD 50 000, applying the rules for the aggregation of accounts and the conversion of currency determined in Article 12 and in the sub-legal act issued in implementation of this Law.</w:t>
            </w:r>
          </w:p>
          <w:p w14:paraId="1E5CA9F5" w14:textId="77777777" w:rsidR="00FA0CFF" w:rsidRPr="004E6A4A" w:rsidRDefault="00144445">
            <w:pPr>
              <w:jc w:val="both"/>
            </w:pPr>
            <w:r w:rsidRPr="004E6A4A">
              <w:rPr>
                <w:rFonts w:ascii="Times New Roman" w:eastAsia="Times New Roman" w:hAnsi="Times New Roman" w:cs="Times New Roman"/>
                <w:sz w:val="20"/>
              </w:rPr>
              <w:t>A financial account which otherwise fulfils the requirements of sub-point “iv” of letter “b” of this point shall not be considered as failing to fulfil those requirements solely because that financial account may receive assets or funds transferred from one or more financial accounts which fulfil the requirements of letters “a” and “b” of this point, or from one or more retirement or pension funds which fulfil the requirements determined in this Law.</w:t>
            </w:r>
          </w:p>
          <w:p w14:paraId="63F0E3EF" w14:textId="77777777" w:rsidR="00FA0CFF" w:rsidRPr="004E6A4A" w:rsidRDefault="00144445">
            <w:pPr>
              <w:jc w:val="both"/>
            </w:pPr>
            <w:r w:rsidRPr="004E6A4A">
              <w:rPr>
                <w:rFonts w:ascii="Times New Roman" w:eastAsia="Times New Roman" w:hAnsi="Times New Roman" w:cs="Times New Roman"/>
                <w:sz w:val="20"/>
              </w:rPr>
              <w:t>c) a life insurance contract with a coverage period ending before the insured individual attains the age of 90 years, provided that the contract fulfils the following requirements:</w:t>
            </w:r>
          </w:p>
          <w:p w14:paraId="2B65300D" w14:textId="77777777" w:rsidR="00FA0CFF" w:rsidRPr="004E6A4A" w:rsidRDefault="00144445">
            <w:pPr>
              <w:jc w:val="both"/>
            </w:pPr>
            <w:r w:rsidRPr="004E6A4A">
              <w:rPr>
                <w:rFonts w:ascii="Times New Roman" w:eastAsia="Times New Roman" w:hAnsi="Times New Roman" w:cs="Times New Roman"/>
                <w:sz w:val="20"/>
              </w:rPr>
              <w:t>i) periodic premiums, which do not decrease over time, are payable at least annually during the period in which the contract is in existence or until the insured attains the age of 90 years, whichever period is shorter;</w:t>
            </w:r>
          </w:p>
          <w:p w14:paraId="63F12F99" w14:textId="77777777" w:rsidR="00FA0CFF" w:rsidRPr="004E6A4A" w:rsidRDefault="00144445">
            <w:pPr>
              <w:jc w:val="both"/>
            </w:pPr>
            <w:r w:rsidRPr="004E6A4A">
              <w:rPr>
                <w:rFonts w:ascii="Times New Roman" w:eastAsia="Times New Roman" w:hAnsi="Times New Roman" w:cs="Times New Roman"/>
                <w:sz w:val="20"/>
              </w:rPr>
              <w:t>ii) the contract has no contract value which any person may access, by withdrawal, loan or otherwise, without terminating the contract;</w:t>
            </w:r>
          </w:p>
          <w:p w14:paraId="36BBE85C" w14:textId="77777777" w:rsidR="00FA0CFF" w:rsidRPr="004E6A4A" w:rsidRDefault="00144445">
            <w:pPr>
              <w:jc w:val="both"/>
            </w:pPr>
            <w:r w:rsidRPr="004E6A4A">
              <w:rPr>
                <w:rFonts w:ascii="Times New Roman" w:eastAsia="Times New Roman" w:hAnsi="Times New Roman" w:cs="Times New Roman"/>
                <w:sz w:val="20"/>
              </w:rPr>
              <w:t xml:space="preserve">iii) the amount, other than the death benefit, payable upon cancellation or termination of the contract may </w:t>
            </w:r>
            <w:r w:rsidRPr="004E6A4A">
              <w:rPr>
                <w:rFonts w:ascii="Times New Roman" w:eastAsia="Times New Roman" w:hAnsi="Times New Roman" w:cs="Times New Roman"/>
                <w:sz w:val="20"/>
              </w:rPr>
              <w:lastRenderedPageBreak/>
              <w:t>not exceed the aggregate premiums paid for the contract, less the amount of mortality, morbidity and expense charges, whether or not actually imposed, for the period or periods in which the contract was in existence and any amount paid before the cancellation or termination of the contract;</w:t>
            </w:r>
          </w:p>
          <w:p w14:paraId="61CDDADA" w14:textId="77777777" w:rsidR="00FA0CFF" w:rsidRPr="004E6A4A" w:rsidRDefault="00144445">
            <w:pPr>
              <w:jc w:val="both"/>
            </w:pPr>
            <w:r w:rsidRPr="004E6A4A">
              <w:rPr>
                <w:rFonts w:ascii="Times New Roman" w:eastAsia="Times New Roman" w:hAnsi="Times New Roman" w:cs="Times New Roman"/>
                <w:sz w:val="20"/>
              </w:rPr>
              <w:t>iv) the contract is not held by a transferee for value.</w:t>
            </w:r>
          </w:p>
          <w:p w14:paraId="3151B756" w14:textId="77777777" w:rsidR="00FA0CFF" w:rsidRPr="004E6A4A" w:rsidRDefault="00144445">
            <w:pPr>
              <w:jc w:val="both"/>
            </w:pPr>
            <w:r w:rsidRPr="004E6A4A">
              <w:rPr>
                <w:rFonts w:ascii="Times New Roman" w:eastAsia="Times New Roman" w:hAnsi="Times New Roman" w:cs="Times New Roman"/>
                <w:sz w:val="20"/>
              </w:rPr>
              <w:t>ç) an account held solely by the estate of a deceased person, if the documentation for that account includes a copy of the will of the deceased person or the death certificate;</w:t>
            </w:r>
          </w:p>
          <w:p w14:paraId="26F3256D" w14:textId="77777777" w:rsidR="00FA0CFF" w:rsidRPr="004E6A4A" w:rsidRDefault="00144445">
            <w:pPr>
              <w:jc w:val="both"/>
            </w:pPr>
            <w:r w:rsidRPr="004E6A4A">
              <w:rPr>
                <w:rFonts w:ascii="Times New Roman" w:eastAsia="Times New Roman" w:hAnsi="Times New Roman" w:cs="Times New Roman"/>
                <w:sz w:val="20"/>
              </w:rPr>
              <w:t>d) an account established in connection with each of the following sub-points:</w:t>
            </w:r>
          </w:p>
          <w:p w14:paraId="58EF8F80" w14:textId="77777777" w:rsidR="00FA0CFF" w:rsidRPr="004E6A4A" w:rsidRDefault="00144445">
            <w:pPr>
              <w:jc w:val="both"/>
            </w:pPr>
            <w:r w:rsidRPr="004E6A4A">
              <w:rPr>
                <w:rFonts w:ascii="Times New Roman" w:eastAsia="Times New Roman" w:hAnsi="Times New Roman" w:cs="Times New Roman"/>
                <w:sz w:val="20"/>
              </w:rPr>
              <w:t>i) a court order or judgment;</w:t>
            </w:r>
          </w:p>
          <w:p w14:paraId="79611795" w14:textId="77777777" w:rsidR="00FA0CFF" w:rsidRPr="004E6A4A" w:rsidRDefault="00144445">
            <w:pPr>
              <w:jc w:val="both"/>
            </w:pPr>
            <w:r w:rsidRPr="004E6A4A">
              <w:rPr>
                <w:rFonts w:ascii="Times New Roman" w:eastAsia="Times New Roman" w:hAnsi="Times New Roman" w:cs="Times New Roman"/>
                <w:sz w:val="20"/>
              </w:rPr>
              <w:t>ii) a sale, exchange or lease of immovable or movable property, provided that the account fulfils the following requirements:</w:t>
            </w:r>
          </w:p>
          <w:p w14:paraId="1CD2B986" w14:textId="77777777" w:rsidR="00FA0CFF" w:rsidRPr="004E6A4A" w:rsidRDefault="00144445">
            <w:pPr>
              <w:jc w:val="both"/>
            </w:pPr>
            <w:r w:rsidRPr="004E6A4A">
              <w:rPr>
                <w:rFonts w:ascii="Times New Roman" w:eastAsia="Times New Roman" w:hAnsi="Times New Roman" w:cs="Times New Roman"/>
                <w:sz w:val="20"/>
              </w:rPr>
              <w:t>the account is funded solely by the deposit of a payment into the account as a performance guarantee, in an amount sufficient to guarantee the obligation directly related to the transaction, or by similar payments, or is funded by financial assets deposited in the account in connection with the sale, exchange or lease of the property;</w:t>
            </w:r>
          </w:p>
          <w:p w14:paraId="5B241009" w14:textId="77777777" w:rsidR="00FA0CFF" w:rsidRPr="004E6A4A" w:rsidRDefault="00144445">
            <w:pPr>
              <w:jc w:val="both"/>
            </w:pPr>
            <w:r w:rsidRPr="004E6A4A">
              <w:rPr>
                <w:rFonts w:ascii="Times New Roman" w:eastAsia="Times New Roman" w:hAnsi="Times New Roman" w:cs="Times New Roman"/>
                <w:sz w:val="20"/>
              </w:rPr>
              <w:t>the account is established and used solely to guarantee the obligation of the buyer to pay the purchase price, of the seller to pay any contingent liability, or of the lessee or lessor to pay for any damage relating to the property leased or let, as agreed in the contract;</w:t>
            </w:r>
          </w:p>
          <w:p w14:paraId="1188189E" w14:textId="77777777" w:rsidR="00FA0CFF" w:rsidRPr="004E6A4A" w:rsidRDefault="00144445">
            <w:pPr>
              <w:jc w:val="both"/>
            </w:pPr>
            <w:r w:rsidRPr="004E6A4A">
              <w:rPr>
                <w:rFonts w:ascii="Times New Roman" w:eastAsia="Times New Roman" w:hAnsi="Times New Roman" w:cs="Times New Roman"/>
                <w:sz w:val="20"/>
              </w:rPr>
              <w:t>the assets of the account, including the income earned therefrom, will be paid or distributed for the benefit of the buyer, seller, lessee or lessor, including to satisfy the obligation of that person, at the time when the property is sold, exchanged or surrendered, or when the lease is terminated;</w:t>
            </w:r>
          </w:p>
          <w:p w14:paraId="2D2515BB" w14:textId="77777777" w:rsidR="00FA0CFF" w:rsidRPr="004E6A4A" w:rsidRDefault="00144445">
            <w:pPr>
              <w:jc w:val="both"/>
            </w:pPr>
            <w:r w:rsidRPr="004E6A4A">
              <w:rPr>
                <w:rFonts w:ascii="Times New Roman" w:eastAsia="Times New Roman" w:hAnsi="Times New Roman" w:cs="Times New Roman"/>
                <w:sz w:val="20"/>
              </w:rPr>
              <w:lastRenderedPageBreak/>
              <w:t>the account is not a margin or similar account established in connection with the sale or exchange of a financial asset;</w:t>
            </w:r>
          </w:p>
          <w:p w14:paraId="02BF607C" w14:textId="77777777" w:rsidR="00FA0CFF" w:rsidRPr="004E6A4A" w:rsidRDefault="00144445">
            <w:pPr>
              <w:jc w:val="both"/>
            </w:pPr>
            <w:r w:rsidRPr="004E6A4A">
              <w:rPr>
                <w:rFonts w:ascii="Times New Roman" w:eastAsia="Times New Roman" w:hAnsi="Times New Roman" w:cs="Times New Roman"/>
                <w:sz w:val="20"/>
              </w:rPr>
              <w:t>and the account is not associated with any account described in letter “e” of this point;</w:t>
            </w:r>
          </w:p>
          <w:p w14:paraId="02E51558" w14:textId="77777777" w:rsidR="00FA0CFF" w:rsidRPr="004E6A4A" w:rsidRDefault="00144445">
            <w:pPr>
              <w:jc w:val="both"/>
            </w:pPr>
            <w:r w:rsidRPr="004E6A4A">
              <w:rPr>
                <w:rFonts w:ascii="Times New Roman" w:eastAsia="Times New Roman" w:hAnsi="Times New Roman" w:cs="Times New Roman"/>
                <w:sz w:val="20"/>
              </w:rPr>
              <w:t>iii) the obligation of a financial institution servicing a loan secured by immovable property to set aside a portion of the payment solely to facilitate the payment of taxes or insurance related to the immovable property at a later time;</w:t>
            </w:r>
          </w:p>
          <w:p w14:paraId="29708F77" w14:textId="77777777" w:rsidR="00FA0CFF" w:rsidRPr="004E6A4A" w:rsidRDefault="00144445">
            <w:pPr>
              <w:jc w:val="both"/>
            </w:pPr>
            <w:r w:rsidRPr="004E6A4A">
              <w:rPr>
                <w:rFonts w:ascii="Times New Roman" w:eastAsia="Times New Roman" w:hAnsi="Times New Roman" w:cs="Times New Roman"/>
                <w:sz w:val="20"/>
              </w:rPr>
              <w:t>iv) the obligation of a financial institution solely to facilitate the payment of taxes at a later time;</w:t>
            </w:r>
          </w:p>
          <w:p w14:paraId="5E3C7F12" w14:textId="77777777" w:rsidR="00FA0CFF" w:rsidRPr="004E6A4A" w:rsidRDefault="00144445">
            <w:pPr>
              <w:jc w:val="both"/>
            </w:pPr>
            <w:r w:rsidRPr="004E6A4A">
              <w:rPr>
                <w:rFonts w:ascii="Times New Roman" w:eastAsia="Times New Roman" w:hAnsi="Times New Roman" w:cs="Times New Roman"/>
                <w:sz w:val="20"/>
              </w:rPr>
              <w:t>v) the establishment or increase of the capital of a company, provided that the account fulfils the following requirements:</w:t>
            </w:r>
          </w:p>
          <w:p w14:paraId="51E3CC99" w14:textId="77777777" w:rsidR="00FA0CFF" w:rsidRPr="004E6A4A" w:rsidRDefault="00144445">
            <w:pPr>
              <w:jc w:val="both"/>
            </w:pPr>
            <w:r w:rsidRPr="004E6A4A">
              <w:rPr>
                <w:rFonts w:ascii="Times New Roman" w:eastAsia="Times New Roman" w:hAnsi="Times New Roman" w:cs="Times New Roman"/>
                <w:sz w:val="20"/>
              </w:rPr>
              <w:t>the account is used solely for the deposit of the capital used for the purposes of the establishment or increase of the capital of a company, as provided for by the legislation;</w:t>
            </w:r>
          </w:p>
          <w:p w14:paraId="2B2CFB7A" w14:textId="77777777" w:rsidR="00FA0CFF" w:rsidRPr="004E6A4A" w:rsidRDefault="00144445">
            <w:pPr>
              <w:jc w:val="both"/>
            </w:pPr>
            <w:r w:rsidRPr="004E6A4A">
              <w:rPr>
                <w:rFonts w:ascii="Times New Roman" w:eastAsia="Times New Roman" w:hAnsi="Times New Roman" w:cs="Times New Roman"/>
                <w:sz w:val="20"/>
              </w:rPr>
              <w:t>any amount held in the account is blocked until the reporting financial institution has obtained an independent confirmation relating to the establishment or increase of the capital;</w:t>
            </w:r>
          </w:p>
          <w:p w14:paraId="77B82E64" w14:textId="77777777" w:rsidR="00FA0CFF" w:rsidRPr="004E6A4A" w:rsidRDefault="00144445">
            <w:pPr>
              <w:jc w:val="both"/>
            </w:pPr>
            <w:r w:rsidRPr="004E6A4A">
              <w:rPr>
                <w:rFonts w:ascii="Times New Roman" w:eastAsia="Times New Roman" w:hAnsi="Times New Roman" w:cs="Times New Roman"/>
                <w:sz w:val="20"/>
              </w:rPr>
              <w:t>the account is closed or converted into an account in the name of the company after the establishment or increase of the capital;</w:t>
            </w:r>
          </w:p>
          <w:p w14:paraId="6FD89F92" w14:textId="77777777" w:rsidR="00FA0CFF" w:rsidRPr="004E6A4A" w:rsidRDefault="00144445">
            <w:pPr>
              <w:jc w:val="both"/>
            </w:pPr>
            <w:r w:rsidRPr="004E6A4A">
              <w:rPr>
                <w:rFonts w:ascii="Times New Roman" w:eastAsia="Times New Roman" w:hAnsi="Times New Roman" w:cs="Times New Roman"/>
                <w:sz w:val="20"/>
              </w:rPr>
              <w:t>any refund resulting from the failure of the establishment or increase of the capital, net of service provider fees and similar fees, is made solely to the persons who contributed the amounts;</w:t>
            </w:r>
          </w:p>
          <w:p w14:paraId="646E9DF2" w14:textId="77777777" w:rsidR="00FA0CFF" w:rsidRPr="004E6A4A" w:rsidRDefault="00144445">
            <w:pPr>
              <w:jc w:val="both"/>
            </w:pPr>
            <w:r w:rsidRPr="004E6A4A">
              <w:rPr>
                <w:rFonts w:ascii="Times New Roman" w:eastAsia="Times New Roman" w:hAnsi="Times New Roman" w:cs="Times New Roman"/>
                <w:sz w:val="20"/>
              </w:rPr>
              <w:t>and the account was opened not earlier than the last 12 months;</w:t>
            </w:r>
          </w:p>
          <w:p w14:paraId="02AE3B23" w14:textId="77777777" w:rsidR="00FA0CFF" w:rsidRPr="004E6A4A" w:rsidRDefault="00144445">
            <w:pPr>
              <w:jc w:val="both"/>
            </w:pPr>
            <w:r w:rsidRPr="004E6A4A">
              <w:rPr>
                <w:rFonts w:ascii="Times New Roman" w:eastAsia="Times New Roman" w:hAnsi="Times New Roman" w:cs="Times New Roman"/>
                <w:sz w:val="20"/>
              </w:rPr>
              <w:t xml:space="preserve">dh) a depository account representing all the Electronic Money, for the purposes of the application of the European Union rules, and Specified Electronic Money Products, for the purposes of the application of the Common Reporting Standard, held for the benefit </w:t>
            </w:r>
            <w:r w:rsidRPr="004E6A4A">
              <w:rPr>
                <w:rFonts w:ascii="Times New Roman" w:eastAsia="Times New Roman" w:hAnsi="Times New Roman" w:cs="Times New Roman"/>
                <w:sz w:val="20"/>
              </w:rPr>
              <w:lastRenderedPageBreak/>
              <w:t>of a customer, if the 90-day moving average of the aggregate end-of-day balance or value of the account, calculated over any period of 90 consecutive days, does not exceed USD 10 000 on any day during the calendar year or other appropriate reporting period.</w:t>
            </w:r>
          </w:p>
          <w:p w14:paraId="711F689B" w14:textId="77777777" w:rsidR="00FA0CFF" w:rsidRPr="004E6A4A" w:rsidRDefault="00144445">
            <w:pPr>
              <w:jc w:val="both"/>
            </w:pPr>
            <w:r w:rsidRPr="004E6A4A">
              <w:rPr>
                <w:rFonts w:ascii="Times New Roman" w:eastAsia="Times New Roman" w:hAnsi="Times New Roman" w:cs="Times New Roman"/>
                <w:sz w:val="20"/>
              </w:rPr>
              <w:t>e) a depository account which fulfils the following requirements:</w:t>
            </w:r>
          </w:p>
          <w:p w14:paraId="5CFCF9AC" w14:textId="77777777" w:rsidR="00FA0CFF" w:rsidRPr="004E6A4A" w:rsidRDefault="00144445">
            <w:pPr>
              <w:jc w:val="both"/>
            </w:pPr>
            <w:r w:rsidRPr="004E6A4A">
              <w:rPr>
                <w:rFonts w:ascii="Times New Roman" w:eastAsia="Times New Roman" w:hAnsi="Times New Roman" w:cs="Times New Roman"/>
                <w:sz w:val="20"/>
              </w:rPr>
              <w:t>i) the account exists solely because the customer makes a payment in excess of the balance due, in relation to a credit card or other revolving credit facility, and the overpayment is not immediately returned to the customer; and</w:t>
            </w:r>
          </w:p>
          <w:p w14:paraId="70031386" w14:textId="77777777" w:rsidR="00FA0CFF" w:rsidRPr="004E6A4A" w:rsidRDefault="00144445">
            <w:pPr>
              <w:jc w:val="both"/>
            </w:pPr>
            <w:r w:rsidRPr="004E6A4A">
              <w:rPr>
                <w:rFonts w:ascii="Times New Roman" w:eastAsia="Times New Roman" w:hAnsi="Times New Roman" w:cs="Times New Roman"/>
                <w:sz w:val="20"/>
              </w:rPr>
              <w:t>ii) from or before the reference date applicable to the relevant profile, determined in the sub-legal act, the financial institution implements policies and procedures either to prevent a customer from making overpayments exceeding USD 50 000, or to ensure that any customer overpayment exceeding USD 50 000 is refunded to the customer within 60 days and, in each case, the rules for the conversion of currency determined in Article 12 and in the sub-legal act issued in implementation of this Law shall apply. For that purpose, a customer overpayment does not refer to credit balances which include disputed charges, but does include credit balances resulting from the return of goods.</w:t>
            </w:r>
          </w:p>
          <w:p w14:paraId="4110E5EE" w14:textId="77777777" w:rsidR="00FA0CFF" w:rsidRPr="004E6A4A" w:rsidRDefault="00144445">
            <w:pPr>
              <w:jc w:val="both"/>
            </w:pPr>
            <w:r w:rsidRPr="004E6A4A">
              <w:rPr>
                <w:rFonts w:ascii="Times New Roman" w:eastAsia="Times New Roman" w:hAnsi="Times New Roman" w:cs="Times New Roman"/>
                <w:sz w:val="20"/>
              </w:rPr>
              <w:t>ë) any other account which presents a low risk of being used for tax evasion, has characteristics substantially similar to the accounts described in letters “a” to “e” of this point, is included in the list of excluded accounts determined by sub-legal act, and the status of which as an Excluded Account does not undermine, for the European Union profile, the purposes of Directive 2011/16/EU, as amended, and, for the Common Reporting Standard profile, the purposes of the Standard.</w:t>
            </w:r>
          </w:p>
        </w:tc>
        <w:tc>
          <w:tcPr>
            <w:tcW w:w="1156" w:type="dxa"/>
          </w:tcPr>
          <w:p w14:paraId="65289C9C" w14:textId="77777777" w:rsidR="00DD4CC1" w:rsidRPr="004E6A4A" w:rsidRDefault="00DD4CC1" w:rsidP="00C4419F">
            <w:pPr>
              <w:jc w:val="center"/>
              <w:rPr>
                <w:rFonts w:ascii="Times New Roman" w:eastAsia="Calibri" w:hAnsi="Times New Roman" w:cs="Times New Roman"/>
                <w:sz w:val="18"/>
                <w:szCs w:val="18"/>
              </w:rPr>
            </w:pPr>
          </w:p>
          <w:p w14:paraId="28A166F7" w14:textId="35324909"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051A4D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72CB91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44 of the Draft Law.</w:t>
            </w:r>
          </w:p>
        </w:tc>
      </w:tr>
      <w:tr w:rsidR="004E6A4A" w:rsidRPr="004E6A4A" w14:paraId="13E57954" w14:textId="77777777" w:rsidTr="00E11E6D">
        <w:trPr>
          <w:trHeight w:val="764"/>
        </w:trPr>
        <w:tc>
          <w:tcPr>
            <w:tcW w:w="720" w:type="dxa"/>
          </w:tcPr>
          <w:p w14:paraId="29D0A9AF"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9C5BF6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Reportable Account</w:t>
            </w:r>
          </w:p>
          <w:p w14:paraId="224C017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The term “Reportable Account” means a Financial Account that is maintained by a Member State Reporting Financial Institution and is held by one or more Reportable Persons or by a Passive NFE with one or more Controlling Persons that is a Reportable Person, provided it has been identified as such pursuant to the due dili gence procedures described in Sections II through VII.</w:t>
            </w:r>
          </w:p>
        </w:tc>
        <w:tc>
          <w:tcPr>
            <w:tcW w:w="1080" w:type="dxa"/>
          </w:tcPr>
          <w:p w14:paraId="3A25556F"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54B66FB"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8E23861"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999D9DF" w14:textId="77777777" w:rsidR="00FA0CFF" w:rsidRPr="004E6A4A" w:rsidRDefault="00144445">
            <w:pPr>
              <w:jc w:val="center"/>
            </w:pPr>
            <w:r w:rsidRPr="004E6A4A">
              <w:rPr>
                <w:rFonts w:ascii="Times New Roman" w:eastAsia="Times New Roman" w:hAnsi="Times New Roman" w:cs="Times New Roman"/>
                <w:b/>
                <w:sz w:val="20"/>
              </w:rPr>
              <w:t>Definitions</w:t>
            </w:r>
          </w:p>
          <w:p w14:paraId="1E482AC9" w14:textId="77777777" w:rsidR="00FA0CFF" w:rsidRPr="004E6A4A" w:rsidRDefault="00144445">
            <w:pPr>
              <w:jc w:val="both"/>
            </w:pPr>
            <w:r w:rsidRPr="004E6A4A">
              <w:rPr>
                <w:rFonts w:ascii="Times New Roman" w:eastAsia="Times New Roman" w:hAnsi="Times New Roman" w:cs="Times New Roman"/>
                <w:sz w:val="20"/>
              </w:rPr>
              <w:t>6. “Reportable account” means a financial account maintained by a reporting financial institution and held by one or more reportable persons or by a Passive NFE with one or more controlling persons who are reportable persons, provided that it has been identified as such in accordance with the due diligence procedures determined in this Law and in the sub-legal acts issued in implementation thereof.</w:t>
            </w:r>
          </w:p>
        </w:tc>
        <w:tc>
          <w:tcPr>
            <w:tcW w:w="1156" w:type="dxa"/>
          </w:tcPr>
          <w:p w14:paraId="052BE653" w14:textId="77777777" w:rsidR="00DD4CC1" w:rsidRPr="004E6A4A" w:rsidRDefault="00DD4CC1" w:rsidP="00C4419F">
            <w:pPr>
              <w:jc w:val="center"/>
              <w:rPr>
                <w:rFonts w:ascii="Times New Roman" w:eastAsia="Calibri" w:hAnsi="Times New Roman" w:cs="Times New Roman"/>
                <w:sz w:val="18"/>
                <w:szCs w:val="18"/>
              </w:rPr>
            </w:pPr>
          </w:p>
          <w:p w14:paraId="2426E487" w14:textId="63852010"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19E34B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D59263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 of the Draft Law.</w:t>
            </w:r>
          </w:p>
        </w:tc>
      </w:tr>
      <w:tr w:rsidR="004E6A4A" w:rsidRPr="004E6A4A" w14:paraId="7CD614BD" w14:textId="77777777" w:rsidTr="00E11E6D">
        <w:trPr>
          <w:trHeight w:val="764"/>
        </w:trPr>
        <w:tc>
          <w:tcPr>
            <w:tcW w:w="720" w:type="dxa"/>
          </w:tcPr>
          <w:p w14:paraId="656C49A2"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01B449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 xml:space="preserve">The term “Reportable Person” means a Member State Person other than: </w:t>
            </w:r>
          </w:p>
          <w:p w14:paraId="5122914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 an Entity the stock of which is regularly traded on one or more established securities markets;</w:t>
            </w:r>
          </w:p>
          <w:p w14:paraId="362BE40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(b) any Entity that is a Related Entity of an Entity described in point (a); </w:t>
            </w:r>
          </w:p>
          <w:p w14:paraId="4CD8945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(c) a Governmental Entity; </w:t>
            </w:r>
          </w:p>
          <w:p w14:paraId="2BBFFB1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(d) an International Organisation; </w:t>
            </w:r>
          </w:p>
          <w:p w14:paraId="7F0F81C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(e) a Central Bank; or </w:t>
            </w:r>
          </w:p>
          <w:p w14:paraId="10F1CD5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 a Financial Institution.</w:t>
            </w:r>
          </w:p>
        </w:tc>
        <w:tc>
          <w:tcPr>
            <w:tcW w:w="1080" w:type="dxa"/>
          </w:tcPr>
          <w:p w14:paraId="0656BD14"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48A05FC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27603331"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3098A070" w14:textId="77777777" w:rsidR="00FA0CFF" w:rsidRPr="004E6A4A" w:rsidRDefault="00144445">
            <w:pPr>
              <w:jc w:val="center"/>
            </w:pPr>
            <w:r w:rsidRPr="004E6A4A">
              <w:rPr>
                <w:rFonts w:ascii="Times New Roman" w:eastAsia="Times New Roman" w:hAnsi="Times New Roman" w:cs="Times New Roman"/>
                <w:b/>
                <w:sz w:val="20"/>
              </w:rPr>
              <w:t>Definitions</w:t>
            </w:r>
          </w:p>
          <w:p w14:paraId="6A4FC705" w14:textId="77777777" w:rsidR="00FA0CFF" w:rsidRPr="004E6A4A" w:rsidRDefault="00144445">
            <w:pPr>
              <w:jc w:val="both"/>
            </w:pPr>
            <w:r w:rsidRPr="004E6A4A">
              <w:rPr>
                <w:rFonts w:ascii="Times New Roman" w:eastAsia="Times New Roman" w:hAnsi="Times New Roman" w:cs="Times New Roman"/>
                <w:sz w:val="20"/>
              </w:rPr>
              <w:t>8. “Reportable person” means a Person of a Reportable Jurisdiction, other than:</w:t>
            </w:r>
          </w:p>
          <w:p w14:paraId="1192FEF5" w14:textId="77777777" w:rsidR="00FA0CFF" w:rsidRPr="004E6A4A" w:rsidRDefault="00144445">
            <w:pPr>
              <w:jc w:val="both"/>
            </w:pPr>
            <w:r w:rsidRPr="004E6A4A">
              <w:rPr>
                <w:rFonts w:ascii="Times New Roman" w:eastAsia="Times New Roman" w:hAnsi="Times New Roman" w:cs="Times New Roman"/>
                <w:sz w:val="20"/>
              </w:rPr>
              <w:t>a) an Entity the shares of which are regularly traded on one or more recognised securities markets;</w:t>
            </w:r>
          </w:p>
          <w:p w14:paraId="4F4BC54F" w14:textId="77777777" w:rsidR="00FA0CFF" w:rsidRPr="004E6A4A" w:rsidRDefault="00144445">
            <w:pPr>
              <w:jc w:val="both"/>
            </w:pPr>
            <w:r w:rsidRPr="004E6A4A">
              <w:rPr>
                <w:rFonts w:ascii="Times New Roman" w:eastAsia="Times New Roman" w:hAnsi="Times New Roman" w:cs="Times New Roman"/>
                <w:sz w:val="20"/>
              </w:rPr>
              <w:t>b) any Entity which is a Related Entity of an Entity described in letter ‘a’;</w:t>
            </w:r>
          </w:p>
          <w:p w14:paraId="28DD4C68" w14:textId="77777777" w:rsidR="00FA0CFF" w:rsidRPr="004E6A4A" w:rsidRDefault="00144445">
            <w:pPr>
              <w:jc w:val="both"/>
            </w:pPr>
            <w:r w:rsidRPr="004E6A4A">
              <w:rPr>
                <w:rFonts w:ascii="Times New Roman" w:eastAsia="Times New Roman" w:hAnsi="Times New Roman" w:cs="Times New Roman"/>
                <w:sz w:val="20"/>
              </w:rPr>
              <w:t>c) a Governmental Entity;</w:t>
            </w:r>
          </w:p>
          <w:p w14:paraId="4CC8EA0D" w14:textId="77777777" w:rsidR="00FA0CFF" w:rsidRPr="004E6A4A" w:rsidRDefault="00144445">
            <w:pPr>
              <w:jc w:val="both"/>
            </w:pPr>
            <w:r w:rsidRPr="004E6A4A">
              <w:rPr>
                <w:rFonts w:ascii="Times New Roman" w:eastAsia="Times New Roman" w:hAnsi="Times New Roman" w:cs="Times New Roman"/>
                <w:sz w:val="20"/>
              </w:rPr>
              <w:t>ç) an International Organisation;</w:t>
            </w:r>
          </w:p>
          <w:p w14:paraId="52C7DE5F" w14:textId="77777777" w:rsidR="00FA0CFF" w:rsidRPr="004E6A4A" w:rsidRDefault="00144445">
            <w:pPr>
              <w:jc w:val="both"/>
            </w:pPr>
            <w:r w:rsidRPr="004E6A4A">
              <w:rPr>
                <w:rFonts w:ascii="Times New Roman" w:eastAsia="Times New Roman" w:hAnsi="Times New Roman" w:cs="Times New Roman"/>
                <w:sz w:val="20"/>
              </w:rPr>
              <w:t>d) a Central Bank; or</w:t>
            </w:r>
          </w:p>
          <w:p w14:paraId="58AAC0B2" w14:textId="77777777" w:rsidR="00FA0CFF" w:rsidRPr="004E6A4A" w:rsidRDefault="00144445">
            <w:pPr>
              <w:jc w:val="both"/>
            </w:pPr>
            <w:r w:rsidRPr="004E6A4A">
              <w:rPr>
                <w:rFonts w:ascii="Times New Roman" w:eastAsia="Times New Roman" w:hAnsi="Times New Roman" w:cs="Times New Roman"/>
                <w:sz w:val="20"/>
              </w:rPr>
              <w:t>dh) a Financial Institution.</w:t>
            </w:r>
          </w:p>
        </w:tc>
        <w:tc>
          <w:tcPr>
            <w:tcW w:w="1156" w:type="dxa"/>
          </w:tcPr>
          <w:p w14:paraId="170AF4A7" w14:textId="77777777" w:rsidR="00DD4CC1" w:rsidRPr="004E6A4A" w:rsidRDefault="00DD4CC1" w:rsidP="00C4419F">
            <w:pPr>
              <w:jc w:val="center"/>
              <w:rPr>
                <w:rFonts w:ascii="Times New Roman" w:eastAsia="Calibri" w:hAnsi="Times New Roman" w:cs="Times New Roman"/>
                <w:sz w:val="18"/>
                <w:szCs w:val="18"/>
              </w:rPr>
            </w:pPr>
          </w:p>
          <w:p w14:paraId="2B143127" w14:textId="44A71124" w:rsidR="000A21ED" w:rsidRPr="004E6A4A" w:rsidRDefault="00DD4CC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9AF52D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460ADF3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8 of the Draft Law.</w:t>
            </w:r>
          </w:p>
        </w:tc>
      </w:tr>
      <w:tr w:rsidR="004E6A4A" w:rsidRPr="004E6A4A" w14:paraId="5D0B09F4" w14:textId="77777777" w:rsidTr="00E11E6D">
        <w:trPr>
          <w:trHeight w:val="764"/>
        </w:trPr>
        <w:tc>
          <w:tcPr>
            <w:tcW w:w="720" w:type="dxa"/>
          </w:tcPr>
          <w:p w14:paraId="3BE688DA"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2A21651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The term “Member State Person” with regard to each Member State means an individual or Entity that is resident in any other Member State under the tax laws of that other Member State, or an estate of a decedent that was a resident of any other Member State. For this purpose, an Entity such as a partnership, limited liability partnership or similar legal arrangement, which has no residence for tax purposes shall be treated as resident in the jurisdiction in which its place of effective management is situated.</w:t>
            </w:r>
          </w:p>
        </w:tc>
        <w:tc>
          <w:tcPr>
            <w:tcW w:w="1080" w:type="dxa"/>
          </w:tcPr>
          <w:p w14:paraId="6DB5CFD6"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72F33FFF"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5E31159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C1594E7" w14:textId="77777777" w:rsidR="00FA0CFF" w:rsidRPr="004E6A4A" w:rsidRDefault="00144445">
            <w:pPr>
              <w:jc w:val="center"/>
            </w:pPr>
            <w:r w:rsidRPr="004E6A4A">
              <w:rPr>
                <w:rFonts w:ascii="Times New Roman" w:eastAsia="Times New Roman" w:hAnsi="Times New Roman" w:cs="Times New Roman"/>
                <w:b/>
                <w:sz w:val="20"/>
              </w:rPr>
              <w:t>Definitions</w:t>
            </w:r>
          </w:p>
          <w:p w14:paraId="02FE15FF" w14:textId="77777777" w:rsidR="00FA0CFF" w:rsidRPr="004E6A4A" w:rsidRDefault="00144445">
            <w:pPr>
              <w:jc w:val="both"/>
            </w:pPr>
            <w:r w:rsidRPr="004E6A4A">
              <w:rPr>
                <w:rFonts w:ascii="Times New Roman" w:eastAsia="Times New Roman" w:hAnsi="Times New Roman" w:cs="Times New Roman"/>
                <w:sz w:val="20"/>
              </w:rPr>
              <w:t>63. “Person of a reportable jurisdiction” means an individual or an entity which is resident in a reportable jurisdiction, under the tax legislation of that jurisdiction, or the estate of a decedent who was a resident of a reportable jurisdiction. For that purpose, an entity, such as a partnership, a limited liability partnership or similar legal arrangements which have no residence for tax purposes, shall be treated as resident in the jurisdiction in which its place of effective management is located.</w:t>
            </w:r>
          </w:p>
          <w:p w14:paraId="689E9454" w14:textId="77777777" w:rsidR="00FA0CFF" w:rsidRPr="004E6A4A" w:rsidRDefault="00144445">
            <w:pPr>
              <w:jc w:val="both"/>
            </w:pPr>
            <w:r w:rsidRPr="004E6A4A">
              <w:rPr>
                <w:rFonts w:ascii="Times New Roman" w:eastAsia="Times New Roman" w:hAnsi="Times New Roman" w:cs="Times New Roman"/>
                <w:sz w:val="20"/>
              </w:rPr>
              <w:t>5. “Reportable jurisdiction” means a jurisdiction identified in the list of reportable jurisdictions determined and published under this Law and the sub-</w:t>
            </w:r>
            <w:r w:rsidRPr="004E6A4A">
              <w:rPr>
                <w:rFonts w:ascii="Times New Roman" w:eastAsia="Times New Roman" w:hAnsi="Times New Roman" w:cs="Times New Roman"/>
                <w:sz w:val="20"/>
              </w:rPr>
              <w:lastRenderedPageBreak/>
              <w:t>legal acts issued in implementation thereof. For the automatic exchanges of information with the Member States of the European Union, every other Member State of the European Union shall be considered a reportable jurisdiction.</w:t>
            </w:r>
          </w:p>
        </w:tc>
        <w:tc>
          <w:tcPr>
            <w:tcW w:w="1156" w:type="dxa"/>
          </w:tcPr>
          <w:p w14:paraId="7DCC051C" w14:textId="77777777" w:rsidR="001D563A" w:rsidRPr="004E6A4A" w:rsidRDefault="001D563A" w:rsidP="00C4419F">
            <w:pPr>
              <w:jc w:val="center"/>
              <w:rPr>
                <w:rFonts w:ascii="Times New Roman" w:eastAsia="Calibri" w:hAnsi="Times New Roman" w:cs="Times New Roman"/>
                <w:sz w:val="18"/>
                <w:szCs w:val="18"/>
              </w:rPr>
            </w:pPr>
          </w:p>
          <w:p w14:paraId="6D25EC0B" w14:textId="114E241C"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6AD394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E7C273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63 and Article 5, point 5 of the Draft Law.</w:t>
            </w:r>
          </w:p>
        </w:tc>
      </w:tr>
      <w:tr w:rsidR="004E6A4A" w:rsidRPr="004E6A4A" w14:paraId="3F653958" w14:textId="77777777" w:rsidTr="00E11E6D">
        <w:trPr>
          <w:trHeight w:val="764"/>
        </w:trPr>
        <w:tc>
          <w:tcPr>
            <w:tcW w:w="720" w:type="dxa"/>
          </w:tcPr>
          <w:p w14:paraId="0B89B28E"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BF89C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The term “Participating Jurisdiction” with regard to each Member State means:</w:t>
            </w:r>
          </w:p>
          <w:p w14:paraId="6B95033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any other Member State;</w:t>
            </w:r>
          </w:p>
          <w:p w14:paraId="4EA85E9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any other jurisdiction (i) with which the Member State concerned has an agreement in place pursuant to which that jurisdiction will provide the information specified in Section I; and (ii) which is identified in a list published by that Member State and notified to the European Commission;</w:t>
            </w:r>
          </w:p>
          <w:p w14:paraId="2C41C75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any other jurisdiction (i) with which the Union has an agreement in place pursuant to which that jurisdiction will provide the information specified in Section I; and (ii) which is identified in a list published by the European Commission.</w:t>
            </w:r>
          </w:p>
        </w:tc>
        <w:tc>
          <w:tcPr>
            <w:tcW w:w="1080" w:type="dxa"/>
          </w:tcPr>
          <w:p w14:paraId="088918F8"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0E8F9952"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7289DB9A"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DBA9237" w14:textId="77777777" w:rsidR="00FA0CFF" w:rsidRPr="004E6A4A" w:rsidRDefault="00144445">
            <w:pPr>
              <w:jc w:val="center"/>
            </w:pPr>
            <w:r w:rsidRPr="004E6A4A">
              <w:rPr>
                <w:rFonts w:ascii="Times New Roman" w:eastAsia="Times New Roman" w:hAnsi="Times New Roman" w:cs="Times New Roman"/>
                <w:b/>
                <w:sz w:val="20"/>
              </w:rPr>
              <w:t>Definitions</w:t>
            </w:r>
          </w:p>
          <w:p w14:paraId="698817C7" w14:textId="77777777" w:rsidR="00FA0CFF" w:rsidRPr="004E6A4A" w:rsidRDefault="00144445">
            <w:pPr>
              <w:jc w:val="both"/>
            </w:pPr>
            <w:r w:rsidRPr="004E6A4A">
              <w:rPr>
                <w:rFonts w:ascii="Times New Roman" w:eastAsia="Times New Roman" w:hAnsi="Times New Roman" w:cs="Times New Roman"/>
                <w:sz w:val="20"/>
              </w:rPr>
              <w:t>37. “Participating jurisdiction” means:</w:t>
            </w:r>
          </w:p>
          <w:p w14:paraId="2505184B" w14:textId="77777777" w:rsidR="00FA0CFF" w:rsidRPr="004E6A4A" w:rsidRDefault="00144445">
            <w:pPr>
              <w:jc w:val="both"/>
            </w:pPr>
            <w:r w:rsidRPr="004E6A4A">
              <w:rPr>
                <w:rFonts w:ascii="Times New Roman" w:eastAsia="Times New Roman" w:hAnsi="Times New Roman" w:cs="Times New Roman"/>
                <w:sz w:val="20"/>
              </w:rPr>
              <w:t>a) for the purposes of the Common Reporting Standard, a jurisdiction with which there is an agreement in force under which that jurisdiction will provide the information determined in Section I of the Standard and which is identified in a published list;</w:t>
            </w:r>
          </w:p>
          <w:p w14:paraId="4F81B768" w14:textId="77777777" w:rsidR="00FA0CFF" w:rsidRPr="004E6A4A" w:rsidRDefault="00144445">
            <w:pPr>
              <w:jc w:val="both"/>
            </w:pPr>
            <w:r w:rsidRPr="004E6A4A">
              <w:rPr>
                <w:rFonts w:ascii="Times New Roman" w:eastAsia="Times New Roman" w:hAnsi="Times New Roman" w:cs="Times New Roman"/>
                <w:sz w:val="20"/>
              </w:rPr>
              <w:t>b) for the purposes of Directive 2011/16/EU, as amended:</w:t>
            </w:r>
          </w:p>
          <w:p w14:paraId="3E65F988" w14:textId="77777777" w:rsidR="00FA0CFF" w:rsidRPr="004E6A4A" w:rsidRDefault="00144445">
            <w:pPr>
              <w:jc w:val="both"/>
            </w:pPr>
            <w:r w:rsidRPr="004E6A4A">
              <w:rPr>
                <w:rFonts w:ascii="Times New Roman" w:eastAsia="Times New Roman" w:hAnsi="Times New Roman" w:cs="Times New Roman"/>
                <w:sz w:val="20"/>
              </w:rPr>
              <w:t>i) any other Member State of the European Union;</w:t>
            </w:r>
          </w:p>
          <w:p w14:paraId="6922ADB2" w14:textId="77777777" w:rsidR="00FA0CFF" w:rsidRPr="004E6A4A" w:rsidRDefault="00144445">
            <w:pPr>
              <w:jc w:val="both"/>
            </w:pPr>
            <w:r w:rsidRPr="004E6A4A">
              <w:rPr>
                <w:rFonts w:ascii="Times New Roman" w:eastAsia="Times New Roman" w:hAnsi="Times New Roman" w:cs="Times New Roman"/>
                <w:sz w:val="20"/>
              </w:rPr>
              <w:t>ii) any other jurisdiction with which the Republic of Albania has an agreement in force under which that jurisdiction will provide the information determined in Section I of Annex I to Directive 2011/16/EU, as amended, and which is identified in a list published by the Republic of Albania and notified to the European Commission; or</w:t>
            </w:r>
          </w:p>
          <w:p w14:paraId="726E76F4" w14:textId="77777777" w:rsidR="00FA0CFF" w:rsidRPr="004E6A4A" w:rsidRDefault="00FA0CFF"/>
          <w:p w14:paraId="1895D075" w14:textId="5F3C4746" w:rsidR="00FA0CFF" w:rsidRPr="004E6A4A" w:rsidRDefault="00FA0CFF">
            <w:pPr>
              <w:jc w:val="both"/>
            </w:pPr>
          </w:p>
        </w:tc>
        <w:tc>
          <w:tcPr>
            <w:tcW w:w="1156" w:type="dxa"/>
          </w:tcPr>
          <w:p w14:paraId="2AA39ABD" w14:textId="77777777" w:rsidR="001D563A" w:rsidRPr="004E6A4A" w:rsidRDefault="001D563A" w:rsidP="00C4419F">
            <w:pPr>
              <w:jc w:val="center"/>
              <w:rPr>
                <w:rFonts w:ascii="Times New Roman" w:eastAsia="Calibri" w:hAnsi="Times New Roman" w:cs="Times New Roman"/>
                <w:sz w:val="18"/>
                <w:szCs w:val="18"/>
              </w:rPr>
            </w:pPr>
          </w:p>
          <w:p w14:paraId="41AC750A" w14:textId="1B3A678F"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66AEA6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EAF395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37 of the Draft Law.</w:t>
            </w:r>
          </w:p>
        </w:tc>
      </w:tr>
      <w:tr w:rsidR="004E6A4A" w:rsidRPr="004E6A4A" w14:paraId="368EBB13" w14:textId="77777777" w:rsidTr="00E11E6D">
        <w:trPr>
          <w:trHeight w:val="764"/>
        </w:trPr>
        <w:tc>
          <w:tcPr>
            <w:tcW w:w="720" w:type="dxa"/>
          </w:tcPr>
          <w:p w14:paraId="2955B67E"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7337F38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The term “Controlling Persons” means the natural persons who exercise control over an Entity. In the case of a trust, that term means the settlor(s), the trustee(s), the protector(s) (if any), the beneficiary(ies) or class(es) of bene ficiaries, and any other natural person(s) exercising ultimate effective control over the trust, and in the case of a legal arrangement other than a trust, such term means persons in equivalent or similar positions. The term “Controlling Persons” must be interpreted in a manner consistent with the Financial Action Task Force Recom mendations.</w:t>
            </w:r>
          </w:p>
        </w:tc>
        <w:tc>
          <w:tcPr>
            <w:tcW w:w="1080" w:type="dxa"/>
          </w:tcPr>
          <w:p w14:paraId="2EEF468A"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2C71E723"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448781D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D8C6395" w14:textId="77777777" w:rsidR="00FA0CFF" w:rsidRPr="004E6A4A" w:rsidRDefault="00144445">
            <w:pPr>
              <w:jc w:val="center"/>
            </w:pPr>
            <w:r w:rsidRPr="004E6A4A">
              <w:rPr>
                <w:rFonts w:ascii="Times New Roman" w:eastAsia="Times New Roman" w:hAnsi="Times New Roman" w:cs="Times New Roman"/>
                <w:b/>
                <w:sz w:val="20"/>
              </w:rPr>
              <w:t>Definitions</w:t>
            </w:r>
          </w:p>
          <w:p w14:paraId="2DD4FC22" w14:textId="77777777" w:rsidR="00FA0CFF" w:rsidRPr="004E6A4A" w:rsidRDefault="00144445">
            <w:pPr>
              <w:jc w:val="both"/>
            </w:pPr>
            <w:r w:rsidRPr="004E6A4A">
              <w:rPr>
                <w:rFonts w:ascii="Times New Roman" w:eastAsia="Times New Roman" w:hAnsi="Times New Roman" w:cs="Times New Roman"/>
                <w:sz w:val="20"/>
              </w:rPr>
              <w:t xml:space="preserve">64. “Controlling persons” means the natural persons who exercise control over an entity. In the case of a trust, that term means the settlor of the trust, the trustee, the protector, if any, the beneficiary or classes of beneficiaries and any other natural person exercising ultimate effective control over the trust. In the case of a legal arrangement other than a trust, that term means persons in equivalent or similar positions. The term “controlling persons” shall be interpreted in a manner consistent with the recommendations of the </w:t>
            </w:r>
            <w:r w:rsidRPr="004E6A4A">
              <w:rPr>
                <w:rFonts w:ascii="Times New Roman" w:eastAsia="Times New Roman" w:hAnsi="Times New Roman" w:cs="Times New Roman"/>
                <w:sz w:val="20"/>
              </w:rPr>
              <w:lastRenderedPageBreak/>
              <w:t>Financial Action Task Force and with the Albanian legislation in force against money laundering.</w:t>
            </w:r>
          </w:p>
        </w:tc>
        <w:tc>
          <w:tcPr>
            <w:tcW w:w="1156" w:type="dxa"/>
          </w:tcPr>
          <w:p w14:paraId="291A8321" w14:textId="77777777" w:rsidR="001D563A" w:rsidRPr="004E6A4A" w:rsidRDefault="001D563A" w:rsidP="00C4419F">
            <w:pPr>
              <w:jc w:val="center"/>
              <w:rPr>
                <w:rFonts w:ascii="Times New Roman" w:eastAsia="Calibri" w:hAnsi="Times New Roman" w:cs="Times New Roman"/>
                <w:sz w:val="18"/>
                <w:szCs w:val="18"/>
              </w:rPr>
            </w:pPr>
          </w:p>
          <w:p w14:paraId="75389C06" w14:textId="52768D60"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ED9763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79A3D2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64 of the Draft Law.</w:t>
            </w:r>
          </w:p>
        </w:tc>
      </w:tr>
      <w:tr w:rsidR="004E6A4A" w:rsidRPr="004E6A4A" w14:paraId="09598F9C" w14:textId="77777777" w:rsidTr="00E11E6D">
        <w:trPr>
          <w:trHeight w:val="764"/>
        </w:trPr>
        <w:tc>
          <w:tcPr>
            <w:tcW w:w="720" w:type="dxa"/>
          </w:tcPr>
          <w:p w14:paraId="1CAB88CB"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5329F5E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The term “NFE” means any Entity that is not a Financial Institution.</w:t>
            </w:r>
          </w:p>
        </w:tc>
        <w:tc>
          <w:tcPr>
            <w:tcW w:w="1080" w:type="dxa"/>
          </w:tcPr>
          <w:p w14:paraId="002A1378"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693980CA"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0BCCC511"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9B0DE97" w14:textId="77777777" w:rsidR="00FA0CFF" w:rsidRPr="004E6A4A" w:rsidRDefault="00144445">
            <w:pPr>
              <w:jc w:val="center"/>
            </w:pPr>
            <w:r w:rsidRPr="004E6A4A">
              <w:rPr>
                <w:rFonts w:ascii="Times New Roman" w:eastAsia="Times New Roman" w:hAnsi="Times New Roman" w:cs="Times New Roman"/>
                <w:b/>
                <w:sz w:val="20"/>
              </w:rPr>
              <w:t>Definitions</w:t>
            </w:r>
          </w:p>
          <w:p w14:paraId="2158104A" w14:textId="77777777" w:rsidR="00FA0CFF" w:rsidRPr="004E6A4A" w:rsidRDefault="00144445">
            <w:pPr>
              <w:jc w:val="both"/>
            </w:pPr>
            <w:r w:rsidRPr="004E6A4A">
              <w:rPr>
                <w:rFonts w:ascii="Times New Roman" w:eastAsia="Times New Roman" w:hAnsi="Times New Roman" w:cs="Times New Roman"/>
                <w:sz w:val="20"/>
              </w:rPr>
              <w:t>56. “NFE” means any entity which is not a financial institution.</w:t>
            </w:r>
          </w:p>
        </w:tc>
        <w:tc>
          <w:tcPr>
            <w:tcW w:w="1156" w:type="dxa"/>
          </w:tcPr>
          <w:p w14:paraId="36087F51" w14:textId="77777777" w:rsidR="001D563A" w:rsidRPr="004E6A4A" w:rsidRDefault="001D563A" w:rsidP="00C4419F">
            <w:pPr>
              <w:jc w:val="center"/>
              <w:rPr>
                <w:rFonts w:ascii="Times New Roman" w:eastAsia="Calibri" w:hAnsi="Times New Roman" w:cs="Times New Roman"/>
                <w:sz w:val="18"/>
                <w:szCs w:val="18"/>
              </w:rPr>
            </w:pPr>
          </w:p>
          <w:p w14:paraId="73274071" w14:textId="0EE9AFC3"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A759AA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CBB0C9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56 of the Draft Law.</w:t>
            </w:r>
          </w:p>
        </w:tc>
      </w:tr>
      <w:tr w:rsidR="004E6A4A" w:rsidRPr="004E6A4A" w14:paraId="72BFBA72" w14:textId="77777777" w:rsidTr="00E11E6D">
        <w:trPr>
          <w:trHeight w:val="764"/>
        </w:trPr>
        <w:tc>
          <w:tcPr>
            <w:tcW w:w="720" w:type="dxa"/>
          </w:tcPr>
          <w:p w14:paraId="4BE7092C" w14:textId="77777777" w:rsidR="000A21ED" w:rsidRPr="004E6A4A" w:rsidRDefault="000A21ED" w:rsidP="00C4419F">
            <w:pPr>
              <w:jc w:val="center"/>
              <w:rPr>
                <w:rFonts w:ascii="Times New Roman" w:eastAsia="Calibri" w:hAnsi="Times New Roman" w:cs="Times New Roman"/>
                <w:i/>
                <w:sz w:val="18"/>
                <w:szCs w:val="18"/>
              </w:rPr>
            </w:pPr>
          </w:p>
        </w:tc>
        <w:tc>
          <w:tcPr>
            <w:tcW w:w="4860" w:type="dxa"/>
          </w:tcPr>
          <w:p w14:paraId="4EDE52A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w:t>
            </w:r>
            <w:r w:rsidRPr="004E6A4A">
              <w:rPr>
                <w:rFonts w:ascii="Times New Roman" w:eastAsia="Times New Roman" w:hAnsi="Times New Roman" w:cs="Times New Roman"/>
                <w:sz w:val="20"/>
                <w:szCs w:val="20"/>
              </w:rPr>
              <w:tab/>
              <w:t>The term “Passive NFE” means any: (i) NFE that is not an Active NFE; or (ii) an Investment Entity described in sub paragraph A(6)(b) that is not a Participating Jurisdiction Financial Institution.</w:t>
            </w:r>
          </w:p>
        </w:tc>
        <w:tc>
          <w:tcPr>
            <w:tcW w:w="1080" w:type="dxa"/>
          </w:tcPr>
          <w:p w14:paraId="334762C2" w14:textId="77777777" w:rsidR="000A21ED" w:rsidRPr="004E6A4A" w:rsidRDefault="000A21ED" w:rsidP="00C4419F">
            <w:pPr>
              <w:jc w:val="center"/>
              <w:rPr>
                <w:rFonts w:ascii="Times New Roman" w:eastAsia="Calibri" w:hAnsi="Times New Roman" w:cs="Times New Roman"/>
                <w:sz w:val="18"/>
                <w:szCs w:val="18"/>
              </w:rPr>
            </w:pPr>
          </w:p>
        </w:tc>
        <w:tc>
          <w:tcPr>
            <w:tcW w:w="900" w:type="dxa"/>
          </w:tcPr>
          <w:p w14:paraId="54A484D1" w14:textId="77777777" w:rsidR="000A21ED" w:rsidRPr="004E6A4A" w:rsidRDefault="000A21ED" w:rsidP="00C4419F">
            <w:pPr>
              <w:jc w:val="center"/>
              <w:rPr>
                <w:rFonts w:ascii="Times New Roman" w:eastAsia="Times New Roman" w:hAnsi="Times New Roman" w:cs="Times New Roman"/>
                <w:sz w:val="20"/>
                <w:szCs w:val="21"/>
                <w:lang w:eastAsia="sq-AL"/>
              </w:rPr>
            </w:pPr>
          </w:p>
        </w:tc>
        <w:tc>
          <w:tcPr>
            <w:tcW w:w="4514" w:type="dxa"/>
          </w:tcPr>
          <w:p w14:paraId="4216603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6F75B548" w14:textId="77777777" w:rsidR="00FA0CFF" w:rsidRPr="004E6A4A" w:rsidRDefault="00144445">
            <w:pPr>
              <w:jc w:val="center"/>
            </w:pPr>
            <w:r w:rsidRPr="004E6A4A">
              <w:rPr>
                <w:rFonts w:ascii="Times New Roman" w:eastAsia="Times New Roman" w:hAnsi="Times New Roman" w:cs="Times New Roman"/>
                <w:b/>
                <w:sz w:val="20"/>
              </w:rPr>
              <w:t>Definitions</w:t>
            </w:r>
          </w:p>
          <w:p w14:paraId="11B877CE" w14:textId="77777777" w:rsidR="00FA0CFF" w:rsidRPr="004E6A4A" w:rsidRDefault="00144445">
            <w:pPr>
              <w:jc w:val="both"/>
            </w:pPr>
            <w:r w:rsidRPr="004E6A4A">
              <w:rPr>
                <w:rFonts w:ascii="Times New Roman" w:eastAsia="Times New Roman" w:hAnsi="Times New Roman" w:cs="Times New Roman"/>
                <w:sz w:val="20"/>
              </w:rPr>
              <w:t>58. “Passive NFE” means:</w:t>
            </w:r>
          </w:p>
          <w:p w14:paraId="6CD8DBFF" w14:textId="77777777" w:rsidR="00FA0CFF" w:rsidRPr="004E6A4A" w:rsidRDefault="00144445">
            <w:pPr>
              <w:jc w:val="both"/>
            </w:pPr>
            <w:r w:rsidRPr="004E6A4A">
              <w:rPr>
                <w:rFonts w:ascii="Times New Roman" w:eastAsia="Times New Roman" w:hAnsi="Times New Roman" w:cs="Times New Roman"/>
                <w:sz w:val="20"/>
              </w:rPr>
              <w:t>a) any NFE which is not an Active NFE; or</w:t>
            </w:r>
          </w:p>
          <w:p w14:paraId="567CAE63" w14:textId="77777777" w:rsidR="00FA0CFF" w:rsidRPr="004E6A4A" w:rsidRDefault="00144445">
            <w:pPr>
              <w:jc w:val="both"/>
            </w:pPr>
            <w:r w:rsidRPr="004E6A4A">
              <w:rPr>
                <w:rFonts w:ascii="Times New Roman" w:eastAsia="Times New Roman" w:hAnsi="Times New Roman" w:cs="Times New Roman"/>
                <w:sz w:val="20"/>
              </w:rPr>
              <w:t>b) an Investment Entity described in point 26, letter ‘b’, of this Article, which is not a Financial Institution of a Participating Jurisdiction.</w:t>
            </w:r>
          </w:p>
        </w:tc>
        <w:tc>
          <w:tcPr>
            <w:tcW w:w="1156" w:type="dxa"/>
          </w:tcPr>
          <w:p w14:paraId="43920042" w14:textId="77777777" w:rsidR="001D563A" w:rsidRPr="004E6A4A" w:rsidRDefault="001D563A" w:rsidP="00C4419F">
            <w:pPr>
              <w:jc w:val="center"/>
              <w:rPr>
                <w:rFonts w:ascii="Times New Roman" w:eastAsia="Calibri" w:hAnsi="Times New Roman" w:cs="Times New Roman"/>
                <w:sz w:val="18"/>
                <w:szCs w:val="18"/>
              </w:rPr>
            </w:pPr>
          </w:p>
          <w:p w14:paraId="701A89A8" w14:textId="1AEE5079" w:rsidR="000A21ED"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83AE36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632E5A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58 of the Draft Law.</w:t>
            </w:r>
          </w:p>
        </w:tc>
      </w:tr>
      <w:tr w:rsidR="004E6A4A" w:rsidRPr="004E6A4A" w14:paraId="1C46C015" w14:textId="77777777" w:rsidTr="00E11E6D">
        <w:trPr>
          <w:trHeight w:val="764"/>
        </w:trPr>
        <w:tc>
          <w:tcPr>
            <w:tcW w:w="720" w:type="dxa"/>
          </w:tcPr>
          <w:p w14:paraId="5ADDDF65"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79A0D51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8.</w:t>
            </w:r>
            <w:r w:rsidRPr="004E6A4A">
              <w:rPr>
                <w:rFonts w:ascii="Times New Roman" w:eastAsia="Times New Roman" w:hAnsi="Times New Roman" w:cs="Times New Roman"/>
                <w:sz w:val="20"/>
                <w:szCs w:val="20"/>
              </w:rPr>
              <w:tab/>
              <w:t>The term “Active NFE” means any NFE that meets any of the following criteria:</w:t>
            </w:r>
          </w:p>
          <w:p w14:paraId="2A1CA22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less than 50 % of the NFE's gross income for the preceding calendar year or other appropriate reporting period is passive income and less than 50 % of the assets held by the NFE during the preceding calendar year or other appropriate reporting period are assets that produce or are held for the production of passive income;</w:t>
            </w:r>
          </w:p>
          <w:p w14:paraId="2784E21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(b)</w:t>
            </w:r>
            <w:r w:rsidRPr="004E6A4A">
              <w:rPr>
                <w:rFonts w:ascii="Times New Roman" w:eastAsia="Times New Roman" w:hAnsi="Times New Roman" w:cs="Times New Roman"/>
                <w:sz w:val="20"/>
                <w:szCs w:val="20"/>
              </w:rPr>
              <w:tab/>
              <w:t>the stock of the NFE is regularly traded on an established securities market or the NFE is a Related Entity of an Entity the stock of which is regularly traded on an established securities market;</w:t>
            </w:r>
          </w:p>
          <w:p w14:paraId="2FE19FB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the NFE is a Governmental Entity, an International Organisation, a Central Bank, or an Entity wholly owned by one or more of the foregoing;</w:t>
            </w:r>
          </w:p>
          <w:p w14:paraId="7DB8D46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 xml:space="preserve">substantially all of the activities of the NFE consist of holding (in whole or in part) the outstanding stock of, or providing financing and services to, one or more subsidiaries that engage in trades or businesses other than the business of a Financial Institution, except that an Entity does not qualify for this status if the Entity functions (or holds itself out) as an investment fund, such as a private equity fund, venture capital fund, lever aged buyout fund, </w:t>
            </w:r>
            <w:r w:rsidRPr="004E6A4A">
              <w:rPr>
                <w:rFonts w:ascii="Times New Roman" w:eastAsia="Times New Roman" w:hAnsi="Times New Roman" w:cs="Times New Roman"/>
                <w:sz w:val="20"/>
                <w:szCs w:val="20"/>
              </w:rPr>
              <w:lastRenderedPageBreak/>
              <w:t>or any investment vehicle whose purpose is to acquire or fund companies and then hold interests in those companies as capital assets for investment purposes;</w:t>
            </w:r>
          </w:p>
          <w:p w14:paraId="36B9FBC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the NFE is not yet operating a business and has no prior operating history, but is investing capital into assets with the intent to operate a business other than that of a Financial Institution, provided that the NFE does not qualify for this exception after the date that is 24 months after the date of the initial organisation of the NFE;</w:t>
            </w:r>
          </w:p>
          <w:p w14:paraId="17FC617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(f)</w:t>
            </w:r>
            <w:r w:rsidRPr="004E6A4A">
              <w:rPr>
                <w:rFonts w:ascii="Times New Roman" w:eastAsia="Times New Roman" w:hAnsi="Times New Roman" w:cs="Times New Roman"/>
                <w:sz w:val="20"/>
                <w:szCs w:val="20"/>
              </w:rPr>
              <w:tab/>
              <w:t>the NFE was not a Financial Institution in the past five years, and is in the process of liquidating its assets or is reorganising with the intent to continue or recommence operations in a business other than that of a Finan cial Institution;</w:t>
            </w:r>
          </w:p>
          <w:p w14:paraId="48334B0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(g)</w:t>
            </w:r>
            <w:r w:rsidRPr="004E6A4A">
              <w:rPr>
                <w:rFonts w:ascii="Times New Roman" w:eastAsia="Times New Roman" w:hAnsi="Times New Roman" w:cs="Times New Roman"/>
                <w:sz w:val="20"/>
                <w:szCs w:val="20"/>
              </w:rPr>
              <w:tab/>
              <w:t>the NFE primarily engages in financing and hedging transactions with, or for, Related Entities that are not Financial Institutions, and does not provide financing or hedging services to any Entity that is not a Related Entity, provided that the group of any such Related Entities is primarily engaged in a business other than that of a Financial Institution; or</w:t>
            </w:r>
          </w:p>
          <w:p w14:paraId="72D2F62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(h)</w:t>
            </w:r>
            <w:r w:rsidRPr="004E6A4A">
              <w:rPr>
                <w:rFonts w:ascii="Times New Roman" w:eastAsia="Times New Roman" w:hAnsi="Times New Roman" w:cs="Times New Roman"/>
                <w:sz w:val="20"/>
                <w:szCs w:val="20"/>
              </w:rPr>
              <w:tab/>
              <w:t>the NFE meets all of the following requirements:</w:t>
            </w:r>
          </w:p>
          <w:p w14:paraId="223949F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w:t>
            </w:r>
            <w:r w:rsidRPr="004E6A4A">
              <w:rPr>
                <w:rFonts w:ascii="Times New Roman" w:eastAsia="Times New Roman" w:hAnsi="Times New Roman" w:cs="Times New Roman"/>
                <w:sz w:val="20"/>
                <w:szCs w:val="20"/>
              </w:rPr>
              <w:tab/>
              <w:t>it is established and operated in its Member State or other jurisdiction of residence exclusively for reli gious, charitable, scientific, artistic, cultural, athletic, or educational purposes; or it is established and operated in its Member State or other jurisdiction of residence and it is a professional organisation, busi ness league, chamber of commerce, labour organisation, agricultural or horticultural organisation, civic league or an organisation operated exclusively for the promotion of social welfare;</w:t>
            </w:r>
          </w:p>
          <w:p w14:paraId="0AD7A43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w:t>
            </w:r>
            <w:r w:rsidRPr="004E6A4A">
              <w:rPr>
                <w:rFonts w:ascii="Times New Roman" w:eastAsia="Times New Roman" w:hAnsi="Times New Roman" w:cs="Times New Roman"/>
                <w:sz w:val="20"/>
                <w:szCs w:val="20"/>
              </w:rPr>
              <w:tab/>
              <w:t>it is exempt from income tax in its Member State or other jurisdiction of residence;</w:t>
            </w:r>
          </w:p>
          <w:p w14:paraId="0DC35B6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(iii)</w:t>
            </w:r>
            <w:r w:rsidRPr="004E6A4A">
              <w:rPr>
                <w:rFonts w:ascii="Times New Roman" w:eastAsia="Times New Roman" w:hAnsi="Times New Roman" w:cs="Times New Roman"/>
                <w:sz w:val="20"/>
                <w:szCs w:val="20"/>
              </w:rPr>
              <w:tab/>
              <w:t>it has no shareholders or members who have a proprietary or beneficial interest in its income or assets;</w:t>
            </w:r>
          </w:p>
          <w:p w14:paraId="1A9713B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(iv)</w:t>
            </w:r>
            <w:r w:rsidRPr="004E6A4A">
              <w:rPr>
                <w:rFonts w:ascii="Times New Roman" w:eastAsia="Times New Roman" w:hAnsi="Times New Roman" w:cs="Times New Roman"/>
                <w:sz w:val="20"/>
                <w:szCs w:val="20"/>
              </w:rPr>
              <w:tab/>
              <w:t xml:space="preserve">the applicable laws of the NFE's Member State or other jurisdiction of residence or the NFE's formation </w:t>
            </w:r>
            <w:r w:rsidRPr="004E6A4A">
              <w:rPr>
                <w:rFonts w:ascii="Times New Roman" w:eastAsia="Times New Roman" w:hAnsi="Times New Roman" w:cs="Times New Roman"/>
                <w:sz w:val="20"/>
                <w:szCs w:val="20"/>
              </w:rPr>
              <w:lastRenderedPageBreak/>
              <w:t>documents do not permit any income or assets of the NFE to be distributed to, or applied for the benefit of, a private person or non-charitable Entity other than pursuant to the conduct of the NFE's charitable activities, or as payment of reasonable compensation for services rendered, or as payment representing the fair market value of property which the NFE has purchased; and</w:t>
            </w:r>
          </w:p>
          <w:p w14:paraId="30DCAA1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(v)</w:t>
            </w:r>
            <w:r w:rsidRPr="004E6A4A">
              <w:rPr>
                <w:rFonts w:ascii="Times New Roman" w:eastAsia="Times New Roman" w:hAnsi="Times New Roman" w:cs="Times New Roman"/>
                <w:sz w:val="20"/>
                <w:szCs w:val="20"/>
              </w:rPr>
              <w:tab/>
              <w:t>the applicable laws of the NFE's Member State or other jurisdiction of residence or the NFE's formation documents require that, upon the NFE's liquidation or dissolution, all of its assets be distributed to a Governmental Entity or other non-profit organisation, or escheat to the government of the NFE's Member State or other jurisdiction of residence or any political subdivision thereof.</w:t>
            </w:r>
          </w:p>
        </w:tc>
        <w:tc>
          <w:tcPr>
            <w:tcW w:w="1080" w:type="dxa"/>
          </w:tcPr>
          <w:p w14:paraId="22CCF31B"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2B971A24"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1C757D23"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624E6036" w14:textId="77777777" w:rsidR="00FA0CFF" w:rsidRPr="004E6A4A" w:rsidRDefault="00144445">
            <w:pPr>
              <w:jc w:val="center"/>
            </w:pPr>
            <w:r w:rsidRPr="004E6A4A">
              <w:rPr>
                <w:rFonts w:ascii="Times New Roman" w:eastAsia="Times New Roman" w:hAnsi="Times New Roman" w:cs="Times New Roman"/>
                <w:b/>
                <w:sz w:val="20"/>
              </w:rPr>
              <w:t>Definitions</w:t>
            </w:r>
          </w:p>
          <w:p w14:paraId="73CDCFCE" w14:textId="77777777" w:rsidR="00FA0CFF" w:rsidRPr="004E6A4A" w:rsidRDefault="00144445">
            <w:pPr>
              <w:jc w:val="both"/>
            </w:pPr>
            <w:r w:rsidRPr="004E6A4A">
              <w:rPr>
                <w:rFonts w:ascii="Times New Roman" w:eastAsia="Times New Roman" w:hAnsi="Times New Roman" w:cs="Times New Roman"/>
                <w:sz w:val="20"/>
              </w:rPr>
              <w:t>57. “Active NFE” means any NFE which fulfils at least one of the following criteria:</w:t>
            </w:r>
          </w:p>
          <w:p w14:paraId="39AA0A06" w14:textId="77777777" w:rsidR="00FA0CFF" w:rsidRPr="004E6A4A" w:rsidRDefault="00144445">
            <w:pPr>
              <w:jc w:val="both"/>
            </w:pPr>
            <w:r w:rsidRPr="004E6A4A">
              <w:rPr>
                <w:rFonts w:ascii="Times New Roman" w:eastAsia="Times New Roman" w:hAnsi="Times New Roman" w:cs="Times New Roman"/>
                <w:sz w:val="20"/>
              </w:rPr>
              <w:t>a) less than 50 per cent of the gross income of the NFE for the preceding calendar year or other appropriate reporting period is passive income and less than 50 per cent of the assets held by the NFE during the preceding calendar year or other appropriate reporting period are assets which produce or are held for the production of passive income;</w:t>
            </w:r>
          </w:p>
          <w:p w14:paraId="4B4F4924" w14:textId="77777777" w:rsidR="00FA0CFF" w:rsidRPr="004E6A4A" w:rsidRDefault="00144445">
            <w:pPr>
              <w:jc w:val="both"/>
            </w:pPr>
            <w:r w:rsidRPr="004E6A4A">
              <w:rPr>
                <w:rFonts w:ascii="Times New Roman" w:eastAsia="Times New Roman" w:hAnsi="Times New Roman" w:cs="Times New Roman"/>
                <w:sz w:val="20"/>
              </w:rPr>
              <w:t>b) the shares of the NFE are regularly traded on an established securities market or the NFE is an entity related to an entity the shares of which are regularly traded on an established securities market;</w:t>
            </w:r>
          </w:p>
          <w:p w14:paraId="3BB5D66D" w14:textId="77777777" w:rsidR="00FA0CFF" w:rsidRPr="004E6A4A" w:rsidRDefault="00144445">
            <w:pPr>
              <w:jc w:val="both"/>
            </w:pPr>
            <w:r w:rsidRPr="004E6A4A">
              <w:rPr>
                <w:rFonts w:ascii="Times New Roman" w:eastAsia="Times New Roman" w:hAnsi="Times New Roman" w:cs="Times New Roman"/>
                <w:sz w:val="20"/>
              </w:rPr>
              <w:t>c) the NFE is a governmental entity, an international organisation, a central bank or an entity wholly owned by one or more of them;</w:t>
            </w:r>
          </w:p>
          <w:p w14:paraId="49EFE019" w14:textId="77777777" w:rsidR="00FA0CFF" w:rsidRPr="004E6A4A" w:rsidRDefault="00144445">
            <w:pPr>
              <w:jc w:val="both"/>
            </w:pPr>
            <w:r w:rsidRPr="004E6A4A">
              <w:rPr>
                <w:rFonts w:ascii="Times New Roman" w:eastAsia="Times New Roman" w:hAnsi="Times New Roman" w:cs="Times New Roman"/>
                <w:sz w:val="20"/>
              </w:rPr>
              <w:t xml:space="preserve">ç) substantially all the activities of the NFE consist in holding, in whole or in part, the outstanding shares of one or more subsidiaries or in providing financing and services to one or more subsidiaries engaged in trades or businesses other than the business of a financial </w:t>
            </w:r>
            <w:r w:rsidRPr="004E6A4A">
              <w:rPr>
                <w:rFonts w:ascii="Times New Roman" w:eastAsia="Times New Roman" w:hAnsi="Times New Roman" w:cs="Times New Roman"/>
                <w:sz w:val="20"/>
              </w:rPr>
              <w:lastRenderedPageBreak/>
              <w:t>institution, but the entity shall not qualify for that status if it functions or holds itself out as functioning as an investment fund, such as a private equity fund, venture capital fund, leveraged buyout fund or any investment vehicle the purpose of which is to acquire or finance companies and then to hold interests in those companies as capital assets for investment purposes;</w:t>
            </w:r>
          </w:p>
          <w:p w14:paraId="12750A62" w14:textId="77777777" w:rsidR="00FA0CFF" w:rsidRPr="004E6A4A" w:rsidRDefault="00144445">
            <w:pPr>
              <w:jc w:val="both"/>
            </w:pPr>
            <w:r w:rsidRPr="004E6A4A">
              <w:rPr>
                <w:rFonts w:ascii="Times New Roman" w:eastAsia="Times New Roman" w:hAnsi="Times New Roman" w:cs="Times New Roman"/>
                <w:sz w:val="20"/>
              </w:rPr>
              <w:t>d) the NFE is not yet operating a business and has no prior operating history, but is investing capital into assets with the intent to operate a business other than that of a financial institution, provided that the NFE shall not qualify for that exception after the date that is 24 months after the date of the initial organisation of the NFE;</w:t>
            </w:r>
          </w:p>
          <w:p w14:paraId="2F1C0946" w14:textId="77777777" w:rsidR="00FA0CFF" w:rsidRPr="004E6A4A" w:rsidRDefault="00144445">
            <w:pPr>
              <w:jc w:val="both"/>
            </w:pPr>
            <w:r w:rsidRPr="004E6A4A">
              <w:rPr>
                <w:rFonts w:ascii="Times New Roman" w:eastAsia="Times New Roman" w:hAnsi="Times New Roman" w:cs="Times New Roman"/>
                <w:sz w:val="20"/>
              </w:rPr>
              <w:t>dh) the NFE has not been a financial institution in the past five years and is in the process of liquidating its assets or is reorganising with the intent to continue or recommence operations in a business other than that of a financial institution;</w:t>
            </w:r>
          </w:p>
          <w:p w14:paraId="619C9AB2" w14:textId="77777777" w:rsidR="00FA0CFF" w:rsidRPr="004E6A4A" w:rsidRDefault="00144445">
            <w:pPr>
              <w:jc w:val="both"/>
            </w:pPr>
            <w:r w:rsidRPr="004E6A4A">
              <w:rPr>
                <w:rFonts w:ascii="Times New Roman" w:eastAsia="Times New Roman" w:hAnsi="Times New Roman" w:cs="Times New Roman"/>
                <w:sz w:val="20"/>
              </w:rPr>
              <w:t>e) the NFE primarily engages in financing and hedging transactions with or for related entities which are not financial institutions and does not provide financing or hedging services to any entity which is not a related entity, provided that the group of any such related entity is primarily engaged in a business other than that of a financial institution; or</w:t>
            </w:r>
          </w:p>
          <w:p w14:paraId="4FE77774" w14:textId="77777777" w:rsidR="00FA0CFF" w:rsidRPr="004E6A4A" w:rsidRDefault="00144445">
            <w:pPr>
              <w:jc w:val="both"/>
            </w:pPr>
            <w:r w:rsidRPr="004E6A4A">
              <w:rPr>
                <w:rFonts w:ascii="Times New Roman" w:eastAsia="Times New Roman" w:hAnsi="Times New Roman" w:cs="Times New Roman"/>
                <w:sz w:val="20"/>
              </w:rPr>
              <w:t>ë) the NFE fulfils all of the following requirements:</w:t>
            </w:r>
          </w:p>
          <w:p w14:paraId="7DDE8058" w14:textId="77777777" w:rsidR="00FA0CFF" w:rsidRPr="004E6A4A" w:rsidRDefault="00144445">
            <w:pPr>
              <w:jc w:val="both"/>
            </w:pPr>
            <w:r w:rsidRPr="004E6A4A">
              <w:rPr>
                <w:rFonts w:ascii="Times New Roman" w:eastAsia="Times New Roman" w:hAnsi="Times New Roman" w:cs="Times New Roman"/>
                <w:sz w:val="20"/>
              </w:rPr>
              <w:t>i) it is established and operates in its jurisdiction of residence exclusively for religious, charitable, scientific, artistic, cultural, athletic or educational purposes, or it is established and operates in its jurisdiction of residence and is a professional organisation, business league, chamber of commerce, labour organisation, agricultural or horticultural organisation, civic league or an organisation operated exclusively for the promotion of social welfare;</w:t>
            </w:r>
          </w:p>
          <w:p w14:paraId="5BEE9CB0" w14:textId="77777777" w:rsidR="00FA0CFF" w:rsidRPr="004E6A4A" w:rsidRDefault="00144445">
            <w:pPr>
              <w:jc w:val="both"/>
            </w:pPr>
            <w:r w:rsidRPr="004E6A4A">
              <w:rPr>
                <w:rFonts w:ascii="Times New Roman" w:eastAsia="Times New Roman" w:hAnsi="Times New Roman" w:cs="Times New Roman"/>
                <w:sz w:val="20"/>
              </w:rPr>
              <w:lastRenderedPageBreak/>
              <w:t>ii) it is exempt from income tax in its jurisdiction of residence;</w:t>
            </w:r>
          </w:p>
          <w:p w14:paraId="6BFDFB5A" w14:textId="77777777" w:rsidR="00FA0CFF" w:rsidRPr="004E6A4A" w:rsidRDefault="00144445">
            <w:pPr>
              <w:jc w:val="both"/>
            </w:pPr>
            <w:r w:rsidRPr="004E6A4A">
              <w:rPr>
                <w:rFonts w:ascii="Times New Roman" w:eastAsia="Times New Roman" w:hAnsi="Times New Roman" w:cs="Times New Roman"/>
                <w:sz w:val="20"/>
              </w:rPr>
              <w:t>iii) it has no shareholders or members who have a proprietary or beneficial interest in its income or assets;</w:t>
            </w:r>
          </w:p>
          <w:p w14:paraId="09A0AFB9" w14:textId="77777777" w:rsidR="00FA0CFF" w:rsidRPr="004E6A4A" w:rsidRDefault="00144445">
            <w:pPr>
              <w:jc w:val="both"/>
            </w:pPr>
            <w:r w:rsidRPr="004E6A4A">
              <w:rPr>
                <w:rFonts w:ascii="Times New Roman" w:eastAsia="Times New Roman" w:hAnsi="Times New Roman" w:cs="Times New Roman"/>
                <w:sz w:val="20"/>
              </w:rPr>
              <w:t>iv) the applicable laws of the NFE's jurisdiction of residence or the NFE's formation documents do not permit any income or assets of the NFE to be distributed to, or applied for the benefit of, private persons or a non-charitable entity, other than pursuant to the conduct of the NFE's charitable activities or as payment of reasonable compensation for services rendered or as payment representing the fair market value of property which the NFE has purchased; and</w:t>
            </w:r>
          </w:p>
          <w:p w14:paraId="748201C7" w14:textId="77777777" w:rsidR="00FA0CFF" w:rsidRPr="004E6A4A" w:rsidRDefault="00144445">
            <w:pPr>
              <w:jc w:val="both"/>
            </w:pPr>
            <w:r w:rsidRPr="004E6A4A">
              <w:rPr>
                <w:rFonts w:ascii="Times New Roman" w:eastAsia="Times New Roman" w:hAnsi="Times New Roman" w:cs="Times New Roman"/>
                <w:sz w:val="20"/>
              </w:rPr>
              <w:t>v) the applicable laws of the NFE's jurisdiction of residence or the NFE's formation documents require that, upon the NFE's liquidation or dissolution, all of its assets be distributed to a governmental entity or other non-profit organisation, or escheat to the government of the NFE's jurisdiction of residence or any political subdivision thereof.</w:t>
            </w:r>
          </w:p>
        </w:tc>
        <w:tc>
          <w:tcPr>
            <w:tcW w:w="1156" w:type="dxa"/>
          </w:tcPr>
          <w:p w14:paraId="46A0A766" w14:textId="77777777" w:rsidR="001D563A" w:rsidRPr="004E6A4A" w:rsidRDefault="001D563A" w:rsidP="00C4419F">
            <w:pPr>
              <w:jc w:val="center"/>
              <w:rPr>
                <w:rFonts w:ascii="Times New Roman" w:eastAsia="Calibri" w:hAnsi="Times New Roman" w:cs="Times New Roman"/>
                <w:sz w:val="18"/>
                <w:szCs w:val="18"/>
              </w:rPr>
            </w:pPr>
          </w:p>
          <w:p w14:paraId="5366FE37" w14:textId="4EFC7851"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A8B2AA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07EF155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57 of the Draft Law.</w:t>
            </w:r>
          </w:p>
        </w:tc>
      </w:tr>
      <w:tr w:rsidR="004E6A4A" w:rsidRPr="004E6A4A" w14:paraId="4F101F45" w14:textId="77777777" w:rsidTr="00E11E6D">
        <w:trPr>
          <w:trHeight w:val="764"/>
        </w:trPr>
        <w:tc>
          <w:tcPr>
            <w:tcW w:w="720" w:type="dxa"/>
          </w:tcPr>
          <w:p w14:paraId="12F357A7"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7A13776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w:t>
            </w:r>
            <w:r w:rsidRPr="004E6A4A">
              <w:rPr>
                <w:rFonts w:ascii="Times New Roman" w:eastAsia="Times New Roman" w:hAnsi="Times New Roman" w:cs="Times New Roman"/>
                <w:sz w:val="20"/>
                <w:szCs w:val="20"/>
              </w:rPr>
              <w:tab/>
              <w:t>Miscellaneous</w:t>
            </w:r>
          </w:p>
          <w:p w14:paraId="57D9D7A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 xml:space="preserve">The term “Account Holder” means the person listed or identified as the holder of a Financial Account by the Financial Institution that maintains the account. A person, other than a Financial Institution, holding a Financial Account for the benefit or account of another person as agent, custodian, nominee, signatory, investment advisor, or intermediary, is not treated as holding the account for purposes of this Directive, and such other person is treated as holding the account. In the case of a Cash Value Insurance Contract or an Annuity Contract, the Account Holder is any person entitled to access the Cash Value or change the beneficiary of the contract. If no person can access the Cash Value or change the beneficiary, the Account Holder is any person named as the owner in the contract and any person with a vested </w:t>
            </w:r>
            <w:r w:rsidRPr="004E6A4A">
              <w:rPr>
                <w:rFonts w:ascii="Times New Roman" w:eastAsia="Times New Roman" w:hAnsi="Times New Roman" w:cs="Times New Roman"/>
                <w:sz w:val="20"/>
                <w:szCs w:val="20"/>
              </w:rPr>
              <w:lastRenderedPageBreak/>
              <w:t>entitlement to payment under the terms of the contract. Upon the maturity of a Cash Value Insurance Contract or an Annuity Contract, each person entitled to receive a payment under the contract is treated as an Account Holder.</w:t>
            </w:r>
          </w:p>
        </w:tc>
        <w:tc>
          <w:tcPr>
            <w:tcW w:w="1080" w:type="dxa"/>
          </w:tcPr>
          <w:p w14:paraId="023D2329"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7E7A962F"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5B341FE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79B7C344" w14:textId="77777777" w:rsidR="00FA0CFF" w:rsidRPr="004E6A4A" w:rsidRDefault="00144445">
            <w:pPr>
              <w:jc w:val="center"/>
            </w:pPr>
            <w:r w:rsidRPr="004E6A4A">
              <w:rPr>
                <w:rFonts w:ascii="Times New Roman" w:eastAsia="Times New Roman" w:hAnsi="Times New Roman" w:cs="Times New Roman"/>
                <w:b/>
                <w:sz w:val="20"/>
              </w:rPr>
              <w:t>Definitions</w:t>
            </w:r>
          </w:p>
          <w:p w14:paraId="19CB0150" w14:textId="77777777" w:rsidR="00FA0CFF" w:rsidRPr="004E6A4A" w:rsidRDefault="00144445">
            <w:pPr>
              <w:jc w:val="both"/>
            </w:pPr>
            <w:r w:rsidRPr="004E6A4A">
              <w:rPr>
                <w:rFonts w:ascii="Times New Roman" w:eastAsia="Times New Roman" w:hAnsi="Times New Roman" w:cs="Times New Roman"/>
                <w:sz w:val="20"/>
              </w:rPr>
              <w:t>55. “Account holder” means the person listed or identified as the holder of the financial account by the financial institution maintaining the account. A person, other than a financial institution, holding a financial account for the benefit of or on behalf of another person as agent, custodian, nominee, signatory, investment adviser or intermediary shall not be treated as the person holding the account for the purposes of this Law, and the other person shall be treated as the person holding the account.</w:t>
            </w:r>
          </w:p>
          <w:p w14:paraId="1BFE2C69" w14:textId="77777777" w:rsidR="00FA0CFF" w:rsidRPr="004E6A4A" w:rsidRDefault="00144445">
            <w:pPr>
              <w:jc w:val="both"/>
            </w:pPr>
            <w:r w:rsidRPr="004E6A4A">
              <w:rPr>
                <w:rFonts w:ascii="Times New Roman" w:eastAsia="Times New Roman" w:hAnsi="Times New Roman" w:cs="Times New Roman"/>
                <w:sz w:val="20"/>
              </w:rPr>
              <w:t xml:space="preserve">In the case of a cash value insurance contract or an annuity contract, the account holder is any person entitled to access the cash value or to change the beneficiary of the contract. If no person can access the </w:t>
            </w:r>
            <w:r w:rsidRPr="004E6A4A">
              <w:rPr>
                <w:rFonts w:ascii="Times New Roman" w:eastAsia="Times New Roman" w:hAnsi="Times New Roman" w:cs="Times New Roman"/>
                <w:sz w:val="20"/>
              </w:rPr>
              <w:lastRenderedPageBreak/>
              <w:t>cash value or change the beneficiary, the account holder is any person named as owner in the contract and any person upon whom the right of payment falls under the terms of the contract. Immediately upon the maturity of the cash value insurance contract or of the annuity contract, any person entitled to receive payment under the contract shall be treated as an account holder.</w:t>
            </w:r>
          </w:p>
          <w:p w14:paraId="00FA8387" w14:textId="77777777" w:rsidR="00FA0CFF" w:rsidRPr="004E6A4A" w:rsidRDefault="00144445">
            <w:pPr>
              <w:jc w:val="both"/>
            </w:pPr>
            <w:r w:rsidRPr="004E6A4A">
              <w:rPr>
                <w:rFonts w:ascii="Times New Roman" w:eastAsia="Times New Roman" w:hAnsi="Times New Roman" w:cs="Times New Roman"/>
                <w:sz w:val="20"/>
              </w:rPr>
              <w:t>Persons entitled to access the cash value or entitled to change the beneficiaries of the contract shall be considered account holders in relation to the cash value insurance contract, except where they have definitively, fully and irrevocably renounced both the right to access the cash value and the right to change the beneficiaries of the cash value insurance contract.</w:t>
            </w:r>
          </w:p>
        </w:tc>
        <w:tc>
          <w:tcPr>
            <w:tcW w:w="1156" w:type="dxa"/>
          </w:tcPr>
          <w:p w14:paraId="0BA81CEB" w14:textId="77777777" w:rsidR="001D563A" w:rsidRPr="004E6A4A" w:rsidRDefault="001D563A" w:rsidP="00C4419F">
            <w:pPr>
              <w:jc w:val="center"/>
              <w:rPr>
                <w:rFonts w:ascii="Times New Roman" w:eastAsia="Calibri" w:hAnsi="Times New Roman" w:cs="Times New Roman"/>
                <w:sz w:val="18"/>
                <w:szCs w:val="18"/>
              </w:rPr>
            </w:pPr>
          </w:p>
          <w:p w14:paraId="25D0FC85" w14:textId="7C741074"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5947B2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4C4662D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55 of the Draft Law.</w:t>
            </w:r>
          </w:p>
        </w:tc>
      </w:tr>
      <w:tr w:rsidR="004E6A4A" w:rsidRPr="004E6A4A" w14:paraId="5F869ABA" w14:textId="77777777" w:rsidTr="00E11E6D">
        <w:trPr>
          <w:trHeight w:val="764"/>
        </w:trPr>
        <w:tc>
          <w:tcPr>
            <w:tcW w:w="720" w:type="dxa"/>
          </w:tcPr>
          <w:p w14:paraId="388C6AB1"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434A89E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The term “AML/KYC Procedures” means the customer due diligence procedures of a Reporting Financial Institution pursuant to the anti-money laundering or similar requirements to which such Reporting Financial Institution is subject.</w:t>
            </w:r>
          </w:p>
        </w:tc>
        <w:tc>
          <w:tcPr>
            <w:tcW w:w="1080" w:type="dxa"/>
          </w:tcPr>
          <w:p w14:paraId="73F0F57A"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7E063656"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1D98BF68"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7F3A884" w14:textId="77777777" w:rsidR="00FA0CFF" w:rsidRPr="004E6A4A" w:rsidRDefault="00144445">
            <w:pPr>
              <w:jc w:val="center"/>
            </w:pPr>
            <w:r w:rsidRPr="004E6A4A">
              <w:rPr>
                <w:rFonts w:ascii="Times New Roman" w:eastAsia="Times New Roman" w:hAnsi="Times New Roman" w:cs="Times New Roman"/>
                <w:b/>
                <w:sz w:val="20"/>
              </w:rPr>
              <w:t>Definitions</w:t>
            </w:r>
          </w:p>
          <w:p w14:paraId="2994781E" w14:textId="77777777" w:rsidR="00FA0CFF" w:rsidRPr="004E6A4A" w:rsidRDefault="00144445">
            <w:pPr>
              <w:jc w:val="both"/>
            </w:pPr>
            <w:r w:rsidRPr="004E6A4A">
              <w:rPr>
                <w:rFonts w:ascii="Times New Roman" w:eastAsia="Times New Roman" w:hAnsi="Times New Roman" w:cs="Times New Roman"/>
                <w:sz w:val="20"/>
              </w:rPr>
              <w:t>65. “AML/KYC procedures” means the customer due diligence procedures of the reporting financial institution, under the requirements for the prevention of money laundering or similar requirements to which that reporting financial institution is subject.</w:t>
            </w:r>
          </w:p>
          <w:p w14:paraId="3FD0D829" w14:textId="77777777" w:rsidR="00FA0CFF" w:rsidRPr="004E6A4A" w:rsidRDefault="00FA0CFF"/>
          <w:p w14:paraId="5F55D4C8" w14:textId="26872CC3" w:rsidR="00FA0CFF" w:rsidRPr="004E6A4A" w:rsidRDefault="00FA0CFF">
            <w:pPr>
              <w:jc w:val="both"/>
            </w:pPr>
          </w:p>
        </w:tc>
        <w:tc>
          <w:tcPr>
            <w:tcW w:w="1156" w:type="dxa"/>
          </w:tcPr>
          <w:p w14:paraId="1F9F3106" w14:textId="4B6A10B4" w:rsidR="00C4419F" w:rsidRPr="004E6A4A" w:rsidRDefault="001D563A"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AD0F2F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D05E6A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65 of the Draft Law.</w:t>
            </w:r>
          </w:p>
        </w:tc>
      </w:tr>
      <w:tr w:rsidR="004E6A4A" w:rsidRPr="004E6A4A" w14:paraId="5B5C3AF0" w14:textId="77777777" w:rsidTr="00E11E6D">
        <w:trPr>
          <w:trHeight w:val="764"/>
        </w:trPr>
        <w:tc>
          <w:tcPr>
            <w:tcW w:w="720" w:type="dxa"/>
          </w:tcPr>
          <w:p w14:paraId="49EAAD95"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266EE83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The term “Entity” means a legal person or a legal arrangement, such as a corporation, partnership, trust, or foundation.</w:t>
            </w:r>
          </w:p>
        </w:tc>
        <w:tc>
          <w:tcPr>
            <w:tcW w:w="1080" w:type="dxa"/>
          </w:tcPr>
          <w:p w14:paraId="0DF2A626"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30DCB288"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07CE70E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15CD0962" w14:textId="77777777" w:rsidR="00FA0CFF" w:rsidRPr="004E6A4A" w:rsidRDefault="00144445">
            <w:pPr>
              <w:jc w:val="center"/>
            </w:pPr>
            <w:r w:rsidRPr="004E6A4A">
              <w:rPr>
                <w:rFonts w:ascii="Times New Roman" w:eastAsia="Times New Roman" w:hAnsi="Times New Roman" w:cs="Times New Roman"/>
                <w:b/>
                <w:sz w:val="20"/>
              </w:rPr>
              <w:t>Definitions</w:t>
            </w:r>
          </w:p>
          <w:p w14:paraId="75EDBD6E" w14:textId="77777777" w:rsidR="00FA0CFF" w:rsidRPr="004E6A4A" w:rsidRDefault="00144445">
            <w:pPr>
              <w:jc w:val="both"/>
            </w:pPr>
            <w:r w:rsidRPr="004E6A4A">
              <w:rPr>
                <w:rFonts w:ascii="Times New Roman" w:eastAsia="Times New Roman" w:hAnsi="Times New Roman" w:cs="Times New Roman"/>
                <w:sz w:val="20"/>
              </w:rPr>
              <w:t>59. “Entity” means a legal person or a legal arrangement, such as a corporation, a partnership, a trust or a foundation.</w:t>
            </w:r>
          </w:p>
          <w:p w14:paraId="3C891415" w14:textId="77777777" w:rsidR="00FA0CFF" w:rsidRPr="004E6A4A" w:rsidRDefault="00144445">
            <w:pPr>
              <w:jc w:val="both"/>
            </w:pPr>
            <w:r w:rsidRPr="004E6A4A">
              <w:rPr>
                <w:rFonts w:ascii="Times New Roman" w:eastAsia="Times New Roman" w:hAnsi="Times New Roman" w:cs="Times New Roman"/>
                <w:sz w:val="20"/>
              </w:rPr>
              <w:t>An entity is a “related entity” of another entity if:</w:t>
            </w:r>
          </w:p>
          <w:p w14:paraId="71D42B7D" w14:textId="77777777" w:rsidR="00FA0CFF" w:rsidRPr="004E6A4A" w:rsidRDefault="00144445">
            <w:pPr>
              <w:jc w:val="both"/>
            </w:pPr>
            <w:r w:rsidRPr="004E6A4A">
              <w:rPr>
                <w:rFonts w:ascii="Times New Roman" w:eastAsia="Times New Roman" w:hAnsi="Times New Roman" w:cs="Times New Roman"/>
                <w:sz w:val="20"/>
              </w:rPr>
              <w:t>a) one of the entities controls the other; or</w:t>
            </w:r>
          </w:p>
          <w:p w14:paraId="73954DA6" w14:textId="77777777" w:rsidR="00FA0CFF" w:rsidRPr="004E6A4A" w:rsidRDefault="00144445">
            <w:pPr>
              <w:jc w:val="both"/>
            </w:pPr>
            <w:r w:rsidRPr="004E6A4A">
              <w:rPr>
                <w:rFonts w:ascii="Times New Roman" w:eastAsia="Times New Roman" w:hAnsi="Times New Roman" w:cs="Times New Roman"/>
                <w:sz w:val="20"/>
              </w:rPr>
              <w:t>b) both entities are under common control; or</w:t>
            </w:r>
          </w:p>
          <w:p w14:paraId="41D0C13B" w14:textId="77777777" w:rsidR="00FA0CFF" w:rsidRPr="004E6A4A" w:rsidRDefault="00144445">
            <w:pPr>
              <w:jc w:val="both"/>
            </w:pPr>
            <w:r w:rsidRPr="004E6A4A">
              <w:rPr>
                <w:rFonts w:ascii="Times New Roman" w:eastAsia="Times New Roman" w:hAnsi="Times New Roman" w:cs="Times New Roman"/>
                <w:sz w:val="20"/>
              </w:rPr>
              <w:t>c) both entities are Investment Entities described in point 26, letter “b”, of this Article, are under common management and that management fulfils the due diligence obligations of those entities.</w:t>
            </w:r>
          </w:p>
          <w:p w14:paraId="0091CBE1" w14:textId="77777777" w:rsidR="00FA0CFF" w:rsidRPr="004E6A4A" w:rsidRDefault="00144445">
            <w:pPr>
              <w:jc w:val="both"/>
            </w:pPr>
            <w:r w:rsidRPr="004E6A4A">
              <w:rPr>
                <w:rFonts w:ascii="Times New Roman" w:eastAsia="Times New Roman" w:hAnsi="Times New Roman" w:cs="Times New Roman"/>
                <w:sz w:val="20"/>
              </w:rPr>
              <w:lastRenderedPageBreak/>
              <w:t>For that purpose, control includes the direct or indirect ownership of more than 50 per cent of the votes and of the value in an entity.</w:t>
            </w:r>
          </w:p>
        </w:tc>
        <w:tc>
          <w:tcPr>
            <w:tcW w:w="1156" w:type="dxa"/>
          </w:tcPr>
          <w:p w14:paraId="4381E835" w14:textId="77777777" w:rsidR="000F5E0F" w:rsidRPr="004E6A4A" w:rsidRDefault="000F5E0F" w:rsidP="00C4419F">
            <w:pPr>
              <w:jc w:val="center"/>
              <w:rPr>
                <w:rFonts w:ascii="Times New Roman" w:eastAsia="Calibri" w:hAnsi="Times New Roman" w:cs="Times New Roman"/>
                <w:sz w:val="18"/>
                <w:szCs w:val="18"/>
              </w:rPr>
            </w:pPr>
          </w:p>
          <w:p w14:paraId="7F71557F" w14:textId="2BB46B37" w:rsidR="00C4419F" w:rsidRPr="004E6A4A" w:rsidRDefault="000F5E0F"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447293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905F35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59 of the Draft Law.</w:t>
            </w:r>
          </w:p>
        </w:tc>
      </w:tr>
      <w:tr w:rsidR="004E6A4A" w:rsidRPr="004E6A4A" w14:paraId="00FB3D34" w14:textId="77777777" w:rsidTr="00E11E6D">
        <w:trPr>
          <w:trHeight w:val="764"/>
        </w:trPr>
        <w:tc>
          <w:tcPr>
            <w:tcW w:w="720" w:type="dxa"/>
          </w:tcPr>
          <w:p w14:paraId="7C4DF156"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2454F8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An Entity is a “Related Entity” of another Entity if (i) either Entity controls the other Entity; (ii) the two Entities are under common control; or (iii) the two Entities are Investment Entities described in subparagraph A(6)(b), are under common management, and such management fulfils the due diligence obligations of such Investment Enti ties. For this purpose control includes direct or indirect ownership of more than 50 % of the vote and value in an Entity.</w:t>
            </w:r>
          </w:p>
        </w:tc>
        <w:tc>
          <w:tcPr>
            <w:tcW w:w="1080" w:type="dxa"/>
          </w:tcPr>
          <w:p w14:paraId="3B59F990"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05C7D957"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6ABE7FFE"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294113DC" w14:textId="77777777" w:rsidR="00FA0CFF" w:rsidRPr="004E6A4A" w:rsidRDefault="00144445">
            <w:pPr>
              <w:jc w:val="center"/>
            </w:pPr>
            <w:r w:rsidRPr="004E6A4A">
              <w:rPr>
                <w:rFonts w:ascii="Times New Roman" w:eastAsia="Times New Roman" w:hAnsi="Times New Roman" w:cs="Times New Roman"/>
                <w:b/>
                <w:sz w:val="20"/>
              </w:rPr>
              <w:t>Definitions</w:t>
            </w:r>
          </w:p>
          <w:p w14:paraId="40A39791" w14:textId="77777777" w:rsidR="00FA0CFF" w:rsidRPr="004E6A4A" w:rsidRDefault="00144445">
            <w:pPr>
              <w:jc w:val="both"/>
            </w:pPr>
            <w:r w:rsidRPr="004E6A4A">
              <w:rPr>
                <w:rFonts w:ascii="Times New Roman" w:eastAsia="Times New Roman" w:hAnsi="Times New Roman" w:cs="Times New Roman"/>
                <w:sz w:val="20"/>
              </w:rPr>
              <w:t>59. “Entity” means a legal person or a legal arrangement, such as a corporation, a partnership, a trust or a foundation.</w:t>
            </w:r>
          </w:p>
          <w:p w14:paraId="5EFA7BCD" w14:textId="77777777" w:rsidR="00FA0CFF" w:rsidRPr="004E6A4A" w:rsidRDefault="00144445">
            <w:pPr>
              <w:jc w:val="both"/>
            </w:pPr>
            <w:r w:rsidRPr="004E6A4A">
              <w:rPr>
                <w:rFonts w:ascii="Times New Roman" w:eastAsia="Times New Roman" w:hAnsi="Times New Roman" w:cs="Times New Roman"/>
                <w:sz w:val="20"/>
              </w:rPr>
              <w:t>An entity is a “related entity” of another entity if:</w:t>
            </w:r>
          </w:p>
          <w:p w14:paraId="4A6C576A" w14:textId="77777777" w:rsidR="00FA0CFF" w:rsidRPr="004E6A4A" w:rsidRDefault="00144445">
            <w:pPr>
              <w:jc w:val="both"/>
            </w:pPr>
            <w:r w:rsidRPr="004E6A4A">
              <w:rPr>
                <w:rFonts w:ascii="Times New Roman" w:eastAsia="Times New Roman" w:hAnsi="Times New Roman" w:cs="Times New Roman"/>
                <w:sz w:val="20"/>
              </w:rPr>
              <w:t>a) one of the entities controls the other; or</w:t>
            </w:r>
          </w:p>
          <w:p w14:paraId="39626595" w14:textId="77777777" w:rsidR="00FA0CFF" w:rsidRPr="004E6A4A" w:rsidRDefault="00144445">
            <w:pPr>
              <w:jc w:val="both"/>
            </w:pPr>
            <w:r w:rsidRPr="004E6A4A">
              <w:rPr>
                <w:rFonts w:ascii="Times New Roman" w:eastAsia="Times New Roman" w:hAnsi="Times New Roman" w:cs="Times New Roman"/>
                <w:sz w:val="20"/>
              </w:rPr>
              <w:t>b) both entities are under common control; or</w:t>
            </w:r>
          </w:p>
          <w:p w14:paraId="0EDFEA6F" w14:textId="77777777" w:rsidR="00FA0CFF" w:rsidRPr="004E6A4A" w:rsidRDefault="00144445">
            <w:pPr>
              <w:jc w:val="both"/>
            </w:pPr>
            <w:r w:rsidRPr="004E6A4A">
              <w:rPr>
                <w:rFonts w:ascii="Times New Roman" w:eastAsia="Times New Roman" w:hAnsi="Times New Roman" w:cs="Times New Roman"/>
                <w:sz w:val="20"/>
              </w:rPr>
              <w:t>c) both entities are Investment Entities described in point 26, letter “b”, of this Article, are under common management and that management fulfils the due diligence obligations of those entities.</w:t>
            </w:r>
          </w:p>
          <w:p w14:paraId="3F316DFB" w14:textId="77777777" w:rsidR="00FA0CFF" w:rsidRPr="004E6A4A" w:rsidRDefault="00144445">
            <w:pPr>
              <w:jc w:val="both"/>
            </w:pPr>
            <w:r w:rsidRPr="004E6A4A">
              <w:rPr>
                <w:rFonts w:ascii="Times New Roman" w:eastAsia="Times New Roman" w:hAnsi="Times New Roman" w:cs="Times New Roman"/>
                <w:sz w:val="20"/>
              </w:rPr>
              <w:t>For that purpose, control includes the direct or indirect ownership of more than 50 per cent of the votes and of the value in an entity.</w:t>
            </w:r>
          </w:p>
        </w:tc>
        <w:tc>
          <w:tcPr>
            <w:tcW w:w="1156" w:type="dxa"/>
          </w:tcPr>
          <w:p w14:paraId="4EE84681" w14:textId="77777777" w:rsidR="00272E22" w:rsidRPr="004E6A4A" w:rsidRDefault="00272E22" w:rsidP="00C4419F">
            <w:pPr>
              <w:jc w:val="center"/>
              <w:rPr>
                <w:rFonts w:ascii="Times New Roman" w:eastAsia="Calibri" w:hAnsi="Times New Roman" w:cs="Times New Roman"/>
                <w:sz w:val="18"/>
                <w:szCs w:val="18"/>
              </w:rPr>
            </w:pPr>
          </w:p>
          <w:p w14:paraId="67D60A42" w14:textId="77777777" w:rsidR="00272E22" w:rsidRPr="004E6A4A" w:rsidRDefault="00272E22" w:rsidP="00C4419F">
            <w:pPr>
              <w:jc w:val="center"/>
              <w:rPr>
                <w:rFonts w:ascii="Times New Roman" w:eastAsia="Calibri" w:hAnsi="Times New Roman" w:cs="Times New Roman"/>
                <w:sz w:val="18"/>
                <w:szCs w:val="18"/>
              </w:rPr>
            </w:pPr>
          </w:p>
          <w:p w14:paraId="418A81D1" w14:textId="3FE5A41F"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6654FED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65C2457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59 of the Draft Law.</w:t>
            </w:r>
          </w:p>
        </w:tc>
      </w:tr>
      <w:tr w:rsidR="004E6A4A" w:rsidRPr="004E6A4A" w14:paraId="27C7A0E6" w14:textId="77777777" w:rsidTr="00E11E6D">
        <w:trPr>
          <w:trHeight w:val="764"/>
        </w:trPr>
        <w:tc>
          <w:tcPr>
            <w:tcW w:w="720" w:type="dxa"/>
          </w:tcPr>
          <w:p w14:paraId="4167A75E"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68EFD69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The term “TIN” means Taxpayer Identification Number (or functional equivalent in the absence of a Taxpayer Identification Number).</w:t>
            </w:r>
          </w:p>
        </w:tc>
        <w:tc>
          <w:tcPr>
            <w:tcW w:w="1080" w:type="dxa"/>
          </w:tcPr>
          <w:p w14:paraId="6BE96724"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7426BCA5"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54097D48"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B18261A" w14:textId="77777777" w:rsidR="00FA0CFF" w:rsidRPr="004E6A4A" w:rsidRDefault="00144445">
            <w:pPr>
              <w:jc w:val="center"/>
            </w:pPr>
            <w:r w:rsidRPr="004E6A4A">
              <w:rPr>
                <w:rFonts w:ascii="Times New Roman" w:eastAsia="Times New Roman" w:hAnsi="Times New Roman" w:cs="Times New Roman"/>
                <w:b/>
                <w:sz w:val="20"/>
              </w:rPr>
              <w:t>Definitions</w:t>
            </w:r>
          </w:p>
          <w:p w14:paraId="387A58FC" w14:textId="77777777" w:rsidR="00FA0CFF" w:rsidRPr="004E6A4A" w:rsidRDefault="00144445">
            <w:pPr>
              <w:jc w:val="both"/>
            </w:pPr>
            <w:r w:rsidRPr="004E6A4A">
              <w:rPr>
                <w:rFonts w:ascii="Times New Roman" w:eastAsia="Times New Roman" w:hAnsi="Times New Roman" w:cs="Times New Roman"/>
                <w:sz w:val="20"/>
              </w:rPr>
              <w:t>60. “Taxpayer Identification Number (TIN)” means the tax identification number issued by the relevant jurisdiction or, where no such number exists, its functional equivalent. For the Republic of Albania, the TIN is the NIPT/NUIS for registered persons and the personal identification number for individuals, in accordance with Albanian legislation.</w:t>
            </w:r>
          </w:p>
        </w:tc>
        <w:tc>
          <w:tcPr>
            <w:tcW w:w="1156" w:type="dxa"/>
          </w:tcPr>
          <w:p w14:paraId="7A16EA05" w14:textId="77777777" w:rsidR="00272E22" w:rsidRPr="004E6A4A" w:rsidRDefault="00272E22" w:rsidP="00C4419F">
            <w:pPr>
              <w:jc w:val="center"/>
              <w:rPr>
                <w:rFonts w:ascii="Times New Roman" w:eastAsia="Calibri" w:hAnsi="Times New Roman" w:cs="Times New Roman"/>
                <w:sz w:val="18"/>
                <w:szCs w:val="18"/>
              </w:rPr>
            </w:pPr>
          </w:p>
          <w:p w14:paraId="21BDBE00" w14:textId="08BDF2C3"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48B4957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2D6A88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60 of the Draft Law.</w:t>
            </w:r>
          </w:p>
        </w:tc>
      </w:tr>
      <w:tr w:rsidR="004E6A4A" w:rsidRPr="004E6A4A" w14:paraId="73AFB544" w14:textId="77777777" w:rsidTr="00E11E6D">
        <w:trPr>
          <w:trHeight w:val="764"/>
        </w:trPr>
        <w:tc>
          <w:tcPr>
            <w:tcW w:w="720" w:type="dxa"/>
          </w:tcPr>
          <w:p w14:paraId="307455BF"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100B588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The term “Documentary Evidence” includes any of the following:</w:t>
            </w:r>
          </w:p>
          <w:p w14:paraId="1E4ECEB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a certificate of residence issued by an authorised government body (for example, a government or agency thereof, or a municipality) of the Member State or other jurisdiction in which the payee claims to be a resident;</w:t>
            </w:r>
          </w:p>
          <w:p w14:paraId="505DF0E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with respect to an individual, any valid identification issued by an authorised government body (for example, a government or agency thereof, or a </w:t>
            </w:r>
            <w:r w:rsidRPr="004E6A4A">
              <w:rPr>
                <w:rFonts w:ascii="Times New Roman" w:eastAsia="Times New Roman" w:hAnsi="Times New Roman" w:cs="Times New Roman"/>
                <w:sz w:val="20"/>
                <w:szCs w:val="20"/>
              </w:rPr>
              <w:lastRenderedPageBreak/>
              <w:t>municipality), that includes the individual's name and is typically used for identification purposes;</w:t>
            </w:r>
          </w:p>
          <w:p w14:paraId="3EEF389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with respect to an Entity, any official documentation issued by an authorised government body (for example, a government or agency thereof, or a municipality) that includes the name of the Entity and either the address of its principal office in the Member State or other jurisdiction in which it claims to be a resident or the Member State or other jurisdiction in which the Entity was incorporated or organised;</w:t>
            </w:r>
          </w:p>
          <w:p w14:paraId="7A59CF1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any audited financial statement, third-party credit report, bankruptcy filing, or securities regulator's report.</w:t>
            </w:r>
          </w:p>
          <w:p w14:paraId="6269A87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With respect to a Pre-existing Entity Account, Reporting Financial Institutions may use as Documentary Evidence any classification in the Reporting Financial Institution's records with respect to the Account Holder that was determined based on a standardised industry coding system, that was recorded by the Reporting Financial Institution consistent with its normal business practices for purposes of AML/KYC Procedures or another regulatory purposes (other than for tax purposes) and that was implemented by the Reporting Financial Institution prior to the date used to classify the Financial Account as a Pre-existing Account, provided that the Reporting Financial Institution does not know or does not have reason to know that such classification is incorrect or unreliable.</w:t>
            </w:r>
          </w:p>
        </w:tc>
        <w:tc>
          <w:tcPr>
            <w:tcW w:w="1080" w:type="dxa"/>
          </w:tcPr>
          <w:p w14:paraId="78D58484"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3249BFC1"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0A70259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0B5DBA5E" w14:textId="77777777" w:rsidR="00FA0CFF" w:rsidRPr="004E6A4A" w:rsidRDefault="00144445">
            <w:pPr>
              <w:jc w:val="center"/>
            </w:pPr>
            <w:r w:rsidRPr="004E6A4A">
              <w:rPr>
                <w:rFonts w:ascii="Times New Roman" w:eastAsia="Times New Roman" w:hAnsi="Times New Roman" w:cs="Times New Roman"/>
                <w:b/>
                <w:sz w:val="20"/>
              </w:rPr>
              <w:t>Definitions</w:t>
            </w:r>
          </w:p>
          <w:p w14:paraId="25C34C57" w14:textId="77777777" w:rsidR="00FA0CFF" w:rsidRPr="004E6A4A" w:rsidRDefault="00144445">
            <w:pPr>
              <w:jc w:val="both"/>
            </w:pPr>
            <w:r w:rsidRPr="004E6A4A">
              <w:rPr>
                <w:rFonts w:ascii="Times New Roman" w:eastAsia="Times New Roman" w:hAnsi="Times New Roman" w:cs="Times New Roman"/>
                <w:sz w:val="20"/>
              </w:rPr>
              <w:t>25. “Documentary evidence” includes:</w:t>
            </w:r>
          </w:p>
          <w:p w14:paraId="5054752E" w14:textId="77777777" w:rsidR="00FA0CFF" w:rsidRPr="004E6A4A" w:rsidRDefault="00144445">
            <w:pPr>
              <w:jc w:val="both"/>
            </w:pPr>
            <w:r w:rsidRPr="004E6A4A">
              <w:rPr>
                <w:rFonts w:ascii="Times New Roman" w:eastAsia="Times New Roman" w:hAnsi="Times New Roman" w:cs="Times New Roman"/>
                <w:sz w:val="20"/>
              </w:rPr>
              <w:t>a) a certificate of residence issued by an authorised governmental body of the jurisdiction in which the payee claims to be resident;</w:t>
            </w:r>
          </w:p>
          <w:p w14:paraId="53203BCD" w14:textId="77777777" w:rsidR="00FA0CFF" w:rsidRPr="004E6A4A" w:rsidRDefault="00144445">
            <w:pPr>
              <w:jc w:val="both"/>
            </w:pPr>
            <w:r w:rsidRPr="004E6A4A">
              <w:rPr>
                <w:rFonts w:ascii="Times New Roman" w:eastAsia="Times New Roman" w:hAnsi="Times New Roman" w:cs="Times New Roman"/>
                <w:sz w:val="20"/>
              </w:rPr>
              <w:t>b) for an individual, any valid identification issued by an authorised governmental body, containing the name of the individual and ordinarily used for identification purposes;</w:t>
            </w:r>
          </w:p>
          <w:p w14:paraId="16A31C5D" w14:textId="77777777" w:rsidR="00FA0CFF" w:rsidRPr="004E6A4A" w:rsidRDefault="00144445">
            <w:pPr>
              <w:jc w:val="both"/>
            </w:pPr>
            <w:r w:rsidRPr="004E6A4A">
              <w:rPr>
                <w:rFonts w:ascii="Times New Roman" w:eastAsia="Times New Roman" w:hAnsi="Times New Roman" w:cs="Times New Roman"/>
                <w:sz w:val="20"/>
              </w:rPr>
              <w:lastRenderedPageBreak/>
              <w:t>c) for an entity, any official document issued by an authorised governmental body, containing the name of the entity and the address of its principal office in the jurisdiction in which it claims to be resident or in which it was incorporated or organised;</w:t>
            </w:r>
          </w:p>
          <w:p w14:paraId="0A83DD0D" w14:textId="77777777" w:rsidR="00FA0CFF" w:rsidRPr="004E6A4A" w:rsidRDefault="00144445">
            <w:pPr>
              <w:jc w:val="both"/>
            </w:pPr>
            <w:r w:rsidRPr="004E6A4A">
              <w:rPr>
                <w:rFonts w:ascii="Times New Roman" w:eastAsia="Times New Roman" w:hAnsi="Times New Roman" w:cs="Times New Roman"/>
                <w:sz w:val="20"/>
              </w:rPr>
              <w:t>ç) any audited financial statement, third-party credit report, bankruptcy filing or securities regulator's report.</w:t>
            </w:r>
          </w:p>
          <w:p w14:paraId="7FC3F736" w14:textId="77777777" w:rsidR="00FA0CFF" w:rsidRPr="004E6A4A" w:rsidRDefault="00144445">
            <w:pPr>
              <w:jc w:val="both"/>
            </w:pPr>
            <w:r w:rsidRPr="004E6A4A">
              <w:rPr>
                <w:rFonts w:ascii="Times New Roman" w:eastAsia="Times New Roman" w:hAnsi="Times New Roman" w:cs="Times New Roman"/>
                <w:sz w:val="20"/>
              </w:rPr>
              <w:t>For a Pre-existing Entity Account, the reporting financial institution may also use as documentary evidence any classification held in its records for the account holder, determined on the basis of a standardised industry coding system, recorded by the reporting financial institution in accordance with its normal business practices for the purposes of the procedures for the prevention of money laundering and terrorist financing or for other regulatory purposes, other than tax purposes, if the classification was applied before the date used for the classification of the account as a Pre-existing Account and the reporting financial institution does not know or have reason to know that the classification is inaccurate or unreliable.</w:t>
            </w:r>
          </w:p>
        </w:tc>
        <w:tc>
          <w:tcPr>
            <w:tcW w:w="1156" w:type="dxa"/>
          </w:tcPr>
          <w:p w14:paraId="7BF0FB33" w14:textId="77777777" w:rsidR="00272E22" w:rsidRPr="004E6A4A" w:rsidRDefault="00272E22" w:rsidP="00C4419F">
            <w:pPr>
              <w:jc w:val="center"/>
              <w:rPr>
                <w:rFonts w:ascii="Times New Roman" w:eastAsia="Calibri" w:hAnsi="Times New Roman" w:cs="Times New Roman"/>
                <w:sz w:val="18"/>
                <w:szCs w:val="18"/>
              </w:rPr>
            </w:pPr>
          </w:p>
          <w:p w14:paraId="18B18AE8" w14:textId="2AA7A1A5"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BEFDB5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BBF454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25 of the Draft Law.</w:t>
            </w:r>
          </w:p>
        </w:tc>
      </w:tr>
      <w:tr w:rsidR="004E6A4A" w:rsidRPr="004E6A4A" w14:paraId="1F27DD6E" w14:textId="77777777" w:rsidTr="00E11E6D">
        <w:trPr>
          <w:trHeight w:val="764"/>
        </w:trPr>
        <w:tc>
          <w:tcPr>
            <w:tcW w:w="720" w:type="dxa"/>
          </w:tcPr>
          <w:p w14:paraId="36C9E8EA"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53D2252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term “standardised industry coding system” means a coding system used to classify establishments by business type for purposes other than tax purposes.</w:t>
            </w:r>
          </w:p>
        </w:tc>
        <w:tc>
          <w:tcPr>
            <w:tcW w:w="1080" w:type="dxa"/>
          </w:tcPr>
          <w:p w14:paraId="45150105"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51D506D7"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3FE88AB5"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71E2269" w14:textId="77777777" w:rsidR="00FA0CFF" w:rsidRPr="004E6A4A" w:rsidRDefault="00144445">
            <w:pPr>
              <w:jc w:val="center"/>
            </w:pPr>
            <w:r w:rsidRPr="004E6A4A">
              <w:rPr>
                <w:rFonts w:ascii="Times New Roman" w:eastAsia="Times New Roman" w:hAnsi="Times New Roman" w:cs="Times New Roman"/>
                <w:b/>
                <w:sz w:val="20"/>
              </w:rPr>
              <w:t>Definitions</w:t>
            </w:r>
          </w:p>
          <w:p w14:paraId="3A1AFC1F" w14:textId="77777777" w:rsidR="00FA0CFF" w:rsidRPr="004E6A4A" w:rsidRDefault="00144445">
            <w:pPr>
              <w:jc w:val="both"/>
            </w:pPr>
            <w:r w:rsidRPr="004E6A4A">
              <w:rPr>
                <w:rFonts w:ascii="Times New Roman" w:eastAsia="Times New Roman" w:hAnsi="Times New Roman" w:cs="Times New Roman"/>
                <w:sz w:val="20"/>
              </w:rPr>
              <w:t>67. “Standardised industry coding system” means a coding system used to classify entities by type of business for purposes other than tax purposes.</w:t>
            </w:r>
          </w:p>
        </w:tc>
        <w:tc>
          <w:tcPr>
            <w:tcW w:w="1156" w:type="dxa"/>
          </w:tcPr>
          <w:p w14:paraId="6B457378" w14:textId="77777777" w:rsidR="00C4419F" w:rsidRPr="004E6A4A" w:rsidRDefault="00C4419F" w:rsidP="00C4419F">
            <w:pPr>
              <w:jc w:val="center"/>
              <w:rPr>
                <w:rFonts w:ascii="Times New Roman" w:eastAsia="Calibri" w:hAnsi="Times New Roman" w:cs="Times New Roman"/>
                <w:sz w:val="18"/>
                <w:szCs w:val="18"/>
              </w:rPr>
            </w:pPr>
          </w:p>
          <w:p w14:paraId="08155512" w14:textId="77777777" w:rsidR="00272E22" w:rsidRPr="004E6A4A" w:rsidRDefault="00272E22" w:rsidP="00C4419F">
            <w:pPr>
              <w:jc w:val="center"/>
              <w:rPr>
                <w:rFonts w:ascii="Times New Roman" w:eastAsia="Calibri" w:hAnsi="Times New Roman" w:cs="Times New Roman"/>
                <w:sz w:val="18"/>
                <w:szCs w:val="18"/>
              </w:rPr>
            </w:pPr>
          </w:p>
          <w:p w14:paraId="2AE5972A" w14:textId="5690B24F" w:rsidR="00272E22"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847134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9BB080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67 of the Draft Law.</w:t>
            </w:r>
          </w:p>
        </w:tc>
      </w:tr>
      <w:tr w:rsidR="004E6A4A" w:rsidRPr="004E6A4A" w14:paraId="34ACF25E" w14:textId="77777777" w:rsidTr="00E11E6D">
        <w:trPr>
          <w:trHeight w:val="764"/>
        </w:trPr>
        <w:tc>
          <w:tcPr>
            <w:tcW w:w="720" w:type="dxa"/>
          </w:tcPr>
          <w:p w14:paraId="57668C37"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372F8C5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7. The term “Identification Service” means an electronic process made available free of charge by a Member State or the Union to a Reporting Financial Institution for the purpose of ascertaining the identity and tax residence of an Account Holder or Controlling Person.</w:t>
            </w:r>
          </w:p>
        </w:tc>
        <w:tc>
          <w:tcPr>
            <w:tcW w:w="1080" w:type="dxa"/>
          </w:tcPr>
          <w:p w14:paraId="6060FFF2"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0447CB52"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3628E936"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5A878825" w14:textId="77777777" w:rsidR="00FA0CFF" w:rsidRPr="004E6A4A" w:rsidRDefault="00144445">
            <w:pPr>
              <w:jc w:val="center"/>
            </w:pPr>
            <w:r w:rsidRPr="004E6A4A">
              <w:rPr>
                <w:rFonts w:ascii="Times New Roman" w:eastAsia="Times New Roman" w:hAnsi="Times New Roman" w:cs="Times New Roman"/>
                <w:b/>
                <w:sz w:val="20"/>
              </w:rPr>
              <w:t>Definitions</w:t>
            </w:r>
          </w:p>
          <w:p w14:paraId="1C7ED0E1" w14:textId="77777777" w:rsidR="00FA0CFF" w:rsidRPr="004E6A4A" w:rsidRDefault="00144445">
            <w:pPr>
              <w:jc w:val="both"/>
            </w:pPr>
            <w:r w:rsidRPr="004E6A4A">
              <w:rPr>
                <w:rFonts w:ascii="Times New Roman" w:eastAsia="Times New Roman" w:hAnsi="Times New Roman" w:cs="Times New Roman"/>
                <w:sz w:val="20"/>
              </w:rPr>
              <w:t xml:space="preserve">73. “Identification service”, for the purposes of the European Union profile, means an electronic process made available free of charge by a Member State or by the European Union to a Reporting Financial </w:t>
            </w:r>
            <w:r w:rsidRPr="004E6A4A">
              <w:rPr>
                <w:rFonts w:ascii="Times New Roman" w:eastAsia="Times New Roman" w:hAnsi="Times New Roman" w:cs="Times New Roman"/>
                <w:sz w:val="20"/>
              </w:rPr>
              <w:lastRenderedPageBreak/>
              <w:t>Institution, for the purpose of determining the identity and tax residence of an Account Holder or Controlling Person.</w:t>
            </w:r>
          </w:p>
          <w:p w14:paraId="48200E9F" w14:textId="77777777" w:rsidR="00FA0CFF" w:rsidRPr="004E6A4A" w:rsidRDefault="00FA0CFF"/>
          <w:p w14:paraId="339A4031" w14:textId="2ACCF0A2" w:rsidR="00FA0CFF" w:rsidRPr="004E6A4A" w:rsidRDefault="00FA0CFF">
            <w:pPr>
              <w:jc w:val="both"/>
            </w:pPr>
          </w:p>
        </w:tc>
        <w:tc>
          <w:tcPr>
            <w:tcW w:w="1156" w:type="dxa"/>
          </w:tcPr>
          <w:p w14:paraId="38547E70" w14:textId="77777777" w:rsidR="00272E22" w:rsidRPr="004E6A4A" w:rsidRDefault="00272E22" w:rsidP="00C4419F">
            <w:pPr>
              <w:jc w:val="center"/>
              <w:rPr>
                <w:rFonts w:ascii="Times New Roman" w:eastAsia="Calibri" w:hAnsi="Times New Roman" w:cs="Times New Roman"/>
                <w:sz w:val="18"/>
                <w:szCs w:val="18"/>
              </w:rPr>
            </w:pPr>
          </w:p>
          <w:p w14:paraId="7D40B3FD" w14:textId="00F7AA7F" w:rsidR="00C4419F" w:rsidRPr="004E6A4A" w:rsidRDefault="00272E22"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3F9D6C2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54B9BB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5, point 73 of the Draft Law.</w:t>
            </w:r>
          </w:p>
        </w:tc>
      </w:tr>
      <w:tr w:rsidR="004E6A4A" w:rsidRPr="004E6A4A" w14:paraId="38FD41CB" w14:textId="77777777" w:rsidTr="00E11E6D">
        <w:trPr>
          <w:trHeight w:val="764"/>
        </w:trPr>
        <w:tc>
          <w:tcPr>
            <w:tcW w:w="720" w:type="dxa"/>
          </w:tcPr>
          <w:p w14:paraId="69DADD5B"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10A0A8A0"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SECTION IX</w:t>
            </w:r>
          </w:p>
          <w:p w14:paraId="7E71B4F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EFFECTIVE IMPLEMENTATION</w:t>
            </w:r>
          </w:p>
          <w:p w14:paraId="6B39A7A6"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Pursuant to Article 8(3a) of this Directive, Member States must have rules and administrative procedures in place to ensure effective implementation of, and compliance with, the reporting and due diligence procedures set out above including:</w:t>
            </w:r>
          </w:p>
          <w:p w14:paraId="1DE185D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 rules to prevent any Financial Institutions, persons or intermediaries from adopting practices intended to circumvent the reporting and due diligence procedures;</w:t>
            </w:r>
          </w:p>
        </w:tc>
        <w:tc>
          <w:tcPr>
            <w:tcW w:w="1080" w:type="dxa"/>
          </w:tcPr>
          <w:p w14:paraId="7CBD1A98"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7DB23EAA"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6FD755CD" w14:textId="77777777" w:rsidR="00FA0CFF" w:rsidRPr="004E6A4A" w:rsidRDefault="00144445">
            <w:pPr>
              <w:jc w:val="center"/>
            </w:pPr>
            <w:r w:rsidRPr="004E6A4A">
              <w:rPr>
                <w:rFonts w:ascii="Times New Roman" w:eastAsia="Times New Roman" w:hAnsi="Times New Roman" w:cs="Times New Roman"/>
                <w:b/>
                <w:sz w:val="20"/>
              </w:rPr>
              <w:t>DCM: Article 13</w:t>
            </w:r>
          </w:p>
          <w:p w14:paraId="33038020" w14:textId="77777777" w:rsidR="00FA0CFF" w:rsidRPr="004E6A4A" w:rsidRDefault="00144445">
            <w:pPr>
              <w:jc w:val="center"/>
            </w:pPr>
            <w:r w:rsidRPr="004E6A4A">
              <w:rPr>
                <w:rFonts w:ascii="Times New Roman" w:eastAsia="Times New Roman" w:hAnsi="Times New Roman" w:cs="Times New Roman"/>
                <w:b/>
                <w:sz w:val="20"/>
              </w:rPr>
              <w:t>Effective implementation and compliance control</w:t>
            </w:r>
          </w:p>
          <w:p w14:paraId="28571FC5" w14:textId="77777777" w:rsidR="00FA0CFF" w:rsidRPr="004E6A4A" w:rsidRDefault="00144445">
            <w:pPr>
              <w:jc w:val="both"/>
            </w:pPr>
            <w:r w:rsidRPr="004E6A4A">
              <w:rPr>
                <w:rFonts w:ascii="Times New Roman" w:eastAsia="Times New Roman" w:hAnsi="Times New Roman" w:cs="Times New Roman"/>
                <w:sz w:val="20"/>
              </w:rPr>
              <w:t>1. The GDT and the reporting financial institutions shall be responsible for the implementation of this Decision, within their competences and obligations.</w:t>
            </w:r>
          </w:p>
          <w:p w14:paraId="316AA1BB" w14:textId="77777777" w:rsidR="00FA0CFF" w:rsidRPr="004E6A4A" w:rsidRDefault="00144445">
            <w:pPr>
              <w:jc w:val="both"/>
            </w:pPr>
            <w:r w:rsidRPr="004E6A4A">
              <w:rPr>
                <w:rFonts w:ascii="Times New Roman" w:eastAsia="Times New Roman" w:hAnsi="Times New Roman" w:cs="Times New Roman"/>
                <w:sz w:val="20"/>
              </w:rPr>
              <w:t>2. Reporting financial institutions shall keep records of the procedures carried out, of the steps undertaken and of the evidence on which they have relied for the fulfilment of the reporting and due diligence obligations, for the period determined in the law and, in any event, for not less than five years.</w:t>
            </w:r>
          </w:p>
          <w:p w14:paraId="62CB629D" w14:textId="77777777" w:rsidR="00FA0CFF" w:rsidRPr="004E6A4A" w:rsidRDefault="00FA0CFF"/>
          <w:p w14:paraId="2F931F84" w14:textId="77777777" w:rsidR="00FA0CFF" w:rsidRPr="004E6A4A" w:rsidRDefault="00144445">
            <w:pPr>
              <w:jc w:val="center"/>
            </w:pPr>
            <w:r w:rsidRPr="004E6A4A">
              <w:rPr>
                <w:rFonts w:ascii="Times New Roman" w:eastAsia="Times New Roman" w:hAnsi="Times New Roman" w:cs="Times New Roman"/>
                <w:b/>
                <w:sz w:val="20"/>
              </w:rPr>
              <w:t>Draft Law: Article 18</w:t>
            </w:r>
          </w:p>
          <w:p w14:paraId="3A2CD5CF" w14:textId="77777777" w:rsidR="00FA0CFF" w:rsidRPr="004E6A4A" w:rsidRDefault="00144445">
            <w:pPr>
              <w:jc w:val="center"/>
            </w:pPr>
            <w:r w:rsidRPr="004E6A4A">
              <w:rPr>
                <w:rFonts w:ascii="Times New Roman" w:eastAsia="Times New Roman" w:hAnsi="Times New Roman" w:cs="Times New Roman"/>
                <w:b/>
                <w:sz w:val="20"/>
              </w:rPr>
              <w:t>Anti-avoidance rule</w:t>
            </w:r>
          </w:p>
          <w:p w14:paraId="65132B48" w14:textId="77777777" w:rsidR="00FA0CFF" w:rsidRPr="004E6A4A" w:rsidRDefault="00144445">
            <w:pPr>
              <w:jc w:val="both"/>
            </w:pPr>
            <w:r w:rsidRPr="004E6A4A">
              <w:rPr>
                <w:rFonts w:ascii="Times New Roman" w:eastAsia="Times New Roman" w:hAnsi="Times New Roman" w:cs="Times New Roman"/>
                <w:sz w:val="20"/>
              </w:rPr>
              <w:t>1. Where, taking into account all the relevant facts and circumstances, it is reasonable to conclude that the main purpose or one of the main purposes of an arrangement or practice undertaken by a financial institution, intermediary, service provider or other person is to avoid or circumvent the obligations determined in this Law or in the sub-legal acts issued in implementation thereof, those obligations shall apply as if the arrangement or practice had not been undertaken.</w:t>
            </w:r>
          </w:p>
          <w:p w14:paraId="2B705521" w14:textId="77777777" w:rsidR="00FA0CFF" w:rsidRPr="004E6A4A" w:rsidRDefault="00FA0CFF"/>
          <w:p w14:paraId="2BA44A05" w14:textId="13384EBF" w:rsidR="00FA0CFF" w:rsidRPr="004E6A4A" w:rsidRDefault="00FA0CFF">
            <w:pPr>
              <w:jc w:val="both"/>
            </w:pPr>
          </w:p>
        </w:tc>
        <w:tc>
          <w:tcPr>
            <w:tcW w:w="1156" w:type="dxa"/>
          </w:tcPr>
          <w:p w14:paraId="0B91C0C1" w14:textId="77777777" w:rsidR="005A2F1D" w:rsidRPr="004E6A4A" w:rsidRDefault="005A2F1D" w:rsidP="00C4419F">
            <w:pPr>
              <w:jc w:val="center"/>
              <w:rPr>
                <w:rFonts w:ascii="Times New Roman" w:eastAsia="Calibri" w:hAnsi="Times New Roman" w:cs="Times New Roman"/>
                <w:sz w:val="18"/>
                <w:szCs w:val="18"/>
              </w:rPr>
            </w:pPr>
          </w:p>
          <w:p w14:paraId="360032F7" w14:textId="74E18AAB" w:rsidR="00C4419F" w:rsidRPr="004E6A4A" w:rsidRDefault="005A2F1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58B87DF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8C5C9B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18 of the Draft Law and by Article 13, points 1 and 2 of the Decision.</w:t>
            </w:r>
          </w:p>
        </w:tc>
      </w:tr>
      <w:tr w:rsidR="004E6A4A" w:rsidRPr="004E6A4A" w14:paraId="3A172E87" w14:textId="77777777" w:rsidTr="00E11E6D">
        <w:trPr>
          <w:trHeight w:val="764"/>
        </w:trPr>
        <w:tc>
          <w:tcPr>
            <w:tcW w:w="720" w:type="dxa"/>
          </w:tcPr>
          <w:p w14:paraId="66D1E102"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16D77E6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 rules requiring Reporting Financial Institutions to keep records of the steps undertaken and any evidence relied upon for the performance of the above procedures and adequate measures to obtain those records;</w:t>
            </w:r>
          </w:p>
        </w:tc>
        <w:tc>
          <w:tcPr>
            <w:tcW w:w="1080" w:type="dxa"/>
          </w:tcPr>
          <w:p w14:paraId="750B82F1"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55AB4445"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64189C2A" w14:textId="77777777" w:rsidR="00FA0CFF" w:rsidRPr="004E6A4A" w:rsidRDefault="00144445">
            <w:pPr>
              <w:jc w:val="center"/>
            </w:pPr>
            <w:r w:rsidRPr="004E6A4A">
              <w:rPr>
                <w:rFonts w:ascii="Times New Roman" w:eastAsia="Times New Roman" w:hAnsi="Times New Roman" w:cs="Times New Roman"/>
                <w:b/>
                <w:sz w:val="20"/>
              </w:rPr>
              <w:t>Draft Law: Article 15</w:t>
            </w:r>
          </w:p>
          <w:p w14:paraId="1F2BEF4C" w14:textId="77777777" w:rsidR="00FA0CFF" w:rsidRPr="004E6A4A" w:rsidRDefault="00144445">
            <w:pPr>
              <w:jc w:val="center"/>
            </w:pPr>
            <w:r w:rsidRPr="004E6A4A">
              <w:rPr>
                <w:rFonts w:ascii="Times New Roman" w:eastAsia="Times New Roman" w:hAnsi="Times New Roman" w:cs="Times New Roman"/>
                <w:b/>
                <w:sz w:val="20"/>
              </w:rPr>
              <w:t>Record keeping and the obligation to retain records</w:t>
            </w:r>
          </w:p>
          <w:p w14:paraId="7387E9A2" w14:textId="77777777" w:rsidR="00FA0CFF" w:rsidRPr="004E6A4A" w:rsidRDefault="00144445">
            <w:pPr>
              <w:jc w:val="both"/>
            </w:pPr>
            <w:r w:rsidRPr="004E6A4A">
              <w:rPr>
                <w:rFonts w:ascii="Times New Roman" w:eastAsia="Times New Roman" w:hAnsi="Times New Roman" w:cs="Times New Roman"/>
                <w:sz w:val="20"/>
              </w:rPr>
              <w:t xml:space="preserve">1. The reporting financial institution in the Republic of Albania must establish, maintain and document the </w:t>
            </w:r>
            <w:r w:rsidRPr="004E6A4A">
              <w:rPr>
                <w:rFonts w:ascii="Times New Roman" w:eastAsia="Times New Roman" w:hAnsi="Times New Roman" w:cs="Times New Roman"/>
                <w:sz w:val="20"/>
              </w:rPr>
              <w:lastRenderedPageBreak/>
              <w:t>due diligence and reporting procedures, in implementation of this Law, as well as keep the data and documentation necessary for the fulfilment of those obligations.</w:t>
            </w:r>
          </w:p>
          <w:p w14:paraId="401AE071" w14:textId="77777777" w:rsidR="00FA0CFF" w:rsidRPr="004E6A4A" w:rsidRDefault="00144445">
            <w:pPr>
              <w:jc w:val="both"/>
            </w:pPr>
            <w:r w:rsidRPr="004E6A4A">
              <w:rPr>
                <w:rFonts w:ascii="Times New Roman" w:eastAsia="Times New Roman" w:hAnsi="Times New Roman" w:cs="Times New Roman"/>
                <w:sz w:val="20"/>
              </w:rPr>
              <w:t>3. If those records are kept in a language other than Albanian, the reporting financial institution in the Republic of Albania must, at the request of the Competent Authority, provide a translation thereof into Albanian.</w:t>
            </w:r>
          </w:p>
          <w:p w14:paraId="62211ACD" w14:textId="77777777" w:rsidR="00FA0CFF" w:rsidRPr="004E6A4A" w:rsidRDefault="00144445">
            <w:pPr>
              <w:jc w:val="both"/>
            </w:pPr>
            <w:r w:rsidRPr="004E6A4A">
              <w:rPr>
                <w:rFonts w:ascii="Times New Roman" w:eastAsia="Times New Roman" w:hAnsi="Times New Roman" w:cs="Times New Roman"/>
                <w:sz w:val="20"/>
              </w:rPr>
              <w:t>4. Those obligations shall also apply for the purposes of data quality controls, of the feedback mechanisms for the correction of deficiencies and of the taking of corrective measures.</w:t>
            </w:r>
          </w:p>
          <w:p w14:paraId="2B0E1CD1" w14:textId="77777777" w:rsidR="00FA0CFF" w:rsidRPr="004E6A4A" w:rsidRDefault="00FA0CFF"/>
          <w:p w14:paraId="78C3E690" w14:textId="7231AB55" w:rsidR="00FA0CFF" w:rsidRPr="004E6A4A" w:rsidRDefault="00FA0CFF">
            <w:pPr>
              <w:jc w:val="both"/>
            </w:pPr>
          </w:p>
        </w:tc>
        <w:tc>
          <w:tcPr>
            <w:tcW w:w="1156" w:type="dxa"/>
          </w:tcPr>
          <w:p w14:paraId="57A444B5" w14:textId="4B712DF4" w:rsidR="00C4419F" w:rsidRPr="004E6A4A" w:rsidRDefault="005A2F1D"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lastRenderedPageBreak/>
              <w:t>F</w:t>
            </w:r>
          </w:p>
        </w:tc>
        <w:tc>
          <w:tcPr>
            <w:tcW w:w="2970" w:type="dxa"/>
          </w:tcPr>
          <w:p w14:paraId="0E7119D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3F882B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15, points 1, 3 and 4 of the Draft Law.</w:t>
            </w:r>
          </w:p>
        </w:tc>
      </w:tr>
      <w:tr w:rsidR="004E6A4A" w:rsidRPr="004E6A4A" w14:paraId="5A3FD392" w14:textId="77777777" w:rsidTr="00E11E6D">
        <w:trPr>
          <w:trHeight w:val="764"/>
        </w:trPr>
        <w:tc>
          <w:tcPr>
            <w:tcW w:w="720" w:type="dxa"/>
          </w:tcPr>
          <w:p w14:paraId="2660D260"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0FBAFF1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 administrative procedures to verify Reporting Financial Institutions' compliance with the reporting and due diligence procedures; administrative procedures to follow up with a Reporting Financial Institution when undocumented accounts are reported;</w:t>
            </w:r>
          </w:p>
        </w:tc>
        <w:tc>
          <w:tcPr>
            <w:tcW w:w="1080" w:type="dxa"/>
          </w:tcPr>
          <w:p w14:paraId="49BC0F63"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4EA7165D"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13D81A8D" w14:textId="77777777" w:rsidR="00FA0CFF" w:rsidRPr="004E6A4A" w:rsidRDefault="00144445">
            <w:pPr>
              <w:jc w:val="center"/>
            </w:pPr>
            <w:r w:rsidRPr="004E6A4A">
              <w:rPr>
                <w:rFonts w:ascii="Times New Roman" w:eastAsia="Times New Roman" w:hAnsi="Times New Roman" w:cs="Times New Roman"/>
                <w:b/>
                <w:sz w:val="20"/>
              </w:rPr>
              <w:t>Draft Law: Article 14</w:t>
            </w:r>
          </w:p>
          <w:p w14:paraId="647F51DC" w14:textId="77777777" w:rsidR="00FA0CFF" w:rsidRPr="004E6A4A" w:rsidRDefault="00144445">
            <w:pPr>
              <w:jc w:val="center"/>
            </w:pPr>
            <w:r w:rsidRPr="004E6A4A">
              <w:rPr>
                <w:rFonts w:ascii="Times New Roman" w:eastAsia="Times New Roman" w:hAnsi="Times New Roman" w:cs="Times New Roman"/>
                <w:b/>
                <w:sz w:val="20"/>
              </w:rPr>
              <w:t>Duties and powers of the Competent Authority</w:t>
            </w:r>
          </w:p>
          <w:p w14:paraId="03745F6F" w14:textId="77777777" w:rsidR="00FA0CFF" w:rsidRPr="004E6A4A" w:rsidRDefault="00144445">
            <w:pPr>
              <w:jc w:val="both"/>
            </w:pPr>
            <w:r w:rsidRPr="004E6A4A">
              <w:rPr>
                <w:rFonts w:ascii="Times New Roman" w:eastAsia="Times New Roman" w:hAnsi="Times New Roman" w:cs="Times New Roman"/>
                <w:sz w:val="20"/>
              </w:rPr>
              <w:t>1. The Competent Authority, through its subordinate structures, may request information from any reporting financial institution in the Republic of Albania. With prior notice, it may enter the premises where its economic activity is carried out, with a view to verifying the fulfilment of the obligations determined in this Law.</w:t>
            </w:r>
          </w:p>
          <w:p w14:paraId="227DD821" w14:textId="77777777" w:rsidR="00FA0CFF" w:rsidRPr="004E6A4A" w:rsidRDefault="00144445">
            <w:pPr>
              <w:jc w:val="both"/>
            </w:pPr>
            <w:r w:rsidRPr="004E6A4A">
              <w:rPr>
                <w:rFonts w:ascii="Times New Roman" w:eastAsia="Times New Roman" w:hAnsi="Times New Roman" w:cs="Times New Roman"/>
                <w:sz w:val="20"/>
              </w:rPr>
              <w:t>2. Within 15 working days from the submission of the written request of the Competent Authority, the reporting financial institution shall make available the records or data kept under Article 15 of this Law, as well as any other document required in order to verify the fulfilment of the obligations determined in this Law.</w:t>
            </w:r>
          </w:p>
          <w:p w14:paraId="50D9234F" w14:textId="77777777" w:rsidR="00FA0CFF" w:rsidRPr="004E6A4A" w:rsidRDefault="00144445">
            <w:pPr>
              <w:jc w:val="both"/>
            </w:pPr>
            <w:r w:rsidRPr="004E6A4A">
              <w:rPr>
                <w:rFonts w:ascii="Times New Roman" w:eastAsia="Times New Roman" w:hAnsi="Times New Roman" w:cs="Times New Roman"/>
                <w:sz w:val="20"/>
              </w:rPr>
              <w:t>3. At the request of the Competent Authority, a reporting financial institution in the Republic of Albania must provide additional explanations. The additional information shall, in addition to the other obligations, comprise:</w:t>
            </w:r>
          </w:p>
          <w:p w14:paraId="352C65D1" w14:textId="77777777" w:rsidR="00FA0CFF" w:rsidRPr="004E6A4A" w:rsidRDefault="00144445">
            <w:pPr>
              <w:jc w:val="both"/>
            </w:pPr>
            <w:r w:rsidRPr="004E6A4A">
              <w:rPr>
                <w:rFonts w:ascii="Times New Roman" w:eastAsia="Times New Roman" w:hAnsi="Times New Roman" w:cs="Times New Roman"/>
                <w:sz w:val="20"/>
              </w:rPr>
              <w:lastRenderedPageBreak/>
              <w:t>a) the completion, signature and return of the questionnaires or other written requests for information from the Competent Authority within 15 working days from the date of receipt of the request;</w:t>
            </w:r>
          </w:p>
          <w:p w14:paraId="034ACDC8" w14:textId="77777777" w:rsidR="00FA0CFF" w:rsidRPr="004E6A4A" w:rsidRDefault="00144445">
            <w:pPr>
              <w:jc w:val="both"/>
            </w:pPr>
            <w:r w:rsidRPr="004E6A4A">
              <w:rPr>
                <w:rFonts w:ascii="Times New Roman" w:eastAsia="Times New Roman" w:hAnsi="Times New Roman" w:cs="Times New Roman"/>
                <w:sz w:val="20"/>
              </w:rPr>
              <w:t>b) meeting with the employees of the Competent Authority during working hours, providing answers to the questions addressed, as well as information relating to the implementation of this Law.</w:t>
            </w:r>
          </w:p>
          <w:p w14:paraId="67C536BD" w14:textId="77777777" w:rsidR="00FA0CFF" w:rsidRPr="004E6A4A" w:rsidRDefault="00144445">
            <w:pPr>
              <w:jc w:val="both"/>
            </w:pPr>
            <w:r w:rsidRPr="004E6A4A">
              <w:rPr>
                <w:rFonts w:ascii="Times New Roman" w:eastAsia="Times New Roman" w:hAnsi="Times New Roman" w:cs="Times New Roman"/>
                <w:sz w:val="20"/>
              </w:rPr>
              <w:t>4. Where the Competent Authority has reason to believe that an error has led to inaccurate or incomplete information, or that the reporting or the due diligence procedures are not in conformity with the applicable requirements, it shall notify the reporting financial institution and shall require the correction, completion or resubmission of the information within a determined time limit.</w:t>
            </w:r>
          </w:p>
          <w:p w14:paraId="13D1DCA3" w14:textId="77777777" w:rsidR="00FA0CFF" w:rsidRPr="004E6A4A" w:rsidRDefault="00144445">
            <w:pPr>
              <w:jc w:val="both"/>
            </w:pPr>
            <w:r w:rsidRPr="004E6A4A">
              <w:rPr>
                <w:rFonts w:ascii="Times New Roman" w:eastAsia="Times New Roman" w:hAnsi="Times New Roman" w:cs="Times New Roman"/>
                <w:sz w:val="20"/>
              </w:rPr>
              <w:t>5. The Competent Authority shall follow up the cases in which a reporting financial institution reports undocumented accounts and shall require the institution to take the necessary corrective measures for the completion of the documentation or the review of the status of the account.</w:t>
            </w:r>
          </w:p>
          <w:p w14:paraId="750A19E0" w14:textId="77777777" w:rsidR="00FA0CFF" w:rsidRPr="004E6A4A" w:rsidRDefault="00FA0CFF"/>
          <w:p w14:paraId="1F8F9D37" w14:textId="77777777" w:rsidR="00FA0CFF" w:rsidRPr="004E6A4A" w:rsidRDefault="00144445">
            <w:pPr>
              <w:jc w:val="center"/>
            </w:pPr>
            <w:r w:rsidRPr="004E6A4A">
              <w:rPr>
                <w:rFonts w:ascii="Times New Roman" w:eastAsia="Times New Roman" w:hAnsi="Times New Roman" w:cs="Times New Roman"/>
                <w:b/>
                <w:sz w:val="20"/>
              </w:rPr>
              <w:t>DCM: Article 13</w:t>
            </w:r>
          </w:p>
          <w:p w14:paraId="638EFDC0" w14:textId="77777777" w:rsidR="00FA0CFF" w:rsidRPr="004E6A4A" w:rsidRDefault="00144445">
            <w:pPr>
              <w:jc w:val="center"/>
            </w:pPr>
            <w:r w:rsidRPr="004E6A4A">
              <w:rPr>
                <w:rFonts w:ascii="Times New Roman" w:eastAsia="Times New Roman" w:hAnsi="Times New Roman" w:cs="Times New Roman"/>
                <w:b/>
                <w:sz w:val="20"/>
              </w:rPr>
              <w:t>Effective implementation and compliance control</w:t>
            </w:r>
          </w:p>
          <w:p w14:paraId="7FA9A67B" w14:textId="77777777" w:rsidR="00FA0CFF" w:rsidRPr="004E6A4A" w:rsidRDefault="00144445">
            <w:pPr>
              <w:jc w:val="both"/>
            </w:pPr>
            <w:r w:rsidRPr="004E6A4A">
              <w:rPr>
                <w:rFonts w:ascii="Times New Roman" w:eastAsia="Times New Roman" w:hAnsi="Times New Roman" w:cs="Times New Roman"/>
                <w:sz w:val="20"/>
              </w:rPr>
              <w:t>3. The GDT shall carry out controls and administrative procedures for the verification of the fulfilment of the reporting and due diligence obligations and may request the necessary documentation, records and data.</w:t>
            </w:r>
          </w:p>
          <w:p w14:paraId="2A64C6EE" w14:textId="77777777" w:rsidR="00FA0CFF" w:rsidRPr="004E6A4A" w:rsidRDefault="00144445">
            <w:pPr>
              <w:jc w:val="both"/>
            </w:pPr>
            <w:r w:rsidRPr="004E6A4A">
              <w:rPr>
                <w:rFonts w:ascii="Times New Roman" w:eastAsia="Times New Roman" w:hAnsi="Times New Roman" w:cs="Times New Roman"/>
                <w:sz w:val="20"/>
              </w:rPr>
              <w:t>4. Where an Undocumented Account is reported or deficiencies are identified in the information reported, the GDT shall carry out the administrative follow-up with the reporting financial institution and shall require, as the case may be, the taking of corrective measures, the completion, correction or resubmission of the information.</w:t>
            </w:r>
          </w:p>
          <w:p w14:paraId="773050E1" w14:textId="77777777" w:rsidR="00FA0CFF" w:rsidRPr="004E6A4A" w:rsidRDefault="00144445">
            <w:pPr>
              <w:jc w:val="both"/>
            </w:pPr>
            <w:r w:rsidRPr="004E6A4A">
              <w:rPr>
                <w:rFonts w:ascii="Times New Roman" w:eastAsia="Times New Roman" w:hAnsi="Times New Roman" w:cs="Times New Roman"/>
                <w:sz w:val="20"/>
              </w:rPr>
              <w:lastRenderedPageBreak/>
              <w:t>8. The GDT may publish technical instructions on the submission, validation, correction, replacement and management of messages, without creating or altering substantive obligations determined in the law or in this Decision.</w:t>
            </w:r>
          </w:p>
        </w:tc>
        <w:tc>
          <w:tcPr>
            <w:tcW w:w="1156" w:type="dxa"/>
          </w:tcPr>
          <w:p w14:paraId="7497E94F" w14:textId="77777777" w:rsidR="00A51FF1" w:rsidRPr="004E6A4A" w:rsidRDefault="00A51FF1" w:rsidP="00C4419F">
            <w:pPr>
              <w:jc w:val="center"/>
              <w:rPr>
                <w:rFonts w:ascii="Times New Roman" w:eastAsia="Calibri" w:hAnsi="Times New Roman" w:cs="Times New Roman"/>
                <w:sz w:val="18"/>
                <w:szCs w:val="18"/>
              </w:rPr>
            </w:pPr>
          </w:p>
          <w:p w14:paraId="77CA4CC3" w14:textId="6E5CAE4E"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139BBF5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907A9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14, points 1, 2, 3, 4 and 5 of the Draft Law and by Article 13, points 3, 4 and 8 of the Decision.</w:t>
            </w:r>
          </w:p>
        </w:tc>
      </w:tr>
      <w:tr w:rsidR="004E6A4A" w:rsidRPr="004E6A4A" w14:paraId="09B28FA5" w14:textId="77777777" w:rsidTr="00E11E6D">
        <w:trPr>
          <w:trHeight w:val="764"/>
        </w:trPr>
        <w:tc>
          <w:tcPr>
            <w:tcW w:w="720" w:type="dxa"/>
          </w:tcPr>
          <w:p w14:paraId="5DA45D02"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15EEE4A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 administrative procedures to ensure that the Entities and accounts defined in domestic law as Non-Reporting Financial Institutions and Excluded Accounts continue to have a low risk of being used to evade tax; and</w:t>
            </w:r>
          </w:p>
        </w:tc>
        <w:tc>
          <w:tcPr>
            <w:tcW w:w="1080" w:type="dxa"/>
          </w:tcPr>
          <w:p w14:paraId="2426A0A5"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78ED8FD0"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08C763FE" w14:textId="77777777" w:rsidR="00FA0CFF" w:rsidRPr="004E6A4A" w:rsidRDefault="00144445">
            <w:pPr>
              <w:jc w:val="center"/>
            </w:pPr>
            <w:r w:rsidRPr="004E6A4A">
              <w:rPr>
                <w:rFonts w:ascii="Times New Roman" w:eastAsia="Times New Roman" w:hAnsi="Times New Roman" w:cs="Times New Roman"/>
                <w:b/>
                <w:sz w:val="20"/>
              </w:rPr>
              <w:t>Draft Law: Article 14</w:t>
            </w:r>
          </w:p>
          <w:p w14:paraId="6453C204" w14:textId="77777777" w:rsidR="00FA0CFF" w:rsidRPr="004E6A4A" w:rsidRDefault="00144445">
            <w:pPr>
              <w:jc w:val="center"/>
            </w:pPr>
            <w:r w:rsidRPr="004E6A4A">
              <w:rPr>
                <w:rFonts w:ascii="Times New Roman" w:eastAsia="Times New Roman" w:hAnsi="Times New Roman" w:cs="Times New Roman"/>
                <w:b/>
                <w:sz w:val="20"/>
              </w:rPr>
              <w:t>Duties and powers of the Competent Authority</w:t>
            </w:r>
          </w:p>
          <w:p w14:paraId="7C46FCE0" w14:textId="77777777" w:rsidR="00FA0CFF" w:rsidRPr="004E6A4A" w:rsidRDefault="00144445">
            <w:pPr>
              <w:jc w:val="both"/>
            </w:pPr>
            <w:r w:rsidRPr="004E6A4A">
              <w:rPr>
                <w:rFonts w:ascii="Times New Roman" w:eastAsia="Times New Roman" w:hAnsi="Times New Roman" w:cs="Times New Roman"/>
                <w:sz w:val="20"/>
              </w:rPr>
              <w:t>6. The Competent Authority shall periodically verify that the entities and accounts determined as non-reporting financial institutions or excluded accounts continue to present a low risk of being used for tax avoidance or evasion. Where the conditions are no longer met, the Competent Authority shall take measures for the amendment of the classification or of the relevant list.</w:t>
            </w:r>
          </w:p>
          <w:p w14:paraId="4A600D05" w14:textId="77777777" w:rsidR="00FA0CFF" w:rsidRPr="004E6A4A" w:rsidRDefault="00FA0CFF"/>
          <w:p w14:paraId="61E0452B" w14:textId="77777777" w:rsidR="00FA0CFF" w:rsidRPr="004E6A4A" w:rsidRDefault="00144445">
            <w:pPr>
              <w:jc w:val="center"/>
            </w:pPr>
            <w:r w:rsidRPr="004E6A4A">
              <w:rPr>
                <w:rFonts w:ascii="Times New Roman" w:eastAsia="Times New Roman" w:hAnsi="Times New Roman" w:cs="Times New Roman"/>
                <w:b/>
                <w:sz w:val="20"/>
              </w:rPr>
              <w:t>DCM: Article 13</w:t>
            </w:r>
          </w:p>
          <w:p w14:paraId="73CA5FFB" w14:textId="77777777" w:rsidR="00FA0CFF" w:rsidRPr="004E6A4A" w:rsidRDefault="00144445">
            <w:pPr>
              <w:jc w:val="center"/>
            </w:pPr>
            <w:r w:rsidRPr="004E6A4A">
              <w:rPr>
                <w:rFonts w:ascii="Times New Roman" w:eastAsia="Times New Roman" w:hAnsi="Times New Roman" w:cs="Times New Roman"/>
                <w:b/>
                <w:sz w:val="20"/>
              </w:rPr>
              <w:t>Effective implementation and compliance control</w:t>
            </w:r>
          </w:p>
          <w:p w14:paraId="35D10676" w14:textId="77777777" w:rsidR="00FA0CFF" w:rsidRPr="004E6A4A" w:rsidRDefault="00144445">
            <w:pPr>
              <w:jc w:val="both"/>
            </w:pPr>
            <w:r w:rsidRPr="004E6A4A">
              <w:rPr>
                <w:rFonts w:ascii="Times New Roman" w:eastAsia="Times New Roman" w:hAnsi="Times New Roman" w:cs="Times New Roman"/>
                <w:sz w:val="20"/>
              </w:rPr>
              <w:t>5. The GDT shall periodically review whether the entities and accounts treated as Non-Reporting Financial Institutions or Excluded Accounts continue to present a low risk of being used for tax evasion and whether their status does not undermine the purposes of the relevant profile.</w:t>
            </w:r>
          </w:p>
          <w:p w14:paraId="2EF1B476" w14:textId="77777777" w:rsidR="00FA0CFF" w:rsidRPr="004E6A4A" w:rsidRDefault="00144445">
            <w:pPr>
              <w:jc w:val="both"/>
            </w:pPr>
            <w:r w:rsidRPr="004E6A4A">
              <w:rPr>
                <w:rFonts w:ascii="Times New Roman" w:eastAsia="Times New Roman" w:hAnsi="Times New Roman" w:cs="Times New Roman"/>
                <w:sz w:val="20"/>
              </w:rPr>
              <w:t>6. Where the conditions of point 5 are no longer met, the GDT shall propose or take, within its competence, the necessary measures for the amendment of the classification or of the relevant list.</w:t>
            </w:r>
          </w:p>
        </w:tc>
        <w:tc>
          <w:tcPr>
            <w:tcW w:w="1156" w:type="dxa"/>
          </w:tcPr>
          <w:p w14:paraId="0C62D18A" w14:textId="101A3A25"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09A4D34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34B394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14, point 6 of the Draft Law and by Article 13, points 5 and 6 of the Decision.</w:t>
            </w:r>
          </w:p>
        </w:tc>
      </w:tr>
      <w:tr w:rsidR="004E6A4A" w:rsidRPr="004E6A4A" w14:paraId="1BFBE5CE" w14:textId="77777777" w:rsidTr="00E11E6D">
        <w:trPr>
          <w:trHeight w:val="764"/>
        </w:trPr>
        <w:tc>
          <w:tcPr>
            <w:tcW w:w="720" w:type="dxa"/>
          </w:tcPr>
          <w:p w14:paraId="223D727A"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47E0CF0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 effective enforcement provisions to address non-compliance.</w:t>
            </w:r>
          </w:p>
        </w:tc>
        <w:tc>
          <w:tcPr>
            <w:tcW w:w="1080" w:type="dxa"/>
          </w:tcPr>
          <w:p w14:paraId="5F52EF89"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0BBC368F"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16740E66" w14:textId="77777777" w:rsidR="00FA0CFF" w:rsidRPr="004E6A4A" w:rsidRDefault="00144445">
            <w:pPr>
              <w:jc w:val="center"/>
            </w:pPr>
            <w:r w:rsidRPr="004E6A4A">
              <w:rPr>
                <w:rFonts w:ascii="Times New Roman" w:eastAsia="Times New Roman" w:hAnsi="Times New Roman" w:cs="Times New Roman"/>
                <w:b/>
                <w:sz w:val="20"/>
              </w:rPr>
              <w:t>Draft Law: Article 17</w:t>
            </w:r>
          </w:p>
          <w:p w14:paraId="7D592F60" w14:textId="77777777" w:rsidR="00FA0CFF" w:rsidRPr="004E6A4A" w:rsidRDefault="00144445">
            <w:pPr>
              <w:jc w:val="center"/>
            </w:pPr>
            <w:r w:rsidRPr="004E6A4A">
              <w:rPr>
                <w:rFonts w:ascii="Times New Roman" w:eastAsia="Times New Roman" w:hAnsi="Times New Roman" w:cs="Times New Roman"/>
                <w:b/>
                <w:sz w:val="20"/>
              </w:rPr>
              <w:t>Administrative offences and sanctions</w:t>
            </w:r>
          </w:p>
          <w:p w14:paraId="617B6B49" w14:textId="77777777" w:rsidR="00FA0CFF" w:rsidRPr="004E6A4A" w:rsidRDefault="00144445">
            <w:pPr>
              <w:jc w:val="both"/>
            </w:pPr>
            <w:r w:rsidRPr="004E6A4A">
              <w:rPr>
                <w:rFonts w:ascii="Times New Roman" w:eastAsia="Times New Roman" w:hAnsi="Times New Roman" w:cs="Times New Roman"/>
                <w:sz w:val="20"/>
              </w:rPr>
              <w:t>1. Failure to fulfil the obligations provided for in this Law, for which no specific administrative measure has been determined, shall constitute an administrative offence and shall be punishable by a fine of from ALL 100 000 (one hundred thousand) to ALL 1 000 000 (one million).</w:t>
            </w:r>
          </w:p>
          <w:p w14:paraId="56CFC1A2" w14:textId="77777777" w:rsidR="00FA0CFF" w:rsidRPr="004E6A4A" w:rsidRDefault="00144445">
            <w:pPr>
              <w:jc w:val="both"/>
            </w:pPr>
            <w:r w:rsidRPr="004E6A4A">
              <w:rPr>
                <w:rFonts w:ascii="Times New Roman" w:eastAsia="Times New Roman" w:hAnsi="Times New Roman" w:cs="Times New Roman"/>
                <w:sz w:val="20"/>
              </w:rPr>
              <w:lastRenderedPageBreak/>
              <w:t>2. The following infringements shall in particular constitute administrative offences, where committed by the reporting financial institution or by the other person having the relevant obligation under this Law, and shall be punishable by a fine:</w:t>
            </w:r>
          </w:p>
          <w:p w14:paraId="7B445630" w14:textId="77777777" w:rsidR="00FA0CFF" w:rsidRPr="004E6A4A" w:rsidRDefault="00144445">
            <w:pPr>
              <w:jc w:val="both"/>
            </w:pPr>
            <w:r w:rsidRPr="004E6A4A">
              <w:rPr>
                <w:rFonts w:ascii="Times New Roman" w:eastAsia="Times New Roman" w:hAnsi="Times New Roman" w:cs="Times New Roman"/>
                <w:sz w:val="20"/>
              </w:rPr>
              <w:t>a) failure to submit the information which is mandatory to be reported within the time limit determined in this Law shall be punishable by a fine of from ALL 300 000 (three hundred thousand) to ALL 700 000 (seven hundred thousand);</w:t>
            </w:r>
          </w:p>
          <w:p w14:paraId="07AB76B0" w14:textId="77777777" w:rsidR="00FA0CFF" w:rsidRPr="004E6A4A" w:rsidRDefault="00144445">
            <w:pPr>
              <w:jc w:val="both"/>
            </w:pPr>
            <w:r w:rsidRPr="004E6A4A">
              <w:rPr>
                <w:rFonts w:ascii="Times New Roman" w:eastAsia="Times New Roman" w:hAnsi="Times New Roman" w:cs="Times New Roman"/>
                <w:sz w:val="20"/>
              </w:rPr>
              <w:t>b) submission of incomplete, inaccurate or untrue information, as well as failure to correct or complete it within the time limit determined by the Competent Authority, shall be punishable by a fine of from ALL 200 000 (two hundred thousand) to ALL 600 000 (six hundred thousand);</w:t>
            </w:r>
          </w:p>
          <w:p w14:paraId="57F4EC2B" w14:textId="77777777" w:rsidR="00FA0CFF" w:rsidRPr="004E6A4A" w:rsidRDefault="00144445">
            <w:pPr>
              <w:jc w:val="both"/>
            </w:pPr>
            <w:r w:rsidRPr="004E6A4A">
              <w:rPr>
                <w:rFonts w:ascii="Times New Roman" w:eastAsia="Times New Roman" w:hAnsi="Times New Roman" w:cs="Times New Roman"/>
                <w:sz w:val="20"/>
              </w:rPr>
              <w:t>c) failure to fulfil, in whole or in part, the obligations for the application of the due diligence procedures determined in this Law, including failure to take reasonable measures for the identification and documentation of reportable accounts, shall be punishable by a fine of from ALL 150 000 (one hundred and fifty thousand) to ALL 750 000 (seven hundred and fifty thousand);</w:t>
            </w:r>
          </w:p>
          <w:p w14:paraId="6A150A3B" w14:textId="77777777" w:rsidR="00FA0CFF" w:rsidRPr="004E6A4A" w:rsidRDefault="00144445">
            <w:pPr>
              <w:jc w:val="both"/>
            </w:pPr>
            <w:r w:rsidRPr="004E6A4A">
              <w:rPr>
                <w:rFonts w:ascii="Times New Roman" w:eastAsia="Times New Roman" w:hAnsi="Times New Roman" w:cs="Times New Roman"/>
                <w:sz w:val="20"/>
              </w:rPr>
              <w:t>ç) failure to fulfil the obligation to keep and retain the records, documentation and evidence required under this Law shall be punishable by a fine of from ALL 50 000 (fifty thousand) to ALL 300 000 (three hundred thousand);</w:t>
            </w:r>
          </w:p>
          <w:p w14:paraId="443666C1" w14:textId="77777777" w:rsidR="00FA0CFF" w:rsidRPr="004E6A4A" w:rsidRDefault="00144445">
            <w:pPr>
              <w:jc w:val="both"/>
            </w:pPr>
            <w:r w:rsidRPr="004E6A4A">
              <w:rPr>
                <w:rFonts w:ascii="Times New Roman" w:eastAsia="Times New Roman" w:hAnsi="Times New Roman" w:cs="Times New Roman"/>
                <w:sz w:val="20"/>
              </w:rPr>
              <w:t>d) failure by the account holder, the controlling person or the other responsible person to provide the information or documentation required under this Law shall be punishable by a fine of from ALL 300 000 (three hundred thousand) to ALL 700 000 (seven hundred thousand);</w:t>
            </w:r>
          </w:p>
          <w:p w14:paraId="7610D479" w14:textId="77777777" w:rsidR="00FA0CFF" w:rsidRPr="004E6A4A" w:rsidRDefault="00144445">
            <w:pPr>
              <w:jc w:val="both"/>
            </w:pPr>
            <w:r w:rsidRPr="004E6A4A">
              <w:rPr>
                <w:rFonts w:ascii="Times New Roman" w:eastAsia="Times New Roman" w:hAnsi="Times New Roman" w:cs="Times New Roman"/>
                <w:sz w:val="20"/>
              </w:rPr>
              <w:t xml:space="preserve">dh) the signing, submission or confirmation of a false self-certification by the account holder, the controlling </w:t>
            </w:r>
            <w:r w:rsidRPr="004E6A4A">
              <w:rPr>
                <w:rFonts w:ascii="Times New Roman" w:eastAsia="Times New Roman" w:hAnsi="Times New Roman" w:cs="Times New Roman"/>
                <w:sz w:val="20"/>
              </w:rPr>
              <w:lastRenderedPageBreak/>
              <w:t>person or the other responsible person, contrary to the requirements of this Law, shall be punishable by a fine of from ALL 500 000 (five hundred thousand) to ALL 1 000 000 (one million);</w:t>
            </w:r>
          </w:p>
          <w:p w14:paraId="7EB42867" w14:textId="77777777" w:rsidR="00FA0CFF" w:rsidRPr="004E6A4A" w:rsidRDefault="00144445">
            <w:pPr>
              <w:jc w:val="both"/>
            </w:pPr>
            <w:r w:rsidRPr="004E6A4A">
              <w:rPr>
                <w:rFonts w:ascii="Times New Roman" w:eastAsia="Times New Roman" w:hAnsi="Times New Roman" w:cs="Times New Roman"/>
                <w:sz w:val="20"/>
              </w:rPr>
              <w:t>e) obstruction, refusal or non-cooperation, directly or indirectly, during the verification and control procedures carried out by the Competent Authority, including failure to make available the records, documents, evidence or information requested, shall be punishable by a fine of from ALL 500 000 (five hundred thousand) to ALL 1 000 000 (one million).</w:t>
            </w:r>
          </w:p>
          <w:p w14:paraId="607F00C3" w14:textId="77777777" w:rsidR="00FA0CFF" w:rsidRPr="004E6A4A" w:rsidRDefault="00144445">
            <w:pPr>
              <w:jc w:val="both"/>
            </w:pPr>
            <w:r w:rsidRPr="004E6A4A">
              <w:rPr>
                <w:rFonts w:ascii="Times New Roman" w:eastAsia="Times New Roman" w:hAnsi="Times New Roman" w:cs="Times New Roman"/>
                <w:sz w:val="20"/>
              </w:rPr>
              <w:t>3. The fines under point 2 of this Article shall be determined taking into account the nature, gravity, duration and repetition of the infringement, the degree of responsibility and any other relevant circumstance, in accordance with the principle of proportionality.</w:t>
            </w:r>
          </w:p>
          <w:p w14:paraId="034D10BC" w14:textId="77777777" w:rsidR="00FA0CFF" w:rsidRPr="004E6A4A" w:rsidRDefault="00144445">
            <w:pPr>
              <w:jc w:val="both"/>
            </w:pPr>
            <w:r w:rsidRPr="004E6A4A">
              <w:rPr>
                <w:rFonts w:ascii="Times New Roman" w:eastAsia="Times New Roman" w:hAnsi="Times New Roman" w:cs="Times New Roman"/>
                <w:sz w:val="20"/>
              </w:rPr>
              <w:t>4. For the infringements provided for in point 2 of this Article, where the same act or omission constitutes more than one administrative offence under this Law, only the sanction providing for the highest measure for the same infringement shall apply.</w:t>
            </w:r>
          </w:p>
          <w:p w14:paraId="3E87B23F" w14:textId="77777777" w:rsidR="00FA0CFF" w:rsidRPr="004E6A4A" w:rsidRDefault="00144445">
            <w:pPr>
              <w:jc w:val="both"/>
            </w:pPr>
            <w:r w:rsidRPr="004E6A4A">
              <w:rPr>
                <w:rFonts w:ascii="Times New Roman" w:eastAsia="Times New Roman" w:hAnsi="Times New Roman" w:cs="Times New Roman"/>
                <w:sz w:val="20"/>
              </w:rPr>
              <w:t>5. The fine shall be imposed by the head of the General Directorate of Taxation, in accordance with the legislation in force on administrative offences.</w:t>
            </w:r>
          </w:p>
          <w:p w14:paraId="76CDEC55" w14:textId="77777777" w:rsidR="00FA0CFF" w:rsidRPr="004E6A4A" w:rsidRDefault="00144445">
            <w:pPr>
              <w:jc w:val="both"/>
            </w:pPr>
            <w:r w:rsidRPr="004E6A4A">
              <w:rPr>
                <w:rFonts w:ascii="Times New Roman" w:eastAsia="Times New Roman" w:hAnsi="Times New Roman" w:cs="Times New Roman"/>
                <w:sz w:val="20"/>
              </w:rPr>
              <w:t>6. The sanctions provided for in this Article must be effective, proportionate and dissuasive.</w:t>
            </w:r>
          </w:p>
          <w:p w14:paraId="54F07ABB" w14:textId="77777777" w:rsidR="00FA0CFF" w:rsidRPr="004E6A4A" w:rsidRDefault="00144445">
            <w:pPr>
              <w:jc w:val="both"/>
            </w:pPr>
            <w:r w:rsidRPr="004E6A4A">
              <w:rPr>
                <w:rFonts w:ascii="Times New Roman" w:eastAsia="Times New Roman" w:hAnsi="Times New Roman" w:cs="Times New Roman"/>
                <w:sz w:val="20"/>
              </w:rPr>
              <w:t>7. An appeal against the decision imposing the fine may be lodged with the competent administrative court, in accordance with the legislation in force.</w:t>
            </w:r>
          </w:p>
          <w:p w14:paraId="28A12988" w14:textId="77777777" w:rsidR="00FA0CFF" w:rsidRPr="004E6A4A" w:rsidRDefault="00FA0CFF"/>
          <w:p w14:paraId="49C318D4" w14:textId="77777777" w:rsidR="00FA0CFF" w:rsidRPr="004E6A4A" w:rsidRDefault="00144445">
            <w:pPr>
              <w:jc w:val="center"/>
            </w:pPr>
            <w:r w:rsidRPr="004E6A4A">
              <w:rPr>
                <w:rFonts w:ascii="Times New Roman" w:eastAsia="Times New Roman" w:hAnsi="Times New Roman" w:cs="Times New Roman"/>
                <w:b/>
                <w:sz w:val="20"/>
              </w:rPr>
              <w:t>DCM: Article 13</w:t>
            </w:r>
          </w:p>
          <w:p w14:paraId="5C9C4F5C" w14:textId="77777777" w:rsidR="00FA0CFF" w:rsidRPr="004E6A4A" w:rsidRDefault="00144445">
            <w:pPr>
              <w:jc w:val="center"/>
            </w:pPr>
            <w:r w:rsidRPr="004E6A4A">
              <w:rPr>
                <w:rFonts w:ascii="Times New Roman" w:eastAsia="Times New Roman" w:hAnsi="Times New Roman" w:cs="Times New Roman"/>
                <w:b/>
                <w:sz w:val="20"/>
              </w:rPr>
              <w:t>Effective implementation and compliance control</w:t>
            </w:r>
          </w:p>
          <w:p w14:paraId="739D6E29" w14:textId="77777777" w:rsidR="00FA0CFF" w:rsidRPr="004E6A4A" w:rsidRDefault="00144445">
            <w:pPr>
              <w:jc w:val="both"/>
            </w:pPr>
            <w:r w:rsidRPr="004E6A4A">
              <w:rPr>
                <w:rFonts w:ascii="Times New Roman" w:eastAsia="Times New Roman" w:hAnsi="Times New Roman" w:cs="Times New Roman"/>
                <w:sz w:val="20"/>
              </w:rPr>
              <w:t>7. Infringements of the obligations of the law and of this Decision shall be dealt with in accordance with the relevant provisions of the law and of the tax legislation in force.</w:t>
            </w:r>
          </w:p>
        </w:tc>
        <w:tc>
          <w:tcPr>
            <w:tcW w:w="1156" w:type="dxa"/>
          </w:tcPr>
          <w:p w14:paraId="7EFBC883" w14:textId="77777777" w:rsidR="00C4419F" w:rsidRPr="004E6A4A" w:rsidRDefault="00C4419F" w:rsidP="00C4419F">
            <w:pPr>
              <w:jc w:val="center"/>
              <w:rPr>
                <w:rFonts w:ascii="Times New Roman" w:eastAsia="Calibri" w:hAnsi="Times New Roman" w:cs="Times New Roman"/>
                <w:sz w:val="18"/>
                <w:szCs w:val="18"/>
              </w:rPr>
            </w:pPr>
          </w:p>
        </w:tc>
        <w:tc>
          <w:tcPr>
            <w:tcW w:w="2970" w:type="dxa"/>
          </w:tcPr>
          <w:p w14:paraId="799810C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59C7B1A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17 of the Draft Law and by Article 13, point 7 of the Decision.</w:t>
            </w:r>
          </w:p>
        </w:tc>
      </w:tr>
      <w:tr w:rsidR="004E6A4A" w:rsidRPr="004E6A4A" w14:paraId="5076B882" w14:textId="77777777" w:rsidTr="00E11E6D">
        <w:trPr>
          <w:trHeight w:val="4184"/>
        </w:trPr>
        <w:tc>
          <w:tcPr>
            <w:tcW w:w="720" w:type="dxa"/>
          </w:tcPr>
          <w:p w14:paraId="29ABC4BD"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5CF8138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In order to achieve the purposes of this Directive, records referred to in the first paragraph, point (2), shall remain available not longer than necessary but in any event not less than five years.</w:t>
            </w:r>
          </w:p>
        </w:tc>
        <w:tc>
          <w:tcPr>
            <w:tcW w:w="1080" w:type="dxa"/>
          </w:tcPr>
          <w:p w14:paraId="54CCD29C"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50B88004"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341258DE" w14:textId="77777777" w:rsidR="00FA0CFF" w:rsidRPr="004E6A4A" w:rsidRDefault="00144445">
            <w:pPr>
              <w:jc w:val="center"/>
            </w:pPr>
            <w:r w:rsidRPr="004E6A4A">
              <w:rPr>
                <w:rFonts w:ascii="Times New Roman" w:eastAsia="Times New Roman" w:hAnsi="Times New Roman" w:cs="Times New Roman"/>
                <w:b/>
                <w:sz w:val="20"/>
              </w:rPr>
              <w:t>Draft Law: Article 15</w:t>
            </w:r>
          </w:p>
          <w:p w14:paraId="3EE81E48" w14:textId="77777777" w:rsidR="00FA0CFF" w:rsidRPr="004E6A4A" w:rsidRDefault="00144445">
            <w:pPr>
              <w:jc w:val="center"/>
            </w:pPr>
            <w:r w:rsidRPr="004E6A4A">
              <w:rPr>
                <w:rFonts w:ascii="Times New Roman" w:eastAsia="Times New Roman" w:hAnsi="Times New Roman" w:cs="Times New Roman"/>
                <w:b/>
                <w:sz w:val="20"/>
              </w:rPr>
              <w:t>Record keeping and the obligation to retain records</w:t>
            </w:r>
          </w:p>
          <w:p w14:paraId="69DE7DA1" w14:textId="77777777" w:rsidR="00FA0CFF" w:rsidRPr="004E6A4A" w:rsidRDefault="00144445">
            <w:pPr>
              <w:jc w:val="both"/>
            </w:pPr>
            <w:r w:rsidRPr="004E6A4A">
              <w:rPr>
                <w:rFonts w:ascii="Times New Roman" w:eastAsia="Times New Roman" w:hAnsi="Times New Roman" w:cs="Times New Roman"/>
                <w:sz w:val="20"/>
              </w:rPr>
              <w:t>2. The reporting financial institution:</w:t>
            </w:r>
          </w:p>
          <w:p w14:paraId="178682A6" w14:textId="77777777" w:rsidR="00FA0CFF" w:rsidRPr="004E6A4A" w:rsidRDefault="00144445">
            <w:pPr>
              <w:jc w:val="both"/>
            </w:pPr>
            <w:r w:rsidRPr="004E6A4A">
              <w:rPr>
                <w:rFonts w:ascii="Times New Roman" w:eastAsia="Times New Roman" w:hAnsi="Times New Roman" w:cs="Times New Roman"/>
                <w:sz w:val="20"/>
              </w:rPr>
              <w:t>a) shall keep records of the steps undertaken and of any evidence on which it has relied for the fulfilment of the reporting and due diligence obligations, including self-certifications, documentary evidence and the documentation for the identification of reportable accounts. The records may be kept in electronic or paper form;</w:t>
            </w:r>
          </w:p>
          <w:p w14:paraId="1E4EE922" w14:textId="77777777" w:rsidR="00FA0CFF" w:rsidRPr="004E6A4A" w:rsidRDefault="00144445">
            <w:pPr>
              <w:jc w:val="both"/>
            </w:pPr>
            <w:r w:rsidRPr="004E6A4A">
              <w:rPr>
                <w:rFonts w:ascii="Times New Roman" w:eastAsia="Times New Roman" w:hAnsi="Times New Roman" w:cs="Times New Roman"/>
                <w:sz w:val="20"/>
              </w:rPr>
              <w:t>b) shall retain those records for no longer than is necessary for the purposes for which they were collected, but in any event for not less than five years after the end of the period within which the information must be reported. After the end of the retention period applicable under this letter, the records shall be destroyed, except where further retention is required by another legal provision or is necessary for an ongoing control, administrative or judicial procedure;</w:t>
            </w:r>
          </w:p>
          <w:p w14:paraId="54527420" w14:textId="77777777" w:rsidR="00FA0CFF" w:rsidRPr="004E6A4A" w:rsidRDefault="00144445">
            <w:pPr>
              <w:jc w:val="both"/>
            </w:pPr>
            <w:r w:rsidRPr="004E6A4A">
              <w:rPr>
                <w:rFonts w:ascii="Times New Roman" w:eastAsia="Times New Roman" w:hAnsi="Times New Roman" w:cs="Times New Roman"/>
                <w:sz w:val="20"/>
              </w:rPr>
              <w:t>c) shall take the necessary technical and organisational measures to guarantee the security of the personal data processed within the framework of this Law.</w:t>
            </w:r>
          </w:p>
        </w:tc>
        <w:tc>
          <w:tcPr>
            <w:tcW w:w="1156" w:type="dxa"/>
          </w:tcPr>
          <w:p w14:paraId="31F6CAAB" w14:textId="77777777" w:rsidR="00A51FF1" w:rsidRPr="004E6A4A" w:rsidRDefault="00A51FF1" w:rsidP="00C4419F">
            <w:pPr>
              <w:jc w:val="center"/>
              <w:rPr>
                <w:rFonts w:ascii="Times New Roman" w:eastAsia="Calibri" w:hAnsi="Times New Roman" w:cs="Times New Roman"/>
                <w:sz w:val="18"/>
                <w:szCs w:val="18"/>
              </w:rPr>
            </w:pPr>
          </w:p>
          <w:p w14:paraId="04C57D4B" w14:textId="5A1D529A"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7A3DC0F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2E21DA8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15, point 2 of the Draft Law.</w:t>
            </w:r>
          </w:p>
        </w:tc>
      </w:tr>
      <w:tr w:rsidR="004E6A4A" w:rsidRPr="004E6A4A" w14:paraId="5262FF16" w14:textId="77777777" w:rsidTr="00E11E6D">
        <w:trPr>
          <w:trHeight w:val="764"/>
        </w:trPr>
        <w:tc>
          <w:tcPr>
            <w:tcW w:w="720" w:type="dxa"/>
          </w:tcPr>
          <w:p w14:paraId="63C8D8BC" w14:textId="77777777" w:rsidR="00FA0CFF" w:rsidRPr="004E6A4A" w:rsidRDefault="00FA0CFF"/>
        </w:tc>
        <w:tc>
          <w:tcPr>
            <w:tcW w:w="4860" w:type="dxa"/>
          </w:tcPr>
          <w:p w14:paraId="2B2F9BE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SECTION X</w:t>
            </w:r>
          </w:p>
          <w:p w14:paraId="5C7C030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IMPLEMENTATION DATES AS REGARDS REPORTING FINANCIAL INSTITUTIONS LOCATED IN AUSTRIA</w:t>
            </w:r>
          </w:p>
          <w:p w14:paraId="1C8DA3F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In the case of Reporting Financial Institutions located in Austria, all references to ‘2016’ and ‘2017’ in this Annex should be read as references to ‘2017’ and ‘2018’ respectively.</w:t>
            </w:r>
          </w:p>
          <w:p w14:paraId="00D76AC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In the case of Pre-existing Accounts held by Reporting Financial Institutions located in Austria, all references to ‘31 December 2015’ in this Annex should be read as references to ‘31 December 2016’.</w:t>
            </w:r>
          </w:p>
        </w:tc>
        <w:tc>
          <w:tcPr>
            <w:tcW w:w="1080" w:type="dxa"/>
          </w:tcPr>
          <w:p w14:paraId="63285BC3" w14:textId="77777777" w:rsidR="00FA0CFF" w:rsidRPr="004E6A4A" w:rsidRDefault="00FA0CFF"/>
        </w:tc>
        <w:tc>
          <w:tcPr>
            <w:tcW w:w="900" w:type="dxa"/>
          </w:tcPr>
          <w:p w14:paraId="1E553144" w14:textId="77777777" w:rsidR="00FA0CFF" w:rsidRPr="004E6A4A" w:rsidRDefault="00FA0CFF"/>
        </w:tc>
        <w:tc>
          <w:tcPr>
            <w:tcW w:w="4514" w:type="dxa"/>
          </w:tcPr>
          <w:p w14:paraId="454FD272" w14:textId="77777777" w:rsidR="00FA0CFF" w:rsidRPr="004E6A4A" w:rsidRDefault="00144445">
            <w:pPr>
              <w:jc w:val="center"/>
            </w:pPr>
            <w:r w:rsidRPr="004E6A4A">
              <w:rPr>
                <w:rFonts w:ascii="Times New Roman" w:eastAsia="Times New Roman" w:hAnsi="Times New Roman" w:cs="Times New Roman"/>
                <w:sz w:val="20"/>
              </w:rPr>
              <w:t>N/A</w:t>
            </w:r>
          </w:p>
        </w:tc>
        <w:tc>
          <w:tcPr>
            <w:tcW w:w="1156" w:type="dxa"/>
          </w:tcPr>
          <w:p w14:paraId="224949F7" w14:textId="77777777" w:rsidR="00FA0CFF" w:rsidRPr="004E6A4A" w:rsidRDefault="00144445">
            <w:pPr>
              <w:jc w:val="center"/>
            </w:pPr>
            <w:r w:rsidRPr="004E6A4A">
              <w:rPr>
                <w:rFonts w:ascii="Times New Roman" w:eastAsia="Times New Roman" w:hAnsi="Times New Roman" w:cs="Times New Roman"/>
                <w:sz w:val="20"/>
              </w:rPr>
              <w:t>N/A</w:t>
            </w:r>
          </w:p>
        </w:tc>
        <w:tc>
          <w:tcPr>
            <w:tcW w:w="2970" w:type="dxa"/>
          </w:tcPr>
          <w:p w14:paraId="70A7477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Does not require transposition.</w:t>
            </w:r>
          </w:p>
          <w:p w14:paraId="5C6CBB8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The provision concerns only Reporting Financial Institutions located in Austria.</w:t>
            </w:r>
          </w:p>
        </w:tc>
      </w:tr>
      <w:tr w:rsidR="004E6A4A" w:rsidRPr="004E6A4A" w14:paraId="1A7385C2" w14:textId="77777777" w:rsidTr="00E11E6D">
        <w:trPr>
          <w:trHeight w:val="764"/>
        </w:trPr>
        <w:tc>
          <w:tcPr>
            <w:tcW w:w="720" w:type="dxa"/>
          </w:tcPr>
          <w:p w14:paraId="759127E5"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3AE0CF0D"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SECTION XI</w:t>
            </w:r>
          </w:p>
          <w:p w14:paraId="5D73FA5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TRANSITIONAL MEASURES</w:t>
            </w:r>
          </w:p>
          <w:p w14:paraId="4556D20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Notwithstanding Section I, subparagraph A(1), point (b), and subparagraph A(6a), with respect to each Reportable Account that is maintained by a Reporting Financial Institution as of 31 December 2025 and for reporting periods ending by the second calendar year following such date, information with respect to the role(s) by virtue of which each Reportable Person is a Controlling Person or Equity Interest holder of the Entity is only required to be reported if such information is available in the electronically searchable data maintained by the Reporting Financial Institution.</w:t>
            </w:r>
          </w:p>
        </w:tc>
        <w:tc>
          <w:tcPr>
            <w:tcW w:w="1080" w:type="dxa"/>
          </w:tcPr>
          <w:p w14:paraId="0ECAF1D8"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1AACA6D1"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2EC49097" w14:textId="77777777" w:rsidR="00FA0CFF" w:rsidRPr="004E6A4A" w:rsidRDefault="00144445">
            <w:pPr>
              <w:jc w:val="center"/>
            </w:pPr>
            <w:r w:rsidRPr="004E6A4A">
              <w:rPr>
                <w:rFonts w:ascii="Times New Roman" w:eastAsia="Times New Roman" w:hAnsi="Times New Roman" w:cs="Times New Roman"/>
                <w:b/>
                <w:sz w:val="20"/>
              </w:rPr>
              <w:t>Draft Law: Article 22</w:t>
            </w:r>
          </w:p>
          <w:p w14:paraId="45EBCB38" w14:textId="77777777" w:rsidR="00FA0CFF" w:rsidRPr="004E6A4A" w:rsidRDefault="00144445">
            <w:pPr>
              <w:jc w:val="center"/>
            </w:pPr>
            <w:r w:rsidRPr="004E6A4A">
              <w:rPr>
                <w:rFonts w:ascii="Times New Roman" w:eastAsia="Times New Roman" w:hAnsi="Times New Roman" w:cs="Times New Roman"/>
                <w:b/>
                <w:sz w:val="20"/>
              </w:rPr>
              <w:t>Transitional provisions</w:t>
            </w:r>
          </w:p>
          <w:p w14:paraId="01DFFF6F" w14:textId="77777777" w:rsidR="00FA0CFF" w:rsidRPr="004E6A4A" w:rsidRDefault="00144445">
            <w:pPr>
              <w:jc w:val="both"/>
            </w:pPr>
            <w:r w:rsidRPr="004E6A4A">
              <w:rPr>
                <w:rFonts w:ascii="Times New Roman" w:eastAsia="Times New Roman" w:hAnsi="Times New Roman" w:cs="Times New Roman"/>
                <w:sz w:val="20"/>
              </w:rPr>
              <w:t>1. The amendments provided for in this Law for the purposes of approximation with Directive 2011/16/EU shall not affect the classification of financial accounts as pre-existing accounts or new accounts, carried out in accordance with Law No 4/2020 and the Common Reporting Standard (CRS), for the reporting periods beginning before the first reporting period for which the automatic exchange of information with the Member States of the European Union becomes applicable to the Republic of Albania.</w:t>
            </w:r>
          </w:p>
          <w:p w14:paraId="095701DF" w14:textId="77777777" w:rsidR="00FA0CFF" w:rsidRPr="004E6A4A" w:rsidRDefault="00144445">
            <w:pPr>
              <w:jc w:val="both"/>
            </w:pPr>
            <w:r w:rsidRPr="004E6A4A">
              <w:rPr>
                <w:rFonts w:ascii="Times New Roman" w:eastAsia="Times New Roman" w:hAnsi="Times New Roman" w:cs="Times New Roman"/>
                <w:sz w:val="20"/>
              </w:rPr>
              <w:t>2. Point 1 of this Article shall be without prejudice to the application of the amendments to the Common Reporting Standard and to the classification of products or accounts which are treated as Financial Accounts solely by reason of those amendments.</w:t>
            </w:r>
          </w:p>
          <w:p w14:paraId="69EF727F" w14:textId="77777777" w:rsidR="00FA0CFF" w:rsidRPr="004E6A4A" w:rsidRDefault="00144445">
            <w:pPr>
              <w:jc w:val="both"/>
            </w:pPr>
            <w:r w:rsidRPr="004E6A4A">
              <w:rPr>
                <w:rFonts w:ascii="Times New Roman" w:eastAsia="Times New Roman" w:hAnsi="Times New Roman" w:cs="Times New Roman"/>
                <w:sz w:val="20"/>
              </w:rPr>
              <w:t>3. For exchanges with the Member States of the European Union, the classifications carried out before the commencement of the application of the European Union regime shall be recognised in so far as they are in conformity with Annex I to Directive 2011/16/EU, as amended.</w:t>
            </w:r>
          </w:p>
          <w:p w14:paraId="22086299" w14:textId="77777777" w:rsidR="00FA0CFF" w:rsidRPr="004E6A4A" w:rsidRDefault="00144445">
            <w:pPr>
              <w:jc w:val="both"/>
            </w:pPr>
            <w:r w:rsidRPr="004E6A4A">
              <w:rPr>
                <w:rFonts w:ascii="Times New Roman" w:eastAsia="Times New Roman" w:hAnsi="Times New Roman" w:cs="Times New Roman"/>
                <w:sz w:val="20"/>
              </w:rPr>
              <w:t>4. The documentation, self-certifications, documentary evidence and the results of the due diligence procedures collected or carried out before the date of commencement of the effects of this Law shall continue to be used, in so far as they remain valid and reliable and no change of circumstances has occurred requiring their review. For exchanges with the Member States, they shall be supplemented, where necessary, with the additional information required by Annexes I and II to Directive 2011/16/EU.</w:t>
            </w:r>
          </w:p>
          <w:p w14:paraId="36BB446D" w14:textId="77777777" w:rsidR="00FA0CFF" w:rsidRPr="004E6A4A" w:rsidRDefault="00144445">
            <w:pPr>
              <w:jc w:val="both"/>
            </w:pPr>
            <w:r w:rsidRPr="004E6A4A">
              <w:rPr>
                <w:rFonts w:ascii="Times New Roman" w:eastAsia="Times New Roman" w:hAnsi="Times New Roman" w:cs="Times New Roman"/>
                <w:sz w:val="20"/>
              </w:rPr>
              <w:t xml:space="preserve">5. Reports, corrections, replacements, exchanges, controls and other obligations relating to reporting periods which ended before the date of commencement of the effects of this Law shall </w:t>
            </w:r>
            <w:r w:rsidRPr="004E6A4A">
              <w:rPr>
                <w:rFonts w:ascii="Times New Roman" w:eastAsia="Times New Roman" w:hAnsi="Times New Roman" w:cs="Times New Roman"/>
                <w:sz w:val="20"/>
              </w:rPr>
              <w:lastRenderedPageBreak/>
              <w:t>continue to be carried out and completed in accordance with the substantive rules applicable to the relevant reporting period, even where the time limit for their fulfilment, including the time limit for reporting, correction, replacement or exchange, falls after that date.</w:t>
            </w:r>
          </w:p>
          <w:p w14:paraId="493CCFF5" w14:textId="77777777" w:rsidR="00FA0CFF" w:rsidRPr="004E6A4A" w:rsidRDefault="00FA0CFF"/>
          <w:p w14:paraId="3D02B2FC" w14:textId="77777777" w:rsidR="00FA0CFF" w:rsidRPr="004E6A4A" w:rsidRDefault="00144445">
            <w:pPr>
              <w:jc w:val="center"/>
            </w:pPr>
            <w:r w:rsidRPr="004E6A4A">
              <w:rPr>
                <w:rFonts w:ascii="Times New Roman" w:eastAsia="Times New Roman" w:hAnsi="Times New Roman" w:cs="Times New Roman"/>
                <w:b/>
                <w:sz w:val="20"/>
              </w:rPr>
              <w:t>DCM: Article 14</w:t>
            </w:r>
          </w:p>
          <w:p w14:paraId="2B99443E" w14:textId="77777777" w:rsidR="00FA0CFF" w:rsidRPr="004E6A4A" w:rsidRDefault="00144445">
            <w:pPr>
              <w:jc w:val="center"/>
            </w:pPr>
            <w:r w:rsidRPr="004E6A4A">
              <w:rPr>
                <w:rFonts w:ascii="Times New Roman" w:eastAsia="Times New Roman" w:hAnsi="Times New Roman" w:cs="Times New Roman"/>
                <w:b/>
                <w:sz w:val="20"/>
              </w:rPr>
              <w:t>Transitional provisions and continuity of the procedures</w:t>
            </w:r>
          </w:p>
          <w:p w14:paraId="31DBB812" w14:textId="77777777" w:rsidR="00FA0CFF" w:rsidRPr="004E6A4A" w:rsidRDefault="00144445">
            <w:pPr>
              <w:jc w:val="both"/>
            </w:pPr>
            <w:r w:rsidRPr="004E6A4A">
              <w:rPr>
                <w:rFonts w:ascii="Times New Roman" w:eastAsia="Times New Roman" w:hAnsi="Times New Roman" w:cs="Times New Roman"/>
                <w:sz w:val="20"/>
              </w:rPr>
              <w:t>9. The classifications, self-certifications, documentary evidence and results of the due diligence procedures obtained or carried out before the date of commencement of the effects of this Decision, in implementation of law No 4/2020 and of the sub-legal acts thereof, shall continue to be used for the Common Reporting Standard profile, in so far as they remain valid, no change of circumstances has occurred and the reporting financial institution does not know or have reason to know that they are inaccurate or unreliable.</w:t>
            </w:r>
          </w:p>
          <w:p w14:paraId="55315132" w14:textId="77777777" w:rsidR="00FA0CFF" w:rsidRPr="004E6A4A" w:rsidRDefault="00144445">
            <w:pPr>
              <w:jc w:val="both"/>
            </w:pPr>
            <w:r w:rsidRPr="004E6A4A">
              <w:rPr>
                <w:rFonts w:ascii="Times New Roman" w:eastAsia="Times New Roman" w:hAnsi="Times New Roman" w:cs="Times New Roman"/>
                <w:sz w:val="20"/>
              </w:rPr>
              <w:t>10. For the European Union profile, the documentation, self-certifications and procedures referred to in point 1 may be used in so far as they fulfil the substantive requirements of Annexes I and II to Directive 2011/16/EU, as amended, remain valid and no change of circumstances has occurred.</w:t>
            </w:r>
          </w:p>
          <w:p w14:paraId="6004D004" w14:textId="77777777" w:rsidR="00FA0CFF" w:rsidRPr="004E6A4A" w:rsidRDefault="00144445">
            <w:pPr>
              <w:jc w:val="both"/>
            </w:pPr>
            <w:r w:rsidRPr="004E6A4A">
              <w:rPr>
                <w:rFonts w:ascii="Times New Roman" w:eastAsia="Times New Roman" w:hAnsi="Times New Roman" w:cs="Times New Roman"/>
                <w:sz w:val="20"/>
              </w:rPr>
              <w:t>11. Where, for the first period for which the European Union profile applies, the existing information or procedures do not contain all the elements required by the acquis, the reporting financial institution shall obtain the supplementary information or carry out the additional procedures necessary before the time limit for reporting to the GDT for that period.</w:t>
            </w:r>
          </w:p>
          <w:p w14:paraId="33AD1606" w14:textId="77777777" w:rsidR="00FA0CFF" w:rsidRPr="004E6A4A" w:rsidRDefault="00144445">
            <w:pPr>
              <w:jc w:val="both"/>
            </w:pPr>
            <w:r w:rsidRPr="004E6A4A">
              <w:rPr>
                <w:rFonts w:ascii="Times New Roman" w:eastAsia="Times New Roman" w:hAnsi="Times New Roman" w:cs="Times New Roman"/>
                <w:sz w:val="20"/>
              </w:rPr>
              <w:t xml:space="preserve">12. The classification of an account as a Pre-existing Account or a New Account shall be made separately in accordance with the dates and conditions of the </w:t>
            </w:r>
            <w:r w:rsidRPr="004E6A4A">
              <w:rPr>
                <w:rFonts w:ascii="Times New Roman" w:eastAsia="Times New Roman" w:hAnsi="Times New Roman" w:cs="Times New Roman"/>
                <w:sz w:val="20"/>
              </w:rPr>
              <w:lastRenderedPageBreak/>
              <w:t>relevant profile. The previous classification under the Common Reporting Standard shall not alter the dates or the conditions of classification which apply for the European Union profile.</w:t>
            </w:r>
          </w:p>
          <w:p w14:paraId="1232C597" w14:textId="77777777" w:rsidR="00FA0CFF" w:rsidRPr="004E6A4A" w:rsidRDefault="00144445">
            <w:pPr>
              <w:jc w:val="both"/>
            </w:pPr>
            <w:r w:rsidRPr="004E6A4A">
              <w:rPr>
                <w:rFonts w:ascii="Times New Roman" w:eastAsia="Times New Roman" w:hAnsi="Times New Roman" w:cs="Times New Roman"/>
                <w:sz w:val="20"/>
              </w:rPr>
              <w:t>13. Reports, corrections, replacements, exchanges, controls and other obligations or procedures relating to reporting periods which ended before the date of commencement of the effects of this Decision shall continue to be carried out and completed in accordance with the substantive rules applicable to the relevant reporting period, even where the time limit for their fulfilment, including the time limit for reporting, correction, replacement or exchange, falls after that date.</w:t>
            </w:r>
          </w:p>
          <w:p w14:paraId="40D2EA6D" w14:textId="77777777" w:rsidR="00FA0CFF" w:rsidRPr="004E6A4A" w:rsidRDefault="00144445">
            <w:pPr>
              <w:jc w:val="both"/>
            </w:pPr>
            <w:r w:rsidRPr="004E6A4A">
              <w:rPr>
                <w:rFonts w:ascii="Times New Roman" w:eastAsia="Times New Roman" w:hAnsi="Times New Roman" w:cs="Times New Roman"/>
                <w:sz w:val="20"/>
              </w:rPr>
              <w:t>14. The transitional provisions applied in relation to the amendments to the Common Reporting Standard which began to apply before this Decision shall retain their effects only for the periods for which they were applicable and shall not recommence from the date of commencement of the effects of this Decision.</w:t>
            </w:r>
          </w:p>
          <w:p w14:paraId="767836C1" w14:textId="77777777" w:rsidR="00FA0CFF" w:rsidRPr="004E6A4A" w:rsidRDefault="00144445">
            <w:pPr>
              <w:jc w:val="both"/>
            </w:pPr>
            <w:r w:rsidRPr="004E6A4A">
              <w:rPr>
                <w:rFonts w:ascii="Times New Roman" w:eastAsia="Times New Roman" w:hAnsi="Times New Roman" w:cs="Times New Roman"/>
                <w:sz w:val="20"/>
              </w:rPr>
              <w:t>15. The transitional measures of European Union law which, according to their content, relate to dates or periods completed before the date of commencement of the effects of this Decision shall not be reactivated, except where the legal act governing the accession of the Republic of Albania to the European Union expressly provides otherwise.</w:t>
            </w:r>
          </w:p>
        </w:tc>
        <w:tc>
          <w:tcPr>
            <w:tcW w:w="1156" w:type="dxa"/>
          </w:tcPr>
          <w:p w14:paraId="44257167" w14:textId="77777777" w:rsidR="00C4419F" w:rsidRPr="004E6A4A" w:rsidRDefault="00C4419F" w:rsidP="00C4419F">
            <w:pPr>
              <w:jc w:val="center"/>
              <w:rPr>
                <w:rFonts w:ascii="Times New Roman" w:eastAsia="Calibri" w:hAnsi="Times New Roman" w:cs="Times New Roman"/>
                <w:sz w:val="18"/>
                <w:szCs w:val="18"/>
              </w:rPr>
            </w:pPr>
          </w:p>
        </w:tc>
        <w:tc>
          <w:tcPr>
            <w:tcW w:w="2970" w:type="dxa"/>
          </w:tcPr>
          <w:p w14:paraId="7CD97E2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3ECA6C2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22 of the Draft Law and by Article 14 of the Decision.</w:t>
            </w:r>
          </w:p>
        </w:tc>
      </w:tr>
      <w:tr w:rsidR="004E6A4A" w:rsidRPr="004E6A4A" w14:paraId="1815E8BB" w14:textId="77777777" w:rsidTr="00E11E6D">
        <w:trPr>
          <w:trHeight w:val="764"/>
        </w:trPr>
        <w:tc>
          <w:tcPr>
            <w:tcW w:w="720" w:type="dxa"/>
          </w:tcPr>
          <w:p w14:paraId="5CDF1826" w14:textId="77777777" w:rsidR="00C4419F" w:rsidRPr="004E6A4A" w:rsidRDefault="00C4419F" w:rsidP="00C4419F">
            <w:pPr>
              <w:jc w:val="center"/>
              <w:rPr>
                <w:rFonts w:ascii="Times New Roman" w:eastAsia="Calibri" w:hAnsi="Times New Roman" w:cs="Times New Roman"/>
                <w:i/>
                <w:sz w:val="18"/>
                <w:szCs w:val="18"/>
              </w:rPr>
            </w:pPr>
          </w:p>
        </w:tc>
        <w:tc>
          <w:tcPr>
            <w:tcW w:w="4860" w:type="dxa"/>
          </w:tcPr>
          <w:p w14:paraId="76A2D120" w14:textId="77777777" w:rsidR="00F43B76" w:rsidRPr="004E6A4A" w:rsidRDefault="00144445">
            <w:pPr>
              <w:rPr>
                <w:rFonts w:ascii="Times New Roman" w:eastAsia="Times New Roman" w:hAnsi="Times New Roman" w:cs="Times New Roman"/>
                <w:b/>
                <w:bCs/>
                <w:sz w:val="20"/>
                <w:szCs w:val="20"/>
              </w:rPr>
            </w:pPr>
            <w:r w:rsidRPr="004E6A4A">
              <w:rPr>
                <w:rFonts w:ascii="Times New Roman" w:eastAsia="Times New Roman" w:hAnsi="Times New Roman" w:cs="Times New Roman"/>
                <w:b/>
                <w:bCs/>
                <w:sz w:val="20"/>
                <w:szCs w:val="20"/>
              </w:rPr>
              <w:t>Annex II</w:t>
            </w:r>
          </w:p>
          <w:p w14:paraId="5F3DC01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Complementary reporting and due diligence rules for financial account information</w:t>
            </w:r>
          </w:p>
          <w:p w14:paraId="5EFF422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1.</w:t>
            </w:r>
            <w:r w:rsidRPr="004E6A4A">
              <w:rPr>
                <w:rFonts w:ascii="Times New Roman" w:eastAsia="Times New Roman" w:hAnsi="Times New Roman" w:cs="Times New Roman"/>
                <w:sz w:val="20"/>
                <w:szCs w:val="20"/>
              </w:rPr>
              <w:tab/>
              <w:t>Change in circumstances</w:t>
            </w:r>
          </w:p>
          <w:p w14:paraId="01994EB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A “change in circumstances” includes any change that results in the addition of information relevant to a person's status or otherwise conflicts with such person's status. In addition, a change in circumstances includes any change or addition of information to the Account Holder's account (including the addition, substitution, or other change of an </w:t>
            </w:r>
            <w:r w:rsidRPr="004E6A4A">
              <w:rPr>
                <w:rFonts w:ascii="Times New Roman" w:eastAsia="Times New Roman" w:hAnsi="Times New Roman" w:cs="Times New Roman"/>
                <w:sz w:val="20"/>
                <w:szCs w:val="20"/>
              </w:rPr>
              <w:lastRenderedPageBreak/>
              <w:t>Account Holder) or any change or addition of information to any account associated with such account (applying the account aggregation rules described in subparagraphs C(1) through (3) of Section VII of Annex I) if such change or addition of information affects the status of the Account Holder.</w:t>
            </w:r>
          </w:p>
          <w:p w14:paraId="716DDB6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If a Reporting Financial Institution has relied on the residence address test described in subparagraph B(1) of Section III of Annex I and there is a change in circumstances that causes the Reporting Financial Institution to know or have reason to know that the original Documentary Evidence (or other equivalent documentation) is incorrect or unreli able, the Reporting Financial Institution must, by the later of the last day of the relevant calendar year or other appro priate reporting period, or 90 calendar days following the notice or discovery of such change in circumstances, obtain a self-certification and new Documentary Evidence to establish the residence(s) for tax purposes of the Account Holder. If the Reporting Financial Institution cannot obtain the self-certification and new Documentary Evidence by such date, the Reporting Financial Institution must apply the electronic record search procedure described in subparagraphs B(2) through (6) of Section III of Annex I.</w:t>
            </w:r>
          </w:p>
          <w:p w14:paraId="1E871A9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2.</w:t>
            </w:r>
            <w:r w:rsidRPr="004E6A4A">
              <w:rPr>
                <w:rFonts w:ascii="Times New Roman" w:eastAsia="Times New Roman" w:hAnsi="Times New Roman" w:cs="Times New Roman"/>
                <w:sz w:val="20"/>
                <w:szCs w:val="20"/>
              </w:rPr>
              <w:tab/>
              <w:t>Self-certification for New Entity Accounts</w:t>
            </w:r>
          </w:p>
          <w:p w14:paraId="401326B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With respect to New Entity Accounts, for the purposes of determining whether a Controlling Person of a Passive NFE is a Reportable Person, a Reporting Financial Institution may only rely on a self-certification from either the Account Holder or the Controlling Person.</w:t>
            </w:r>
          </w:p>
          <w:p w14:paraId="39C1D00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3.</w:t>
            </w:r>
            <w:r w:rsidRPr="004E6A4A">
              <w:rPr>
                <w:rFonts w:ascii="Times New Roman" w:eastAsia="Times New Roman" w:hAnsi="Times New Roman" w:cs="Times New Roman"/>
                <w:sz w:val="20"/>
                <w:szCs w:val="20"/>
              </w:rPr>
              <w:tab/>
              <w:t>Residence of a Financial Institution</w:t>
            </w:r>
          </w:p>
          <w:p w14:paraId="5B55FB8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A Financial Institution is “resident” in a Member State if it is subject to the jurisdiction of such Member State (i.e., the Member State is able to enforce reporting by the Financial Institution). In general, where a Financial Institution is resi dent for tax purposes in a Member State, it is subject to the jurisdiction of such Member State and it </w:t>
            </w:r>
            <w:r w:rsidRPr="004E6A4A">
              <w:rPr>
                <w:rFonts w:ascii="Times New Roman" w:eastAsia="Times New Roman" w:hAnsi="Times New Roman" w:cs="Times New Roman"/>
                <w:sz w:val="20"/>
                <w:szCs w:val="20"/>
              </w:rPr>
              <w:lastRenderedPageBreak/>
              <w:t>is, thus, a Member State Financial Institution. In the case of a trust that is a Financial Institution (irrespective of whether it is resident for tax purposes in a Member State), the trust is considered to be subject to the jurisdiction of a Member State if one or more of its trustees are resident in such Member State except if the trust reports all the information required to be reported pursuant to this Directive with respect to Reportable Accounts maintained by the trust to another Member State because it is resident for tax purposes in such other Member State. However, where a Financial Institution (other than a trust) does not have a residence for tax purposes (e.g., because it is treated as fiscally trans parent, or it is located in a jurisdiction that does not have an income tax), it is considered to be subject to the juris diction of a Member State and it is, thus, a Member State Financial Institution if:</w:t>
            </w:r>
          </w:p>
          <w:p w14:paraId="0C9E335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it is incorporated under the laws of the Member State;</w:t>
            </w:r>
          </w:p>
          <w:p w14:paraId="2C257D2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it has its place of management (including effective management) in the Member State; or</w:t>
            </w:r>
          </w:p>
          <w:p w14:paraId="353E4EF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w:t>
            </w:r>
            <w:r w:rsidRPr="004E6A4A">
              <w:rPr>
                <w:rFonts w:ascii="Times New Roman" w:eastAsia="Times New Roman" w:hAnsi="Times New Roman" w:cs="Times New Roman"/>
                <w:sz w:val="20"/>
                <w:szCs w:val="20"/>
              </w:rPr>
              <w:tab/>
              <w:t>it is subject to financial supervision in the Member State.</w:t>
            </w:r>
          </w:p>
          <w:p w14:paraId="3268AD8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Where a Financial Institution (other than a trust) is resident in two or more Member States, such Financial Institution will be subject to the reporting and due diligence obligations of the Member State in which it maintains the Financial Account(s).</w:t>
            </w:r>
          </w:p>
          <w:p w14:paraId="74D6E72A"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4.</w:t>
            </w:r>
            <w:r w:rsidRPr="004E6A4A">
              <w:rPr>
                <w:rFonts w:ascii="Times New Roman" w:eastAsia="Times New Roman" w:hAnsi="Times New Roman" w:cs="Times New Roman"/>
                <w:sz w:val="20"/>
                <w:szCs w:val="20"/>
              </w:rPr>
              <w:tab/>
              <w:t>Account maintained</w:t>
            </w:r>
          </w:p>
          <w:p w14:paraId="736F3A81"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In general, an account would be considered to be maintained by a Financial Institution as follows:</w:t>
            </w:r>
          </w:p>
          <w:p w14:paraId="0D2457A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w:t>
            </w:r>
            <w:r w:rsidRPr="004E6A4A">
              <w:rPr>
                <w:rFonts w:ascii="Times New Roman" w:eastAsia="Times New Roman" w:hAnsi="Times New Roman" w:cs="Times New Roman"/>
                <w:sz w:val="20"/>
                <w:szCs w:val="20"/>
              </w:rPr>
              <w:tab/>
              <w:t>in the case of a Custodial Account, by the Financial Institution that holds custody over the assets in the account (including a Financial Institution that holds assets in street name for an Account Holder in such institution);</w:t>
            </w:r>
          </w:p>
          <w:p w14:paraId="4642A39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(b)</w:t>
            </w:r>
            <w:r w:rsidRPr="004E6A4A">
              <w:rPr>
                <w:rFonts w:ascii="Times New Roman" w:eastAsia="Times New Roman" w:hAnsi="Times New Roman" w:cs="Times New Roman"/>
                <w:sz w:val="20"/>
                <w:szCs w:val="20"/>
              </w:rPr>
              <w:tab/>
              <w:t xml:space="preserve">in the case of a Depository Account, by the Financial Institution that is obligated to make payments </w:t>
            </w:r>
            <w:r w:rsidRPr="004E6A4A">
              <w:rPr>
                <w:rFonts w:ascii="Times New Roman" w:eastAsia="Times New Roman" w:hAnsi="Times New Roman" w:cs="Times New Roman"/>
                <w:sz w:val="20"/>
                <w:szCs w:val="20"/>
              </w:rPr>
              <w:lastRenderedPageBreak/>
              <w:t>with respect to the account (excluding an agent of a Financial Institution regardless of whether such agent is a Financial Institution);</w:t>
            </w:r>
          </w:p>
          <w:p w14:paraId="0589B09F"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 (c)</w:t>
            </w:r>
            <w:r w:rsidRPr="004E6A4A">
              <w:rPr>
                <w:rFonts w:ascii="Times New Roman" w:eastAsia="Times New Roman" w:hAnsi="Times New Roman" w:cs="Times New Roman"/>
                <w:sz w:val="20"/>
                <w:szCs w:val="20"/>
              </w:rPr>
              <w:tab/>
              <w:t>in the case of any equity or debt interest in a Financial Institution that constitutes a Financial Account, by such Financial Institution;</w:t>
            </w:r>
          </w:p>
          <w:p w14:paraId="0E49670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w:t>
            </w:r>
            <w:r w:rsidRPr="004E6A4A">
              <w:rPr>
                <w:rFonts w:ascii="Times New Roman" w:eastAsia="Times New Roman" w:hAnsi="Times New Roman" w:cs="Times New Roman"/>
                <w:sz w:val="20"/>
                <w:szCs w:val="20"/>
              </w:rPr>
              <w:tab/>
              <w:t>in the case of a Cash Value Insurance Contract or an Annuity Contract, by the Financial Institution that is obli gated to make payments with respect to the contract.</w:t>
            </w:r>
          </w:p>
          <w:p w14:paraId="31034CC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5.</w:t>
            </w:r>
            <w:r w:rsidRPr="004E6A4A">
              <w:rPr>
                <w:rFonts w:ascii="Times New Roman" w:eastAsia="Times New Roman" w:hAnsi="Times New Roman" w:cs="Times New Roman"/>
                <w:sz w:val="20"/>
                <w:szCs w:val="20"/>
              </w:rPr>
              <w:tab/>
              <w:t>Trusts that are Passive NFEs</w:t>
            </w:r>
          </w:p>
          <w:p w14:paraId="66A4DC6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An Entity such as a partnership, limited liability partnership or similar legal arrangement that has no residence for tax purposes, according to subparagraph D(3) of Section VIII of Annex I, shall be treated as resident in the jurisdic tion in which its place of effective management is situated. For these purposes, a legal person or a legal arrangement is considered “similar” to a partnership and a limited liability partnership where it is not treated as a taxable unit in a Member State under the tax laws of such Member State. However, in order to avoid duplicate reporting (given the wide scope of the term “Controlling Persons” in the case of trusts), a trust that is a Passive NFE may not be consid ered a similar legal arrangement.</w:t>
            </w:r>
          </w:p>
          <w:p w14:paraId="5DA78BF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6.</w:t>
            </w:r>
            <w:r w:rsidRPr="004E6A4A">
              <w:rPr>
                <w:rFonts w:ascii="Times New Roman" w:eastAsia="Times New Roman" w:hAnsi="Times New Roman" w:cs="Times New Roman"/>
                <w:sz w:val="20"/>
                <w:szCs w:val="20"/>
              </w:rPr>
              <w:tab/>
              <w:t>Address of Entity's principal office</w:t>
            </w:r>
          </w:p>
          <w:p w14:paraId="7FB27ACB"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 xml:space="preserve">One of the requirements described in subparagraph E(6)(c) of Section VIII of Annex I is that, with respect to an Entity, the official documentation includes either the address of the Entity's principal office in the Member State or other jurisdiction in which it claims to be a resident or the Member State or other jurisdiction in which the Entity was incorporated or organised. The address of the Entity's principal office is generally the place in which its place of effective management is situated. The address of a Financial Institution with which the Entity maintains an account, a post office box, or an address used solely for mailing purposes is not the address of the Entity's principal </w:t>
            </w:r>
            <w:r w:rsidRPr="004E6A4A">
              <w:rPr>
                <w:rFonts w:ascii="Times New Roman" w:eastAsia="Times New Roman" w:hAnsi="Times New Roman" w:cs="Times New Roman"/>
                <w:sz w:val="20"/>
                <w:szCs w:val="20"/>
              </w:rPr>
              <w:lastRenderedPageBreak/>
              <w:t>office unless such address is the only address used by the Entity and appears as the Entity's registered address in the Entity's organisational documents. Further, an address that is provided subject to instructions to hold all mail to that address is not the address of the Entity's principal office.’</w:t>
            </w:r>
          </w:p>
        </w:tc>
        <w:tc>
          <w:tcPr>
            <w:tcW w:w="1080" w:type="dxa"/>
          </w:tcPr>
          <w:p w14:paraId="3D6254B4" w14:textId="77777777" w:rsidR="00C4419F" w:rsidRPr="004E6A4A" w:rsidRDefault="00C4419F" w:rsidP="00C4419F">
            <w:pPr>
              <w:jc w:val="center"/>
              <w:rPr>
                <w:rFonts w:ascii="Times New Roman" w:eastAsia="Calibri" w:hAnsi="Times New Roman" w:cs="Times New Roman"/>
                <w:sz w:val="18"/>
                <w:szCs w:val="18"/>
              </w:rPr>
            </w:pPr>
          </w:p>
        </w:tc>
        <w:tc>
          <w:tcPr>
            <w:tcW w:w="900" w:type="dxa"/>
          </w:tcPr>
          <w:p w14:paraId="005851B0" w14:textId="77777777" w:rsidR="00C4419F" w:rsidRPr="004E6A4A" w:rsidRDefault="00C4419F" w:rsidP="00C4419F">
            <w:pPr>
              <w:jc w:val="center"/>
              <w:rPr>
                <w:rFonts w:ascii="Times New Roman" w:eastAsia="Times New Roman" w:hAnsi="Times New Roman" w:cs="Times New Roman"/>
                <w:sz w:val="20"/>
                <w:szCs w:val="21"/>
                <w:lang w:eastAsia="sq-AL"/>
              </w:rPr>
            </w:pPr>
          </w:p>
        </w:tc>
        <w:tc>
          <w:tcPr>
            <w:tcW w:w="4514" w:type="dxa"/>
          </w:tcPr>
          <w:p w14:paraId="7D1DB0AF" w14:textId="77777777" w:rsidR="00FA0CFF" w:rsidRPr="004E6A4A" w:rsidRDefault="00144445">
            <w:pPr>
              <w:jc w:val="center"/>
            </w:pPr>
            <w:r w:rsidRPr="004E6A4A">
              <w:rPr>
                <w:rFonts w:ascii="Times New Roman" w:eastAsia="Times New Roman" w:hAnsi="Times New Roman" w:cs="Times New Roman"/>
                <w:b/>
                <w:sz w:val="20"/>
              </w:rPr>
              <w:t>DCM: Article 11</w:t>
            </w:r>
          </w:p>
          <w:p w14:paraId="77101BFD" w14:textId="77777777" w:rsidR="00FA0CFF" w:rsidRPr="004E6A4A" w:rsidRDefault="00144445">
            <w:pPr>
              <w:jc w:val="center"/>
            </w:pPr>
            <w:r w:rsidRPr="004E6A4A">
              <w:rPr>
                <w:rFonts w:ascii="Times New Roman" w:eastAsia="Times New Roman" w:hAnsi="Times New Roman" w:cs="Times New Roman"/>
                <w:b/>
                <w:sz w:val="20"/>
              </w:rPr>
              <w:t>Additional reporting and due diligence rules relating to financial account information</w:t>
            </w:r>
          </w:p>
          <w:p w14:paraId="400EA0D6" w14:textId="77777777" w:rsidR="00FA0CFF" w:rsidRPr="004E6A4A" w:rsidRDefault="00144445">
            <w:pPr>
              <w:jc w:val="both"/>
            </w:pPr>
            <w:r w:rsidRPr="004E6A4A">
              <w:rPr>
                <w:rFonts w:ascii="Times New Roman" w:eastAsia="Times New Roman" w:hAnsi="Times New Roman" w:cs="Times New Roman"/>
                <w:sz w:val="20"/>
              </w:rPr>
              <w:t>1. Changes of circumstances</w:t>
            </w:r>
          </w:p>
          <w:p w14:paraId="0C3D0930" w14:textId="77777777" w:rsidR="00FA0CFF" w:rsidRPr="004E6A4A" w:rsidRDefault="00144445">
            <w:pPr>
              <w:jc w:val="both"/>
            </w:pPr>
            <w:r w:rsidRPr="004E6A4A">
              <w:rPr>
                <w:rFonts w:ascii="Times New Roman" w:eastAsia="Times New Roman" w:hAnsi="Times New Roman" w:cs="Times New Roman"/>
                <w:sz w:val="20"/>
              </w:rPr>
              <w:t xml:space="preserve">a) A “change of circumstances” includes any change which results in the addition of information relevant to the status of a person or which conflicts with his or her status. It also includes any change or addition of information in the account of the Account Holder, including the addition, replacement or change of an </w:t>
            </w:r>
            <w:r w:rsidRPr="004E6A4A">
              <w:rPr>
                <w:rFonts w:ascii="Times New Roman" w:eastAsia="Times New Roman" w:hAnsi="Times New Roman" w:cs="Times New Roman"/>
                <w:sz w:val="20"/>
              </w:rPr>
              <w:lastRenderedPageBreak/>
              <w:t>Account Holder, or in an account related to it, applying the aggregation rules of point 5 of Article 10, where that change or addition affects the status of the Account Holder.</w:t>
            </w:r>
          </w:p>
          <w:p w14:paraId="1C9628F1" w14:textId="77777777" w:rsidR="00FA0CFF" w:rsidRPr="004E6A4A" w:rsidRDefault="00144445">
            <w:pPr>
              <w:jc w:val="both"/>
            </w:pPr>
            <w:r w:rsidRPr="004E6A4A">
              <w:rPr>
                <w:rFonts w:ascii="Times New Roman" w:eastAsia="Times New Roman" w:hAnsi="Times New Roman" w:cs="Times New Roman"/>
                <w:sz w:val="20"/>
              </w:rPr>
              <w:t>b) For the purposes of the due diligence procedures determined in Articles 6 to 10, where there is a change in the applicable AML/KYC procedures, the additional information obtained under such amended AML/KYC procedures must be used in order to determine whether there has been a change of circumstances in relation to the identity and/or the reportable status of the account holders and/or of the controlling persons.</w:t>
            </w:r>
          </w:p>
          <w:p w14:paraId="47AD695C" w14:textId="77777777" w:rsidR="00FA0CFF" w:rsidRPr="004E6A4A" w:rsidRDefault="00144445">
            <w:pPr>
              <w:jc w:val="both"/>
            </w:pPr>
            <w:r w:rsidRPr="004E6A4A">
              <w:rPr>
                <w:rFonts w:ascii="Times New Roman" w:eastAsia="Times New Roman" w:hAnsi="Times New Roman" w:cs="Times New Roman"/>
                <w:sz w:val="20"/>
              </w:rPr>
              <w:t>c) If the reporting financial institution has relied on the residence address test and a change of circumstances causes it to know or to have reason to know that the original documentary evidence is inaccurate or unreliable, the institution shall obtain a self-certification and new documentary evidence for the determination of the tax residence no later than the later of: i. the last day of the calendar year or of the other relevant reporting period; and ii. the 90th calendar day following the notification or discovery of the change of circumstances. Where the documentation is not obtained within that time limit, the institution shall apply the electronic search procedure of Article 6.</w:t>
            </w:r>
          </w:p>
          <w:p w14:paraId="62AFD705" w14:textId="77777777" w:rsidR="00FA0CFF" w:rsidRPr="004E6A4A" w:rsidRDefault="00144445">
            <w:pPr>
              <w:jc w:val="both"/>
            </w:pPr>
            <w:r w:rsidRPr="004E6A4A">
              <w:rPr>
                <w:rFonts w:ascii="Times New Roman" w:eastAsia="Times New Roman" w:hAnsi="Times New Roman" w:cs="Times New Roman"/>
                <w:sz w:val="20"/>
              </w:rPr>
              <w:t>2. Self-certification for new entity accounts: As regards new entity accounts, for the purposes of determining whether a controlling person of a Passive NFE is a reportable person, a reporting financial institution may rely only on a self-certification from the account holder or the controlling person.</w:t>
            </w:r>
          </w:p>
          <w:p w14:paraId="0ED8CA8A" w14:textId="77777777" w:rsidR="00FA0CFF" w:rsidRPr="004E6A4A" w:rsidRDefault="00144445">
            <w:pPr>
              <w:jc w:val="both"/>
            </w:pPr>
            <w:r w:rsidRPr="004E6A4A">
              <w:rPr>
                <w:rFonts w:ascii="Times New Roman" w:eastAsia="Times New Roman" w:hAnsi="Times New Roman" w:cs="Times New Roman"/>
                <w:sz w:val="20"/>
              </w:rPr>
              <w:t xml:space="preserve">3. Residence of the financial institution. For the European Union profile, a financial institution is resident in a Member State where it is subject to the jurisdiction of that Member State, so that that State </w:t>
            </w:r>
            <w:r w:rsidRPr="004E6A4A">
              <w:rPr>
                <w:rFonts w:ascii="Times New Roman" w:eastAsia="Times New Roman" w:hAnsi="Times New Roman" w:cs="Times New Roman"/>
                <w:sz w:val="20"/>
              </w:rPr>
              <w:lastRenderedPageBreak/>
              <w:t>may enforce the reporting obligations against it. For the Common Reporting Standard profile, the same criterion shall apply in relation to a Participating Jurisdiction. Where the financial institution is resident for tax purposes in the relevant Member State or Participating Jurisdiction, it shall in principle be considered subject to its jurisdiction.</w:t>
            </w:r>
          </w:p>
          <w:p w14:paraId="2DDEBCF1" w14:textId="77777777" w:rsidR="00FA0CFF" w:rsidRPr="004E6A4A" w:rsidRDefault="00144445">
            <w:pPr>
              <w:jc w:val="both"/>
            </w:pPr>
            <w:r w:rsidRPr="004E6A4A">
              <w:rPr>
                <w:rFonts w:ascii="Times New Roman" w:eastAsia="Times New Roman" w:hAnsi="Times New Roman" w:cs="Times New Roman"/>
                <w:sz w:val="20"/>
              </w:rPr>
              <w:t>a) In the case of a trust which is a financial institution, irrespective of whether the trust is resident for tax purposes, it shall be considered subject to the jurisdiction: a) for the European Union profile, of a Member State where one or more of its trustees are resident in that Member State, except where the trust reports all the information required for Reportable Accounts to another Member State because it is resident for tax purposes in that other Member State; b) for the Common Reporting Standard profile, of a Participating Jurisdiction where one or more of its trustees are resident in that jurisdiction, except where the trust reports all the required information to another Participating Jurisdiction because it is resident for tax purposes in that other jurisdiction.</w:t>
            </w:r>
          </w:p>
          <w:p w14:paraId="550334DA" w14:textId="77777777" w:rsidR="00FA0CFF" w:rsidRPr="004E6A4A" w:rsidRDefault="00144445">
            <w:pPr>
              <w:jc w:val="both"/>
            </w:pPr>
            <w:r w:rsidRPr="004E6A4A">
              <w:rPr>
                <w:rFonts w:ascii="Times New Roman" w:eastAsia="Times New Roman" w:hAnsi="Times New Roman" w:cs="Times New Roman"/>
                <w:sz w:val="20"/>
              </w:rPr>
              <w:t>b) Where a financial institution, other than a trust, has no residence for tax purposes, for example because it is treated as fiscally transparent or is located in a jurisdiction which does not impose income tax, it shall be considered subject to the jurisdiction of the Member State, for the European Union profile, or of the Participating Jurisdiction, for the Common Reporting Standard profile, where it fulfils at least one of the following conditions:</w:t>
            </w:r>
          </w:p>
          <w:p w14:paraId="770F7E16" w14:textId="77777777" w:rsidR="00FA0CFF" w:rsidRPr="004E6A4A" w:rsidRDefault="00144445">
            <w:pPr>
              <w:jc w:val="both"/>
            </w:pPr>
            <w:r w:rsidRPr="004E6A4A">
              <w:rPr>
                <w:rFonts w:ascii="Times New Roman" w:eastAsia="Times New Roman" w:hAnsi="Times New Roman" w:cs="Times New Roman"/>
                <w:sz w:val="20"/>
              </w:rPr>
              <w:t>i. it is incorporated under the laws of the relevant Member State or Participating Jurisdiction;</w:t>
            </w:r>
          </w:p>
          <w:p w14:paraId="28650B9A" w14:textId="77777777" w:rsidR="00FA0CFF" w:rsidRPr="004E6A4A" w:rsidRDefault="00144445">
            <w:pPr>
              <w:jc w:val="both"/>
            </w:pPr>
            <w:r w:rsidRPr="004E6A4A">
              <w:rPr>
                <w:rFonts w:ascii="Times New Roman" w:eastAsia="Times New Roman" w:hAnsi="Times New Roman" w:cs="Times New Roman"/>
                <w:sz w:val="20"/>
              </w:rPr>
              <w:t>ii. it has its place of management, including its place of effective management, in the relevant Member State or Participating Jurisdiction; or</w:t>
            </w:r>
          </w:p>
          <w:p w14:paraId="477AE54B" w14:textId="77777777" w:rsidR="00FA0CFF" w:rsidRPr="004E6A4A" w:rsidRDefault="00144445">
            <w:pPr>
              <w:jc w:val="both"/>
            </w:pPr>
            <w:r w:rsidRPr="004E6A4A">
              <w:rPr>
                <w:rFonts w:ascii="Times New Roman" w:eastAsia="Times New Roman" w:hAnsi="Times New Roman" w:cs="Times New Roman"/>
                <w:sz w:val="20"/>
              </w:rPr>
              <w:lastRenderedPageBreak/>
              <w:t>iii. it is subject to financial supervision in the relevant Member State or Participating Jurisdiction.</w:t>
            </w:r>
          </w:p>
          <w:p w14:paraId="50BB39A0" w14:textId="77777777" w:rsidR="00FA0CFF" w:rsidRPr="004E6A4A" w:rsidRDefault="00144445">
            <w:pPr>
              <w:jc w:val="both"/>
            </w:pPr>
            <w:r w:rsidRPr="004E6A4A">
              <w:rPr>
                <w:rFonts w:ascii="Times New Roman" w:eastAsia="Times New Roman" w:hAnsi="Times New Roman" w:cs="Times New Roman"/>
                <w:sz w:val="20"/>
              </w:rPr>
              <w:t>c) Where a financial institution, other than a trust, is resident in two or more Member States, for the European Union profile, or in two or more Participating Jurisdictions, for the Common Reporting Standard profile, it shall be subject to the reporting and due diligence obligations of the jurisdiction in which it maintains the Financial Account or Accounts.</w:t>
            </w:r>
          </w:p>
          <w:p w14:paraId="399E7EA0" w14:textId="77777777" w:rsidR="00FA0CFF" w:rsidRPr="004E6A4A" w:rsidRDefault="00144445">
            <w:pPr>
              <w:jc w:val="both"/>
            </w:pPr>
            <w:r w:rsidRPr="004E6A4A">
              <w:rPr>
                <w:rFonts w:ascii="Times New Roman" w:eastAsia="Times New Roman" w:hAnsi="Times New Roman" w:cs="Times New Roman"/>
                <w:sz w:val="20"/>
              </w:rPr>
              <w:t>4. Maintenance of the account: In general, an account shall be considered to be maintained by a financial institution in the following cases:</w:t>
            </w:r>
          </w:p>
          <w:p w14:paraId="106C8F41" w14:textId="77777777" w:rsidR="00FA0CFF" w:rsidRPr="004E6A4A" w:rsidRDefault="00144445">
            <w:pPr>
              <w:jc w:val="both"/>
            </w:pPr>
            <w:r w:rsidRPr="004E6A4A">
              <w:rPr>
                <w:rFonts w:ascii="Times New Roman" w:eastAsia="Times New Roman" w:hAnsi="Times New Roman" w:cs="Times New Roman"/>
                <w:sz w:val="20"/>
              </w:rPr>
              <w:t>a) in the case of a custodial account, by the financial institution that holds custody over the assets of the account (including a financial institution that holds assets in the name of the account holder at such an institution);</w:t>
            </w:r>
          </w:p>
          <w:p w14:paraId="2FC05CE6" w14:textId="77777777" w:rsidR="00FA0CFF" w:rsidRPr="004E6A4A" w:rsidRDefault="00144445">
            <w:pPr>
              <w:jc w:val="both"/>
            </w:pPr>
            <w:r w:rsidRPr="004E6A4A">
              <w:rPr>
                <w:rFonts w:ascii="Times New Roman" w:eastAsia="Times New Roman" w:hAnsi="Times New Roman" w:cs="Times New Roman"/>
                <w:sz w:val="20"/>
              </w:rPr>
              <w:t>b) in the case of a depository account, by the financial institution that is obliged to make payments in relation to the account (excluding an agent of a financial institution, irrespective of whether such agent is a financial institution);</w:t>
            </w:r>
          </w:p>
          <w:p w14:paraId="01B8A472" w14:textId="77777777" w:rsidR="00FA0CFF" w:rsidRPr="004E6A4A" w:rsidRDefault="00144445">
            <w:pPr>
              <w:jc w:val="both"/>
            </w:pPr>
            <w:r w:rsidRPr="004E6A4A">
              <w:rPr>
                <w:rFonts w:ascii="Times New Roman" w:eastAsia="Times New Roman" w:hAnsi="Times New Roman" w:cs="Times New Roman"/>
                <w:sz w:val="20"/>
              </w:rPr>
              <w:t>c) in the case of any equity or debt interest in a financial institution that constitutes a financial account, by that financial institution;</w:t>
            </w:r>
          </w:p>
          <w:p w14:paraId="2389686E" w14:textId="77777777" w:rsidR="00FA0CFF" w:rsidRPr="004E6A4A" w:rsidRDefault="00144445">
            <w:pPr>
              <w:jc w:val="both"/>
            </w:pPr>
            <w:r w:rsidRPr="004E6A4A">
              <w:rPr>
                <w:rFonts w:ascii="Times New Roman" w:eastAsia="Times New Roman" w:hAnsi="Times New Roman" w:cs="Times New Roman"/>
                <w:sz w:val="20"/>
              </w:rPr>
              <w:t>ç) in the case of a cash value insurance contract or of an annuity contract, by the financial institution that is obliged to make payments in relation to the contract.</w:t>
            </w:r>
          </w:p>
          <w:p w14:paraId="69781495" w14:textId="77777777" w:rsidR="00FA0CFF" w:rsidRPr="004E6A4A" w:rsidRDefault="00144445">
            <w:pPr>
              <w:jc w:val="both"/>
            </w:pPr>
            <w:r w:rsidRPr="004E6A4A">
              <w:rPr>
                <w:rFonts w:ascii="Times New Roman" w:eastAsia="Times New Roman" w:hAnsi="Times New Roman" w:cs="Times New Roman"/>
                <w:sz w:val="20"/>
              </w:rPr>
              <w:t>5. Entities without tax residence. An entity, such as a partnership, a limited liability partnership or a similar legal arrangement, which has no residence for tax purposes, shall be treated as resident in the jurisdiction in which its place of effective management is located. In order to avoid double reporting, a trust which is a Passive NFE shall not be treated as a similar arrangement solely for that purpose.</w:t>
            </w:r>
          </w:p>
          <w:p w14:paraId="3EBA9A0E" w14:textId="77777777" w:rsidR="00FA0CFF" w:rsidRPr="004E6A4A" w:rsidRDefault="00144445">
            <w:pPr>
              <w:jc w:val="both"/>
            </w:pPr>
            <w:r w:rsidRPr="004E6A4A">
              <w:rPr>
                <w:rFonts w:ascii="Times New Roman" w:eastAsia="Times New Roman" w:hAnsi="Times New Roman" w:cs="Times New Roman"/>
                <w:sz w:val="20"/>
              </w:rPr>
              <w:t>6. Address of the principal office of the entity:</w:t>
            </w:r>
          </w:p>
          <w:p w14:paraId="17B4E394" w14:textId="77777777" w:rsidR="00FA0CFF" w:rsidRPr="004E6A4A" w:rsidRDefault="00144445">
            <w:pPr>
              <w:jc w:val="both"/>
            </w:pPr>
            <w:r w:rsidRPr="004E6A4A">
              <w:rPr>
                <w:rFonts w:ascii="Times New Roman" w:eastAsia="Times New Roman" w:hAnsi="Times New Roman" w:cs="Times New Roman"/>
                <w:sz w:val="20"/>
              </w:rPr>
              <w:lastRenderedPageBreak/>
              <w:t>a) One of the requirements determined in Article 5, point 25, letter “c”, of the law is that, for an Entity, the official documentation include the name of the Entity and the address of its principal office in the jurisdiction in which it claims to be resident or the jurisdiction in which it was incorporated or organised. The principal address of an entity is the address at which it is effectively managed.</w:t>
            </w:r>
          </w:p>
          <w:p w14:paraId="118B6C1A" w14:textId="77777777" w:rsidR="00FA0CFF" w:rsidRPr="004E6A4A" w:rsidRDefault="00144445">
            <w:pPr>
              <w:jc w:val="both"/>
            </w:pPr>
            <w:r w:rsidRPr="004E6A4A">
              <w:rPr>
                <w:rFonts w:ascii="Times New Roman" w:eastAsia="Times New Roman" w:hAnsi="Times New Roman" w:cs="Times New Roman"/>
                <w:sz w:val="20"/>
              </w:rPr>
              <w:t>b) The address of a financial institution at which the entity maintains an account, a post office box or an address which it uses solely for mailing purposes is not the address of the principal office of the entity, except where that address is the only address used by the entity and appears as the registered address of the entity in all official documents.</w:t>
            </w:r>
          </w:p>
          <w:p w14:paraId="2CBED1ED" w14:textId="77777777" w:rsidR="00FA0CFF" w:rsidRPr="004E6A4A" w:rsidRDefault="00144445">
            <w:pPr>
              <w:jc w:val="both"/>
            </w:pPr>
            <w:r w:rsidRPr="004E6A4A">
              <w:rPr>
                <w:rFonts w:ascii="Times New Roman" w:eastAsia="Times New Roman" w:hAnsi="Times New Roman" w:cs="Times New Roman"/>
                <w:sz w:val="20"/>
              </w:rPr>
              <w:t>c) An address which has been designated to hold all mail at that address does not constitute the address of the principal office of the entity.</w:t>
            </w:r>
          </w:p>
        </w:tc>
        <w:tc>
          <w:tcPr>
            <w:tcW w:w="1156" w:type="dxa"/>
          </w:tcPr>
          <w:p w14:paraId="06039283" w14:textId="77777777" w:rsidR="00A51FF1" w:rsidRPr="004E6A4A" w:rsidRDefault="00A51FF1" w:rsidP="00C4419F">
            <w:pPr>
              <w:jc w:val="center"/>
              <w:rPr>
                <w:rFonts w:ascii="Times New Roman" w:eastAsia="Calibri" w:hAnsi="Times New Roman" w:cs="Times New Roman"/>
                <w:sz w:val="18"/>
                <w:szCs w:val="18"/>
              </w:rPr>
            </w:pPr>
          </w:p>
          <w:p w14:paraId="2F41FD4B" w14:textId="6AA639C8" w:rsidR="00C4419F" w:rsidRPr="004E6A4A" w:rsidRDefault="00A51FF1" w:rsidP="00C4419F">
            <w:pPr>
              <w:jc w:val="center"/>
              <w:rPr>
                <w:rFonts w:ascii="Times New Roman" w:eastAsia="Calibri" w:hAnsi="Times New Roman" w:cs="Times New Roman"/>
                <w:sz w:val="18"/>
                <w:szCs w:val="18"/>
              </w:rPr>
            </w:pPr>
            <w:r w:rsidRPr="004E6A4A">
              <w:rPr>
                <w:rFonts w:ascii="Times New Roman" w:eastAsia="Calibri" w:hAnsi="Times New Roman" w:cs="Times New Roman"/>
                <w:sz w:val="18"/>
                <w:szCs w:val="18"/>
              </w:rPr>
              <w:t>F</w:t>
            </w:r>
          </w:p>
        </w:tc>
        <w:tc>
          <w:tcPr>
            <w:tcW w:w="2970" w:type="dxa"/>
          </w:tcPr>
          <w:p w14:paraId="2F88389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Complies.</w:t>
            </w:r>
          </w:p>
          <w:p w14:paraId="17EF6A8C"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Transposed by Article 11 of the Decision.</w:t>
            </w:r>
          </w:p>
        </w:tc>
      </w:tr>
      <w:tr w:rsidR="004E6A4A" w:rsidRPr="004E6A4A" w14:paraId="157BE5EF" w14:textId="77777777" w:rsidTr="00E11E6D">
        <w:trPr>
          <w:trHeight w:val="764"/>
        </w:trPr>
        <w:tc>
          <w:tcPr>
            <w:tcW w:w="720" w:type="dxa"/>
          </w:tcPr>
          <w:p w14:paraId="56D73C19" w14:textId="77777777" w:rsidR="00FA0CFF" w:rsidRPr="004E6A4A" w:rsidRDefault="00FA0CFF"/>
        </w:tc>
        <w:tc>
          <w:tcPr>
            <w:tcW w:w="4860" w:type="dxa"/>
          </w:tcPr>
          <w:p w14:paraId="1A29709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 corresponding provision in Council Directive 2014/107/EU.</w:t>
            </w:r>
          </w:p>
        </w:tc>
        <w:tc>
          <w:tcPr>
            <w:tcW w:w="1080" w:type="dxa"/>
          </w:tcPr>
          <w:p w14:paraId="42D1EF3B" w14:textId="77777777" w:rsidR="00FA0CFF" w:rsidRPr="004E6A4A" w:rsidRDefault="00FA0CFF">
            <w:pPr>
              <w:jc w:val="both"/>
            </w:pPr>
          </w:p>
        </w:tc>
        <w:tc>
          <w:tcPr>
            <w:tcW w:w="900" w:type="dxa"/>
          </w:tcPr>
          <w:p w14:paraId="0AD38D1E" w14:textId="77777777" w:rsidR="00FA0CFF" w:rsidRPr="004E6A4A" w:rsidRDefault="00FA0CFF">
            <w:pPr>
              <w:jc w:val="both"/>
            </w:pPr>
          </w:p>
        </w:tc>
        <w:tc>
          <w:tcPr>
            <w:tcW w:w="4514" w:type="dxa"/>
          </w:tcPr>
          <w:p w14:paraId="70D973D7" w14:textId="77777777" w:rsidR="00FA0CFF" w:rsidRPr="004E6A4A" w:rsidRDefault="00144445">
            <w:pPr>
              <w:jc w:val="center"/>
            </w:pPr>
            <w:r w:rsidRPr="004E6A4A">
              <w:rPr>
                <w:rFonts w:ascii="Times New Roman" w:eastAsia="Times New Roman" w:hAnsi="Times New Roman" w:cs="Times New Roman"/>
                <w:b/>
                <w:sz w:val="20"/>
              </w:rPr>
              <w:t>Draft Law: Article 2</w:t>
            </w:r>
          </w:p>
          <w:p w14:paraId="613DE4EE" w14:textId="77777777" w:rsidR="00FA0CFF" w:rsidRPr="004E6A4A" w:rsidRDefault="00144445">
            <w:pPr>
              <w:jc w:val="center"/>
            </w:pPr>
            <w:r w:rsidRPr="004E6A4A">
              <w:rPr>
                <w:rFonts w:ascii="Times New Roman" w:eastAsia="Times New Roman" w:hAnsi="Times New Roman" w:cs="Times New Roman"/>
                <w:b/>
                <w:sz w:val="20"/>
              </w:rPr>
              <w:t>Purpose</w:t>
            </w:r>
          </w:p>
          <w:p w14:paraId="1E8478F9" w14:textId="77777777" w:rsidR="00FA0CFF" w:rsidRPr="004E6A4A" w:rsidRDefault="00144445">
            <w:pPr>
              <w:jc w:val="both"/>
            </w:pPr>
            <w:r w:rsidRPr="004E6A4A">
              <w:rPr>
                <w:rFonts w:ascii="Times New Roman" w:eastAsia="Times New Roman" w:hAnsi="Times New Roman" w:cs="Times New Roman"/>
                <w:sz w:val="20"/>
              </w:rPr>
              <w:t>1. The purpose of this Law is to establish the legal framework for the implementation of:</w:t>
            </w:r>
          </w:p>
          <w:p w14:paraId="5B219B42" w14:textId="77777777" w:rsidR="00FA0CFF" w:rsidRPr="004E6A4A" w:rsidRDefault="00144445">
            <w:pPr>
              <w:jc w:val="both"/>
            </w:pPr>
            <w:r w:rsidRPr="004E6A4A">
              <w:rPr>
                <w:rFonts w:ascii="Times New Roman" w:eastAsia="Times New Roman" w:hAnsi="Times New Roman" w:cs="Times New Roman"/>
                <w:sz w:val="20"/>
              </w:rPr>
              <w:t>a) Council Directive 2011/16/EU, as amended, in relations with the Member States of the European Union;</w:t>
            </w:r>
          </w:p>
          <w:p w14:paraId="334E12A9" w14:textId="77777777" w:rsidR="00FA0CFF" w:rsidRPr="004E6A4A" w:rsidRDefault="00144445">
            <w:pPr>
              <w:jc w:val="both"/>
            </w:pPr>
            <w:r w:rsidRPr="004E6A4A">
              <w:rPr>
                <w:rFonts w:ascii="Times New Roman" w:eastAsia="Times New Roman" w:hAnsi="Times New Roman" w:cs="Times New Roman"/>
                <w:sz w:val="20"/>
              </w:rPr>
              <w:t>b) the Convention on Mutual Administrative Assistance in Tax Matters; and</w:t>
            </w:r>
          </w:p>
          <w:p w14:paraId="552EB582" w14:textId="77777777" w:rsidR="00FA0CFF" w:rsidRPr="004E6A4A" w:rsidRDefault="00144445">
            <w:pPr>
              <w:jc w:val="both"/>
            </w:pPr>
            <w:r w:rsidRPr="004E6A4A">
              <w:rPr>
                <w:rFonts w:ascii="Times New Roman" w:eastAsia="Times New Roman" w:hAnsi="Times New Roman" w:cs="Times New Roman"/>
                <w:sz w:val="20"/>
              </w:rPr>
              <w:t>c) the Multilateral Competent Authority Agreement on the automatic exchange of financial account information,</w:t>
            </w:r>
          </w:p>
          <w:p w14:paraId="7BF62D71" w14:textId="77777777" w:rsidR="00FA0CFF" w:rsidRPr="004E6A4A" w:rsidRDefault="00144445">
            <w:pPr>
              <w:jc w:val="both"/>
            </w:pPr>
            <w:r w:rsidRPr="004E6A4A">
              <w:rPr>
                <w:rFonts w:ascii="Times New Roman" w:eastAsia="Times New Roman" w:hAnsi="Times New Roman" w:cs="Times New Roman"/>
                <w:sz w:val="20"/>
              </w:rPr>
              <w:t>with a view to preventing and combating tax fraud and tax evasion, as well as improving tax compliance at national and international level.</w:t>
            </w:r>
          </w:p>
          <w:p w14:paraId="2E3A3380" w14:textId="77777777" w:rsidR="00FA0CFF" w:rsidRPr="004E6A4A" w:rsidRDefault="00FA0CFF"/>
          <w:p w14:paraId="09D67B43" w14:textId="77777777" w:rsidR="00FA0CFF" w:rsidRPr="004E6A4A" w:rsidRDefault="00144445">
            <w:pPr>
              <w:jc w:val="center"/>
            </w:pPr>
            <w:r w:rsidRPr="004E6A4A">
              <w:rPr>
                <w:rFonts w:ascii="Times New Roman" w:eastAsia="Times New Roman" w:hAnsi="Times New Roman" w:cs="Times New Roman"/>
                <w:b/>
                <w:sz w:val="20"/>
              </w:rPr>
              <w:t>Draft Law: Article 3</w:t>
            </w:r>
          </w:p>
          <w:p w14:paraId="044370F1" w14:textId="77777777" w:rsidR="00FA0CFF" w:rsidRPr="004E6A4A" w:rsidRDefault="00144445">
            <w:pPr>
              <w:jc w:val="center"/>
            </w:pPr>
            <w:r w:rsidRPr="004E6A4A">
              <w:rPr>
                <w:rFonts w:ascii="Times New Roman" w:eastAsia="Times New Roman" w:hAnsi="Times New Roman" w:cs="Times New Roman"/>
                <w:b/>
                <w:sz w:val="20"/>
              </w:rPr>
              <w:t>Principles of implementation</w:t>
            </w:r>
          </w:p>
          <w:p w14:paraId="2A50787D" w14:textId="77777777" w:rsidR="00FA0CFF" w:rsidRPr="004E6A4A" w:rsidRDefault="00144445">
            <w:pPr>
              <w:jc w:val="both"/>
            </w:pPr>
            <w:r w:rsidRPr="004E6A4A">
              <w:rPr>
                <w:rFonts w:ascii="Times New Roman" w:eastAsia="Times New Roman" w:hAnsi="Times New Roman" w:cs="Times New Roman"/>
                <w:sz w:val="20"/>
              </w:rPr>
              <w:lastRenderedPageBreak/>
              <w:t>1. The collection, reporting, exchange and use of financial account information shall be carried out in compliance with confidentiality, the permitted use of the information, the protection of personal data and information security.</w:t>
            </w:r>
          </w:p>
          <w:p w14:paraId="6C2B09F5" w14:textId="77777777" w:rsidR="00FA0CFF" w:rsidRPr="004E6A4A" w:rsidRDefault="00144445">
            <w:pPr>
              <w:jc w:val="both"/>
            </w:pPr>
            <w:r w:rsidRPr="004E6A4A">
              <w:rPr>
                <w:rFonts w:ascii="Times New Roman" w:eastAsia="Times New Roman" w:hAnsi="Times New Roman" w:cs="Times New Roman"/>
                <w:sz w:val="20"/>
              </w:rPr>
              <w:t>2. For exchanges with the Member States of the European Union, the provisions of the law “On administrative cooperation in the field of taxation and the exchange of tax information” shall apply in addition, including the provisions on confidentiality, permitted use, protection of personal data, data breaches and the use of the CCN network.</w:t>
            </w:r>
          </w:p>
          <w:p w14:paraId="4A29DED6" w14:textId="77777777" w:rsidR="00FA0CFF" w:rsidRPr="004E6A4A" w:rsidRDefault="00144445">
            <w:pPr>
              <w:jc w:val="both"/>
            </w:pPr>
            <w:r w:rsidRPr="004E6A4A">
              <w:rPr>
                <w:rFonts w:ascii="Times New Roman" w:eastAsia="Times New Roman" w:hAnsi="Times New Roman" w:cs="Times New Roman"/>
                <w:sz w:val="20"/>
              </w:rPr>
              <w:t>3. For exchanges with jurisdictions that are not Member States of the European Union, the Convention on Mutual Administrative Assistance in Tax Matters, the Multilateral Competent Authority Agreement, the Common Reporting Standard and the relevant national legislation shall apply.</w:t>
            </w:r>
          </w:p>
          <w:p w14:paraId="435681B2" w14:textId="77777777" w:rsidR="00FA0CFF" w:rsidRPr="004E6A4A" w:rsidRDefault="00FA0CFF"/>
          <w:p w14:paraId="68BA6E37" w14:textId="77777777" w:rsidR="00FA0CFF" w:rsidRPr="004E6A4A" w:rsidRDefault="00144445">
            <w:pPr>
              <w:jc w:val="center"/>
            </w:pPr>
            <w:r w:rsidRPr="004E6A4A">
              <w:rPr>
                <w:rFonts w:ascii="Times New Roman" w:eastAsia="Times New Roman" w:hAnsi="Times New Roman" w:cs="Times New Roman"/>
                <w:b/>
                <w:sz w:val="20"/>
              </w:rPr>
              <w:t>Draft Law: Article 4</w:t>
            </w:r>
          </w:p>
          <w:p w14:paraId="53232B0A" w14:textId="77777777" w:rsidR="00FA0CFF" w:rsidRPr="004E6A4A" w:rsidRDefault="00144445">
            <w:pPr>
              <w:jc w:val="center"/>
            </w:pPr>
            <w:r w:rsidRPr="004E6A4A">
              <w:rPr>
                <w:rFonts w:ascii="Times New Roman" w:eastAsia="Times New Roman" w:hAnsi="Times New Roman" w:cs="Times New Roman"/>
                <w:b/>
                <w:sz w:val="20"/>
              </w:rPr>
              <w:t>Subjects</w:t>
            </w:r>
          </w:p>
          <w:p w14:paraId="07371087" w14:textId="77777777" w:rsidR="00FA0CFF" w:rsidRPr="004E6A4A" w:rsidRDefault="00144445">
            <w:pPr>
              <w:jc w:val="both"/>
            </w:pPr>
            <w:r w:rsidRPr="004E6A4A">
              <w:rPr>
                <w:rFonts w:ascii="Times New Roman" w:eastAsia="Times New Roman" w:hAnsi="Times New Roman" w:cs="Times New Roman"/>
                <w:sz w:val="20"/>
              </w:rPr>
              <w:t>1. The subjects of this Law shall be the reporting financial institutions in the Republic of Albania and, only for the obligations expressly imposed on them by this Law or by the sub-legal acts issued in implementation thereof, account holders, controlling persons, third-party service providers and other responsible persons.</w:t>
            </w:r>
          </w:p>
        </w:tc>
        <w:tc>
          <w:tcPr>
            <w:tcW w:w="1156" w:type="dxa"/>
          </w:tcPr>
          <w:p w14:paraId="6681C21D" w14:textId="77777777" w:rsidR="00FA0CFF" w:rsidRPr="004E6A4A" w:rsidRDefault="00144445">
            <w:pPr>
              <w:jc w:val="center"/>
            </w:pPr>
            <w:r w:rsidRPr="004E6A4A">
              <w:rPr>
                <w:rFonts w:ascii="Times New Roman" w:hAnsi="Times New Roman" w:cs="Times New Roman"/>
                <w:sz w:val="20"/>
              </w:rPr>
              <w:lastRenderedPageBreak/>
              <w:t>N/A</w:t>
            </w:r>
          </w:p>
        </w:tc>
        <w:tc>
          <w:tcPr>
            <w:tcW w:w="2970" w:type="dxa"/>
          </w:tcPr>
          <w:p w14:paraId="1B00BFC8"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National provision.</w:t>
            </w:r>
          </w:p>
          <w:p w14:paraId="06CA2F0E"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Purpose, principles of implementation and subjects of the Draft Law.</w:t>
            </w:r>
          </w:p>
        </w:tc>
      </w:tr>
      <w:tr w:rsidR="004E6A4A" w:rsidRPr="004E6A4A" w14:paraId="68D0E53D" w14:textId="77777777" w:rsidTr="00E11E6D">
        <w:trPr>
          <w:trHeight w:val="764"/>
        </w:trPr>
        <w:tc>
          <w:tcPr>
            <w:tcW w:w="720" w:type="dxa"/>
          </w:tcPr>
          <w:p w14:paraId="4D30BDFE" w14:textId="77777777" w:rsidR="00FA0CFF" w:rsidRPr="004E6A4A" w:rsidRDefault="00FA0CFF"/>
        </w:tc>
        <w:tc>
          <w:tcPr>
            <w:tcW w:w="4860" w:type="dxa"/>
          </w:tcPr>
          <w:p w14:paraId="61F58DA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 corresponding provision in Council Directive 2014/107/EU.</w:t>
            </w:r>
          </w:p>
        </w:tc>
        <w:tc>
          <w:tcPr>
            <w:tcW w:w="1080" w:type="dxa"/>
          </w:tcPr>
          <w:p w14:paraId="2447BAA6" w14:textId="77777777" w:rsidR="00FA0CFF" w:rsidRPr="004E6A4A" w:rsidRDefault="00FA0CFF">
            <w:pPr>
              <w:jc w:val="both"/>
            </w:pPr>
          </w:p>
        </w:tc>
        <w:tc>
          <w:tcPr>
            <w:tcW w:w="900" w:type="dxa"/>
          </w:tcPr>
          <w:p w14:paraId="6ED0459F" w14:textId="77777777" w:rsidR="00FA0CFF" w:rsidRPr="004E6A4A" w:rsidRDefault="00FA0CFF">
            <w:pPr>
              <w:jc w:val="both"/>
            </w:pPr>
          </w:p>
        </w:tc>
        <w:tc>
          <w:tcPr>
            <w:tcW w:w="4514" w:type="dxa"/>
          </w:tcPr>
          <w:p w14:paraId="470BE45D" w14:textId="77777777" w:rsidR="00FA0CFF" w:rsidRPr="004E6A4A" w:rsidRDefault="00144445">
            <w:pPr>
              <w:jc w:val="center"/>
            </w:pPr>
            <w:r w:rsidRPr="004E6A4A">
              <w:rPr>
                <w:rFonts w:ascii="Times New Roman" w:eastAsia="Times New Roman" w:hAnsi="Times New Roman" w:cs="Times New Roman"/>
                <w:b/>
                <w:sz w:val="20"/>
              </w:rPr>
              <w:t>Draft Law: Article 19</w:t>
            </w:r>
          </w:p>
          <w:p w14:paraId="2E44AA83" w14:textId="77777777" w:rsidR="00FA0CFF" w:rsidRPr="004E6A4A" w:rsidRDefault="00144445">
            <w:pPr>
              <w:jc w:val="center"/>
            </w:pPr>
            <w:r w:rsidRPr="004E6A4A">
              <w:rPr>
                <w:rFonts w:ascii="Times New Roman" w:eastAsia="Times New Roman" w:hAnsi="Times New Roman" w:cs="Times New Roman"/>
                <w:b/>
                <w:sz w:val="20"/>
              </w:rPr>
              <w:t>Confidentiality</w:t>
            </w:r>
          </w:p>
          <w:p w14:paraId="1B4E3E8E" w14:textId="77777777" w:rsidR="00FA0CFF" w:rsidRPr="004E6A4A" w:rsidRDefault="00144445">
            <w:pPr>
              <w:jc w:val="both"/>
            </w:pPr>
            <w:r w:rsidRPr="004E6A4A">
              <w:rPr>
                <w:rFonts w:ascii="Times New Roman" w:eastAsia="Times New Roman" w:hAnsi="Times New Roman" w:cs="Times New Roman"/>
                <w:sz w:val="20"/>
              </w:rPr>
              <w:t>1. The information provided by reporting financial institutions in the Republic of Albania shall be confidential.</w:t>
            </w:r>
          </w:p>
          <w:p w14:paraId="23C294B2" w14:textId="77777777" w:rsidR="00FA0CFF" w:rsidRPr="004E6A4A" w:rsidRDefault="00144445">
            <w:pPr>
              <w:jc w:val="both"/>
            </w:pPr>
            <w:r w:rsidRPr="004E6A4A">
              <w:rPr>
                <w:rFonts w:ascii="Times New Roman" w:eastAsia="Times New Roman" w:hAnsi="Times New Roman" w:cs="Times New Roman"/>
                <w:sz w:val="20"/>
              </w:rPr>
              <w:t xml:space="preserve">2. Every employee of the Competent Authority, of the reporting financial institution and every public official who has access to the personal data processed within the framework of this Law shall be obliged to sign the </w:t>
            </w:r>
            <w:r w:rsidRPr="004E6A4A">
              <w:rPr>
                <w:rFonts w:ascii="Times New Roman" w:eastAsia="Times New Roman" w:hAnsi="Times New Roman" w:cs="Times New Roman"/>
                <w:sz w:val="20"/>
              </w:rPr>
              <w:lastRenderedPageBreak/>
              <w:t>confidentiality declaration, which shall be administered by the relevant institutions in their capacity as employer.</w:t>
            </w:r>
          </w:p>
          <w:p w14:paraId="7ACF3299" w14:textId="77777777" w:rsidR="00FA0CFF" w:rsidRPr="004E6A4A" w:rsidRDefault="00144445">
            <w:pPr>
              <w:jc w:val="both"/>
            </w:pPr>
            <w:r w:rsidRPr="004E6A4A">
              <w:rPr>
                <w:rFonts w:ascii="Times New Roman" w:eastAsia="Times New Roman" w:hAnsi="Times New Roman" w:cs="Times New Roman"/>
                <w:sz w:val="20"/>
              </w:rPr>
              <w:t>3. The obligation to preserve confidentiality shall continue also after the officials or employees are no longer employed by the Competent Authority, the reporting financial institution or the relevant institution.</w:t>
            </w:r>
          </w:p>
          <w:p w14:paraId="79D511C9" w14:textId="77777777" w:rsidR="00FA0CFF" w:rsidRPr="004E6A4A" w:rsidRDefault="00144445">
            <w:pPr>
              <w:jc w:val="both"/>
            </w:pPr>
            <w:r w:rsidRPr="004E6A4A">
              <w:rPr>
                <w:rFonts w:ascii="Times New Roman" w:eastAsia="Times New Roman" w:hAnsi="Times New Roman" w:cs="Times New Roman"/>
                <w:sz w:val="20"/>
              </w:rPr>
              <w:t>4. Information received from foreign competent authorities shall be retained, used and disclosed only in accordance with the limitations provided for in the relevant legal basis of the exchange. For exchanges with the Member States, the provisions of the law “On administrative cooperation in the field of taxation and the exchange of tax information” shall apply; for other exchanges, the Convention, the Multilateral Competent Authority Agreement and the other relevant instruments shall apply.</w:t>
            </w:r>
          </w:p>
        </w:tc>
        <w:tc>
          <w:tcPr>
            <w:tcW w:w="1156" w:type="dxa"/>
          </w:tcPr>
          <w:p w14:paraId="7E18561C" w14:textId="77777777" w:rsidR="00FA0CFF" w:rsidRPr="004E6A4A" w:rsidRDefault="00144445">
            <w:pPr>
              <w:jc w:val="center"/>
            </w:pPr>
            <w:r w:rsidRPr="004E6A4A">
              <w:rPr>
                <w:rFonts w:ascii="Times New Roman" w:hAnsi="Times New Roman" w:cs="Times New Roman"/>
                <w:sz w:val="20"/>
              </w:rPr>
              <w:lastRenderedPageBreak/>
              <w:t>N/A</w:t>
            </w:r>
          </w:p>
        </w:tc>
        <w:tc>
          <w:tcPr>
            <w:tcW w:w="2970" w:type="dxa"/>
          </w:tcPr>
          <w:p w14:paraId="06AC676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National provision.</w:t>
            </w:r>
          </w:p>
          <w:p w14:paraId="1F06F42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Confidentiality of the information provided by reporting financial institutions.</w:t>
            </w:r>
          </w:p>
        </w:tc>
      </w:tr>
      <w:tr w:rsidR="004E6A4A" w:rsidRPr="004E6A4A" w14:paraId="18E939A4" w14:textId="77777777" w:rsidTr="00E11E6D">
        <w:trPr>
          <w:trHeight w:val="764"/>
        </w:trPr>
        <w:tc>
          <w:tcPr>
            <w:tcW w:w="720" w:type="dxa"/>
          </w:tcPr>
          <w:p w14:paraId="30F73F09" w14:textId="77777777" w:rsidR="00FA0CFF" w:rsidRPr="004E6A4A" w:rsidRDefault="00FA0CFF"/>
        </w:tc>
        <w:tc>
          <w:tcPr>
            <w:tcW w:w="4860" w:type="dxa"/>
          </w:tcPr>
          <w:p w14:paraId="183A0900"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 corresponding provision in Council Directive 2014/107/EU.</w:t>
            </w:r>
          </w:p>
        </w:tc>
        <w:tc>
          <w:tcPr>
            <w:tcW w:w="1080" w:type="dxa"/>
          </w:tcPr>
          <w:p w14:paraId="0577F87B" w14:textId="77777777" w:rsidR="00FA0CFF" w:rsidRPr="004E6A4A" w:rsidRDefault="00FA0CFF"/>
        </w:tc>
        <w:tc>
          <w:tcPr>
            <w:tcW w:w="900" w:type="dxa"/>
          </w:tcPr>
          <w:p w14:paraId="668431FD" w14:textId="77777777" w:rsidR="00FA0CFF" w:rsidRPr="004E6A4A" w:rsidRDefault="00FA0CFF"/>
        </w:tc>
        <w:tc>
          <w:tcPr>
            <w:tcW w:w="4514" w:type="dxa"/>
          </w:tcPr>
          <w:p w14:paraId="787EB6A9" w14:textId="77777777" w:rsidR="00FA0CFF" w:rsidRPr="004E6A4A" w:rsidRDefault="00144445">
            <w:pPr>
              <w:jc w:val="center"/>
            </w:pPr>
            <w:r w:rsidRPr="004E6A4A">
              <w:rPr>
                <w:rFonts w:ascii="Times New Roman" w:eastAsia="Times New Roman" w:hAnsi="Times New Roman" w:cs="Times New Roman"/>
                <w:b/>
                <w:sz w:val="20"/>
              </w:rPr>
              <w:t>DCM: Article 12</w:t>
            </w:r>
          </w:p>
          <w:p w14:paraId="303265FC" w14:textId="77777777" w:rsidR="00FA0CFF" w:rsidRPr="004E6A4A" w:rsidRDefault="00144445">
            <w:pPr>
              <w:jc w:val="center"/>
            </w:pPr>
            <w:r w:rsidRPr="004E6A4A">
              <w:rPr>
                <w:rFonts w:ascii="Times New Roman" w:eastAsia="Times New Roman" w:hAnsi="Times New Roman" w:cs="Times New Roman"/>
                <w:b/>
                <w:sz w:val="20"/>
              </w:rPr>
              <w:t>Exchange of information on reportable accounts</w:t>
            </w:r>
          </w:p>
          <w:p w14:paraId="187F404D" w14:textId="77777777" w:rsidR="00FA0CFF" w:rsidRPr="004E6A4A" w:rsidRDefault="00144445">
            <w:pPr>
              <w:jc w:val="both"/>
            </w:pPr>
            <w:r w:rsidRPr="004E6A4A">
              <w:rPr>
                <w:rFonts w:ascii="Times New Roman" w:eastAsia="Times New Roman" w:hAnsi="Times New Roman" w:cs="Times New Roman"/>
                <w:sz w:val="20"/>
              </w:rPr>
              <w:t>5. For exchanges with jurisdictions that are not Member States of the European Union, the GDT shall use the Common Transmission System (CTS) or the other secure channel determined in the relevant international instrument, together with the XML schema of the Common Reporting Standard and the technical rules of the OECD in force.</w:t>
            </w:r>
          </w:p>
          <w:p w14:paraId="64D295F3" w14:textId="77777777" w:rsidR="00FA0CFF" w:rsidRPr="004E6A4A" w:rsidRDefault="00144445">
            <w:pPr>
              <w:jc w:val="both"/>
            </w:pPr>
            <w:r w:rsidRPr="004E6A4A">
              <w:rPr>
                <w:rFonts w:ascii="Times New Roman" w:eastAsia="Times New Roman" w:hAnsi="Times New Roman" w:cs="Times New Roman"/>
                <w:sz w:val="20"/>
              </w:rPr>
              <w:t>6. The time limit for the exchange under point 5 shall be determined by the relevant international instrument.</w:t>
            </w:r>
          </w:p>
          <w:p w14:paraId="7DCF6C28" w14:textId="77777777" w:rsidR="00FA0CFF" w:rsidRPr="004E6A4A" w:rsidRDefault="00144445">
            <w:pPr>
              <w:jc w:val="both"/>
            </w:pPr>
            <w:r w:rsidRPr="004E6A4A">
              <w:rPr>
                <w:rFonts w:ascii="Times New Roman" w:eastAsia="Times New Roman" w:hAnsi="Times New Roman" w:cs="Times New Roman"/>
                <w:sz w:val="20"/>
              </w:rPr>
              <w:t xml:space="preserve">7. The processing, transmission and retention of information shall be carried out in accordance with Law No. _/__, the law on administrative cooperation in the field of taxation and the exchange of tax information, the legislation on the protection of personal data, and the requirements of security, confidentiality, proportionality, data minimisation and </w:t>
            </w:r>
            <w:r w:rsidRPr="004E6A4A">
              <w:rPr>
                <w:rFonts w:ascii="Times New Roman" w:eastAsia="Times New Roman" w:hAnsi="Times New Roman" w:cs="Times New Roman"/>
                <w:sz w:val="20"/>
              </w:rPr>
              <w:lastRenderedPageBreak/>
              <w:t>traceability arising from the legal basis for the exchange.</w:t>
            </w:r>
          </w:p>
          <w:p w14:paraId="1975356B" w14:textId="77777777" w:rsidR="00FA0CFF" w:rsidRPr="004E6A4A" w:rsidRDefault="00144445">
            <w:pPr>
              <w:jc w:val="both"/>
            </w:pPr>
            <w:r w:rsidRPr="004E6A4A">
              <w:rPr>
                <w:rFonts w:ascii="Times New Roman" w:eastAsia="Times New Roman" w:hAnsi="Times New Roman" w:cs="Times New Roman"/>
                <w:sz w:val="20"/>
              </w:rPr>
              <w:t>8. The GDT and the reporting financial institutions shall, within their responsibilities, ensure appropriate security measures, audit trails of the processing and transmission, as well as the exercise of the rights of data subjects under the applicable legislation.</w:t>
            </w:r>
          </w:p>
          <w:p w14:paraId="408EF927" w14:textId="77777777" w:rsidR="00FA0CFF" w:rsidRPr="004E6A4A" w:rsidRDefault="00144445">
            <w:pPr>
              <w:jc w:val="both"/>
            </w:pPr>
            <w:r w:rsidRPr="004E6A4A">
              <w:rPr>
                <w:rFonts w:ascii="Times New Roman" w:eastAsia="Times New Roman" w:hAnsi="Times New Roman" w:cs="Times New Roman"/>
                <w:sz w:val="20"/>
              </w:rPr>
              <w:t>9. The technical specifications of Annex IV and the technical instructions of the GDT may not alter the subjects, the substantive content of the information, the time limits, the exceptions or the obligations determined in the law and in this Decision.</w:t>
            </w:r>
          </w:p>
          <w:p w14:paraId="47F9183F" w14:textId="77777777" w:rsidR="00FA0CFF" w:rsidRPr="004E6A4A" w:rsidRDefault="00144445">
            <w:pPr>
              <w:jc w:val="both"/>
            </w:pPr>
            <w:r w:rsidRPr="004E6A4A">
              <w:rPr>
                <w:rFonts w:ascii="Times New Roman" w:eastAsia="Times New Roman" w:hAnsi="Times New Roman" w:cs="Times New Roman"/>
                <w:sz w:val="20"/>
              </w:rPr>
              <w:t>10. For the European Union profile, the GDT shall prepare and communicate to the European Commission the statistics on the mandatory automatic exchange of information under Article 8(3a) of Directive 2011/16/EU, as amended, in accordance with Article 2d, points 1 and 3, and Annex XI to Commission Implementing Regulation (EU) 2015/2378, as amended, before 1 November of each year.</w:t>
            </w:r>
          </w:p>
        </w:tc>
        <w:tc>
          <w:tcPr>
            <w:tcW w:w="1156" w:type="dxa"/>
          </w:tcPr>
          <w:p w14:paraId="3A2402E0" w14:textId="77777777" w:rsidR="00FA0CFF" w:rsidRPr="004E6A4A" w:rsidRDefault="00144445">
            <w:pPr>
              <w:jc w:val="center"/>
            </w:pPr>
            <w:r w:rsidRPr="004E6A4A">
              <w:rPr>
                <w:rFonts w:ascii="Times New Roman" w:eastAsia="Times New Roman" w:hAnsi="Times New Roman" w:cs="Times New Roman"/>
                <w:sz w:val="20"/>
              </w:rPr>
              <w:lastRenderedPageBreak/>
              <w:t>N/A</w:t>
            </w:r>
          </w:p>
        </w:tc>
        <w:tc>
          <w:tcPr>
            <w:tcW w:w="2970" w:type="dxa"/>
          </w:tcPr>
          <w:p w14:paraId="128F2AFD"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National provision.</w:t>
            </w:r>
          </w:p>
          <w:p w14:paraId="1970D6B2"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Exchanges with jurisdictions other than Member States, technical specifications and statistics.</w:t>
            </w:r>
          </w:p>
        </w:tc>
      </w:tr>
      <w:tr w:rsidR="004E6A4A" w:rsidRPr="004E6A4A" w14:paraId="46544A1F" w14:textId="77777777" w:rsidTr="00E11E6D">
        <w:trPr>
          <w:trHeight w:val="764"/>
        </w:trPr>
        <w:tc>
          <w:tcPr>
            <w:tcW w:w="720" w:type="dxa"/>
          </w:tcPr>
          <w:p w14:paraId="46550D4A" w14:textId="77777777" w:rsidR="00FA0CFF" w:rsidRPr="004E6A4A" w:rsidRDefault="00FA0CFF"/>
        </w:tc>
        <w:tc>
          <w:tcPr>
            <w:tcW w:w="4860" w:type="dxa"/>
          </w:tcPr>
          <w:p w14:paraId="47EB9903"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 corresponding provision in Council Directive 2014/107/EU.</w:t>
            </w:r>
          </w:p>
        </w:tc>
        <w:tc>
          <w:tcPr>
            <w:tcW w:w="1080" w:type="dxa"/>
          </w:tcPr>
          <w:p w14:paraId="3459ECB8" w14:textId="77777777" w:rsidR="00FA0CFF" w:rsidRPr="004E6A4A" w:rsidRDefault="00FA0CFF"/>
        </w:tc>
        <w:tc>
          <w:tcPr>
            <w:tcW w:w="900" w:type="dxa"/>
          </w:tcPr>
          <w:p w14:paraId="78DB2682" w14:textId="77777777" w:rsidR="00FA0CFF" w:rsidRPr="004E6A4A" w:rsidRDefault="00FA0CFF"/>
        </w:tc>
        <w:tc>
          <w:tcPr>
            <w:tcW w:w="4514" w:type="dxa"/>
          </w:tcPr>
          <w:p w14:paraId="0A613700" w14:textId="77777777" w:rsidR="00FA0CFF" w:rsidRPr="004E6A4A" w:rsidRDefault="00144445">
            <w:pPr>
              <w:jc w:val="center"/>
            </w:pPr>
            <w:r w:rsidRPr="004E6A4A">
              <w:rPr>
                <w:rFonts w:ascii="Times New Roman" w:eastAsia="Times New Roman" w:hAnsi="Times New Roman" w:cs="Times New Roman"/>
                <w:b/>
                <w:sz w:val="20"/>
              </w:rPr>
              <w:t>Draft Law: Article 5</w:t>
            </w:r>
          </w:p>
          <w:p w14:paraId="4E87B285" w14:textId="77777777" w:rsidR="00FA0CFF" w:rsidRPr="004E6A4A" w:rsidRDefault="00144445">
            <w:pPr>
              <w:jc w:val="center"/>
            </w:pPr>
            <w:r w:rsidRPr="004E6A4A">
              <w:rPr>
                <w:rFonts w:ascii="Times New Roman" w:eastAsia="Times New Roman" w:hAnsi="Times New Roman" w:cs="Times New Roman"/>
                <w:b/>
                <w:sz w:val="20"/>
              </w:rPr>
              <w:t>Definitions</w:t>
            </w:r>
          </w:p>
          <w:p w14:paraId="46D88902" w14:textId="77777777" w:rsidR="00FA0CFF" w:rsidRPr="004E6A4A" w:rsidRDefault="00144445">
            <w:pPr>
              <w:jc w:val="both"/>
            </w:pPr>
            <w:r w:rsidRPr="004E6A4A">
              <w:rPr>
                <w:rFonts w:ascii="Times New Roman" w:eastAsia="Times New Roman" w:hAnsi="Times New Roman" w:cs="Times New Roman"/>
                <w:sz w:val="20"/>
              </w:rPr>
              <w:t>1. “Competent Authority” means the General Directorate of Taxation. For the automatic exchange of information with the Member States of the European Union, the Competent Authority shall also exercise the functions and powers determined in the law “On administrative cooperation in the field of taxation and the exchange of tax information”.</w:t>
            </w:r>
          </w:p>
          <w:p w14:paraId="7C0CF2C1" w14:textId="77777777" w:rsidR="00FA0CFF" w:rsidRPr="004E6A4A" w:rsidRDefault="00144445">
            <w:pPr>
              <w:jc w:val="both"/>
            </w:pPr>
            <w:r w:rsidRPr="004E6A4A">
              <w:rPr>
                <w:rFonts w:ascii="Times New Roman" w:eastAsia="Times New Roman" w:hAnsi="Times New Roman" w:cs="Times New Roman"/>
                <w:sz w:val="20"/>
              </w:rPr>
              <w:t>2. “Agreement” means the Multilateral Competent Authority Agreement on the automatic exchange of financial account information, approved by decision No 178, dated 9.3.2016, of the Council of Ministers, “On the approval of the Multilateral Competent Authority Agreement on the automatic exchange of financial account information”.</w:t>
            </w:r>
          </w:p>
          <w:p w14:paraId="17C9DEEF" w14:textId="77777777" w:rsidR="00FA0CFF" w:rsidRPr="004E6A4A" w:rsidRDefault="00144445">
            <w:pPr>
              <w:jc w:val="both"/>
            </w:pPr>
            <w:r w:rsidRPr="004E6A4A">
              <w:rPr>
                <w:rFonts w:ascii="Times New Roman" w:eastAsia="Times New Roman" w:hAnsi="Times New Roman" w:cs="Times New Roman"/>
                <w:sz w:val="20"/>
              </w:rPr>
              <w:lastRenderedPageBreak/>
              <w:t>9. “Common Reporting Standard (CRS)” means the Common Reporting Standard for the automatic exchange of financial account information, approved by the Organisation for Economic Co-operation and Development, as amended.</w:t>
            </w:r>
          </w:p>
          <w:p w14:paraId="367A4460" w14:textId="77777777" w:rsidR="00FA0CFF" w:rsidRPr="004E6A4A" w:rsidRDefault="00144445">
            <w:pPr>
              <w:jc w:val="both"/>
            </w:pPr>
            <w:r w:rsidRPr="004E6A4A">
              <w:rPr>
                <w:rFonts w:ascii="Times New Roman" w:eastAsia="Times New Roman" w:hAnsi="Times New Roman" w:cs="Times New Roman"/>
                <w:sz w:val="20"/>
              </w:rPr>
              <w:t>10. “Due diligence” means the procedures for the identification and classification of financial accounts, the determination of the residence and status of account holders and, as the case may be, of controlling persons, as well as the identification of reportable accounts and reportable persons.</w:t>
            </w:r>
          </w:p>
          <w:p w14:paraId="0B9DF0A5" w14:textId="77777777" w:rsidR="00FA0CFF" w:rsidRPr="004E6A4A" w:rsidRDefault="00144445">
            <w:pPr>
              <w:jc w:val="both"/>
            </w:pPr>
            <w:r w:rsidRPr="004E6A4A">
              <w:rPr>
                <w:rFonts w:ascii="Times New Roman" w:eastAsia="Times New Roman" w:hAnsi="Times New Roman" w:cs="Times New Roman"/>
                <w:sz w:val="20"/>
              </w:rPr>
              <w:t>11. “Commentary” means the detailed interpretation of each section of the Competent Authority Agreement and of the Common Reporting Standard, which aims to ensure their proper implementation and the consistent interpretation of their provisions.</w:t>
            </w:r>
          </w:p>
          <w:p w14:paraId="45258E48" w14:textId="77777777" w:rsidR="00FA0CFF" w:rsidRPr="004E6A4A" w:rsidRDefault="00144445">
            <w:pPr>
              <w:jc w:val="both"/>
            </w:pPr>
            <w:r w:rsidRPr="004E6A4A">
              <w:rPr>
                <w:rFonts w:ascii="Times New Roman" w:eastAsia="Times New Roman" w:hAnsi="Times New Roman" w:cs="Times New Roman"/>
                <w:sz w:val="20"/>
              </w:rPr>
              <w:t>23. “CTS” means the system established by the Organisation for Economic Co-operation and Development, which enables the automatic exchange of information between tax authorities in accordance with the Standard.</w:t>
            </w:r>
          </w:p>
          <w:p w14:paraId="4CD03DAB" w14:textId="77777777" w:rsidR="00FA0CFF" w:rsidRPr="004E6A4A" w:rsidRDefault="00144445">
            <w:pPr>
              <w:jc w:val="both"/>
            </w:pPr>
            <w:r w:rsidRPr="004E6A4A">
              <w:rPr>
                <w:rFonts w:ascii="Times New Roman" w:eastAsia="Times New Roman" w:hAnsi="Times New Roman" w:cs="Times New Roman"/>
                <w:sz w:val="20"/>
              </w:rPr>
              <w:t>66. “Government Verification Service”, for the purposes of the Common Reporting Standard profile, means an electronic process made available by a reportable jurisdiction to Reporting Financial Institutions, for the purposes of verifying the identity and tax residence of an Account Holder or Controlling Person.</w:t>
            </w:r>
          </w:p>
          <w:p w14:paraId="6BDA96F8" w14:textId="77777777" w:rsidR="00FA0CFF" w:rsidRPr="004E6A4A" w:rsidRDefault="00144445">
            <w:pPr>
              <w:jc w:val="both"/>
            </w:pPr>
            <w:r w:rsidRPr="004E6A4A">
              <w:rPr>
                <w:rFonts w:ascii="Times New Roman" w:eastAsia="Times New Roman" w:hAnsi="Times New Roman" w:cs="Times New Roman"/>
                <w:sz w:val="20"/>
              </w:rPr>
              <w:t>70. “CCN network” has the same meaning as that determined in the law “On administrative cooperation in the field of taxation and the exchange of tax information”.</w:t>
            </w:r>
          </w:p>
          <w:p w14:paraId="3BDE9DBB" w14:textId="77777777" w:rsidR="00FA0CFF" w:rsidRPr="004E6A4A" w:rsidRDefault="00144445">
            <w:pPr>
              <w:jc w:val="both"/>
            </w:pPr>
            <w:r w:rsidRPr="004E6A4A">
              <w:rPr>
                <w:rFonts w:ascii="Times New Roman" w:eastAsia="Times New Roman" w:hAnsi="Times New Roman" w:cs="Times New Roman"/>
                <w:sz w:val="20"/>
              </w:rPr>
              <w:t>71. “Data breach” has the same meaning as that determined in the law “On administrative cooperation in the field of taxation and the exchange of tax information”.</w:t>
            </w:r>
          </w:p>
        </w:tc>
        <w:tc>
          <w:tcPr>
            <w:tcW w:w="1156" w:type="dxa"/>
          </w:tcPr>
          <w:p w14:paraId="6655EFAA" w14:textId="77777777" w:rsidR="00FA0CFF" w:rsidRPr="004E6A4A" w:rsidRDefault="00144445">
            <w:pPr>
              <w:jc w:val="center"/>
            </w:pPr>
            <w:r w:rsidRPr="004E6A4A">
              <w:rPr>
                <w:rFonts w:ascii="Times New Roman" w:eastAsia="Times New Roman" w:hAnsi="Times New Roman" w:cs="Times New Roman"/>
                <w:sz w:val="20"/>
              </w:rPr>
              <w:lastRenderedPageBreak/>
              <w:t>N/A</w:t>
            </w:r>
          </w:p>
        </w:tc>
        <w:tc>
          <w:tcPr>
            <w:tcW w:w="2970" w:type="dxa"/>
          </w:tcPr>
          <w:p w14:paraId="09D839B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National provision.</w:t>
            </w:r>
          </w:p>
          <w:p w14:paraId="472A8C47"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Definitions relating to the Competent Authority, to the Common Reporting Standard and to terms defined in the Draft Law “On administrative cooperation in the field of taxation and the exchange of tax information”.</w:t>
            </w:r>
          </w:p>
        </w:tc>
      </w:tr>
      <w:tr w:rsidR="004E6A4A" w:rsidRPr="004E6A4A" w14:paraId="538F7EAB" w14:textId="77777777" w:rsidTr="00E11E6D">
        <w:trPr>
          <w:trHeight w:val="764"/>
        </w:trPr>
        <w:tc>
          <w:tcPr>
            <w:tcW w:w="720" w:type="dxa"/>
          </w:tcPr>
          <w:p w14:paraId="2AAC684C" w14:textId="77777777" w:rsidR="00FA0CFF" w:rsidRPr="004E6A4A" w:rsidRDefault="00FA0CFF"/>
        </w:tc>
        <w:tc>
          <w:tcPr>
            <w:tcW w:w="4860" w:type="dxa"/>
          </w:tcPr>
          <w:p w14:paraId="3329E7B4"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No corresponding provision in Council Directive 2014/107/EU.</w:t>
            </w:r>
          </w:p>
        </w:tc>
        <w:tc>
          <w:tcPr>
            <w:tcW w:w="1080" w:type="dxa"/>
          </w:tcPr>
          <w:p w14:paraId="69AAB1CA" w14:textId="77777777" w:rsidR="00FA0CFF" w:rsidRPr="004E6A4A" w:rsidRDefault="00FA0CFF">
            <w:pPr>
              <w:jc w:val="both"/>
            </w:pPr>
          </w:p>
        </w:tc>
        <w:tc>
          <w:tcPr>
            <w:tcW w:w="900" w:type="dxa"/>
          </w:tcPr>
          <w:p w14:paraId="54738493" w14:textId="77777777" w:rsidR="00FA0CFF" w:rsidRPr="004E6A4A" w:rsidRDefault="00FA0CFF">
            <w:pPr>
              <w:jc w:val="both"/>
            </w:pPr>
          </w:p>
        </w:tc>
        <w:tc>
          <w:tcPr>
            <w:tcW w:w="4514" w:type="dxa"/>
          </w:tcPr>
          <w:p w14:paraId="6EB1CE58" w14:textId="77777777" w:rsidR="00FA0CFF" w:rsidRPr="004E6A4A" w:rsidRDefault="00144445">
            <w:pPr>
              <w:jc w:val="center"/>
            </w:pPr>
            <w:r w:rsidRPr="004E6A4A">
              <w:rPr>
                <w:rFonts w:ascii="Times New Roman" w:eastAsia="Times New Roman" w:hAnsi="Times New Roman" w:cs="Times New Roman"/>
                <w:b/>
                <w:sz w:val="20"/>
              </w:rPr>
              <w:t>Draft Law: Article 23</w:t>
            </w:r>
          </w:p>
          <w:p w14:paraId="36460918" w14:textId="77777777" w:rsidR="00FA0CFF" w:rsidRPr="004E6A4A" w:rsidRDefault="00144445">
            <w:pPr>
              <w:jc w:val="center"/>
            </w:pPr>
            <w:r w:rsidRPr="004E6A4A">
              <w:rPr>
                <w:rFonts w:ascii="Times New Roman" w:eastAsia="Times New Roman" w:hAnsi="Times New Roman" w:cs="Times New Roman"/>
                <w:b/>
                <w:sz w:val="20"/>
              </w:rPr>
              <w:t>Repeals</w:t>
            </w:r>
          </w:p>
          <w:p w14:paraId="37D7B2C3" w14:textId="77777777" w:rsidR="00FA0CFF" w:rsidRPr="004E6A4A" w:rsidRDefault="00144445">
            <w:pPr>
              <w:jc w:val="both"/>
            </w:pPr>
            <w:r w:rsidRPr="004E6A4A">
              <w:rPr>
                <w:rFonts w:ascii="Times New Roman" w:eastAsia="Times New Roman" w:hAnsi="Times New Roman" w:cs="Times New Roman"/>
                <w:sz w:val="20"/>
              </w:rPr>
              <w:t>1. Law No 4/2020 “On the automatic exchange of financial account information” shall be repealed on the date of commencement of the effects of this Law.</w:t>
            </w:r>
          </w:p>
          <w:p w14:paraId="68F1C2E5" w14:textId="77777777" w:rsidR="00FA0CFF" w:rsidRPr="004E6A4A" w:rsidRDefault="00144445">
            <w:pPr>
              <w:jc w:val="both"/>
            </w:pPr>
            <w:r w:rsidRPr="004E6A4A">
              <w:rPr>
                <w:rFonts w:ascii="Times New Roman" w:eastAsia="Times New Roman" w:hAnsi="Times New Roman" w:cs="Times New Roman"/>
                <w:sz w:val="20"/>
              </w:rPr>
              <w:t>2. The sub-legal acts issued in implementation of Law No 4/2020 “On the automatic exchange of financial account information” which conflict with the provisions of this Law shall be repealed on the date of commencement of the effects of this Law.</w:t>
            </w:r>
          </w:p>
          <w:p w14:paraId="1DCEC627" w14:textId="77777777" w:rsidR="00FA0CFF" w:rsidRPr="004E6A4A" w:rsidRDefault="00FA0CFF"/>
          <w:p w14:paraId="20947C6B" w14:textId="77777777" w:rsidR="00FA0CFF" w:rsidRPr="004E6A4A" w:rsidRDefault="00144445">
            <w:pPr>
              <w:jc w:val="center"/>
            </w:pPr>
            <w:r w:rsidRPr="004E6A4A">
              <w:rPr>
                <w:rFonts w:ascii="Times New Roman" w:eastAsia="Times New Roman" w:hAnsi="Times New Roman" w:cs="Times New Roman"/>
                <w:b/>
                <w:sz w:val="20"/>
              </w:rPr>
              <w:t>Draft Law: Article 24</w:t>
            </w:r>
          </w:p>
          <w:p w14:paraId="7B75DBD3" w14:textId="77777777" w:rsidR="00FA0CFF" w:rsidRPr="004E6A4A" w:rsidRDefault="00144445">
            <w:pPr>
              <w:jc w:val="center"/>
            </w:pPr>
            <w:r w:rsidRPr="004E6A4A">
              <w:rPr>
                <w:rFonts w:ascii="Times New Roman" w:eastAsia="Times New Roman" w:hAnsi="Times New Roman" w:cs="Times New Roman"/>
                <w:b/>
                <w:sz w:val="20"/>
              </w:rPr>
              <w:t>Sub-legal acts</w:t>
            </w:r>
          </w:p>
          <w:p w14:paraId="737F2E60" w14:textId="77777777" w:rsidR="00FA0CFF" w:rsidRPr="004E6A4A" w:rsidRDefault="00144445">
            <w:pPr>
              <w:jc w:val="both"/>
            </w:pPr>
            <w:r w:rsidRPr="004E6A4A">
              <w:rPr>
                <w:rFonts w:ascii="Times New Roman" w:eastAsia="Times New Roman" w:hAnsi="Times New Roman" w:cs="Times New Roman"/>
                <w:sz w:val="20"/>
              </w:rPr>
              <w:t>1. The Council of Ministers shall be charged with adopting, within 6 months from the entry into force of this Law, the detailed rules for its implementation, including the reporting and due diligence rules, the dates and thresholds according to the relevant profile, self-certifications and documentary evidence, change of circumstances, aggregation and currency conversion, the relevant lists of non-reporting financial institutions, excluded accounts and jurisdictions, as well as the procedures for the submission, validation, correction and exchange of information.</w:t>
            </w:r>
          </w:p>
          <w:p w14:paraId="71231B79" w14:textId="77777777" w:rsidR="00FA0CFF" w:rsidRPr="004E6A4A" w:rsidRDefault="00FA0CFF"/>
          <w:p w14:paraId="6AE1E1DF" w14:textId="77777777" w:rsidR="00FA0CFF" w:rsidRPr="004E6A4A" w:rsidRDefault="00144445">
            <w:pPr>
              <w:jc w:val="center"/>
            </w:pPr>
            <w:r w:rsidRPr="004E6A4A">
              <w:rPr>
                <w:rFonts w:ascii="Times New Roman" w:eastAsia="Times New Roman" w:hAnsi="Times New Roman" w:cs="Times New Roman"/>
                <w:b/>
                <w:sz w:val="20"/>
              </w:rPr>
              <w:t>Draft Law: Article 25</w:t>
            </w:r>
          </w:p>
          <w:p w14:paraId="76A31E05" w14:textId="77777777" w:rsidR="00FA0CFF" w:rsidRPr="004E6A4A" w:rsidRDefault="00144445">
            <w:pPr>
              <w:jc w:val="center"/>
            </w:pPr>
            <w:r w:rsidRPr="004E6A4A">
              <w:rPr>
                <w:rFonts w:ascii="Times New Roman" w:eastAsia="Times New Roman" w:hAnsi="Times New Roman" w:cs="Times New Roman"/>
                <w:b/>
                <w:sz w:val="20"/>
              </w:rPr>
              <w:t>Entry into force and application</w:t>
            </w:r>
          </w:p>
          <w:p w14:paraId="6AC3A950" w14:textId="77777777" w:rsidR="00FA0CFF" w:rsidRPr="004E6A4A" w:rsidRDefault="00144445">
            <w:pPr>
              <w:jc w:val="both"/>
            </w:pPr>
            <w:r w:rsidRPr="004E6A4A">
              <w:rPr>
                <w:rFonts w:ascii="Times New Roman" w:eastAsia="Times New Roman" w:hAnsi="Times New Roman" w:cs="Times New Roman"/>
                <w:sz w:val="20"/>
              </w:rPr>
              <w:t>1. This Law shall enter into force 15 days after its publication in the Official Journal.</w:t>
            </w:r>
          </w:p>
          <w:p w14:paraId="6F4359DF" w14:textId="77777777" w:rsidR="00FA0CFF" w:rsidRPr="004E6A4A" w:rsidRDefault="00144445">
            <w:pPr>
              <w:jc w:val="both"/>
            </w:pPr>
            <w:r w:rsidRPr="004E6A4A">
              <w:rPr>
                <w:rFonts w:ascii="Times New Roman" w:eastAsia="Times New Roman" w:hAnsi="Times New Roman" w:cs="Times New Roman"/>
                <w:sz w:val="20"/>
              </w:rPr>
              <w:t>2. The effects of this Law shall commence from the date of accession of Albania to the European Union, in accordance with the Treaty of Accession.</w:t>
            </w:r>
          </w:p>
        </w:tc>
        <w:tc>
          <w:tcPr>
            <w:tcW w:w="1156" w:type="dxa"/>
          </w:tcPr>
          <w:p w14:paraId="05DBAADD" w14:textId="77777777" w:rsidR="00FA0CFF" w:rsidRPr="004E6A4A" w:rsidRDefault="00144445">
            <w:pPr>
              <w:jc w:val="center"/>
            </w:pPr>
            <w:r w:rsidRPr="004E6A4A">
              <w:rPr>
                <w:rFonts w:ascii="Times New Roman" w:hAnsi="Times New Roman" w:cs="Times New Roman"/>
                <w:sz w:val="20"/>
              </w:rPr>
              <w:t>N/A</w:t>
            </w:r>
          </w:p>
        </w:tc>
        <w:tc>
          <w:tcPr>
            <w:tcW w:w="2970" w:type="dxa"/>
          </w:tcPr>
          <w:p w14:paraId="573694A9"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National provision.</w:t>
            </w:r>
          </w:p>
          <w:p w14:paraId="63F1EFF5" w14:textId="77777777" w:rsidR="00F43B76" w:rsidRPr="004E6A4A" w:rsidRDefault="00144445">
            <w:pPr>
              <w:jc w:val="both"/>
              <w:rPr>
                <w:rFonts w:ascii="Times New Roman" w:eastAsia="Times New Roman" w:hAnsi="Times New Roman" w:cs="Times New Roman"/>
                <w:sz w:val="20"/>
                <w:szCs w:val="20"/>
              </w:rPr>
            </w:pPr>
            <w:r w:rsidRPr="004E6A4A">
              <w:rPr>
                <w:rFonts w:ascii="Times New Roman" w:eastAsia="Times New Roman" w:hAnsi="Times New Roman" w:cs="Times New Roman"/>
                <w:sz w:val="20"/>
                <w:szCs w:val="20"/>
              </w:rPr>
              <w:t>Repeal of Law No 4/2020, implementing acts and entry into force.</w:t>
            </w:r>
          </w:p>
        </w:tc>
      </w:tr>
    </w:tbl>
    <w:p w14:paraId="472BBBA9" w14:textId="77777777" w:rsidR="000A21ED" w:rsidRPr="004E6A4A" w:rsidRDefault="000A21ED" w:rsidP="000A21ED">
      <w:pPr>
        <w:spacing w:line="240" w:lineRule="auto"/>
        <w:rPr>
          <w:rFonts w:ascii="Times New Roman" w:hAnsi="Times New Roman" w:cs="Times New Roman"/>
          <w:sz w:val="18"/>
          <w:szCs w:val="18"/>
        </w:rPr>
      </w:pPr>
    </w:p>
    <w:p w14:paraId="4E2D4073" w14:textId="0279B2DE" w:rsidR="009A20F7" w:rsidRPr="004E6A4A" w:rsidRDefault="009A20F7" w:rsidP="00E172D2">
      <w:pPr>
        <w:spacing w:line="240" w:lineRule="auto"/>
        <w:rPr>
          <w:rFonts w:ascii="Times New Roman" w:hAnsi="Times New Roman" w:cs="Times New Roman"/>
          <w:sz w:val="18"/>
          <w:szCs w:val="18"/>
        </w:rPr>
      </w:pPr>
    </w:p>
    <w:sectPr w:rsidR="009A20F7" w:rsidRPr="004E6A4A" w:rsidSect="003F6C69">
      <w:footerReference w:type="default" r:id="rId11"/>
      <w:pgSz w:w="16838" w:h="11906" w:orient="landscape"/>
      <w:pgMar w:top="1701"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767A5" w14:textId="77777777" w:rsidR="003948D9" w:rsidRDefault="003948D9" w:rsidP="00922FEB">
      <w:pPr>
        <w:spacing w:after="0" w:line="240" w:lineRule="auto"/>
      </w:pPr>
      <w:r>
        <w:separator/>
      </w:r>
    </w:p>
  </w:endnote>
  <w:endnote w:type="continuationSeparator" w:id="0">
    <w:p w14:paraId="03C38375" w14:textId="77777777" w:rsidR="003948D9" w:rsidRDefault="003948D9" w:rsidP="0092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31F5" w14:textId="5DA629B6" w:rsidR="003A0A4C" w:rsidRDefault="003A0A4C">
    <w:pPr>
      <w:pStyle w:val="Footer"/>
    </w:pPr>
    <w:r>
      <w:fldChar w:fldCharType="begin"/>
    </w:r>
    <w:r>
      <w:instrText>PAGE   \* MERGEFORMAT</w:instrText>
    </w:r>
    <w:r>
      <w:fldChar w:fldCharType="separate"/>
    </w:r>
    <w:r w:rsidR="00983B6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D9BF" w14:textId="77777777" w:rsidR="003948D9" w:rsidRDefault="003948D9" w:rsidP="00922FEB">
      <w:pPr>
        <w:spacing w:after="0" w:line="240" w:lineRule="auto"/>
      </w:pPr>
      <w:r>
        <w:separator/>
      </w:r>
    </w:p>
  </w:footnote>
  <w:footnote w:type="continuationSeparator" w:id="0">
    <w:p w14:paraId="325068F8" w14:textId="77777777" w:rsidR="003948D9" w:rsidRDefault="003948D9" w:rsidP="00922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851"/>
    <w:multiLevelType w:val="hybridMultilevel"/>
    <w:tmpl w:val="4A309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758BB"/>
    <w:multiLevelType w:val="hybridMultilevel"/>
    <w:tmpl w:val="ECF2BEF2"/>
    <w:lvl w:ilvl="0" w:tplc="CC347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03663A"/>
    <w:multiLevelType w:val="hybridMultilevel"/>
    <w:tmpl w:val="DB666586"/>
    <w:lvl w:ilvl="0" w:tplc="33B4EE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A60B4"/>
    <w:multiLevelType w:val="hybridMultilevel"/>
    <w:tmpl w:val="1A40880C"/>
    <w:lvl w:ilvl="0" w:tplc="858A5FE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40D14282"/>
    <w:multiLevelType w:val="hybridMultilevel"/>
    <w:tmpl w:val="56F8E514"/>
    <w:lvl w:ilvl="0" w:tplc="C38206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8A1B0B"/>
    <w:multiLevelType w:val="hybridMultilevel"/>
    <w:tmpl w:val="C14AD418"/>
    <w:lvl w:ilvl="0" w:tplc="3B466E0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457687"/>
    <w:multiLevelType w:val="hybridMultilevel"/>
    <w:tmpl w:val="5B16CA0A"/>
    <w:lvl w:ilvl="0" w:tplc="7324C41E">
      <w:start w:val="1"/>
      <w:numFmt w:val="decimal"/>
      <w:lvlText w:val="%1."/>
      <w:lvlJc w:val="left"/>
      <w:pPr>
        <w:ind w:left="720" w:hanging="360"/>
      </w:pPr>
      <w:rPr>
        <w:rFonts w:eastAsia="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C172A"/>
    <w:multiLevelType w:val="hybridMultilevel"/>
    <w:tmpl w:val="F7E24BD0"/>
    <w:lvl w:ilvl="0" w:tplc="180AC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830F6A"/>
    <w:multiLevelType w:val="hybridMultilevel"/>
    <w:tmpl w:val="4A309E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6A055E8"/>
    <w:multiLevelType w:val="hybridMultilevel"/>
    <w:tmpl w:val="9912E1F6"/>
    <w:lvl w:ilvl="0" w:tplc="3F700CA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A7695C"/>
    <w:multiLevelType w:val="hybridMultilevel"/>
    <w:tmpl w:val="902C58DE"/>
    <w:lvl w:ilvl="0" w:tplc="370878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587D41"/>
    <w:multiLevelType w:val="hybridMultilevel"/>
    <w:tmpl w:val="6C601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0746BC"/>
    <w:multiLevelType w:val="hybridMultilevel"/>
    <w:tmpl w:val="2EAA7BE2"/>
    <w:lvl w:ilvl="0" w:tplc="33EA04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101F2C"/>
    <w:multiLevelType w:val="hybridMultilevel"/>
    <w:tmpl w:val="F5288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1794492">
    <w:abstractNumId w:val="0"/>
  </w:num>
  <w:num w:numId="2" w16cid:durableId="1841313256">
    <w:abstractNumId w:val="3"/>
  </w:num>
  <w:num w:numId="3" w16cid:durableId="548735539">
    <w:abstractNumId w:val="5"/>
  </w:num>
  <w:num w:numId="4" w16cid:durableId="1372723751">
    <w:abstractNumId w:val="7"/>
  </w:num>
  <w:num w:numId="5" w16cid:durableId="810682743">
    <w:abstractNumId w:val="11"/>
  </w:num>
  <w:num w:numId="6" w16cid:durableId="1198398565">
    <w:abstractNumId w:val="1"/>
  </w:num>
  <w:num w:numId="7" w16cid:durableId="411393066">
    <w:abstractNumId w:val="12"/>
  </w:num>
  <w:num w:numId="8" w16cid:durableId="581646834">
    <w:abstractNumId w:val="2"/>
  </w:num>
  <w:num w:numId="9" w16cid:durableId="217938849">
    <w:abstractNumId w:val="4"/>
  </w:num>
  <w:num w:numId="10" w16cid:durableId="614168404">
    <w:abstractNumId w:val="10"/>
  </w:num>
  <w:num w:numId="11" w16cid:durableId="2083209931">
    <w:abstractNumId w:val="9"/>
  </w:num>
  <w:num w:numId="12" w16cid:durableId="46297237">
    <w:abstractNumId w:val="13"/>
  </w:num>
  <w:num w:numId="13" w16cid:durableId="34550254">
    <w:abstractNumId w:val="6"/>
  </w:num>
  <w:num w:numId="14" w16cid:durableId="35142380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7FB"/>
    <w:rsid w:val="0000140B"/>
    <w:rsid w:val="00001A78"/>
    <w:rsid w:val="00010A4D"/>
    <w:rsid w:val="000144FB"/>
    <w:rsid w:val="00015086"/>
    <w:rsid w:val="000150BB"/>
    <w:rsid w:val="00016C4D"/>
    <w:rsid w:val="00017CC1"/>
    <w:rsid w:val="00020AE3"/>
    <w:rsid w:val="00026CC0"/>
    <w:rsid w:val="000339C8"/>
    <w:rsid w:val="00034129"/>
    <w:rsid w:val="00036F88"/>
    <w:rsid w:val="00043F17"/>
    <w:rsid w:val="00046B6D"/>
    <w:rsid w:val="00052607"/>
    <w:rsid w:val="00052664"/>
    <w:rsid w:val="00053923"/>
    <w:rsid w:val="00061FFB"/>
    <w:rsid w:val="00062524"/>
    <w:rsid w:val="00063722"/>
    <w:rsid w:val="00065705"/>
    <w:rsid w:val="00075318"/>
    <w:rsid w:val="00075E79"/>
    <w:rsid w:val="00076B31"/>
    <w:rsid w:val="00077A9A"/>
    <w:rsid w:val="00080E02"/>
    <w:rsid w:val="00081BC1"/>
    <w:rsid w:val="00082EBC"/>
    <w:rsid w:val="000916B6"/>
    <w:rsid w:val="00092CAE"/>
    <w:rsid w:val="00093110"/>
    <w:rsid w:val="00093C1A"/>
    <w:rsid w:val="00095ECC"/>
    <w:rsid w:val="000A1939"/>
    <w:rsid w:val="000A21ED"/>
    <w:rsid w:val="000A26EF"/>
    <w:rsid w:val="000A38FB"/>
    <w:rsid w:val="000A7EA3"/>
    <w:rsid w:val="000B014A"/>
    <w:rsid w:val="000B05B4"/>
    <w:rsid w:val="000B1124"/>
    <w:rsid w:val="000B162F"/>
    <w:rsid w:val="000B1824"/>
    <w:rsid w:val="000B190A"/>
    <w:rsid w:val="000B19FC"/>
    <w:rsid w:val="000B32AC"/>
    <w:rsid w:val="000B4CF9"/>
    <w:rsid w:val="000B5E85"/>
    <w:rsid w:val="000B687F"/>
    <w:rsid w:val="000C09CF"/>
    <w:rsid w:val="000C227B"/>
    <w:rsid w:val="000C4C00"/>
    <w:rsid w:val="000C79DC"/>
    <w:rsid w:val="000D0E76"/>
    <w:rsid w:val="000D34E7"/>
    <w:rsid w:val="000D4CD0"/>
    <w:rsid w:val="000D6E38"/>
    <w:rsid w:val="000D77FB"/>
    <w:rsid w:val="000D7CA4"/>
    <w:rsid w:val="000D7DCD"/>
    <w:rsid w:val="000E0147"/>
    <w:rsid w:val="000E09F3"/>
    <w:rsid w:val="000E1010"/>
    <w:rsid w:val="000E16D8"/>
    <w:rsid w:val="000E2BC3"/>
    <w:rsid w:val="000E4DE0"/>
    <w:rsid w:val="000E5AC4"/>
    <w:rsid w:val="000E668E"/>
    <w:rsid w:val="000E7263"/>
    <w:rsid w:val="000F3AAF"/>
    <w:rsid w:val="000F3B3B"/>
    <w:rsid w:val="000F5E0F"/>
    <w:rsid w:val="00101EF4"/>
    <w:rsid w:val="001024E6"/>
    <w:rsid w:val="00103497"/>
    <w:rsid w:val="00106912"/>
    <w:rsid w:val="0010722F"/>
    <w:rsid w:val="0010735E"/>
    <w:rsid w:val="0010796A"/>
    <w:rsid w:val="0011146E"/>
    <w:rsid w:val="001123ED"/>
    <w:rsid w:val="001207DE"/>
    <w:rsid w:val="00121010"/>
    <w:rsid w:val="00125EE3"/>
    <w:rsid w:val="00140D96"/>
    <w:rsid w:val="00142D73"/>
    <w:rsid w:val="00144445"/>
    <w:rsid w:val="00144FB8"/>
    <w:rsid w:val="00147A54"/>
    <w:rsid w:val="001520C0"/>
    <w:rsid w:val="0015399E"/>
    <w:rsid w:val="00153CCC"/>
    <w:rsid w:val="00154981"/>
    <w:rsid w:val="001552C4"/>
    <w:rsid w:val="00155389"/>
    <w:rsid w:val="0015599D"/>
    <w:rsid w:val="00160121"/>
    <w:rsid w:val="001619E7"/>
    <w:rsid w:val="00164173"/>
    <w:rsid w:val="00170836"/>
    <w:rsid w:val="00171AE3"/>
    <w:rsid w:val="001775D3"/>
    <w:rsid w:val="001828C4"/>
    <w:rsid w:val="00185FF3"/>
    <w:rsid w:val="00190654"/>
    <w:rsid w:val="00190EF9"/>
    <w:rsid w:val="00191477"/>
    <w:rsid w:val="00192388"/>
    <w:rsid w:val="0019465F"/>
    <w:rsid w:val="001A054E"/>
    <w:rsid w:val="001A1CC0"/>
    <w:rsid w:val="001A1DCF"/>
    <w:rsid w:val="001A223E"/>
    <w:rsid w:val="001A240D"/>
    <w:rsid w:val="001A43E8"/>
    <w:rsid w:val="001B46A8"/>
    <w:rsid w:val="001B4AFB"/>
    <w:rsid w:val="001B4F3F"/>
    <w:rsid w:val="001B6BC6"/>
    <w:rsid w:val="001C029C"/>
    <w:rsid w:val="001C2405"/>
    <w:rsid w:val="001C7741"/>
    <w:rsid w:val="001D180F"/>
    <w:rsid w:val="001D413A"/>
    <w:rsid w:val="001D47BD"/>
    <w:rsid w:val="001D563A"/>
    <w:rsid w:val="001D652C"/>
    <w:rsid w:val="001D7325"/>
    <w:rsid w:val="001D75F8"/>
    <w:rsid w:val="001E074F"/>
    <w:rsid w:val="001E2141"/>
    <w:rsid w:val="001E566F"/>
    <w:rsid w:val="001E71E0"/>
    <w:rsid w:val="001F0349"/>
    <w:rsid w:val="001F1CAE"/>
    <w:rsid w:val="001F2CB3"/>
    <w:rsid w:val="001F3413"/>
    <w:rsid w:val="001F3E2D"/>
    <w:rsid w:val="001F6E50"/>
    <w:rsid w:val="001F7BBC"/>
    <w:rsid w:val="00200996"/>
    <w:rsid w:val="00200AA9"/>
    <w:rsid w:val="00205B09"/>
    <w:rsid w:val="00206694"/>
    <w:rsid w:val="00207E2E"/>
    <w:rsid w:val="00212234"/>
    <w:rsid w:val="00216CB5"/>
    <w:rsid w:val="00217FFD"/>
    <w:rsid w:val="00220DD6"/>
    <w:rsid w:val="002234E1"/>
    <w:rsid w:val="00226B07"/>
    <w:rsid w:val="00231874"/>
    <w:rsid w:val="00233AD8"/>
    <w:rsid w:val="002351EE"/>
    <w:rsid w:val="00236C1E"/>
    <w:rsid w:val="00237085"/>
    <w:rsid w:val="00237B65"/>
    <w:rsid w:val="00241058"/>
    <w:rsid w:val="00241DAE"/>
    <w:rsid w:val="00242D3A"/>
    <w:rsid w:val="00243A1A"/>
    <w:rsid w:val="002450C4"/>
    <w:rsid w:val="0024728F"/>
    <w:rsid w:val="00247573"/>
    <w:rsid w:val="00250974"/>
    <w:rsid w:val="00250B34"/>
    <w:rsid w:val="002511E0"/>
    <w:rsid w:val="00253F5A"/>
    <w:rsid w:val="00256570"/>
    <w:rsid w:val="00260632"/>
    <w:rsid w:val="00261EE3"/>
    <w:rsid w:val="00262E99"/>
    <w:rsid w:val="002652D5"/>
    <w:rsid w:val="00265C53"/>
    <w:rsid w:val="00266B2B"/>
    <w:rsid w:val="00266B43"/>
    <w:rsid w:val="00266B81"/>
    <w:rsid w:val="002675D8"/>
    <w:rsid w:val="00271AAA"/>
    <w:rsid w:val="00271F5B"/>
    <w:rsid w:val="00272E22"/>
    <w:rsid w:val="00273323"/>
    <w:rsid w:val="00276714"/>
    <w:rsid w:val="0027774B"/>
    <w:rsid w:val="00277A8F"/>
    <w:rsid w:val="002826E4"/>
    <w:rsid w:val="00282FA2"/>
    <w:rsid w:val="002852DA"/>
    <w:rsid w:val="00287B86"/>
    <w:rsid w:val="00292825"/>
    <w:rsid w:val="002973DE"/>
    <w:rsid w:val="002A2DF8"/>
    <w:rsid w:val="002A59EF"/>
    <w:rsid w:val="002B02E4"/>
    <w:rsid w:val="002B3D21"/>
    <w:rsid w:val="002B44A1"/>
    <w:rsid w:val="002B4C9F"/>
    <w:rsid w:val="002B731D"/>
    <w:rsid w:val="002C031D"/>
    <w:rsid w:val="002C1FF8"/>
    <w:rsid w:val="002C569C"/>
    <w:rsid w:val="002C6E4F"/>
    <w:rsid w:val="002C733F"/>
    <w:rsid w:val="002C7F03"/>
    <w:rsid w:val="002D0742"/>
    <w:rsid w:val="002D2221"/>
    <w:rsid w:val="002D529D"/>
    <w:rsid w:val="002D574D"/>
    <w:rsid w:val="002D7485"/>
    <w:rsid w:val="002E6526"/>
    <w:rsid w:val="002F152A"/>
    <w:rsid w:val="002F6DDC"/>
    <w:rsid w:val="002F76DE"/>
    <w:rsid w:val="00301958"/>
    <w:rsid w:val="0030526E"/>
    <w:rsid w:val="00310B3D"/>
    <w:rsid w:val="0031114B"/>
    <w:rsid w:val="003116B5"/>
    <w:rsid w:val="00314369"/>
    <w:rsid w:val="003154C5"/>
    <w:rsid w:val="0031566F"/>
    <w:rsid w:val="00317005"/>
    <w:rsid w:val="00322C4F"/>
    <w:rsid w:val="00326253"/>
    <w:rsid w:val="00332366"/>
    <w:rsid w:val="003323EE"/>
    <w:rsid w:val="00335C48"/>
    <w:rsid w:val="003433F8"/>
    <w:rsid w:val="00344587"/>
    <w:rsid w:val="00345085"/>
    <w:rsid w:val="0035145A"/>
    <w:rsid w:val="003518E4"/>
    <w:rsid w:val="003541B4"/>
    <w:rsid w:val="00356F7E"/>
    <w:rsid w:val="00357D61"/>
    <w:rsid w:val="003601D4"/>
    <w:rsid w:val="00361C42"/>
    <w:rsid w:val="00362930"/>
    <w:rsid w:val="00364559"/>
    <w:rsid w:val="00365D68"/>
    <w:rsid w:val="0037327C"/>
    <w:rsid w:val="00374572"/>
    <w:rsid w:val="0038082A"/>
    <w:rsid w:val="00381019"/>
    <w:rsid w:val="00391383"/>
    <w:rsid w:val="003948D9"/>
    <w:rsid w:val="00395E2E"/>
    <w:rsid w:val="00396D74"/>
    <w:rsid w:val="003A0A4C"/>
    <w:rsid w:val="003A75B8"/>
    <w:rsid w:val="003B0F95"/>
    <w:rsid w:val="003B191B"/>
    <w:rsid w:val="003B1CE7"/>
    <w:rsid w:val="003B7C4A"/>
    <w:rsid w:val="003C045B"/>
    <w:rsid w:val="003C1E87"/>
    <w:rsid w:val="003C2EAB"/>
    <w:rsid w:val="003C4AC6"/>
    <w:rsid w:val="003C63BE"/>
    <w:rsid w:val="003C79E1"/>
    <w:rsid w:val="003D4694"/>
    <w:rsid w:val="003D4793"/>
    <w:rsid w:val="003D4F83"/>
    <w:rsid w:val="003D62FF"/>
    <w:rsid w:val="003E1AE4"/>
    <w:rsid w:val="003E2711"/>
    <w:rsid w:val="003F12A2"/>
    <w:rsid w:val="003F422C"/>
    <w:rsid w:val="003F6A79"/>
    <w:rsid w:val="003F6C69"/>
    <w:rsid w:val="004003B3"/>
    <w:rsid w:val="00400C6E"/>
    <w:rsid w:val="004020E6"/>
    <w:rsid w:val="0040246D"/>
    <w:rsid w:val="004024D0"/>
    <w:rsid w:val="00405A74"/>
    <w:rsid w:val="004075EA"/>
    <w:rsid w:val="00410A88"/>
    <w:rsid w:val="00411E80"/>
    <w:rsid w:val="00415B69"/>
    <w:rsid w:val="00415BDC"/>
    <w:rsid w:val="00415C9E"/>
    <w:rsid w:val="004164B2"/>
    <w:rsid w:val="00416E2E"/>
    <w:rsid w:val="004224EA"/>
    <w:rsid w:val="00424D4A"/>
    <w:rsid w:val="0042577F"/>
    <w:rsid w:val="00426889"/>
    <w:rsid w:val="00427624"/>
    <w:rsid w:val="00427E4C"/>
    <w:rsid w:val="00427EE2"/>
    <w:rsid w:val="0043228D"/>
    <w:rsid w:val="00433DB0"/>
    <w:rsid w:val="00440B45"/>
    <w:rsid w:val="004457A1"/>
    <w:rsid w:val="00450B0B"/>
    <w:rsid w:val="00450C23"/>
    <w:rsid w:val="00451218"/>
    <w:rsid w:val="00451313"/>
    <w:rsid w:val="004570E7"/>
    <w:rsid w:val="00457B24"/>
    <w:rsid w:val="00462F38"/>
    <w:rsid w:val="00463768"/>
    <w:rsid w:val="00463860"/>
    <w:rsid w:val="00463D26"/>
    <w:rsid w:val="00465304"/>
    <w:rsid w:val="0047211B"/>
    <w:rsid w:val="00472C5C"/>
    <w:rsid w:val="004738EE"/>
    <w:rsid w:val="004745E6"/>
    <w:rsid w:val="00476A5C"/>
    <w:rsid w:val="004812F5"/>
    <w:rsid w:val="004816E5"/>
    <w:rsid w:val="004833A3"/>
    <w:rsid w:val="004857FB"/>
    <w:rsid w:val="00491A7D"/>
    <w:rsid w:val="004933C1"/>
    <w:rsid w:val="00497724"/>
    <w:rsid w:val="004A1713"/>
    <w:rsid w:val="004A3603"/>
    <w:rsid w:val="004A36CD"/>
    <w:rsid w:val="004A4B29"/>
    <w:rsid w:val="004A57E6"/>
    <w:rsid w:val="004B748A"/>
    <w:rsid w:val="004B7E97"/>
    <w:rsid w:val="004B7F04"/>
    <w:rsid w:val="004C2EE7"/>
    <w:rsid w:val="004C3BDB"/>
    <w:rsid w:val="004D0576"/>
    <w:rsid w:val="004D2E97"/>
    <w:rsid w:val="004D36D7"/>
    <w:rsid w:val="004D3792"/>
    <w:rsid w:val="004D4A5A"/>
    <w:rsid w:val="004D747D"/>
    <w:rsid w:val="004E0D2B"/>
    <w:rsid w:val="004E24EA"/>
    <w:rsid w:val="004E2956"/>
    <w:rsid w:val="004E30E5"/>
    <w:rsid w:val="004E4138"/>
    <w:rsid w:val="004E6A4A"/>
    <w:rsid w:val="004E78F0"/>
    <w:rsid w:val="004E7D58"/>
    <w:rsid w:val="004F0084"/>
    <w:rsid w:val="004F0109"/>
    <w:rsid w:val="004F2266"/>
    <w:rsid w:val="004F27D1"/>
    <w:rsid w:val="004F5B78"/>
    <w:rsid w:val="004F619A"/>
    <w:rsid w:val="004F637B"/>
    <w:rsid w:val="004F778D"/>
    <w:rsid w:val="004F7895"/>
    <w:rsid w:val="005002A2"/>
    <w:rsid w:val="005007CA"/>
    <w:rsid w:val="0050266C"/>
    <w:rsid w:val="00502F25"/>
    <w:rsid w:val="0050578D"/>
    <w:rsid w:val="00510FD6"/>
    <w:rsid w:val="005178FC"/>
    <w:rsid w:val="005222ED"/>
    <w:rsid w:val="00523BD5"/>
    <w:rsid w:val="00532F36"/>
    <w:rsid w:val="00534507"/>
    <w:rsid w:val="00536BD1"/>
    <w:rsid w:val="00536F48"/>
    <w:rsid w:val="005373C7"/>
    <w:rsid w:val="00542046"/>
    <w:rsid w:val="00542B90"/>
    <w:rsid w:val="00544726"/>
    <w:rsid w:val="00545293"/>
    <w:rsid w:val="0054653E"/>
    <w:rsid w:val="00555B0E"/>
    <w:rsid w:val="00560A1E"/>
    <w:rsid w:val="00561970"/>
    <w:rsid w:val="00562EF5"/>
    <w:rsid w:val="0056390B"/>
    <w:rsid w:val="005721F0"/>
    <w:rsid w:val="005739CF"/>
    <w:rsid w:val="005740C8"/>
    <w:rsid w:val="005759ED"/>
    <w:rsid w:val="00575CAB"/>
    <w:rsid w:val="0058092D"/>
    <w:rsid w:val="00581189"/>
    <w:rsid w:val="005828C1"/>
    <w:rsid w:val="00584007"/>
    <w:rsid w:val="00591261"/>
    <w:rsid w:val="00591577"/>
    <w:rsid w:val="00594419"/>
    <w:rsid w:val="0059538D"/>
    <w:rsid w:val="005A07D2"/>
    <w:rsid w:val="005A1A3C"/>
    <w:rsid w:val="005A2F1D"/>
    <w:rsid w:val="005A3A0B"/>
    <w:rsid w:val="005A7288"/>
    <w:rsid w:val="005B0CEA"/>
    <w:rsid w:val="005B425E"/>
    <w:rsid w:val="005B76CF"/>
    <w:rsid w:val="005C2C12"/>
    <w:rsid w:val="005C4E8B"/>
    <w:rsid w:val="005C5778"/>
    <w:rsid w:val="005D1762"/>
    <w:rsid w:val="005D2CA7"/>
    <w:rsid w:val="005D6115"/>
    <w:rsid w:val="005D7747"/>
    <w:rsid w:val="005E10BC"/>
    <w:rsid w:val="005E5DCC"/>
    <w:rsid w:val="005E65A8"/>
    <w:rsid w:val="005E6AA8"/>
    <w:rsid w:val="005E6B47"/>
    <w:rsid w:val="005F1B9C"/>
    <w:rsid w:val="005F434C"/>
    <w:rsid w:val="005F57EB"/>
    <w:rsid w:val="0060204E"/>
    <w:rsid w:val="0060781B"/>
    <w:rsid w:val="00614C48"/>
    <w:rsid w:val="0061684B"/>
    <w:rsid w:val="00617362"/>
    <w:rsid w:val="00617558"/>
    <w:rsid w:val="0062231E"/>
    <w:rsid w:val="00623590"/>
    <w:rsid w:val="00627580"/>
    <w:rsid w:val="0063030D"/>
    <w:rsid w:val="006310DD"/>
    <w:rsid w:val="00632923"/>
    <w:rsid w:val="00635147"/>
    <w:rsid w:val="00640D9F"/>
    <w:rsid w:val="00641095"/>
    <w:rsid w:val="0064231D"/>
    <w:rsid w:val="006444CD"/>
    <w:rsid w:val="00651851"/>
    <w:rsid w:val="00654FB9"/>
    <w:rsid w:val="006566CD"/>
    <w:rsid w:val="00657867"/>
    <w:rsid w:val="0066027E"/>
    <w:rsid w:val="006618BF"/>
    <w:rsid w:val="00661965"/>
    <w:rsid w:val="006629B2"/>
    <w:rsid w:val="0066667D"/>
    <w:rsid w:val="00666B47"/>
    <w:rsid w:val="00672140"/>
    <w:rsid w:val="0067247A"/>
    <w:rsid w:val="006726C3"/>
    <w:rsid w:val="00672902"/>
    <w:rsid w:val="00672C4E"/>
    <w:rsid w:val="00676111"/>
    <w:rsid w:val="00676EA9"/>
    <w:rsid w:val="0067730A"/>
    <w:rsid w:val="006774B8"/>
    <w:rsid w:val="00683F40"/>
    <w:rsid w:val="00687D05"/>
    <w:rsid w:val="00695317"/>
    <w:rsid w:val="006953D8"/>
    <w:rsid w:val="006A09C7"/>
    <w:rsid w:val="006A2D4D"/>
    <w:rsid w:val="006A6DE3"/>
    <w:rsid w:val="006B0D0A"/>
    <w:rsid w:val="006B0D7D"/>
    <w:rsid w:val="006B323C"/>
    <w:rsid w:val="006B36B7"/>
    <w:rsid w:val="006B7ABD"/>
    <w:rsid w:val="006C1477"/>
    <w:rsid w:val="006C1526"/>
    <w:rsid w:val="006C1BCA"/>
    <w:rsid w:val="006C1FFE"/>
    <w:rsid w:val="006C217E"/>
    <w:rsid w:val="006C4222"/>
    <w:rsid w:val="006C7B60"/>
    <w:rsid w:val="006D0605"/>
    <w:rsid w:val="006D6109"/>
    <w:rsid w:val="006D648E"/>
    <w:rsid w:val="006D70D0"/>
    <w:rsid w:val="006E3A8B"/>
    <w:rsid w:val="006E7B3E"/>
    <w:rsid w:val="006E7F7A"/>
    <w:rsid w:val="006E7FA1"/>
    <w:rsid w:val="006F2527"/>
    <w:rsid w:val="006F2F12"/>
    <w:rsid w:val="006F311F"/>
    <w:rsid w:val="007006CF"/>
    <w:rsid w:val="00700F75"/>
    <w:rsid w:val="00702436"/>
    <w:rsid w:val="00703F01"/>
    <w:rsid w:val="007045CF"/>
    <w:rsid w:val="00705280"/>
    <w:rsid w:val="00706107"/>
    <w:rsid w:val="0071079D"/>
    <w:rsid w:val="00710999"/>
    <w:rsid w:val="00714B51"/>
    <w:rsid w:val="007155A5"/>
    <w:rsid w:val="00715EF9"/>
    <w:rsid w:val="00717DF3"/>
    <w:rsid w:val="00720B64"/>
    <w:rsid w:val="0072295D"/>
    <w:rsid w:val="00723BB2"/>
    <w:rsid w:val="00724305"/>
    <w:rsid w:val="007246D5"/>
    <w:rsid w:val="007251FA"/>
    <w:rsid w:val="007277B4"/>
    <w:rsid w:val="00732339"/>
    <w:rsid w:val="00736441"/>
    <w:rsid w:val="00737082"/>
    <w:rsid w:val="007440E2"/>
    <w:rsid w:val="00745147"/>
    <w:rsid w:val="007462E6"/>
    <w:rsid w:val="00746656"/>
    <w:rsid w:val="00746F5E"/>
    <w:rsid w:val="00747364"/>
    <w:rsid w:val="00754F1B"/>
    <w:rsid w:val="007556BD"/>
    <w:rsid w:val="00757BFC"/>
    <w:rsid w:val="00760919"/>
    <w:rsid w:val="00760A37"/>
    <w:rsid w:val="00765071"/>
    <w:rsid w:val="0076650E"/>
    <w:rsid w:val="00766567"/>
    <w:rsid w:val="007668CC"/>
    <w:rsid w:val="00766BAF"/>
    <w:rsid w:val="0076782F"/>
    <w:rsid w:val="00773087"/>
    <w:rsid w:val="007731D9"/>
    <w:rsid w:val="007743FD"/>
    <w:rsid w:val="00775A2D"/>
    <w:rsid w:val="0077636B"/>
    <w:rsid w:val="007777E8"/>
    <w:rsid w:val="00777958"/>
    <w:rsid w:val="0078098D"/>
    <w:rsid w:val="00780F53"/>
    <w:rsid w:val="00794E58"/>
    <w:rsid w:val="007A1CE1"/>
    <w:rsid w:val="007A24BB"/>
    <w:rsid w:val="007A609F"/>
    <w:rsid w:val="007A64BB"/>
    <w:rsid w:val="007B00C7"/>
    <w:rsid w:val="007B312A"/>
    <w:rsid w:val="007C025E"/>
    <w:rsid w:val="007C217F"/>
    <w:rsid w:val="007C23D6"/>
    <w:rsid w:val="007C3F0C"/>
    <w:rsid w:val="007C4250"/>
    <w:rsid w:val="007C5223"/>
    <w:rsid w:val="007C6287"/>
    <w:rsid w:val="007C78D2"/>
    <w:rsid w:val="007D0DF0"/>
    <w:rsid w:val="007D6215"/>
    <w:rsid w:val="007D6CB1"/>
    <w:rsid w:val="007E346B"/>
    <w:rsid w:val="007E431F"/>
    <w:rsid w:val="007E488D"/>
    <w:rsid w:val="007F0768"/>
    <w:rsid w:val="007F323E"/>
    <w:rsid w:val="007F3CF1"/>
    <w:rsid w:val="007F518E"/>
    <w:rsid w:val="007F5D33"/>
    <w:rsid w:val="008018C3"/>
    <w:rsid w:val="008036D5"/>
    <w:rsid w:val="0080541B"/>
    <w:rsid w:val="00807AFF"/>
    <w:rsid w:val="00811CF0"/>
    <w:rsid w:val="00826C10"/>
    <w:rsid w:val="00830C7D"/>
    <w:rsid w:val="00835CD6"/>
    <w:rsid w:val="008363D3"/>
    <w:rsid w:val="00840BC8"/>
    <w:rsid w:val="00844AB2"/>
    <w:rsid w:val="0084519E"/>
    <w:rsid w:val="00845FCB"/>
    <w:rsid w:val="0085013E"/>
    <w:rsid w:val="00854007"/>
    <w:rsid w:val="0085501A"/>
    <w:rsid w:val="00857138"/>
    <w:rsid w:val="00861003"/>
    <w:rsid w:val="008626CE"/>
    <w:rsid w:val="00865C4F"/>
    <w:rsid w:val="008723DD"/>
    <w:rsid w:val="00873538"/>
    <w:rsid w:val="00873B84"/>
    <w:rsid w:val="00874BD7"/>
    <w:rsid w:val="00876F48"/>
    <w:rsid w:val="00877039"/>
    <w:rsid w:val="0088092B"/>
    <w:rsid w:val="00880C14"/>
    <w:rsid w:val="00881798"/>
    <w:rsid w:val="008820CF"/>
    <w:rsid w:val="008829C8"/>
    <w:rsid w:val="00883E0C"/>
    <w:rsid w:val="00886049"/>
    <w:rsid w:val="008860EA"/>
    <w:rsid w:val="00886459"/>
    <w:rsid w:val="0088678D"/>
    <w:rsid w:val="00886FB5"/>
    <w:rsid w:val="008876A4"/>
    <w:rsid w:val="0089224E"/>
    <w:rsid w:val="00895D36"/>
    <w:rsid w:val="00896CE2"/>
    <w:rsid w:val="008A3696"/>
    <w:rsid w:val="008A5926"/>
    <w:rsid w:val="008A6294"/>
    <w:rsid w:val="008A70F4"/>
    <w:rsid w:val="008B055C"/>
    <w:rsid w:val="008B39B5"/>
    <w:rsid w:val="008B5730"/>
    <w:rsid w:val="008B6E7F"/>
    <w:rsid w:val="008C06D1"/>
    <w:rsid w:val="008C344B"/>
    <w:rsid w:val="008C4F82"/>
    <w:rsid w:val="008C6992"/>
    <w:rsid w:val="008C7CE9"/>
    <w:rsid w:val="008D066A"/>
    <w:rsid w:val="008D4FDF"/>
    <w:rsid w:val="008D5CE4"/>
    <w:rsid w:val="008D5DD4"/>
    <w:rsid w:val="008E267F"/>
    <w:rsid w:val="008E382D"/>
    <w:rsid w:val="008E5E6C"/>
    <w:rsid w:val="008F0B14"/>
    <w:rsid w:val="008F4103"/>
    <w:rsid w:val="008F7A0F"/>
    <w:rsid w:val="00900209"/>
    <w:rsid w:val="00900733"/>
    <w:rsid w:val="00900CDD"/>
    <w:rsid w:val="0090345E"/>
    <w:rsid w:val="00903483"/>
    <w:rsid w:val="00905100"/>
    <w:rsid w:val="0091018F"/>
    <w:rsid w:val="009116FC"/>
    <w:rsid w:val="00912024"/>
    <w:rsid w:val="00912A81"/>
    <w:rsid w:val="00914927"/>
    <w:rsid w:val="00916618"/>
    <w:rsid w:val="00922FEB"/>
    <w:rsid w:val="009266E5"/>
    <w:rsid w:val="009272BF"/>
    <w:rsid w:val="0093106A"/>
    <w:rsid w:val="00937073"/>
    <w:rsid w:val="0093777F"/>
    <w:rsid w:val="0094028D"/>
    <w:rsid w:val="0094134A"/>
    <w:rsid w:val="00943DF9"/>
    <w:rsid w:val="00945058"/>
    <w:rsid w:val="00946891"/>
    <w:rsid w:val="00947346"/>
    <w:rsid w:val="00950BE7"/>
    <w:rsid w:val="0095143E"/>
    <w:rsid w:val="00954EFF"/>
    <w:rsid w:val="00956D2D"/>
    <w:rsid w:val="00960DD4"/>
    <w:rsid w:val="00961CE2"/>
    <w:rsid w:val="009669F8"/>
    <w:rsid w:val="009726F8"/>
    <w:rsid w:val="00973DF3"/>
    <w:rsid w:val="009740A1"/>
    <w:rsid w:val="009770D2"/>
    <w:rsid w:val="009837C8"/>
    <w:rsid w:val="00983B63"/>
    <w:rsid w:val="00984729"/>
    <w:rsid w:val="00986E09"/>
    <w:rsid w:val="00990A3C"/>
    <w:rsid w:val="00991E9A"/>
    <w:rsid w:val="00992DC8"/>
    <w:rsid w:val="009930BD"/>
    <w:rsid w:val="0099499F"/>
    <w:rsid w:val="00996667"/>
    <w:rsid w:val="009A05BF"/>
    <w:rsid w:val="009A0775"/>
    <w:rsid w:val="009A1F4D"/>
    <w:rsid w:val="009A20F7"/>
    <w:rsid w:val="009B2315"/>
    <w:rsid w:val="009B5674"/>
    <w:rsid w:val="009C2D1D"/>
    <w:rsid w:val="009C4544"/>
    <w:rsid w:val="009C4565"/>
    <w:rsid w:val="009C4AB8"/>
    <w:rsid w:val="009C6155"/>
    <w:rsid w:val="009C71E4"/>
    <w:rsid w:val="009D0B38"/>
    <w:rsid w:val="009D14DE"/>
    <w:rsid w:val="009D1668"/>
    <w:rsid w:val="009D26C0"/>
    <w:rsid w:val="009D64A3"/>
    <w:rsid w:val="009D7034"/>
    <w:rsid w:val="009D7B8C"/>
    <w:rsid w:val="009E06AE"/>
    <w:rsid w:val="009E08DD"/>
    <w:rsid w:val="009E0C89"/>
    <w:rsid w:val="009E29DA"/>
    <w:rsid w:val="009E4A2F"/>
    <w:rsid w:val="009E6BD3"/>
    <w:rsid w:val="009E6C0E"/>
    <w:rsid w:val="009F0018"/>
    <w:rsid w:val="009F018B"/>
    <w:rsid w:val="009F0E45"/>
    <w:rsid w:val="009F2891"/>
    <w:rsid w:val="009F4771"/>
    <w:rsid w:val="009F73DA"/>
    <w:rsid w:val="00A03335"/>
    <w:rsid w:val="00A106AB"/>
    <w:rsid w:val="00A10ABB"/>
    <w:rsid w:val="00A11922"/>
    <w:rsid w:val="00A12F75"/>
    <w:rsid w:val="00A17682"/>
    <w:rsid w:val="00A22CD6"/>
    <w:rsid w:val="00A231BF"/>
    <w:rsid w:val="00A235BE"/>
    <w:rsid w:val="00A23CE3"/>
    <w:rsid w:val="00A25B73"/>
    <w:rsid w:val="00A25D4A"/>
    <w:rsid w:val="00A26FC2"/>
    <w:rsid w:val="00A34557"/>
    <w:rsid w:val="00A345DE"/>
    <w:rsid w:val="00A3756C"/>
    <w:rsid w:val="00A40F57"/>
    <w:rsid w:val="00A43694"/>
    <w:rsid w:val="00A43EA9"/>
    <w:rsid w:val="00A45944"/>
    <w:rsid w:val="00A4752A"/>
    <w:rsid w:val="00A51FF1"/>
    <w:rsid w:val="00A54CA1"/>
    <w:rsid w:val="00A57D3C"/>
    <w:rsid w:val="00A61AEB"/>
    <w:rsid w:val="00A625F8"/>
    <w:rsid w:val="00A64D34"/>
    <w:rsid w:val="00A74DD7"/>
    <w:rsid w:val="00A7637A"/>
    <w:rsid w:val="00A7784E"/>
    <w:rsid w:val="00A80EA0"/>
    <w:rsid w:val="00A8172F"/>
    <w:rsid w:val="00A835CB"/>
    <w:rsid w:val="00A837E0"/>
    <w:rsid w:val="00A8449D"/>
    <w:rsid w:val="00A85C2A"/>
    <w:rsid w:val="00A915ED"/>
    <w:rsid w:val="00A9181F"/>
    <w:rsid w:val="00A919CD"/>
    <w:rsid w:val="00A93747"/>
    <w:rsid w:val="00A95385"/>
    <w:rsid w:val="00A96A0F"/>
    <w:rsid w:val="00A96B7A"/>
    <w:rsid w:val="00A96FAA"/>
    <w:rsid w:val="00A97512"/>
    <w:rsid w:val="00AA1B31"/>
    <w:rsid w:val="00AA2A3A"/>
    <w:rsid w:val="00AA42AE"/>
    <w:rsid w:val="00AA4B0A"/>
    <w:rsid w:val="00AA68CF"/>
    <w:rsid w:val="00AA72C3"/>
    <w:rsid w:val="00AB0BE6"/>
    <w:rsid w:val="00AB296B"/>
    <w:rsid w:val="00AB4788"/>
    <w:rsid w:val="00AB57E9"/>
    <w:rsid w:val="00AB6BA4"/>
    <w:rsid w:val="00AC3A97"/>
    <w:rsid w:val="00AC3DAE"/>
    <w:rsid w:val="00AC4CF3"/>
    <w:rsid w:val="00AC5123"/>
    <w:rsid w:val="00AC59BE"/>
    <w:rsid w:val="00AC6B0B"/>
    <w:rsid w:val="00AD0ED0"/>
    <w:rsid w:val="00AD0F34"/>
    <w:rsid w:val="00AD3AAB"/>
    <w:rsid w:val="00AD597C"/>
    <w:rsid w:val="00AD5C20"/>
    <w:rsid w:val="00AD6055"/>
    <w:rsid w:val="00AD61E7"/>
    <w:rsid w:val="00AD7342"/>
    <w:rsid w:val="00AD7C53"/>
    <w:rsid w:val="00AE3E8F"/>
    <w:rsid w:val="00AE5216"/>
    <w:rsid w:val="00AF0520"/>
    <w:rsid w:val="00AF1AA4"/>
    <w:rsid w:val="00AF1DCF"/>
    <w:rsid w:val="00AF2598"/>
    <w:rsid w:val="00AF3271"/>
    <w:rsid w:val="00AF6E05"/>
    <w:rsid w:val="00AF7139"/>
    <w:rsid w:val="00B02FF5"/>
    <w:rsid w:val="00B03A2F"/>
    <w:rsid w:val="00B0586E"/>
    <w:rsid w:val="00B058FC"/>
    <w:rsid w:val="00B114DB"/>
    <w:rsid w:val="00B13469"/>
    <w:rsid w:val="00B15547"/>
    <w:rsid w:val="00B1652A"/>
    <w:rsid w:val="00B167C6"/>
    <w:rsid w:val="00B16F37"/>
    <w:rsid w:val="00B17414"/>
    <w:rsid w:val="00B21860"/>
    <w:rsid w:val="00B25191"/>
    <w:rsid w:val="00B255FB"/>
    <w:rsid w:val="00B259CE"/>
    <w:rsid w:val="00B26C72"/>
    <w:rsid w:val="00B306D3"/>
    <w:rsid w:val="00B353DE"/>
    <w:rsid w:val="00B37AA1"/>
    <w:rsid w:val="00B418E2"/>
    <w:rsid w:val="00B45264"/>
    <w:rsid w:val="00B46145"/>
    <w:rsid w:val="00B503DF"/>
    <w:rsid w:val="00B5258D"/>
    <w:rsid w:val="00B5370F"/>
    <w:rsid w:val="00B54657"/>
    <w:rsid w:val="00B54EA3"/>
    <w:rsid w:val="00B55371"/>
    <w:rsid w:val="00B63161"/>
    <w:rsid w:val="00B6607B"/>
    <w:rsid w:val="00B6709E"/>
    <w:rsid w:val="00B70DBE"/>
    <w:rsid w:val="00B72C75"/>
    <w:rsid w:val="00B73C4F"/>
    <w:rsid w:val="00B76DBB"/>
    <w:rsid w:val="00B84C0D"/>
    <w:rsid w:val="00B84C5E"/>
    <w:rsid w:val="00B909DA"/>
    <w:rsid w:val="00B91D86"/>
    <w:rsid w:val="00B9571F"/>
    <w:rsid w:val="00B96DD0"/>
    <w:rsid w:val="00BA0482"/>
    <w:rsid w:val="00BA2EF6"/>
    <w:rsid w:val="00BA42EC"/>
    <w:rsid w:val="00BA5747"/>
    <w:rsid w:val="00BA64F0"/>
    <w:rsid w:val="00BA7CDB"/>
    <w:rsid w:val="00BA7D26"/>
    <w:rsid w:val="00BB2ED5"/>
    <w:rsid w:val="00BB6DD9"/>
    <w:rsid w:val="00BC33AD"/>
    <w:rsid w:val="00BC3517"/>
    <w:rsid w:val="00BC4268"/>
    <w:rsid w:val="00BC5DCD"/>
    <w:rsid w:val="00BC72D6"/>
    <w:rsid w:val="00BD1B8F"/>
    <w:rsid w:val="00BD3625"/>
    <w:rsid w:val="00BD6AE2"/>
    <w:rsid w:val="00BD7236"/>
    <w:rsid w:val="00BE2ADC"/>
    <w:rsid w:val="00BE44C9"/>
    <w:rsid w:val="00BE48E2"/>
    <w:rsid w:val="00BE6AC7"/>
    <w:rsid w:val="00BE7055"/>
    <w:rsid w:val="00BF0152"/>
    <w:rsid w:val="00BF173E"/>
    <w:rsid w:val="00BF18F7"/>
    <w:rsid w:val="00BF3F3D"/>
    <w:rsid w:val="00BF5500"/>
    <w:rsid w:val="00BF76F8"/>
    <w:rsid w:val="00C0015B"/>
    <w:rsid w:val="00C00F26"/>
    <w:rsid w:val="00C02E9D"/>
    <w:rsid w:val="00C04EE6"/>
    <w:rsid w:val="00C04FDF"/>
    <w:rsid w:val="00C0516B"/>
    <w:rsid w:val="00C064BA"/>
    <w:rsid w:val="00C11ACA"/>
    <w:rsid w:val="00C155F2"/>
    <w:rsid w:val="00C23FE6"/>
    <w:rsid w:val="00C32352"/>
    <w:rsid w:val="00C327BA"/>
    <w:rsid w:val="00C34A80"/>
    <w:rsid w:val="00C355B7"/>
    <w:rsid w:val="00C378C4"/>
    <w:rsid w:val="00C41F0C"/>
    <w:rsid w:val="00C428C9"/>
    <w:rsid w:val="00C4419F"/>
    <w:rsid w:val="00C45CE8"/>
    <w:rsid w:val="00C46328"/>
    <w:rsid w:val="00C46499"/>
    <w:rsid w:val="00C52639"/>
    <w:rsid w:val="00C52BF2"/>
    <w:rsid w:val="00C53EF1"/>
    <w:rsid w:val="00C54DF6"/>
    <w:rsid w:val="00C569B0"/>
    <w:rsid w:val="00C60A86"/>
    <w:rsid w:val="00C63F93"/>
    <w:rsid w:val="00C6481F"/>
    <w:rsid w:val="00C64C7A"/>
    <w:rsid w:val="00C64CBD"/>
    <w:rsid w:val="00C66519"/>
    <w:rsid w:val="00C66B25"/>
    <w:rsid w:val="00C67DD0"/>
    <w:rsid w:val="00C714C9"/>
    <w:rsid w:val="00C7263F"/>
    <w:rsid w:val="00C815F0"/>
    <w:rsid w:val="00C82DD3"/>
    <w:rsid w:val="00C85409"/>
    <w:rsid w:val="00C85E90"/>
    <w:rsid w:val="00C86A4A"/>
    <w:rsid w:val="00C90DD5"/>
    <w:rsid w:val="00C913FB"/>
    <w:rsid w:val="00C917BB"/>
    <w:rsid w:val="00C92686"/>
    <w:rsid w:val="00C93E05"/>
    <w:rsid w:val="00C9465F"/>
    <w:rsid w:val="00C947F4"/>
    <w:rsid w:val="00CA00ED"/>
    <w:rsid w:val="00CA04A6"/>
    <w:rsid w:val="00CA069C"/>
    <w:rsid w:val="00CA1C4C"/>
    <w:rsid w:val="00CA2F97"/>
    <w:rsid w:val="00CA4DA2"/>
    <w:rsid w:val="00CA76DC"/>
    <w:rsid w:val="00CA7D24"/>
    <w:rsid w:val="00CB0400"/>
    <w:rsid w:val="00CB11D0"/>
    <w:rsid w:val="00CB4834"/>
    <w:rsid w:val="00CB6827"/>
    <w:rsid w:val="00CB7E55"/>
    <w:rsid w:val="00CC0BDE"/>
    <w:rsid w:val="00CC146E"/>
    <w:rsid w:val="00CC583E"/>
    <w:rsid w:val="00CD074A"/>
    <w:rsid w:val="00CD0902"/>
    <w:rsid w:val="00CD260C"/>
    <w:rsid w:val="00CD3FEC"/>
    <w:rsid w:val="00CD42B9"/>
    <w:rsid w:val="00CD6E0B"/>
    <w:rsid w:val="00CE1D47"/>
    <w:rsid w:val="00CE37E5"/>
    <w:rsid w:val="00CE58C1"/>
    <w:rsid w:val="00CE6B7A"/>
    <w:rsid w:val="00CE707E"/>
    <w:rsid w:val="00D00AE0"/>
    <w:rsid w:val="00D02465"/>
    <w:rsid w:val="00D026D5"/>
    <w:rsid w:val="00D0274A"/>
    <w:rsid w:val="00D03F62"/>
    <w:rsid w:val="00D1104B"/>
    <w:rsid w:val="00D15D65"/>
    <w:rsid w:val="00D17890"/>
    <w:rsid w:val="00D23DA5"/>
    <w:rsid w:val="00D24852"/>
    <w:rsid w:val="00D24AD2"/>
    <w:rsid w:val="00D27C06"/>
    <w:rsid w:val="00D35297"/>
    <w:rsid w:val="00D35B3D"/>
    <w:rsid w:val="00D41BE4"/>
    <w:rsid w:val="00D429B0"/>
    <w:rsid w:val="00D430DB"/>
    <w:rsid w:val="00D43E43"/>
    <w:rsid w:val="00D44638"/>
    <w:rsid w:val="00D47DA4"/>
    <w:rsid w:val="00D47FB4"/>
    <w:rsid w:val="00D50C6D"/>
    <w:rsid w:val="00D5103B"/>
    <w:rsid w:val="00D511BB"/>
    <w:rsid w:val="00D52352"/>
    <w:rsid w:val="00D5354C"/>
    <w:rsid w:val="00D567C3"/>
    <w:rsid w:val="00D61709"/>
    <w:rsid w:val="00D622C1"/>
    <w:rsid w:val="00D62947"/>
    <w:rsid w:val="00D63898"/>
    <w:rsid w:val="00D64B2B"/>
    <w:rsid w:val="00D6605E"/>
    <w:rsid w:val="00D732B4"/>
    <w:rsid w:val="00D751DD"/>
    <w:rsid w:val="00D759D9"/>
    <w:rsid w:val="00D76C5B"/>
    <w:rsid w:val="00D779F7"/>
    <w:rsid w:val="00D77E79"/>
    <w:rsid w:val="00D827AD"/>
    <w:rsid w:val="00D82EC3"/>
    <w:rsid w:val="00D838DF"/>
    <w:rsid w:val="00D83F54"/>
    <w:rsid w:val="00D84EF8"/>
    <w:rsid w:val="00D8530B"/>
    <w:rsid w:val="00D87421"/>
    <w:rsid w:val="00D94863"/>
    <w:rsid w:val="00D9706D"/>
    <w:rsid w:val="00DA047A"/>
    <w:rsid w:val="00DA12C0"/>
    <w:rsid w:val="00DA145E"/>
    <w:rsid w:val="00DA2762"/>
    <w:rsid w:val="00DA36BF"/>
    <w:rsid w:val="00DA5F17"/>
    <w:rsid w:val="00DA6234"/>
    <w:rsid w:val="00DA6DDA"/>
    <w:rsid w:val="00DB0BB8"/>
    <w:rsid w:val="00DB377A"/>
    <w:rsid w:val="00DB7C8F"/>
    <w:rsid w:val="00DB7D40"/>
    <w:rsid w:val="00DC032B"/>
    <w:rsid w:val="00DC1794"/>
    <w:rsid w:val="00DC1EF3"/>
    <w:rsid w:val="00DC3028"/>
    <w:rsid w:val="00DC43ED"/>
    <w:rsid w:val="00DD0E9B"/>
    <w:rsid w:val="00DD36A7"/>
    <w:rsid w:val="00DD3DDA"/>
    <w:rsid w:val="00DD48A5"/>
    <w:rsid w:val="00DD4CC1"/>
    <w:rsid w:val="00DD54E0"/>
    <w:rsid w:val="00DD7553"/>
    <w:rsid w:val="00DE0020"/>
    <w:rsid w:val="00DE4307"/>
    <w:rsid w:val="00DE4DCE"/>
    <w:rsid w:val="00DE543B"/>
    <w:rsid w:val="00DE6956"/>
    <w:rsid w:val="00DF3533"/>
    <w:rsid w:val="00DF42C2"/>
    <w:rsid w:val="00DF520A"/>
    <w:rsid w:val="00DF55CE"/>
    <w:rsid w:val="00DF5D9D"/>
    <w:rsid w:val="00E0142F"/>
    <w:rsid w:val="00E0229B"/>
    <w:rsid w:val="00E0351F"/>
    <w:rsid w:val="00E036DD"/>
    <w:rsid w:val="00E04699"/>
    <w:rsid w:val="00E07AF2"/>
    <w:rsid w:val="00E10775"/>
    <w:rsid w:val="00E11E6D"/>
    <w:rsid w:val="00E12826"/>
    <w:rsid w:val="00E16BA5"/>
    <w:rsid w:val="00E17299"/>
    <w:rsid w:val="00E172D2"/>
    <w:rsid w:val="00E17D54"/>
    <w:rsid w:val="00E17EDB"/>
    <w:rsid w:val="00E24383"/>
    <w:rsid w:val="00E260AB"/>
    <w:rsid w:val="00E27D40"/>
    <w:rsid w:val="00E316B8"/>
    <w:rsid w:val="00E336AC"/>
    <w:rsid w:val="00E34A3C"/>
    <w:rsid w:val="00E37B3A"/>
    <w:rsid w:val="00E4179D"/>
    <w:rsid w:val="00E43433"/>
    <w:rsid w:val="00E43EC9"/>
    <w:rsid w:val="00E44329"/>
    <w:rsid w:val="00E519B9"/>
    <w:rsid w:val="00E540A1"/>
    <w:rsid w:val="00E55097"/>
    <w:rsid w:val="00E55E51"/>
    <w:rsid w:val="00E560C7"/>
    <w:rsid w:val="00E571EA"/>
    <w:rsid w:val="00E6089F"/>
    <w:rsid w:val="00E609B5"/>
    <w:rsid w:val="00E60B27"/>
    <w:rsid w:val="00E65DD8"/>
    <w:rsid w:val="00E669C9"/>
    <w:rsid w:val="00E67446"/>
    <w:rsid w:val="00E706E1"/>
    <w:rsid w:val="00E7431C"/>
    <w:rsid w:val="00E80D7B"/>
    <w:rsid w:val="00E83899"/>
    <w:rsid w:val="00E8462D"/>
    <w:rsid w:val="00E847A2"/>
    <w:rsid w:val="00E87546"/>
    <w:rsid w:val="00E9084B"/>
    <w:rsid w:val="00E92FF4"/>
    <w:rsid w:val="00E94486"/>
    <w:rsid w:val="00E95C28"/>
    <w:rsid w:val="00E960C8"/>
    <w:rsid w:val="00E96B23"/>
    <w:rsid w:val="00EA116F"/>
    <w:rsid w:val="00EA5226"/>
    <w:rsid w:val="00EB212D"/>
    <w:rsid w:val="00EB2C6A"/>
    <w:rsid w:val="00EB64E9"/>
    <w:rsid w:val="00EB704B"/>
    <w:rsid w:val="00EB7E72"/>
    <w:rsid w:val="00EC3FD8"/>
    <w:rsid w:val="00EC4617"/>
    <w:rsid w:val="00EC4D26"/>
    <w:rsid w:val="00EC57C5"/>
    <w:rsid w:val="00EC5EDE"/>
    <w:rsid w:val="00EC6441"/>
    <w:rsid w:val="00ED0068"/>
    <w:rsid w:val="00ED4F81"/>
    <w:rsid w:val="00EE0155"/>
    <w:rsid w:val="00EE46E6"/>
    <w:rsid w:val="00EE66CC"/>
    <w:rsid w:val="00EF06F3"/>
    <w:rsid w:val="00EF287B"/>
    <w:rsid w:val="00EF4510"/>
    <w:rsid w:val="00EF5C3B"/>
    <w:rsid w:val="00EF72C9"/>
    <w:rsid w:val="00F024B2"/>
    <w:rsid w:val="00F04225"/>
    <w:rsid w:val="00F04939"/>
    <w:rsid w:val="00F04D6F"/>
    <w:rsid w:val="00F103E1"/>
    <w:rsid w:val="00F11DDC"/>
    <w:rsid w:val="00F13131"/>
    <w:rsid w:val="00F1494A"/>
    <w:rsid w:val="00F20FBB"/>
    <w:rsid w:val="00F24589"/>
    <w:rsid w:val="00F248C7"/>
    <w:rsid w:val="00F24961"/>
    <w:rsid w:val="00F25125"/>
    <w:rsid w:val="00F320F0"/>
    <w:rsid w:val="00F33B15"/>
    <w:rsid w:val="00F4007B"/>
    <w:rsid w:val="00F43B76"/>
    <w:rsid w:val="00F45D2D"/>
    <w:rsid w:val="00F46524"/>
    <w:rsid w:val="00F52149"/>
    <w:rsid w:val="00F52F64"/>
    <w:rsid w:val="00F56840"/>
    <w:rsid w:val="00F60585"/>
    <w:rsid w:val="00F633F0"/>
    <w:rsid w:val="00F6440D"/>
    <w:rsid w:val="00F714DD"/>
    <w:rsid w:val="00F72A00"/>
    <w:rsid w:val="00F74957"/>
    <w:rsid w:val="00F763F5"/>
    <w:rsid w:val="00F7685F"/>
    <w:rsid w:val="00F8202D"/>
    <w:rsid w:val="00F82237"/>
    <w:rsid w:val="00F82F30"/>
    <w:rsid w:val="00F83098"/>
    <w:rsid w:val="00F83FEC"/>
    <w:rsid w:val="00F85F25"/>
    <w:rsid w:val="00F91685"/>
    <w:rsid w:val="00F9184B"/>
    <w:rsid w:val="00F92708"/>
    <w:rsid w:val="00F9523D"/>
    <w:rsid w:val="00F9718B"/>
    <w:rsid w:val="00FA0CFF"/>
    <w:rsid w:val="00FA0ED9"/>
    <w:rsid w:val="00FA3440"/>
    <w:rsid w:val="00FA34C6"/>
    <w:rsid w:val="00FA6058"/>
    <w:rsid w:val="00FA7216"/>
    <w:rsid w:val="00FB1F82"/>
    <w:rsid w:val="00FB42CE"/>
    <w:rsid w:val="00FB71AF"/>
    <w:rsid w:val="00FB7673"/>
    <w:rsid w:val="00FC0B94"/>
    <w:rsid w:val="00FC25B5"/>
    <w:rsid w:val="00FC2BF7"/>
    <w:rsid w:val="00FC5AE0"/>
    <w:rsid w:val="00FC5D1C"/>
    <w:rsid w:val="00FC5DB9"/>
    <w:rsid w:val="00FC6541"/>
    <w:rsid w:val="00FC68D3"/>
    <w:rsid w:val="00FD4A8D"/>
    <w:rsid w:val="00FD6B7D"/>
    <w:rsid w:val="00FD6CD0"/>
    <w:rsid w:val="00FD7393"/>
    <w:rsid w:val="00FD7583"/>
    <w:rsid w:val="00FD7C5C"/>
    <w:rsid w:val="00FE067A"/>
    <w:rsid w:val="00FE09EE"/>
    <w:rsid w:val="00FE45A5"/>
    <w:rsid w:val="00FE4A52"/>
    <w:rsid w:val="00FE4E32"/>
    <w:rsid w:val="00FE5756"/>
    <w:rsid w:val="00FE6EDB"/>
    <w:rsid w:val="00FE74CD"/>
    <w:rsid w:val="00FE7A0A"/>
    <w:rsid w:val="00FF2543"/>
    <w:rsid w:val="00FF7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514FA"/>
  <w15:docId w15:val="{BE76CB99-5151-44B9-9BAD-39B65BF9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0D0"/>
  </w:style>
  <w:style w:type="paragraph" w:styleId="Heading1">
    <w:name w:val="heading 1"/>
    <w:basedOn w:val="Normal"/>
    <w:next w:val="Normal"/>
    <w:link w:val="Heading1Char"/>
    <w:uiPriority w:val="9"/>
    <w:qFormat/>
    <w:rsid w:val="009D64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2D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19B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2F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2FEB"/>
    <w:rPr>
      <w:color w:val="0000FF"/>
      <w:u w:val="single"/>
    </w:rPr>
  </w:style>
  <w:style w:type="character" w:customStyle="1" w:styleId="FollowedHyperlink1">
    <w:name w:val="FollowedHyperlink1"/>
    <w:basedOn w:val="DefaultParagraphFont"/>
    <w:uiPriority w:val="99"/>
    <w:semiHidden/>
    <w:unhideWhenUsed/>
    <w:rsid w:val="00922FEB"/>
    <w:rPr>
      <w:color w:val="800080"/>
      <w:u w:val="single"/>
    </w:rPr>
  </w:style>
  <w:style w:type="paragraph" w:styleId="FootnoteText">
    <w:name w:val="footnote text"/>
    <w:basedOn w:val="Normal"/>
    <w:link w:val="FootnoteTextChar"/>
    <w:uiPriority w:val="99"/>
    <w:semiHidden/>
    <w:unhideWhenUsed/>
    <w:rsid w:val="00922FEB"/>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922FEB"/>
    <w:rPr>
      <w:kern w:val="0"/>
      <w:sz w:val="20"/>
      <w:szCs w:val="20"/>
      <w14:ligatures w14:val="none"/>
    </w:rPr>
  </w:style>
  <w:style w:type="character" w:styleId="FootnoteReference">
    <w:name w:val="footnote reference"/>
    <w:basedOn w:val="DefaultParagraphFont"/>
    <w:uiPriority w:val="99"/>
    <w:semiHidden/>
    <w:unhideWhenUsed/>
    <w:rsid w:val="00922FEB"/>
    <w:rPr>
      <w:vertAlign w:val="superscript"/>
    </w:rPr>
  </w:style>
  <w:style w:type="paragraph" w:styleId="ListParagraph">
    <w:name w:val="List Paragraph"/>
    <w:basedOn w:val="Normal"/>
    <w:uiPriority w:val="34"/>
    <w:qFormat/>
    <w:rsid w:val="00922FEB"/>
    <w:pPr>
      <w:spacing w:after="200" w:line="276" w:lineRule="auto"/>
      <w:ind w:left="720"/>
      <w:contextualSpacing/>
    </w:pPr>
    <w:rPr>
      <w:kern w:val="0"/>
      <w14:ligatures w14:val="none"/>
    </w:rPr>
  </w:style>
  <w:style w:type="paragraph" w:styleId="NormalWeb">
    <w:name w:val="Normal (Web)"/>
    <w:basedOn w:val="Normal"/>
    <w:uiPriority w:val="99"/>
    <w:unhideWhenUsed/>
    <w:rsid w:val="00922FEB"/>
    <w:pPr>
      <w:spacing w:after="200" w:line="276" w:lineRule="auto"/>
    </w:pPr>
    <w:rPr>
      <w:rFonts w:ascii="Times New Roman" w:hAnsi="Times New Roman" w:cs="Times New Roman"/>
      <w:kern w:val="0"/>
      <w:sz w:val="24"/>
      <w:szCs w:val="24"/>
      <w14:ligatures w14:val="none"/>
    </w:rPr>
  </w:style>
  <w:style w:type="character" w:customStyle="1" w:styleId="apple-converted-space">
    <w:name w:val="apple-converted-space"/>
    <w:basedOn w:val="DefaultParagraphFont"/>
    <w:rsid w:val="00922FEB"/>
  </w:style>
  <w:style w:type="character" w:styleId="PageNumber">
    <w:name w:val="page number"/>
    <w:basedOn w:val="DefaultParagraphFont"/>
    <w:rsid w:val="00922FEB"/>
  </w:style>
  <w:style w:type="character" w:customStyle="1" w:styleId="docblue">
    <w:name w:val="doc_blue"/>
    <w:basedOn w:val="DefaultParagraphFont"/>
    <w:rsid w:val="00922FEB"/>
  </w:style>
  <w:style w:type="character" w:customStyle="1" w:styleId="docbody">
    <w:name w:val="doc_body"/>
    <w:basedOn w:val="DefaultParagraphFont"/>
    <w:rsid w:val="00922FEB"/>
  </w:style>
  <w:style w:type="character" w:customStyle="1" w:styleId="docred">
    <w:name w:val="doc_red"/>
    <w:basedOn w:val="DefaultParagraphFont"/>
    <w:rsid w:val="00922FEB"/>
  </w:style>
  <w:style w:type="character" w:styleId="CommentReference">
    <w:name w:val="annotation reference"/>
    <w:basedOn w:val="DefaultParagraphFont"/>
    <w:uiPriority w:val="99"/>
    <w:semiHidden/>
    <w:unhideWhenUsed/>
    <w:rsid w:val="00922FEB"/>
    <w:rPr>
      <w:sz w:val="16"/>
      <w:szCs w:val="16"/>
    </w:rPr>
  </w:style>
  <w:style w:type="paragraph" w:styleId="CommentText">
    <w:name w:val="annotation text"/>
    <w:basedOn w:val="Normal"/>
    <w:link w:val="CommentTextChar"/>
    <w:uiPriority w:val="99"/>
    <w:unhideWhenUsed/>
    <w:rsid w:val="00922FEB"/>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22FE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2FEB"/>
    <w:rPr>
      <w:b/>
      <w:bCs/>
    </w:rPr>
  </w:style>
  <w:style w:type="character" w:customStyle="1" w:styleId="CommentSubjectChar">
    <w:name w:val="Comment Subject Char"/>
    <w:basedOn w:val="CommentTextChar"/>
    <w:link w:val="CommentSubject"/>
    <w:uiPriority w:val="99"/>
    <w:semiHidden/>
    <w:rsid w:val="00922FEB"/>
    <w:rPr>
      <w:b/>
      <w:bCs/>
      <w:kern w:val="0"/>
      <w:sz w:val="20"/>
      <w:szCs w:val="20"/>
      <w14:ligatures w14:val="none"/>
    </w:rPr>
  </w:style>
  <w:style w:type="paragraph" w:styleId="BalloonText">
    <w:name w:val="Balloon Text"/>
    <w:basedOn w:val="Normal"/>
    <w:link w:val="BalloonTextChar"/>
    <w:uiPriority w:val="99"/>
    <w:semiHidden/>
    <w:unhideWhenUsed/>
    <w:rsid w:val="00922FEB"/>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922FEB"/>
    <w:rPr>
      <w:rFonts w:ascii="Tahoma" w:hAnsi="Tahoma" w:cs="Tahoma"/>
      <w:kern w:val="0"/>
      <w:sz w:val="16"/>
      <w:szCs w:val="16"/>
      <w14:ligatures w14:val="none"/>
    </w:rPr>
  </w:style>
  <w:style w:type="character" w:styleId="Strong">
    <w:name w:val="Strong"/>
    <w:basedOn w:val="DefaultParagraphFont"/>
    <w:uiPriority w:val="22"/>
    <w:qFormat/>
    <w:rsid w:val="00922FEB"/>
    <w:rPr>
      <w:b/>
      <w:bCs/>
    </w:rPr>
  </w:style>
  <w:style w:type="character" w:customStyle="1" w:styleId="docheader">
    <w:name w:val="doc_header"/>
    <w:basedOn w:val="DefaultParagraphFont"/>
    <w:rsid w:val="00922FEB"/>
  </w:style>
  <w:style w:type="paragraph" w:customStyle="1" w:styleId="ColorfulList-Accent11">
    <w:name w:val="Colorful List - Accent 11"/>
    <w:basedOn w:val="Normal"/>
    <w:uiPriority w:val="34"/>
    <w:qFormat/>
    <w:rsid w:val="00922FEB"/>
    <w:pPr>
      <w:spacing w:after="200" w:line="276" w:lineRule="auto"/>
      <w:ind w:left="720"/>
      <w:contextualSpacing/>
    </w:pPr>
    <w:rPr>
      <w:rFonts w:ascii="Calibri" w:eastAsia="Calibri" w:hAnsi="Calibri" w:cs="Times New Roman"/>
      <w:kern w:val="0"/>
      <w14:ligatures w14:val="none"/>
    </w:rPr>
  </w:style>
  <w:style w:type="character" w:customStyle="1" w:styleId="hps">
    <w:name w:val="hps"/>
    <w:rsid w:val="00922FEB"/>
  </w:style>
  <w:style w:type="paragraph" w:customStyle="1" w:styleId="MediumGrid1-Accent21">
    <w:name w:val="Medium Grid 1 - Accent 21"/>
    <w:basedOn w:val="Normal"/>
    <w:uiPriority w:val="34"/>
    <w:qFormat/>
    <w:rsid w:val="00922FEB"/>
    <w:pPr>
      <w:ind w:left="720"/>
      <w:contextualSpacing/>
    </w:pPr>
    <w:rPr>
      <w:rFonts w:ascii="Times New Roman" w:eastAsia="Calibri" w:hAnsi="Times New Roman" w:cs="Times New Roman"/>
      <w:color w:val="000000"/>
      <w:kern w:val="0"/>
      <w:sz w:val="24"/>
      <w14:ligatures w14:val="none"/>
    </w:rPr>
  </w:style>
  <w:style w:type="character" w:customStyle="1" w:styleId="UnresolvedMention1">
    <w:name w:val="Unresolved Mention1"/>
    <w:basedOn w:val="DefaultParagraphFont"/>
    <w:uiPriority w:val="99"/>
    <w:semiHidden/>
    <w:unhideWhenUsed/>
    <w:rsid w:val="00922FEB"/>
    <w:rPr>
      <w:color w:val="605E5C"/>
      <w:shd w:val="clear" w:color="auto" w:fill="E1DFDD"/>
    </w:rPr>
  </w:style>
  <w:style w:type="character" w:styleId="Hyperlink">
    <w:name w:val="Hyperlink"/>
    <w:basedOn w:val="DefaultParagraphFont"/>
    <w:uiPriority w:val="99"/>
    <w:unhideWhenUsed/>
    <w:rsid w:val="00922FEB"/>
    <w:rPr>
      <w:color w:val="0563C1" w:themeColor="hyperlink"/>
      <w:u w:val="single"/>
    </w:rPr>
  </w:style>
  <w:style w:type="character" w:styleId="FollowedHyperlink">
    <w:name w:val="FollowedHyperlink"/>
    <w:basedOn w:val="DefaultParagraphFont"/>
    <w:uiPriority w:val="99"/>
    <w:semiHidden/>
    <w:unhideWhenUsed/>
    <w:rsid w:val="00922FEB"/>
    <w:rPr>
      <w:color w:val="954F72" w:themeColor="followedHyperlink"/>
      <w:u w:val="single"/>
    </w:rPr>
  </w:style>
  <w:style w:type="paragraph" w:styleId="BodyText">
    <w:name w:val="Body Text"/>
    <w:basedOn w:val="Normal"/>
    <w:link w:val="BodyTextChar"/>
    <w:uiPriority w:val="1"/>
    <w:qFormat/>
    <w:rsid w:val="00996667"/>
    <w:pPr>
      <w:widowControl w:val="0"/>
      <w:autoSpaceDE w:val="0"/>
      <w:autoSpaceDN w:val="0"/>
      <w:spacing w:after="0" w:line="240" w:lineRule="auto"/>
      <w:ind w:left="744" w:hanging="361"/>
      <w:jc w:val="both"/>
    </w:pPr>
    <w:rPr>
      <w:rFonts w:ascii="Calibri" w:eastAsia="Calibri" w:hAnsi="Calibri" w:cs="Calibri"/>
      <w:kern w:val="0"/>
      <w:sz w:val="24"/>
      <w:szCs w:val="24"/>
      <w14:ligatures w14:val="none"/>
    </w:rPr>
  </w:style>
  <w:style w:type="character" w:customStyle="1" w:styleId="BodyTextChar">
    <w:name w:val="Body Text Char"/>
    <w:basedOn w:val="DefaultParagraphFont"/>
    <w:link w:val="BodyText"/>
    <w:uiPriority w:val="1"/>
    <w:rsid w:val="00996667"/>
    <w:rPr>
      <w:rFonts w:ascii="Calibri" w:eastAsia="Calibri" w:hAnsi="Calibri" w:cs="Calibri"/>
      <w:kern w:val="0"/>
      <w:sz w:val="24"/>
      <w:szCs w:val="24"/>
      <w14:ligatures w14:val="none"/>
    </w:rPr>
  </w:style>
  <w:style w:type="character" w:styleId="Emphasis">
    <w:name w:val="Emphasis"/>
    <w:basedOn w:val="DefaultParagraphFont"/>
    <w:uiPriority w:val="20"/>
    <w:qFormat/>
    <w:rsid w:val="001024E6"/>
    <w:rPr>
      <w:i/>
      <w:iCs/>
    </w:rPr>
  </w:style>
  <w:style w:type="character" w:customStyle="1" w:styleId="Heading3Char">
    <w:name w:val="Heading 3 Char"/>
    <w:basedOn w:val="DefaultParagraphFont"/>
    <w:link w:val="Heading3"/>
    <w:uiPriority w:val="9"/>
    <w:rsid w:val="00E519B9"/>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9D64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D64A3"/>
    <w:pPr>
      <w:outlineLvl w:val="9"/>
    </w:pPr>
    <w:rPr>
      <w:kern w:val="0"/>
      <w14:ligatures w14:val="none"/>
    </w:rPr>
  </w:style>
  <w:style w:type="paragraph" w:styleId="TOC3">
    <w:name w:val="toc 3"/>
    <w:basedOn w:val="Normal"/>
    <w:next w:val="Normal"/>
    <w:autoRedefine/>
    <w:uiPriority w:val="39"/>
    <w:unhideWhenUsed/>
    <w:rsid w:val="009D64A3"/>
    <w:pPr>
      <w:spacing w:after="100"/>
      <w:ind w:left="440"/>
    </w:pPr>
  </w:style>
  <w:style w:type="character" w:customStyle="1" w:styleId="Heading2Char">
    <w:name w:val="Heading 2 Char"/>
    <w:basedOn w:val="DefaultParagraphFont"/>
    <w:link w:val="Heading2"/>
    <w:uiPriority w:val="9"/>
    <w:rsid w:val="00242D3A"/>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15BDC"/>
    <w:pPr>
      <w:spacing w:after="100"/>
    </w:pPr>
  </w:style>
  <w:style w:type="paragraph" w:styleId="TOC2">
    <w:name w:val="toc 2"/>
    <w:basedOn w:val="Normal"/>
    <w:next w:val="Normal"/>
    <w:autoRedefine/>
    <w:uiPriority w:val="39"/>
    <w:unhideWhenUsed/>
    <w:rsid w:val="00415BDC"/>
    <w:pPr>
      <w:spacing w:after="100"/>
      <w:ind w:left="220"/>
    </w:pPr>
  </w:style>
  <w:style w:type="paragraph" w:styleId="TOC4">
    <w:name w:val="toc 4"/>
    <w:basedOn w:val="Normal"/>
    <w:next w:val="Normal"/>
    <w:autoRedefine/>
    <w:uiPriority w:val="39"/>
    <w:unhideWhenUsed/>
    <w:rsid w:val="00415BDC"/>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415BDC"/>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415BDC"/>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415BDC"/>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415BDC"/>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415BDC"/>
    <w:pPr>
      <w:spacing w:after="100"/>
      <w:ind w:left="1760"/>
    </w:pPr>
    <w:rPr>
      <w:rFonts w:eastAsiaTheme="minorEastAsia"/>
      <w:kern w:val="0"/>
      <w14:ligatures w14:val="none"/>
    </w:rPr>
  </w:style>
  <w:style w:type="paragraph" w:styleId="Header">
    <w:name w:val="header"/>
    <w:basedOn w:val="Normal"/>
    <w:link w:val="HeaderChar"/>
    <w:uiPriority w:val="99"/>
    <w:unhideWhenUsed/>
    <w:rsid w:val="00A1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B"/>
  </w:style>
  <w:style w:type="paragraph" w:styleId="Footer">
    <w:name w:val="footer"/>
    <w:basedOn w:val="Normal"/>
    <w:link w:val="FooterChar"/>
    <w:uiPriority w:val="99"/>
    <w:unhideWhenUsed/>
    <w:rsid w:val="00A1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B"/>
  </w:style>
  <w:style w:type="paragraph" w:customStyle="1" w:styleId="oj-normal">
    <w:name w:val="oj-normal"/>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oj-ti-grseq-1">
    <w:name w:val="oj-ti-grseq-1"/>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expanded">
    <w:name w:val="oj-expanded"/>
    <w:basedOn w:val="DefaultParagraphFont"/>
    <w:rsid w:val="0077636B"/>
  </w:style>
  <w:style w:type="paragraph" w:customStyle="1" w:styleId="oj-ti-art">
    <w:name w:val="oj-ti-art"/>
    <w:basedOn w:val="Normal"/>
    <w:rsid w:val="007763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super">
    <w:name w:val="oj-super"/>
    <w:basedOn w:val="DefaultParagraphFont"/>
    <w:rsid w:val="0077636B"/>
  </w:style>
  <w:style w:type="paragraph" w:styleId="NoSpacing">
    <w:name w:val="No Spacing"/>
    <w:uiPriority w:val="1"/>
    <w:qFormat/>
    <w:rsid w:val="0071079D"/>
    <w:pPr>
      <w:spacing w:after="0" w:line="240" w:lineRule="auto"/>
    </w:pPr>
    <w:rPr>
      <w:rFonts w:eastAsiaTheme="minorEastAsia"/>
      <w:kern w:val="0"/>
      <w14:ligatures w14:val="none"/>
    </w:rPr>
  </w:style>
  <w:style w:type="character" w:customStyle="1" w:styleId="legamendingtext">
    <w:name w:val="legamendingtext"/>
    <w:basedOn w:val="DefaultParagraphFont"/>
    <w:rsid w:val="0042577F"/>
  </w:style>
  <w:style w:type="paragraph" w:customStyle="1" w:styleId="legclearfix">
    <w:name w:val="legclearfix"/>
    <w:basedOn w:val="Normal"/>
    <w:rsid w:val="004257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grhs">
    <w:name w:val="legrhs"/>
    <w:basedOn w:val="Normal"/>
    <w:rsid w:val="004257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A25B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726">
      <w:bodyDiv w:val="1"/>
      <w:marLeft w:val="0"/>
      <w:marRight w:val="0"/>
      <w:marTop w:val="0"/>
      <w:marBottom w:val="0"/>
      <w:divBdr>
        <w:top w:val="none" w:sz="0" w:space="0" w:color="auto"/>
        <w:left w:val="none" w:sz="0" w:space="0" w:color="auto"/>
        <w:bottom w:val="none" w:sz="0" w:space="0" w:color="auto"/>
        <w:right w:val="none" w:sz="0" w:space="0" w:color="auto"/>
      </w:divBdr>
    </w:div>
    <w:div w:id="45180504">
      <w:bodyDiv w:val="1"/>
      <w:marLeft w:val="0"/>
      <w:marRight w:val="0"/>
      <w:marTop w:val="0"/>
      <w:marBottom w:val="0"/>
      <w:divBdr>
        <w:top w:val="none" w:sz="0" w:space="0" w:color="auto"/>
        <w:left w:val="none" w:sz="0" w:space="0" w:color="auto"/>
        <w:bottom w:val="none" w:sz="0" w:space="0" w:color="auto"/>
        <w:right w:val="none" w:sz="0" w:space="0" w:color="auto"/>
      </w:divBdr>
    </w:div>
    <w:div w:id="46341139">
      <w:bodyDiv w:val="1"/>
      <w:marLeft w:val="0"/>
      <w:marRight w:val="0"/>
      <w:marTop w:val="0"/>
      <w:marBottom w:val="0"/>
      <w:divBdr>
        <w:top w:val="none" w:sz="0" w:space="0" w:color="auto"/>
        <w:left w:val="none" w:sz="0" w:space="0" w:color="auto"/>
        <w:bottom w:val="none" w:sz="0" w:space="0" w:color="auto"/>
        <w:right w:val="none" w:sz="0" w:space="0" w:color="auto"/>
      </w:divBdr>
    </w:div>
    <w:div w:id="66853641">
      <w:bodyDiv w:val="1"/>
      <w:marLeft w:val="0"/>
      <w:marRight w:val="0"/>
      <w:marTop w:val="0"/>
      <w:marBottom w:val="0"/>
      <w:divBdr>
        <w:top w:val="none" w:sz="0" w:space="0" w:color="auto"/>
        <w:left w:val="none" w:sz="0" w:space="0" w:color="auto"/>
        <w:bottom w:val="none" w:sz="0" w:space="0" w:color="auto"/>
        <w:right w:val="none" w:sz="0" w:space="0" w:color="auto"/>
      </w:divBdr>
      <w:divsChild>
        <w:div w:id="80807730">
          <w:marLeft w:val="0"/>
          <w:marRight w:val="0"/>
          <w:marTop w:val="0"/>
          <w:marBottom w:val="0"/>
          <w:divBdr>
            <w:top w:val="none" w:sz="0" w:space="0" w:color="auto"/>
            <w:left w:val="none" w:sz="0" w:space="0" w:color="auto"/>
            <w:bottom w:val="none" w:sz="0" w:space="0" w:color="auto"/>
            <w:right w:val="none" w:sz="0" w:space="0" w:color="auto"/>
          </w:divBdr>
        </w:div>
        <w:div w:id="388841559">
          <w:marLeft w:val="0"/>
          <w:marRight w:val="0"/>
          <w:marTop w:val="0"/>
          <w:marBottom w:val="0"/>
          <w:divBdr>
            <w:top w:val="none" w:sz="0" w:space="0" w:color="auto"/>
            <w:left w:val="none" w:sz="0" w:space="0" w:color="auto"/>
            <w:bottom w:val="none" w:sz="0" w:space="0" w:color="auto"/>
            <w:right w:val="none" w:sz="0" w:space="0" w:color="auto"/>
          </w:divBdr>
        </w:div>
        <w:div w:id="1896507503">
          <w:marLeft w:val="0"/>
          <w:marRight w:val="0"/>
          <w:marTop w:val="0"/>
          <w:marBottom w:val="0"/>
          <w:divBdr>
            <w:top w:val="none" w:sz="0" w:space="0" w:color="auto"/>
            <w:left w:val="none" w:sz="0" w:space="0" w:color="auto"/>
            <w:bottom w:val="none" w:sz="0" w:space="0" w:color="auto"/>
            <w:right w:val="none" w:sz="0" w:space="0" w:color="auto"/>
          </w:divBdr>
        </w:div>
        <w:div w:id="1199705502">
          <w:marLeft w:val="0"/>
          <w:marRight w:val="0"/>
          <w:marTop w:val="0"/>
          <w:marBottom w:val="0"/>
          <w:divBdr>
            <w:top w:val="none" w:sz="0" w:space="0" w:color="auto"/>
            <w:left w:val="none" w:sz="0" w:space="0" w:color="auto"/>
            <w:bottom w:val="none" w:sz="0" w:space="0" w:color="auto"/>
            <w:right w:val="none" w:sz="0" w:space="0" w:color="auto"/>
          </w:divBdr>
        </w:div>
      </w:divsChild>
    </w:div>
    <w:div w:id="69619284">
      <w:bodyDiv w:val="1"/>
      <w:marLeft w:val="0"/>
      <w:marRight w:val="0"/>
      <w:marTop w:val="0"/>
      <w:marBottom w:val="0"/>
      <w:divBdr>
        <w:top w:val="none" w:sz="0" w:space="0" w:color="auto"/>
        <w:left w:val="none" w:sz="0" w:space="0" w:color="auto"/>
        <w:bottom w:val="none" w:sz="0" w:space="0" w:color="auto"/>
        <w:right w:val="none" w:sz="0" w:space="0" w:color="auto"/>
      </w:divBdr>
    </w:div>
    <w:div w:id="74909541">
      <w:bodyDiv w:val="1"/>
      <w:marLeft w:val="0"/>
      <w:marRight w:val="0"/>
      <w:marTop w:val="0"/>
      <w:marBottom w:val="0"/>
      <w:divBdr>
        <w:top w:val="none" w:sz="0" w:space="0" w:color="auto"/>
        <w:left w:val="none" w:sz="0" w:space="0" w:color="auto"/>
        <w:bottom w:val="none" w:sz="0" w:space="0" w:color="auto"/>
        <w:right w:val="none" w:sz="0" w:space="0" w:color="auto"/>
      </w:divBdr>
    </w:div>
    <w:div w:id="91051474">
      <w:bodyDiv w:val="1"/>
      <w:marLeft w:val="0"/>
      <w:marRight w:val="0"/>
      <w:marTop w:val="0"/>
      <w:marBottom w:val="0"/>
      <w:divBdr>
        <w:top w:val="none" w:sz="0" w:space="0" w:color="auto"/>
        <w:left w:val="none" w:sz="0" w:space="0" w:color="auto"/>
        <w:bottom w:val="none" w:sz="0" w:space="0" w:color="auto"/>
        <w:right w:val="none" w:sz="0" w:space="0" w:color="auto"/>
      </w:divBdr>
      <w:divsChild>
        <w:div w:id="875309546">
          <w:marLeft w:val="0"/>
          <w:marRight w:val="0"/>
          <w:marTop w:val="0"/>
          <w:marBottom w:val="0"/>
          <w:divBdr>
            <w:top w:val="none" w:sz="0" w:space="0" w:color="auto"/>
            <w:left w:val="none" w:sz="0" w:space="0" w:color="auto"/>
            <w:bottom w:val="none" w:sz="0" w:space="0" w:color="auto"/>
            <w:right w:val="none" w:sz="0" w:space="0" w:color="auto"/>
          </w:divBdr>
        </w:div>
      </w:divsChild>
    </w:div>
    <w:div w:id="95175758">
      <w:bodyDiv w:val="1"/>
      <w:marLeft w:val="0"/>
      <w:marRight w:val="0"/>
      <w:marTop w:val="0"/>
      <w:marBottom w:val="0"/>
      <w:divBdr>
        <w:top w:val="none" w:sz="0" w:space="0" w:color="auto"/>
        <w:left w:val="none" w:sz="0" w:space="0" w:color="auto"/>
        <w:bottom w:val="none" w:sz="0" w:space="0" w:color="auto"/>
        <w:right w:val="none" w:sz="0" w:space="0" w:color="auto"/>
      </w:divBdr>
    </w:div>
    <w:div w:id="99180801">
      <w:bodyDiv w:val="1"/>
      <w:marLeft w:val="0"/>
      <w:marRight w:val="0"/>
      <w:marTop w:val="0"/>
      <w:marBottom w:val="0"/>
      <w:divBdr>
        <w:top w:val="none" w:sz="0" w:space="0" w:color="auto"/>
        <w:left w:val="none" w:sz="0" w:space="0" w:color="auto"/>
        <w:bottom w:val="none" w:sz="0" w:space="0" w:color="auto"/>
        <w:right w:val="none" w:sz="0" w:space="0" w:color="auto"/>
      </w:divBdr>
      <w:divsChild>
        <w:div w:id="99298901">
          <w:marLeft w:val="0"/>
          <w:marRight w:val="0"/>
          <w:marTop w:val="0"/>
          <w:marBottom w:val="0"/>
          <w:divBdr>
            <w:top w:val="none" w:sz="0" w:space="0" w:color="auto"/>
            <w:left w:val="none" w:sz="0" w:space="0" w:color="auto"/>
            <w:bottom w:val="none" w:sz="0" w:space="0" w:color="auto"/>
            <w:right w:val="none" w:sz="0" w:space="0" w:color="auto"/>
          </w:divBdr>
        </w:div>
      </w:divsChild>
    </w:div>
    <w:div w:id="109595969">
      <w:bodyDiv w:val="1"/>
      <w:marLeft w:val="0"/>
      <w:marRight w:val="0"/>
      <w:marTop w:val="0"/>
      <w:marBottom w:val="0"/>
      <w:divBdr>
        <w:top w:val="none" w:sz="0" w:space="0" w:color="auto"/>
        <w:left w:val="none" w:sz="0" w:space="0" w:color="auto"/>
        <w:bottom w:val="none" w:sz="0" w:space="0" w:color="auto"/>
        <w:right w:val="none" w:sz="0" w:space="0" w:color="auto"/>
      </w:divBdr>
    </w:div>
    <w:div w:id="113450903">
      <w:bodyDiv w:val="1"/>
      <w:marLeft w:val="0"/>
      <w:marRight w:val="0"/>
      <w:marTop w:val="0"/>
      <w:marBottom w:val="0"/>
      <w:divBdr>
        <w:top w:val="none" w:sz="0" w:space="0" w:color="auto"/>
        <w:left w:val="none" w:sz="0" w:space="0" w:color="auto"/>
        <w:bottom w:val="none" w:sz="0" w:space="0" w:color="auto"/>
        <w:right w:val="none" w:sz="0" w:space="0" w:color="auto"/>
      </w:divBdr>
    </w:div>
    <w:div w:id="114913414">
      <w:bodyDiv w:val="1"/>
      <w:marLeft w:val="0"/>
      <w:marRight w:val="0"/>
      <w:marTop w:val="0"/>
      <w:marBottom w:val="0"/>
      <w:divBdr>
        <w:top w:val="none" w:sz="0" w:space="0" w:color="auto"/>
        <w:left w:val="none" w:sz="0" w:space="0" w:color="auto"/>
        <w:bottom w:val="none" w:sz="0" w:space="0" w:color="auto"/>
        <w:right w:val="none" w:sz="0" w:space="0" w:color="auto"/>
      </w:divBdr>
    </w:div>
    <w:div w:id="126823937">
      <w:bodyDiv w:val="1"/>
      <w:marLeft w:val="0"/>
      <w:marRight w:val="0"/>
      <w:marTop w:val="0"/>
      <w:marBottom w:val="0"/>
      <w:divBdr>
        <w:top w:val="none" w:sz="0" w:space="0" w:color="auto"/>
        <w:left w:val="none" w:sz="0" w:space="0" w:color="auto"/>
        <w:bottom w:val="none" w:sz="0" w:space="0" w:color="auto"/>
        <w:right w:val="none" w:sz="0" w:space="0" w:color="auto"/>
      </w:divBdr>
      <w:divsChild>
        <w:div w:id="1319185451">
          <w:marLeft w:val="0"/>
          <w:marRight w:val="0"/>
          <w:marTop w:val="0"/>
          <w:marBottom w:val="0"/>
          <w:divBdr>
            <w:top w:val="none" w:sz="0" w:space="0" w:color="auto"/>
            <w:left w:val="none" w:sz="0" w:space="0" w:color="auto"/>
            <w:bottom w:val="none" w:sz="0" w:space="0" w:color="auto"/>
            <w:right w:val="none" w:sz="0" w:space="0" w:color="auto"/>
          </w:divBdr>
        </w:div>
      </w:divsChild>
    </w:div>
    <w:div w:id="138888242">
      <w:bodyDiv w:val="1"/>
      <w:marLeft w:val="0"/>
      <w:marRight w:val="0"/>
      <w:marTop w:val="0"/>
      <w:marBottom w:val="0"/>
      <w:divBdr>
        <w:top w:val="none" w:sz="0" w:space="0" w:color="auto"/>
        <w:left w:val="none" w:sz="0" w:space="0" w:color="auto"/>
        <w:bottom w:val="none" w:sz="0" w:space="0" w:color="auto"/>
        <w:right w:val="none" w:sz="0" w:space="0" w:color="auto"/>
      </w:divBdr>
    </w:div>
    <w:div w:id="146748648">
      <w:bodyDiv w:val="1"/>
      <w:marLeft w:val="0"/>
      <w:marRight w:val="0"/>
      <w:marTop w:val="0"/>
      <w:marBottom w:val="0"/>
      <w:divBdr>
        <w:top w:val="none" w:sz="0" w:space="0" w:color="auto"/>
        <w:left w:val="none" w:sz="0" w:space="0" w:color="auto"/>
        <w:bottom w:val="none" w:sz="0" w:space="0" w:color="auto"/>
        <w:right w:val="none" w:sz="0" w:space="0" w:color="auto"/>
      </w:divBdr>
    </w:div>
    <w:div w:id="155149104">
      <w:bodyDiv w:val="1"/>
      <w:marLeft w:val="0"/>
      <w:marRight w:val="0"/>
      <w:marTop w:val="0"/>
      <w:marBottom w:val="0"/>
      <w:divBdr>
        <w:top w:val="none" w:sz="0" w:space="0" w:color="auto"/>
        <w:left w:val="none" w:sz="0" w:space="0" w:color="auto"/>
        <w:bottom w:val="none" w:sz="0" w:space="0" w:color="auto"/>
        <w:right w:val="none" w:sz="0" w:space="0" w:color="auto"/>
      </w:divBdr>
    </w:div>
    <w:div w:id="157619288">
      <w:bodyDiv w:val="1"/>
      <w:marLeft w:val="0"/>
      <w:marRight w:val="0"/>
      <w:marTop w:val="0"/>
      <w:marBottom w:val="0"/>
      <w:divBdr>
        <w:top w:val="none" w:sz="0" w:space="0" w:color="auto"/>
        <w:left w:val="none" w:sz="0" w:space="0" w:color="auto"/>
        <w:bottom w:val="none" w:sz="0" w:space="0" w:color="auto"/>
        <w:right w:val="none" w:sz="0" w:space="0" w:color="auto"/>
      </w:divBdr>
    </w:div>
    <w:div w:id="194972149">
      <w:bodyDiv w:val="1"/>
      <w:marLeft w:val="0"/>
      <w:marRight w:val="0"/>
      <w:marTop w:val="0"/>
      <w:marBottom w:val="0"/>
      <w:divBdr>
        <w:top w:val="none" w:sz="0" w:space="0" w:color="auto"/>
        <w:left w:val="none" w:sz="0" w:space="0" w:color="auto"/>
        <w:bottom w:val="none" w:sz="0" w:space="0" w:color="auto"/>
        <w:right w:val="none" w:sz="0" w:space="0" w:color="auto"/>
      </w:divBdr>
    </w:div>
    <w:div w:id="197744658">
      <w:bodyDiv w:val="1"/>
      <w:marLeft w:val="0"/>
      <w:marRight w:val="0"/>
      <w:marTop w:val="0"/>
      <w:marBottom w:val="0"/>
      <w:divBdr>
        <w:top w:val="none" w:sz="0" w:space="0" w:color="auto"/>
        <w:left w:val="none" w:sz="0" w:space="0" w:color="auto"/>
        <w:bottom w:val="none" w:sz="0" w:space="0" w:color="auto"/>
        <w:right w:val="none" w:sz="0" w:space="0" w:color="auto"/>
      </w:divBdr>
      <w:divsChild>
        <w:div w:id="824004724">
          <w:marLeft w:val="0"/>
          <w:marRight w:val="0"/>
          <w:marTop w:val="0"/>
          <w:marBottom w:val="0"/>
          <w:divBdr>
            <w:top w:val="none" w:sz="0" w:space="0" w:color="auto"/>
            <w:left w:val="none" w:sz="0" w:space="0" w:color="auto"/>
            <w:bottom w:val="none" w:sz="0" w:space="0" w:color="auto"/>
            <w:right w:val="none" w:sz="0" w:space="0" w:color="auto"/>
          </w:divBdr>
        </w:div>
      </w:divsChild>
    </w:div>
    <w:div w:id="207491911">
      <w:bodyDiv w:val="1"/>
      <w:marLeft w:val="0"/>
      <w:marRight w:val="0"/>
      <w:marTop w:val="0"/>
      <w:marBottom w:val="0"/>
      <w:divBdr>
        <w:top w:val="none" w:sz="0" w:space="0" w:color="auto"/>
        <w:left w:val="none" w:sz="0" w:space="0" w:color="auto"/>
        <w:bottom w:val="none" w:sz="0" w:space="0" w:color="auto"/>
        <w:right w:val="none" w:sz="0" w:space="0" w:color="auto"/>
      </w:divBdr>
    </w:div>
    <w:div w:id="215049848">
      <w:bodyDiv w:val="1"/>
      <w:marLeft w:val="0"/>
      <w:marRight w:val="0"/>
      <w:marTop w:val="0"/>
      <w:marBottom w:val="0"/>
      <w:divBdr>
        <w:top w:val="none" w:sz="0" w:space="0" w:color="auto"/>
        <w:left w:val="none" w:sz="0" w:space="0" w:color="auto"/>
        <w:bottom w:val="none" w:sz="0" w:space="0" w:color="auto"/>
        <w:right w:val="none" w:sz="0" w:space="0" w:color="auto"/>
      </w:divBdr>
    </w:div>
    <w:div w:id="228618765">
      <w:bodyDiv w:val="1"/>
      <w:marLeft w:val="0"/>
      <w:marRight w:val="0"/>
      <w:marTop w:val="0"/>
      <w:marBottom w:val="0"/>
      <w:divBdr>
        <w:top w:val="none" w:sz="0" w:space="0" w:color="auto"/>
        <w:left w:val="none" w:sz="0" w:space="0" w:color="auto"/>
        <w:bottom w:val="none" w:sz="0" w:space="0" w:color="auto"/>
        <w:right w:val="none" w:sz="0" w:space="0" w:color="auto"/>
      </w:divBdr>
    </w:div>
    <w:div w:id="232012678">
      <w:bodyDiv w:val="1"/>
      <w:marLeft w:val="0"/>
      <w:marRight w:val="0"/>
      <w:marTop w:val="0"/>
      <w:marBottom w:val="0"/>
      <w:divBdr>
        <w:top w:val="none" w:sz="0" w:space="0" w:color="auto"/>
        <w:left w:val="none" w:sz="0" w:space="0" w:color="auto"/>
        <w:bottom w:val="none" w:sz="0" w:space="0" w:color="auto"/>
        <w:right w:val="none" w:sz="0" w:space="0" w:color="auto"/>
      </w:divBdr>
    </w:div>
    <w:div w:id="233782473">
      <w:bodyDiv w:val="1"/>
      <w:marLeft w:val="0"/>
      <w:marRight w:val="0"/>
      <w:marTop w:val="0"/>
      <w:marBottom w:val="0"/>
      <w:divBdr>
        <w:top w:val="none" w:sz="0" w:space="0" w:color="auto"/>
        <w:left w:val="none" w:sz="0" w:space="0" w:color="auto"/>
        <w:bottom w:val="none" w:sz="0" w:space="0" w:color="auto"/>
        <w:right w:val="none" w:sz="0" w:space="0" w:color="auto"/>
      </w:divBdr>
    </w:div>
    <w:div w:id="235287955">
      <w:bodyDiv w:val="1"/>
      <w:marLeft w:val="0"/>
      <w:marRight w:val="0"/>
      <w:marTop w:val="0"/>
      <w:marBottom w:val="0"/>
      <w:divBdr>
        <w:top w:val="none" w:sz="0" w:space="0" w:color="auto"/>
        <w:left w:val="none" w:sz="0" w:space="0" w:color="auto"/>
        <w:bottom w:val="none" w:sz="0" w:space="0" w:color="auto"/>
        <w:right w:val="none" w:sz="0" w:space="0" w:color="auto"/>
      </w:divBdr>
    </w:div>
    <w:div w:id="253363157">
      <w:bodyDiv w:val="1"/>
      <w:marLeft w:val="0"/>
      <w:marRight w:val="0"/>
      <w:marTop w:val="0"/>
      <w:marBottom w:val="0"/>
      <w:divBdr>
        <w:top w:val="none" w:sz="0" w:space="0" w:color="auto"/>
        <w:left w:val="none" w:sz="0" w:space="0" w:color="auto"/>
        <w:bottom w:val="none" w:sz="0" w:space="0" w:color="auto"/>
        <w:right w:val="none" w:sz="0" w:space="0" w:color="auto"/>
      </w:divBdr>
      <w:divsChild>
        <w:div w:id="1789354778">
          <w:marLeft w:val="0"/>
          <w:marRight w:val="0"/>
          <w:marTop w:val="0"/>
          <w:marBottom w:val="0"/>
          <w:divBdr>
            <w:top w:val="none" w:sz="0" w:space="0" w:color="auto"/>
            <w:left w:val="none" w:sz="0" w:space="0" w:color="auto"/>
            <w:bottom w:val="none" w:sz="0" w:space="0" w:color="auto"/>
            <w:right w:val="none" w:sz="0" w:space="0" w:color="auto"/>
          </w:divBdr>
        </w:div>
      </w:divsChild>
    </w:div>
    <w:div w:id="300890385">
      <w:bodyDiv w:val="1"/>
      <w:marLeft w:val="0"/>
      <w:marRight w:val="0"/>
      <w:marTop w:val="0"/>
      <w:marBottom w:val="0"/>
      <w:divBdr>
        <w:top w:val="none" w:sz="0" w:space="0" w:color="auto"/>
        <w:left w:val="none" w:sz="0" w:space="0" w:color="auto"/>
        <w:bottom w:val="none" w:sz="0" w:space="0" w:color="auto"/>
        <w:right w:val="none" w:sz="0" w:space="0" w:color="auto"/>
      </w:divBdr>
    </w:div>
    <w:div w:id="307167823">
      <w:bodyDiv w:val="1"/>
      <w:marLeft w:val="0"/>
      <w:marRight w:val="0"/>
      <w:marTop w:val="0"/>
      <w:marBottom w:val="0"/>
      <w:divBdr>
        <w:top w:val="none" w:sz="0" w:space="0" w:color="auto"/>
        <w:left w:val="none" w:sz="0" w:space="0" w:color="auto"/>
        <w:bottom w:val="none" w:sz="0" w:space="0" w:color="auto"/>
        <w:right w:val="none" w:sz="0" w:space="0" w:color="auto"/>
      </w:divBdr>
    </w:div>
    <w:div w:id="308289579">
      <w:bodyDiv w:val="1"/>
      <w:marLeft w:val="0"/>
      <w:marRight w:val="0"/>
      <w:marTop w:val="0"/>
      <w:marBottom w:val="0"/>
      <w:divBdr>
        <w:top w:val="none" w:sz="0" w:space="0" w:color="auto"/>
        <w:left w:val="none" w:sz="0" w:space="0" w:color="auto"/>
        <w:bottom w:val="none" w:sz="0" w:space="0" w:color="auto"/>
        <w:right w:val="none" w:sz="0" w:space="0" w:color="auto"/>
      </w:divBdr>
    </w:div>
    <w:div w:id="329646590">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5601155">
      <w:bodyDiv w:val="1"/>
      <w:marLeft w:val="0"/>
      <w:marRight w:val="0"/>
      <w:marTop w:val="0"/>
      <w:marBottom w:val="0"/>
      <w:divBdr>
        <w:top w:val="none" w:sz="0" w:space="0" w:color="auto"/>
        <w:left w:val="none" w:sz="0" w:space="0" w:color="auto"/>
        <w:bottom w:val="none" w:sz="0" w:space="0" w:color="auto"/>
        <w:right w:val="none" w:sz="0" w:space="0" w:color="auto"/>
      </w:divBdr>
    </w:div>
    <w:div w:id="347684202">
      <w:bodyDiv w:val="1"/>
      <w:marLeft w:val="0"/>
      <w:marRight w:val="0"/>
      <w:marTop w:val="0"/>
      <w:marBottom w:val="0"/>
      <w:divBdr>
        <w:top w:val="none" w:sz="0" w:space="0" w:color="auto"/>
        <w:left w:val="none" w:sz="0" w:space="0" w:color="auto"/>
        <w:bottom w:val="none" w:sz="0" w:space="0" w:color="auto"/>
        <w:right w:val="none" w:sz="0" w:space="0" w:color="auto"/>
      </w:divBdr>
    </w:div>
    <w:div w:id="351538661">
      <w:bodyDiv w:val="1"/>
      <w:marLeft w:val="0"/>
      <w:marRight w:val="0"/>
      <w:marTop w:val="0"/>
      <w:marBottom w:val="0"/>
      <w:divBdr>
        <w:top w:val="none" w:sz="0" w:space="0" w:color="auto"/>
        <w:left w:val="none" w:sz="0" w:space="0" w:color="auto"/>
        <w:bottom w:val="none" w:sz="0" w:space="0" w:color="auto"/>
        <w:right w:val="none" w:sz="0" w:space="0" w:color="auto"/>
      </w:divBdr>
      <w:divsChild>
        <w:div w:id="1800219538">
          <w:marLeft w:val="0"/>
          <w:marRight w:val="0"/>
          <w:marTop w:val="0"/>
          <w:marBottom w:val="0"/>
          <w:divBdr>
            <w:top w:val="none" w:sz="0" w:space="0" w:color="auto"/>
            <w:left w:val="none" w:sz="0" w:space="0" w:color="auto"/>
            <w:bottom w:val="none" w:sz="0" w:space="0" w:color="auto"/>
            <w:right w:val="none" w:sz="0" w:space="0" w:color="auto"/>
          </w:divBdr>
        </w:div>
      </w:divsChild>
    </w:div>
    <w:div w:id="353456647">
      <w:bodyDiv w:val="1"/>
      <w:marLeft w:val="0"/>
      <w:marRight w:val="0"/>
      <w:marTop w:val="0"/>
      <w:marBottom w:val="0"/>
      <w:divBdr>
        <w:top w:val="none" w:sz="0" w:space="0" w:color="auto"/>
        <w:left w:val="none" w:sz="0" w:space="0" w:color="auto"/>
        <w:bottom w:val="none" w:sz="0" w:space="0" w:color="auto"/>
        <w:right w:val="none" w:sz="0" w:space="0" w:color="auto"/>
      </w:divBdr>
    </w:div>
    <w:div w:id="373651388">
      <w:bodyDiv w:val="1"/>
      <w:marLeft w:val="0"/>
      <w:marRight w:val="0"/>
      <w:marTop w:val="0"/>
      <w:marBottom w:val="0"/>
      <w:divBdr>
        <w:top w:val="none" w:sz="0" w:space="0" w:color="auto"/>
        <w:left w:val="none" w:sz="0" w:space="0" w:color="auto"/>
        <w:bottom w:val="none" w:sz="0" w:space="0" w:color="auto"/>
        <w:right w:val="none" w:sz="0" w:space="0" w:color="auto"/>
      </w:divBdr>
      <w:divsChild>
        <w:div w:id="1559784496">
          <w:marLeft w:val="0"/>
          <w:marRight w:val="0"/>
          <w:marTop w:val="0"/>
          <w:marBottom w:val="0"/>
          <w:divBdr>
            <w:top w:val="none" w:sz="0" w:space="0" w:color="auto"/>
            <w:left w:val="none" w:sz="0" w:space="0" w:color="auto"/>
            <w:bottom w:val="none" w:sz="0" w:space="0" w:color="auto"/>
            <w:right w:val="none" w:sz="0" w:space="0" w:color="auto"/>
          </w:divBdr>
        </w:div>
      </w:divsChild>
    </w:div>
    <w:div w:id="382291549">
      <w:bodyDiv w:val="1"/>
      <w:marLeft w:val="0"/>
      <w:marRight w:val="0"/>
      <w:marTop w:val="0"/>
      <w:marBottom w:val="0"/>
      <w:divBdr>
        <w:top w:val="none" w:sz="0" w:space="0" w:color="auto"/>
        <w:left w:val="none" w:sz="0" w:space="0" w:color="auto"/>
        <w:bottom w:val="none" w:sz="0" w:space="0" w:color="auto"/>
        <w:right w:val="none" w:sz="0" w:space="0" w:color="auto"/>
      </w:divBdr>
    </w:div>
    <w:div w:id="389815015">
      <w:bodyDiv w:val="1"/>
      <w:marLeft w:val="0"/>
      <w:marRight w:val="0"/>
      <w:marTop w:val="0"/>
      <w:marBottom w:val="0"/>
      <w:divBdr>
        <w:top w:val="none" w:sz="0" w:space="0" w:color="auto"/>
        <w:left w:val="none" w:sz="0" w:space="0" w:color="auto"/>
        <w:bottom w:val="none" w:sz="0" w:space="0" w:color="auto"/>
        <w:right w:val="none" w:sz="0" w:space="0" w:color="auto"/>
      </w:divBdr>
    </w:div>
    <w:div w:id="407964562">
      <w:bodyDiv w:val="1"/>
      <w:marLeft w:val="0"/>
      <w:marRight w:val="0"/>
      <w:marTop w:val="0"/>
      <w:marBottom w:val="0"/>
      <w:divBdr>
        <w:top w:val="none" w:sz="0" w:space="0" w:color="auto"/>
        <w:left w:val="none" w:sz="0" w:space="0" w:color="auto"/>
        <w:bottom w:val="none" w:sz="0" w:space="0" w:color="auto"/>
        <w:right w:val="none" w:sz="0" w:space="0" w:color="auto"/>
      </w:divBdr>
      <w:divsChild>
        <w:div w:id="887766585">
          <w:marLeft w:val="0"/>
          <w:marRight w:val="0"/>
          <w:marTop w:val="0"/>
          <w:marBottom w:val="0"/>
          <w:divBdr>
            <w:top w:val="none" w:sz="0" w:space="0" w:color="auto"/>
            <w:left w:val="none" w:sz="0" w:space="0" w:color="auto"/>
            <w:bottom w:val="none" w:sz="0" w:space="0" w:color="auto"/>
            <w:right w:val="none" w:sz="0" w:space="0" w:color="auto"/>
          </w:divBdr>
          <w:divsChild>
            <w:div w:id="549146384">
              <w:marLeft w:val="0"/>
              <w:marRight w:val="0"/>
              <w:marTop w:val="0"/>
              <w:marBottom w:val="0"/>
              <w:divBdr>
                <w:top w:val="none" w:sz="0" w:space="0" w:color="auto"/>
                <w:left w:val="none" w:sz="0" w:space="0" w:color="auto"/>
                <w:bottom w:val="none" w:sz="0" w:space="0" w:color="auto"/>
                <w:right w:val="none" w:sz="0" w:space="0" w:color="auto"/>
              </w:divBdr>
              <w:divsChild>
                <w:div w:id="2000036163">
                  <w:marLeft w:val="0"/>
                  <w:marRight w:val="0"/>
                  <w:marTop w:val="0"/>
                  <w:marBottom w:val="0"/>
                  <w:divBdr>
                    <w:top w:val="none" w:sz="0" w:space="0" w:color="auto"/>
                    <w:left w:val="none" w:sz="0" w:space="0" w:color="auto"/>
                    <w:bottom w:val="none" w:sz="0" w:space="0" w:color="auto"/>
                    <w:right w:val="none" w:sz="0" w:space="0" w:color="auto"/>
                  </w:divBdr>
                  <w:divsChild>
                    <w:div w:id="900017271">
                      <w:marLeft w:val="0"/>
                      <w:marRight w:val="0"/>
                      <w:marTop w:val="0"/>
                      <w:marBottom w:val="0"/>
                      <w:divBdr>
                        <w:top w:val="none" w:sz="0" w:space="0" w:color="auto"/>
                        <w:left w:val="none" w:sz="0" w:space="0" w:color="auto"/>
                        <w:bottom w:val="none" w:sz="0" w:space="0" w:color="auto"/>
                        <w:right w:val="none" w:sz="0" w:space="0" w:color="auto"/>
                      </w:divBdr>
                      <w:divsChild>
                        <w:div w:id="703751487">
                          <w:marLeft w:val="0"/>
                          <w:marRight w:val="0"/>
                          <w:marTop w:val="0"/>
                          <w:marBottom w:val="0"/>
                          <w:divBdr>
                            <w:top w:val="none" w:sz="0" w:space="0" w:color="auto"/>
                            <w:left w:val="none" w:sz="0" w:space="0" w:color="auto"/>
                            <w:bottom w:val="none" w:sz="0" w:space="0" w:color="auto"/>
                            <w:right w:val="none" w:sz="0" w:space="0" w:color="auto"/>
                          </w:divBdr>
                          <w:divsChild>
                            <w:div w:id="7588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093969">
      <w:bodyDiv w:val="1"/>
      <w:marLeft w:val="0"/>
      <w:marRight w:val="0"/>
      <w:marTop w:val="0"/>
      <w:marBottom w:val="0"/>
      <w:divBdr>
        <w:top w:val="none" w:sz="0" w:space="0" w:color="auto"/>
        <w:left w:val="none" w:sz="0" w:space="0" w:color="auto"/>
        <w:bottom w:val="none" w:sz="0" w:space="0" w:color="auto"/>
        <w:right w:val="none" w:sz="0" w:space="0" w:color="auto"/>
      </w:divBdr>
      <w:divsChild>
        <w:div w:id="1735152977">
          <w:marLeft w:val="0"/>
          <w:marRight w:val="0"/>
          <w:marTop w:val="0"/>
          <w:marBottom w:val="0"/>
          <w:divBdr>
            <w:top w:val="none" w:sz="0" w:space="0" w:color="auto"/>
            <w:left w:val="none" w:sz="0" w:space="0" w:color="auto"/>
            <w:bottom w:val="none" w:sz="0" w:space="0" w:color="auto"/>
            <w:right w:val="none" w:sz="0" w:space="0" w:color="auto"/>
          </w:divBdr>
        </w:div>
      </w:divsChild>
    </w:div>
    <w:div w:id="418453714">
      <w:bodyDiv w:val="1"/>
      <w:marLeft w:val="0"/>
      <w:marRight w:val="0"/>
      <w:marTop w:val="0"/>
      <w:marBottom w:val="0"/>
      <w:divBdr>
        <w:top w:val="none" w:sz="0" w:space="0" w:color="auto"/>
        <w:left w:val="none" w:sz="0" w:space="0" w:color="auto"/>
        <w:bottom w:val="none" w:sz="0" w:space="0" w:color="auto"/>
        <w:right w:val="none" w:sz="0" w:space="0" w:color="auto"/>
      </w:divBdr>
      <w:divsChild>
        <w:div w:id="255674626">
          <w:marLeft w:val="0"/>
          <w:marRight w:val="0"/>
          <w:marTop w:val="0"/>
          <w:marBottom w:val="0"/>
          <w:divBdr>
            <w:top w:val="none" w:sz="0" w:space="0" w:color="auto"/>
            <w:left w:val="none" w:sz="0" w:space="0" w:color="auto"/>
            <w:bottom w:val="none" w:sz="0" w:space="0" w:color="auto"/>
            <w:right w:val="none" w:sz="0" w:space="0" w:color="auto"/>
          </w:divBdr>
        </w:div>
        <w:div w:id="908464086">
          <w:marLeft w:val="0"/>
          <w:marRight w:val="0"/>
          <w:marTop w:val="0"/>
          <w:marBottom w:val="0"/>
          <w:divBdr>
            <w:top w:val="none" w:sz="0" w:space="0" w:color="auto"/>
            <w:left w:val="none" w:sz="0" w:space="0" w:color="auto"/>
            <w:bottom w:val="none" w:sz="0" w:space="0" w:color="auto"/>
            <w:right w:val="none" w:sz="0" w:space="0" w:color="auto"/>
          </w:divBdr>
        </w:div>
      </w:divsChild>
    </w:div>
    <w:div w:id="447050906">
      <w:bodyDiv w:val="1"/>
      <w:marLeft w:val="0"/>
      <w:marRight w:val="0"/>
      <w:marTop w:val="0"/>
      <w:marBottom w:val="0"/>
      <w:divBdr>
        <w:top w:val="none" w:sz="0" w:space="0" w:color="auto"/>
        <w:left w:val="none" w:sz="0" w:space="0" w:color="auto"/>
        <w:bottom w:val="none" w:sz="0" w:space="0" w:color="auto"/>
        <w:right w:val="none" w:sz="0" w:space="0" w:color="auto"/>
      </w:divBdr>
      <w:divsChild>
        <w:div w:id="13003924">
          <w:marLeft w:val="0"/>
          <w:marRight w:val="0"/>
          <w:marTop w:val="0"/>
          <w:marBottom w:val="0"/>
          <w:divBdr>
            <w:top w:val="none" w:sz="0" w:space="0" w:color="auto"/>
            <w:left w:val="none" w:sz="0" w:space="0" w:color="auto"/>
            <w:bottom w:val="none" w:sz="0" w:space="0" w:color="auto"/>
            <w:right w:val="none" w:sz="0" w:space="0" w:color="auto"/>
          </w:divBdr>
        </w:div>
        <w:div w:id="416171366">
          <w:marLeft w:val="0"/>
          <w:marRight w:val="0"/>
          <w:marTop w:val="0"/>
          <w:marBottom w:val="0"/>
          <w:divBdr>
            <w:top w:val="none" w:sz="0" w:space="0" w:color="auto"/>
            <w:left w:val="none" w:sz="0" w:space="0" w:color="auto"/>
            <w:bottom w:val="none" w:sz="0" w:space="0" w:color="auto"/>
            <w:right w:val="none" w:sz="0" w:space="0" w:color="auto"/>
          </w:divBdr>
        </w:div>
        <w:div w:id="1956326091">
          <w:marLeft w:val="0"/>
          <w:marRight w:val="0"/>
          <w:marTop w:val="0"/>
          <w:marBottom w:val="0"/>
          <w:divBdr>
            <w:top w:val="none" w:sz="0" w:space="0" w:color="auto"/>
            <w:left w:val="none" w:sz="0" w:space="0" w:color="auto"/>
            <w:bottom w:val="none" w:sz="0" w:space="0" w:color="auto"/>
            <w:right w:val="none" w:sz="0" w:space="0" w:color="auto"/>
          </w:divBdr>
        </w:div>
        <w:div w:id="1482966685">
          <w:marLeft w:val="0"/>
          <w:marRight w:val="0"/>
          <w:marTop w:val="0"/>
          <w:marBottom w:val="0"/>
          <w:divBdr>
            <w:top w:val="none" w:sz="0" w:space="0" w:color="auto"/>
            <w:left w:val="none" w:sz="0" w:space="0" w:color="auto"/>
            <w:bottom w:val="none" w:sz="0" w:space="0" w:color="auto"/>
            <w:right w:val="none" w:sz="0" w:space="0" w:color="auto"/>
          </w:divBdr>
        </w:div>
      </w:divsChild>
    </w:div>
    <w:div w:id="450822376">
      <w:bodyDiv w:val="1"/>
      <w:marLeft w:val="0"/>
      <w:marRight w:val="0"/>
      <w:marTop w:val="0"/>
      <w:marBottom w:val="0"/>
      <w:divBdr>
        <w:top w:val="none" w:sz="0" w:space="0" w:color="auto"/>
        <w:left w:val="none" w:sz="0" w:space="0" w:color="auto"/>
        <w:bottom w:val="none" w:sz="0" w:space="0" w:color="auto"/>
        <w:right w:val="none" w:sz="0" w:space="0" w:color="auto"/>
      </w:divBdr>
    </w:div>
    <w:div w:id="472335658">
      <w:bodyDiv w:val="1"/>
      <w:marLeft w:val="0"/>
      <w:marRight w:val="0"/>
      <w:marTop w:val="0"/>
      <w:marBottom w:val="0"/>
      <w:divBdr>
        <w:top w:val="none" w:sz="0" w:space="0" w:color="auto"/>
        <w:left w:val="none" w:sz="0" w:space="0" w:color="auto"/>
        <w:bottom w:val="none" w:sz="0" w:space="0" w:color="auto"/>
        <w:right w:val="none" w:sz="0" w:space="0" w:color="auto"/>
      </w:divBdr>
    </w:div>
    <w:div w:id="496192425">
      <w:bodyDiv w:val="1"/>
      <w:marLeft w:val="0"/>
      <w:marRight w:val="0"/>
      <w:marTop w:val="0"/>
      <w:marBottom w:val="0"/>
      <w:divBdr>
        <w:top w:val="none" w:sz="0" w:space="0" w:color="auto"/>
        <w:left w:val="none" w:sz="0" w:space="0" w:color="auto"/>
        <w:bottom w:val="none" w:sz="0" w:space="0" w:color="auto"/>
        <w:right w:val="none" w:sz="0" w:space="0" w:color="auto"/>
      </w:divBdr>
    </w:div>
    <w:div w:id="496269949">
      <w:bodyDiv w:val="1"/>
      <w:marLeft w:val="0"/>
      <w:marRight w:val="0"/>
      <w:marTop w:val="0"/>
      <w:marBottom w:val="0"/>
      <w:divBdr>
        <w:top w:val="none" w:sz="0" w:space="0" w:color="auto"/>
        <w:left w:val="none" w:sz="0" w:space="0" w:color="auto"/>
        <w:bottom w:val="none" w:sz="0" w:space="0" w:color="auto"/>
        <w:right w:val="none" w:sz="0" w:space="0" w:color="auto"/>
      </w:divBdr>
    </w:div>
    <w:div w:id="498547958">
      <w:bodyDiv w:val="1"/>
      <w:marLeft w:val="0"/>
      <w:marRight w:val="0"/>
      <w:marTop w:val="0"/>
      <w:marBottom w:val="0"/>
      <w:divBdr>
        <w:top w:val="none" w:sz="0" w:space="0" w:color="auto"/>
        <w:left w:val="none" w:sz="0" w:space="0" w:color="auto"/>
        <w:bottom w:val="none" w:sz="0" w:space="0" w:color="auto"/>
        <w:right w:val="none" w:sz="0" w:space="0" w:color="auto"/>
      </w:divBdr>
      <w:divsChild>
        <w:div w:id="440565309">
          <w:marLeft w:val="0"/>
          <w:marRight w:val="0"/>
          <w:marTop w:val="0"/>
          <w:marBottom w:val="0"/>
          <w:divBdr>
            <w:top w:val="none" w:sz="0" w:space="0" w:color="auto"/>
            <w:left w:val="none" w:sz="0" w:space="0" w:color="auto"/>
            <w:bottom w:val="none" w:sz="0" w:space="0" w:color="auto"/>
            <w:right w:val="none" w:sz="0" w:space="0" w:color="auto"/>
          </w:divBdr>
        </w:div>
        <w:div w:id="1471702461">
          <w:marLeft w:val="0"/>
          <w:marRight w:val="0"/>
          <w:marTop w:val="0"/>
          <w:marBottom w:val="0"/>
          <w:divBdr>
            <w:top w:val="none" w:sz="0" w:space="0" w:color="auto"/>
            <w:left w:val="none" w:sz="0" w:space="0" w:color="auto"/>
            <w:bottom w:val="none" w:sz="0" w:space="0" w:color="auto"/>
            <w:right w:val="none" w:sz="0" w:space="0" w:color="auto"/>
          </w:divBdr>
        </w:div>
      </w:divsChild>
    </w:div>
    <w:div w:id="499928394">
      <w:bodyDiv w:val="1"/>
      <w:marLeft w:val="0"/>
      <w:marRight w:val="0"/>
      <w:marTop w:val="0"/>
      <w:marBottom w:val="0"/>
      <w:divBdr>
        <w:top w:val="none" w:sz="0" w:space="0" w:color="auto"/>
        <w:left w:val="none" w:sz="0" w:space="0" w:color="auto"/>
        <w:bottom w:val="none" w:sz="0" w:space="0" w:color="auto"/>
        <w:right w:val="none" w:sz="0" w:space="0" w:color="auto"/>
      </w:divBdr>
    </w:div>
    <w:div w:id="518545862">
      <w:bodyDiv w:val="1"/>
      <w:marLeft w:val="0"/>
      <w:marRight w:val="0"/>
      <w:marTop w:val="0"/>
      <w:marBottom w:val="0"/>
      <w:divBdr>
        <w:top w:val="none" w:sz="0" w:space="0" w:color="auto"/>
        <w:left w:val="none" w:sz="0" w:space="0" w:color="auto"/>
        <w:bottom w:val="none" w:sz="0" w:space="0" w:color="auto"/>
        <w:right w:val="none" w:sz="0" w:space="0" w:color="auto"/>
      </w:divBdr>
    </w:div>
    <w:div w:id="529226030">
      <w:bodyDiv w:val="1"/>
      <w:marLeft w:val="0"/>
      <w:marRight w:val="0"/>
      <w:marTop w:val="0"/>
      <w:marBottom w:val="0"/>
      <w:divBdr>
        <w:top w:val="none" w:sz="0" w:space="0" w:color="auto"/>
        <w:left w:val="none" w:sz="0" w:space="0" w:color="auto"/>
        <w:bottom w:val="none" w:sz="0" w:space="0" w:color="auto"/>
        <w:right w:val="none" w:sz="0" w:space="0" w:color="auto"/>
      </w:divBdr>
    </w:div>
    <w:div w:id="540629444">
      <w:bodyDiv w:val="1"/>
      <w:marLeft w:val="0"/>
      <w:marRight w:val="0"/>
      <w:marTop w:val="0"/>
      <w:marBottom w:val="0"/>
      <w:divBdr>
        <w:top w:val="none" w:sz="0" w:space="0" w:color="auto"/>
        <w:left w:val="none" w:sz="0" w:space="0" w:color="auto"/>
        <w:bottom w:val="none" w:sz="0" w:space="0" w:color="auto"/>
        <w:right w:val="none" w:sz="0" w:space="0" w:color="auto"/>
      </w:divBdr>
    </w:div>
    <w:div w:id="543761449">
      <w:bodyDiv w:val="1"/>
      <w:marLeft w:val="0"/>
      <w:marRight w:val="0"/>
      <w:marTop w:val="0"/>
      <w:marBottom w:val="0"/>
      <w:divBdr>
        <w:top w:val="none" w:sz="0" w:space="0" w:color="auto"/>
        <w:left w:val="none" w:sz="0" w:space="0" w:color="auto"/>
        <w:bottom w:val="none" w:sz="0" w:space="0" w:color="auto"/>
        <w:right w:val="none" w:sz="0" w:space="0" w:color="auto"/>
      </w:divBdr>
    </w:div>
    <w:div w:id="553078111">
      <w:bodyDiv w:val="1"/>
      <w:marLeft w:val="0"/>
      <w:marRight w:val="0"/>
      <w:marTop w:val="0"/>
      <w:marBottom w:val="0"/>
      <w:divBdr>
        <w:top w:val="none" w:sz="0" w:space="0" w:color="auto"/>
        <w:left w:val="none" w:sz="0" w:space="0" w:color="auto"/>
        <w:bottom w:val="none" w:sz="0" w:space="0" w:color="auto"/>
        <w:right w:val="none" w:sz="0" w:space="0" w:color="auto"/>
      </w:divBdr>
      <w:divsChild>
        <w:div w:id="1117944171">
          <w:marLeft w:val="0"/>
          <w:marRight w:val="0"/>
          <w:marTop w:val="0"/>
          <w:marBottom w:val="0"/>
          <w:divBdr>
            <w:top w:val="none" w:sz="0" w:space="0" w:color="auto"/>
            <w:left w:val="none" w:sz="0" w:space="0" w:color="auto"/>
            <w:bottom w:val="none" w:sz="0" w:space="0" w:color="auto"/>
            <w:right w:val="none" w:sz="0" w:space="0" w:color="auto"/>
          </w:divBdr>
          <w:divsChild>
            <w:div w:id="1278870376">
              <w:marLeft w:val="0"/>
              <w:marRight w:val="0"/>
              <w:marTop w:val="0"/>
              <w:marBottom w:val="0"/>
              <w:divBdr>
                <w:top w:val="none" w:sz="0" w:space="0" w:color="auto"/>
                <w:left w:val="none" w:sz="0" w:space="0" w:color="auto"/>
                <w:bottom w:val="none" w:sz="0" w:space="0" w:color="auto"/>
                <w:right w:val="none" w:sz="0" w:space="0" w:color="auto"/>
              </w:divBdr>
              <w:divsChild>
                <w:div w:id="222720717">
                  <w:marLeft w:val="0"/>
                  <w:marRight w:val="0"/>
                  <w:marTop w:val="0"/>
                  <w:marBottom w:val="0"/>
                  <w:divBdr>
                    <w:top w:val="none" w:sz="0" w:space="0" w:color="auto"/>
                    <w:left w:val="none" w:sz="0" w:space="0" w:color="auto"/>
                    <w:bottom w:val="none" w:sz="0" w:space="0" w:color="auto"/>
                    <w:right w:val="none" w:sz="0" w:space="0" w:color="auto"/>
                  </w:divBdr>
                  <w:divsChild>
                    <w:div w:id="673190547">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sChild>
                            <w:div w:id="17200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369655">
      <w:bodyDiv w:val="1"/>
      <w:marLeft w:val="0"/>
      <w:marRight w:val="0"/>
      <w:marTop w:val="0"/>
      <w:marBottom w:val="0"/>
      <w:divBdr>
        <w:top w:val="none" w:sz="0" w:space="0" w:color="auto"/>
        <w:left w:val="none" w:sz="0" w:space="0" w:color="auto"/>
        <w:bottom w:val="none" w:sz="0" w:space="0" w:color="auto"/>
        <w:right w:val="none" w:sz="0" w:space="0" w:color="auto"/>
      </w:divBdr>
      <w:divsChild>
        <w:div w:id="402216587">
          <w:marLeft w:val="0"/>
          <w:marRight w:val="0"/>
          <w:marTop w:val="0"/>
          <w:marBottom w:val="0"/>
          <w:divBdr>
            <w:top w:val="none" w:sz="0" w:space="0" w:color="auto"/>
            <w:left w:val="none" w:sz="0" w:space="0" w:color="auto"/>
            <w:bottom w:val="none" w:sz="0" w:space="0" w:color="auto"/>
            <w:right w:val="none" w:sz="0" w:space="0" w:color="auto"/>
          </w:divBdr>
        </w:div>
      </w:divsChild>
    </w:div>
    <w:div w:id="564686841">
      <w:bodyDiv w:val="1"/>
      <w:marLeft w:val="0"/>
      <w:marRight w:val="0"/>
      <w:marTop w:val="0"/>
      <w:marBottom w:val="0"/>
      <w:divBdr>
        <w:top w:val="none" w:sz="0" w:space="0" w:color="auto"/>
        <w:left w:val="none" w:sz="0" w:space="0" w:color="auto"/>
        <w:bottom w:val="none" w:sz="0" w:space="0" w:color="auto"/>
        <w:right w:val="none" w:sz="0" w:space="0" w:color="auto"/>
      </w:divBdr>
      <w:divsChild>
        <w:div w:id="826481380">
          <w:marLeft w:val="0"/>
          <w:marRight w:val="0"/>
          <w:marTop w:val="0"/>
          <w:marBottom w:val="0"/>
          <w:divBdr>
            <w:top w:val="none" w:sz="0" w:space="0" w:color="auto"/>
            <w:left w:val="none" w:sz="0" w:space="0" w:color="auto"/>
            <w:bottom w:val="none" w:sz="0" w:space="0" w:color="auto"/>
            <w:right w:val="none" w:sz="0" w:space="0" w:color="auto"/>
          </w:divBdr>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
    <w:div w:id="605770520">
      <w:bodyDiv w:val="1"/>
      <w:marLeft w:val="0"/>
      <w:marRight w:val="0"/>
      <w:marTop w:val="0"/>
      <w:marBottom w:val="0"/>
      <w:divBdr>
        <w:top w:val="none" w:sz="0" w:space="0" w:color="auto"/>
        <w:left w:val="none" w:sz="0" w:space="0" w:color="auto"/>
        <w:bottom w:val="none" w:sz="0" w:space="0" w:color="auto"/>
        <w:right w:val="none" w:sz="0" w:space="0" w:color="auto"/>
      </w:divBdr>
    </w:div>
    <w:div w:id="618534568">
      <w:bodyDiv w:val="1"/>
      <w:marLeft w:val="0"/>
      <w:marRight w:val="0"/>
      <w:marTop w:val="0"/>
      <w:marBottom w:val="0"/>
      <w:divBdr>
        <w:top w:val="none" w:sz="0" w:space="0" w:color="auto"/>
        <w:left w:val="none" w:sz="0" w:space="0" w:color="auto"/>
        <w:bottom w:val="none" w:sz="0" w:space="0" w:color="auto"/>
        <w:right w:val="none" w:sz="0" w:space="0" w:color="auto"/>
      </w:divBdr>
    </w:div>
    <w:div w:id="621765434">
      <w:bodyDiv w:val="1"/>
      <w:marLeft w:val="0"/>
      <w:marRight w:val="0"/>
      <w:marTop w:val="0"/>
      <w:marBottom w:val="0"/>
      <w:divBdr>
        <w:top w:val="none" w:sz="0" w:space="0" w:color="auto"/>
        <w:left w:val="none" w:sz="0" w:space="0" w:color="auto"/>
        <w:bottom w:val="none" w:sz="0" w:space="0" w:color="auto"/>
        <w:right w:val="none" w:sz="0" w:space="0" w:color="auto"/>
      </w:divBdr>
      <w:divsChild>
        <w:div w:id="1059327104">
          <w:marLeft w:val="0"/>
          <w:marRight w:val="0"/>
          <w:marTop w:val="0"/>
          <w:marBottom w:val="0"/>
          <w:divBdr>
            <w:top w:val="none" w:sz="0" w:space="0" w:color="auto"/>
            <w:left w:val="none" w:sz="0" w:space="0" w:color="auto"/>
            <w:bottom w:val="none" w:sz="0" w:space="0" w:color="auto"/>
            <w:right w:val="none" w:sz="0" w:space="0" w:color="auto"/>
          </w:divBdr>
        </w:div>
      </w:divsChild>
    </w:div>
    <w:div w:id="624968986">
      <w:bodyDiv w:val="1"/>
      <w:marLeft w:val="0"/>
      <w:marRight w:val="0"/>
      <w:marTop w:val="0"/>
      <w:marBottom w:val="0"/>
      <w:divBdr>
        <w:top w:val="none" w:sz="0" w:space="0" w:color="auto"/>
        <w:left w:val="none" w:sz="0" w:space="0" w:color="auto"/>
        <w:bottom w:val="none" w:sz="0" w:space="0" w:color="auto"/>
        <w:right w:val="none" w:sz="0" w:space="0" w:color="auto"/>
      </w:divBdr>
    </w:div>
    <w:div w:id="710879036">
      <w:bodyDiv w:val="1"/>
      <w:marLeft w:val="0"/>
      <w:marRight w:val="0"/>
      <w:marTop w:val="0"/>
      <w:marBottom w:val="0"/>
      <w:divBdr>
        <w:top w:val="none" w:sz="0" w:space="0" w:color="auto"/>
        <w:left w:val="none" w:sz="0" w:space="0" w:color="auto"/>
        <w:bottom w:val="none" w:sz="0" w:space="0" w:color="auto"/>
        <w:right w:val="none" w:sz="0" w:space="0" w:color="auto"/>
      </w:divBdr>
      <w:divsChild>
        <w:div w:id="2096395800">
          <w:marLeft w:val="0"/>
          <w:marRight w:val="0"/>
          <w:marTop w:val="0"/>
          <w:marBottom w:val="0"/>
          <w:divBdr>
            <w:top w:val="none" w:sz="0" w:space="0" w:color="auto"/>
            <w:left w:val="none" w:sz="0" w:space="0" w:color="auto"/>
            <w:bottom w:val="none" w:sz="0" w:space="0" w:color="auto"/>
            <w:right w:val="none" w:sz="0" w:space="0" w:color="auto"/>
          </w:divBdr>
        </w:div>
      </w:divsChild>
    </w:div>
    <w:div w:id="715273510">
      <w:bodyDiv w:val="1"/>
      <w:marLeft w:val="0"/>
      <w:marRight w:val="0"/>
      <w:marTop w:val="0"/>
      <w:marBottom w:val="0"/>
      <w:divBdr>
        <w:top w:val="none" w:sz="0" w:space="0" w:color="auto"/>
        <w:left w:val="none" w:sz="0" w:space="0" w:color="auto"/>
        <w:bottom w:val="none" w:sz="0" w:space="0" w:color="auto"/>
        <w:right w:val="none" w:sz="0" w:space="0" w:color="auto"/>
      </w:divBdr>
    </w:div>
    <w:div w:id="733892786">
      <w:bodyDiv w:val="1"/>
      <w:marLeft w:val="0"/>
      <w:marRight w:val="0"/>
      <w:marTop w:val="0"/>
      <w:marBottom w:val="0"/>
      <w:divBdr>
        <w:top w:val="none" w:sz="0" w:space="0" w:color="auto"/>
        <w:left w:val="none" w:sz="0" w:space="0" w:color="auto"/>
        <w:bottom w:val="none" w:sz="0" w:space="0" w:color="auto"/>
        <w:right w:val="none" w:sz="0" w:space="0" w:color="auto"/>
      </w:divBdr>
    </w:div>
    <w:div w:id="750084904">
      <w:bodyDiv w:val="1"/>
      <w:marLeft w:val="0"/>
      <w:marRight w:val="0"/>
      <w:marTop w:val="0"/>
      <w:marBottom w:val="0"/>
      <w:divBdr>
        <w:top w:val="none" w:sz="0" w:space="0" w:color="auto"/>
        <w:left w:val="none" w:sz="0" w:space="0" w:color="auto"/>
        <w:bottom w:val="none" w:sz="0" w:space="0" w:color="auto"/>
        <w:right w:val="none" w:sz="0" w:space="0" w:color="auto"/>
      </w:divBdr>
    </w:div>
    <w:div w:id="751196519">
      <w:bodyDiv w:val="1"/>
      <w:marLeft w:val="0"/>
      <w:marRight w:val="0"/>
      <w:marTop w:val="0"/>
      <w:marBottom w:val="0"/>
      <w:divBdr>
        <w:top w:val="none" w:sz="0" w:space="0" w:color="auto"/>
        <w:left w:val="none" w:sz="0" w:space="0" w:color="auto"/>
        <w:bottom w:val="none" w:sz="0" w:space="0" w:color="auto"/>
        <w:right w:val="none" w:sz="0" w:space="0" w:color="auto"/>
      </w:divBdr>
      <w:divsChild>
        <w:div w:id="1478646491">
          <w:marLeft w:val="0"/>
          <w:marRight w:val="0"/>
          <w:marTop w:val="0"/>
          <w:marBottom w:val="0"/>
          <w:divBdr>
            <w:top w:val="none" w:sz="0" w:space="0" w:color="auto"/>
            <w:left w:val="none" w:sz="0" w:space="0" w:color="auto"/>
            <w:bottom w:val="none" w:sz="0" w:space="0" w:color="auto"/>
            <w:right w:val="none" w:sz="0" w:space="0" w:color="auto"/>
          </w:divBdr>
        </w:div>
      </w:divsChild>
    </w:div>
    <w:div w:id="803501540">
      <w:bodyDiv w:val="1"/>
      <w:marLeft w:val="0"/>
      <w:marRight w:val="0"/>
      <w:marTop w:val="0"/>
      <w:marBottom w:val="0"/>
      <w:divBdr>
        <w:top w:val="none" w:sz="0" w:space="0" w:color="auto"/>
        <w:left w:val="none" w:sz="0" w:space="0" w:color="auto"/>
        <w:bottom w:val="none" w:sz="0" w:space="0" w:color="auto"/>
        <w:right w:val="none" w:sz="0" w:space="0" w:color="auto"/>
      </w:divBdr>
    </w:div>
    <w:div w:id="828062506">
      <w:bodyDiv w:val="1"/>
      <w:marLeft w:val="0"/>
      <w:marRight w:val="0"/>
      <w:marTop w:val="0"/>
      <w:marBottom w:val="0"/>
      <w:divBdr>
        <w:top w:val="none" w:sz="0" w:space="0" w:color="auto"/>
        <w:left w:val="none" w:sz="0" w:space="0" w:color="auto"/>
        <w:bottom w:val="none" w:sz="0" w:space="0" w:color="auto"/>
        <w:right w:val="none" w:sz="0" w:space="0" w:color="auto"/>
      </w:divBdr>
    </w:div>
    <w:div w:id="830098522">
      <w:bodyDiv w:val="1"/>
      <w:marLeft w:val="0"/>
      <w:marRight w:val="0"/>
      <w:marTop w:val="0"/>
      <w:marBottom w:val="0"/>
      <w:divBdr>
        <w:top w:val="none" w:sz="0" w:space="0" w:color="auto"/>
        <w:left w:val="none" w:sz="0" w:space="0" w:color="auto"/>
        <w:bottom w:val="none" w:sz="0" w:space="0" w:color="auto"/>
        <w:right w:val="none" w:sz="0" w:space="0" w:color="auto"/>
      </w:divBdr>
    </w:div>
    <w:div w:id="840705891">
      <w:bodyDiv w:val="1"/>
      <w:marLeft w:val="0"/>
      <w:marRight w:val="0"/>
      <w:marTop w:val="0"/>
      <w:marBottom w:val="0"/>
      <w:divBdr>
        <w:top w:val="none" w:sz="0" w:space="0" w:color="auto"/>
        <w:left w:val="none" w:sz="0" w:space="0" w:color="auto"/>
        <w:bottom w:val="none" w:sz="0" w:space="0" w:color="auto"/>
        <w:right w:val="none" w:sz="0" w:space="0" w:color="auto"/>
      </w:divBdr>
    </w:div>
    <w:div w:id="869030184">
      <w:bodyDiv w:val="1"/>
      <w:marLeft w:val="0"/>
      <w:marRight w:val="0"/>
      <w:marTop w:val="0"/>
      <w:marBottom w:val="0"/>
      <w:divBdr>
        <w:top w:val="none" w:sz="0" w:space="0" w:color="auto"/>
        <w:left w:val="none" w:sz="0" w:space="0" w:color="auto"/>
        <w:bottom w:val="none" w:sz="0" w:space="0" w:color="auto"/>
        <w:right w:val="none" w:sz="0" w:space="0" w:color="auto"/>
      </w:divBdr>
      <w:divsChild>
        <w:div w:id="1452281802">
          <w:marLeft w:val="0"/>
          <w:marRight w:val="0"/>
          <w:marTop w:val="0"/>
          <w:marBottom w:val="0"/>
          <w:divBdr>
            <w:top w:val="none" w:sz="0" w:space="0" w:color="auto"/>
            <w:left w:val="none" w:sz="0" w:space="0" w:color="auto"/>
            <w:bottom w:val="none" w:sz="0" w:space="0" w:color="auto"/>
            <w:right w:val="none" w:sz="0" w:space="0" w:color="auto"/>
          </w:divBdr>
        </w:div>
      </w:divsChild>
    </w:div>
    <w:div w:id="898327597">
      <w:bodyDiv w:val="1"/>
      <w:marLeft w:val="0"/>
      <w:marRight w:val="0"/>
      <w:marTop w:val="0"/>
      <w:marBottom w:val="0"/>
      <w:divBdr>
        <w:top w:val="none" w:sz="0" w:space="0" w:color="auto"/>
        <w:left w:val="none" w:sz="0" w:space="0" w:color="auto"/>
        <w:bottom w:val="none" w:sz="0" w:space="0" w:color="auto"/>
        <w:right w:val="none" w:sz="0" w:space="0" w:color="auto"/>
      </w:divBdr>
    </w:div>
    <w:div w:id="901257174">
      <w:bodyDiv w:val="1"/>
      <w:marLeft w:val="0"/>
      <w:marRight w:val="0"/>
      <w:marTop w:val="0"/>
      <w:marBottom w:val="0"/>
      <w:divBdr>
        <w:top w:val="none" w:sz="0" w:space="0" w:color="auto"/>
        <w:left w:val="none" w:sz="0" w:space="0" w:color="auto"/>
        <w:bottom w:val="none" w:sz="0" w:space="0" w:color="auto"/>
        <w:right w:val="none" w:sz="0" w:space="0" w:color="auto"/>
      </w:divBdr>
    </w:div>
    <w:div w:id="915360996">
      <w:bodyDiv w:val="1"/>
      <w:marLeft w:val="0"/>
      <w:marRight w:val="0"/>
      <w:marTop w:val="0"/>
      <w:marBottom w:val="0"/>
      <w:divBdr>
        <w:top w:val="none" w:sz="0" w:space="0" w:color="auto"/>
        <w:left w:val="none" w:sz="0" w:space="0" w:color="auto"/>
        <w:bottom w:val="none" w:sz="0" w:space="0" w:color="auto"/>
        <w:right w:val="none" w:sz="0" w:space="0" w:color="auto"/>
      </w:divBdr>
    </w:div>
    <w:div w:id="919677650">
      <w:bodyDiv w:val="1"/>
      <w:marLeft w:val="0"/>
      <w:marRight w:val="0"/>
      <w:marTop w:val="0"/>
      <w:marBottom w:val="0"/>
      <w:divBdr>
        <w:top w:val="none" w:sz="0" w:space="0" w:color="auto"/>
        <w:left w:val="none" w:sz="0" w:space="0" w:color="auto"/>
        <w:bottom w:val="none" w:sz="0" w:space="0" w:color="auto"/>
        <w:right w:val="none" w:sz="0" w:space="0" w:color="auto"/>
      </w:divBdr>
      <w:divsChild>
        <w:div w:id="3636541">
          <w:marLeft w:val="0"/>
          <w:marRight w:val="0"/>
          <w:marTop w:val="0"/>
          <w:marBottom w:val="0"/>
          <w:divBdr>
            <w:top w:val="none" w:sz="0" w:space="0" w:color="auto"/>
            <w:left w:val="none" w:sz="0" w:space="0" w:color="auto"/>
            <w:bottom w:val="none" w:sz="0" w:space="0" w:color="auto"/>
            <w:right w:val="none" w:sz="0" w:space="0" w:color="auto"/>
          </w:divBdr>
        </w:div>
      </w:divsChild>
    </w:div>
    <w:div w:id="921182885">
      <w:bodyDiv w:val="1"/>
      <w:marLeft w:val="0"/>
      <w:marRight w:val="0"/>
      <w:marTop w:val="0"/>
      <w:marBottom w:val="0"/>
      <w:divBdr>
        <w:top w:val="none" w:sz="0" w:space="0" w:color="auto"/>
        <w:left w:val="none" w:sz="0" w:space="0" w:color="auto"/>
        <w:bottom w:val="none" w:sz="0" w:space="0" w:color="auto"/>
        <w:right w:val="none" w:sz="0" w:space="0" w:color="auto"/>
      </w:divBdr>
    </w:div>
    <w:div w:id="931668483">
      <w:bodyDiv w:val="1"/>
      <w:marLeft w:val="0"/>
      <w:marRight w:val="0"/>
      <w:marTop w:val="0"/>
      <w:marBottom w:val="0"/>
      <w:divBdr>
        <w:top w:val="none" w:sz="0" w:space="0" w:color="auto"/>
        <w:left w:val="none" w:sz="0" w:space="0" w:color="auto"/>
        <w:bottom w:val="none" w:sz="0" w:space="0" w:color="auto"/>
        <w:right w:val="none" w:sz="0" w:space="0" w:color="auto"/>
      </w:divBdr>
    </w:div>
    <w:div w:id="934897949">
      <w:bodyDiv w:val="1"/>
      <w:marLeft w:val="0"/>
      <w:marRight w:val="0"/>
      <w:marTop w:val="0"/>
      <w:marBottom w:val="0"/>
      <w:divBdr>
        <w:top w:val="none" w:sz="0" w:space="0" w:color="auto"/>
        <w:left w:val="none" w:sz="0" w:space="0" w:color="auto"/>
        <w:bottom w:val="none" w:sz="0" w:space="0" w:color="auto"/>
        <w:right w:val="none" w:sz="0" w:space="0" w:color="auto"/>
      </w:divBdr>
    </w:div>
    <w:div w:id="977686383">
      <w:bodyDiv w:val="1"/>
      <w:marLeft w:val="0"/>
      <w:marRight w:val="0"/>
      <w:marTop w:val="0"/>
      <w:marBottom w:val="0"/>
      <w:divBdr>
        <w:top w:val="none" w:sz="0" w:space="0" w:color="auto"/>
        <w:left w:val="none" w:sz="0" w:space="0" w:color="auto"/>
        <w:bottom w:val="none" w:sz="0" w:space="0" w:color="auto"/>
        <w:right w:val="none" w:sz="0" w:space="0" w:color="auto"/>
      </w:divBdr>
    </w:div>
    <w:div w:id="982005359">
      <w:bodyDiv w:val="1"/>
      <w:marLeft w:val="0"/>
      <w:marRight w:val="0"/>
      <w:marTop w:val="0"/>
      <w:marBottom w:val="0"/>
      <w:divBdr>
        <w:top w:val="none" w:sz="0" w:space="0" w:color="auto"/>
        <w:left w:val="none" w:sz="0" w:space="0" w:color="auto"/>
        <w:bottom w:val="none" w:sz="0" w:space="0" w:color="auto"/>
        <w:right w:val="none" w:sz="0" w:space="0" w:color="auto"/>
      </w:divBdr>
    </w:div>
    <w:div w:id="992955265">
      <w:bodyDiv w:val="1"/>
      <w:marLeft w:val="0"/>
      <w:marRight w:val="0"/>
      <w:marTop w:val="0"/>
      <w:marBottom w:val="0"/>
      <w:divBdr>
        <w:top w:val="none" w:sz="0" w:space="0" w:color="auto"/>
        <w:left w:val="none" w:sz="0" w:space="0" w:color="auto"/>
        <w:bottom w:val="none" w:sz="0" w:space="0" w:color="auto"/>
        <w:right w:val="none" w:sz="0" w:space="0" w:color="auto"/>
      </w:divBdr>
    </w:div>
    <w:div w:id="993531264">
      <w:bodyDiv w:val="1"/>
      <w:marLeft w:val="0"/>
      <w:marRight w:val="0"/>
      <w:marTop w:val="0"/>
      <w:marBottom w:val="0"/>
      <w:divBdr>
        <w:top w:val="none" w:sz="0" w:space="0" w:color="auto"/>
        <w:left w:val="none" w:sz="0" w:space="0" w:color="auto"/>
        <w:bottom w:val="none" w:sz="0" w:space="0" w:color="auto"/>
        <w:right w:val="none" w:sz="0" w:space="0" w:color="auto"/>
      </w:divBdr>
    </w:div>
    <w:div w:id="1006251259">
      <w:bodyDiv w:val="1"/>
      <w:marLeft w:val="0"/>
      <w:marRight w:val="0"/>
      <w:marTop w:val="0"/>
      <w:marBottom w:val="0"/>
      <w:divBdr>
        <w:top w:val="none" w:sz="0" w:space="0" w:color="auto"/>
        <w:left w:val="none" w:sz="0" w:space="0" w:color="auto"/>
        <w:bottom w:val="none" w:sz="0" w:space="0" w:color="auto"/>
        <w:right w:val="none" w:sz="0" w:space="0" w:color="auto"/>
      </w:divBdr>
    </w:div>
    <w:div w:id="1016661322">
      <w:bodyDiv w:val="1"/>
      <w:marLeft w:val="0"/>
      <w:marRight w:val="0"/>
      <w:marTop w:val="0"/>
      <w:marBottom w:val="0"/>
      <w:divBdr>
        <w:top w:val="none" w:sz="0" w:space="0" w:color="auto"/>
        <w:left w:val="none" w:sz="0" w:space="0" w:color="auto"/>
        <w:bottom w:val="none" w:sz="0" w:space="0" w:color="auto"/>
        <w:right w:val="none" w:sz="0" w:space="0" w:color="auto"/>
      </w:divBdr>
    </w:div>
    <w:div w:id="1044788700">
      <w:bodyDiv w:val="1"/>
      <w:marLeft w:val="0"/>
      <w:marRight w:val="0"/>
      <w:marTop w:val="0"/>
      <w:marBottom w:val="0"/>
      <w:divBdr>
        <w:top w:val="none" w:sz="0" w:space="0" w:color="auto"/>
        <w:left w:val="none" w:sz="0" w:space="0" w:color="auto"/>
        <w:bottom w:val="none" w:sz="0" w:space="0" w:color="auto"/>
        <w:right w:val="none" w:sz="0" w:space="0" w:color="auto"/>
      </w:divBdr>
    </w:div>
    <w:div w:id="1062675586">
      <w:bodyDiv w:val="1"/>
      <w:marLeft w:val="0"/>
      <w:marRight w:val="0"/>
      <w:marTop w:val="0"/>
      <w:marBottom w:val="0"/>
      <w:divBdr>
        <w:top w:val="none" w:sz="0" w:space="0" w:color="auto"/>
        <w:left w:val="none" w:sz="0" w:space="0" w:color="auto"/>
        <w:bottom w:val="none" w:sz="0" w:space="0" w:color="auto"/>
        <w:right w:val="none" w:sz="0" w:space="0" w:color="auto"/>
      </w:divBdr>
    </w:div>
    <w:div w:id="1084567547">
      <w:bodyDiv w:val="1"/>
      <w:marLeft w:val="0"/>
      <w:marRight w:val="0"/>
      <w:marTop w:val="0"/>
      <w:marBottom w:val="0"/>
      <w:divBdr>
        <w:top w:val="none" w:sz="0" w:space="0" w:color="auto"/>
        <w:left w:val="none" w:sz="0" w:space="0" w:color="auto"/>
        <w:bottom w:val="none" w:sz="0" w:space="0" w:color="auto"/>
        <w:right w:val="none" w:sz="0" w:space="0" w:color="auto"/>
      </w:divBdr>
      <w:divsChild>
        <w:div w:id="395903985">
          <w:marLeft w:val="0"/>
          <w:marRight w:val="0"/>
          <w:marTop w:val="0"/>
          <w:marBottom w:val="0"/>
          <w:divBdr>
            <w:top w:val="none" w:sz="0" w:space="0" w:color="auto"/>
            <w:left w:val="none" w:sz="0" w:space="0" w:color="auto"/>
            <w:bottom w:val="none" w:sz="0" w:space="0" w:color="auto"/>
            <w:right w:val="none" w:sz="0" w:space="0" w:color="auto"/>
          </w:divBdr>
        </w:div>
      </w:divsChild>
    </w:div>
    <w:div w:id="1095440216">
      <w:bodyDiv w:val="1"/>
      <w:marLeft w:val="0"/>
      <w:marRight w:val="0"/>
      <w:marTop w:val="0"/>
      <w:marBottom w:val="0"/>
      <w:divBdr>
        <w:top w:val="none" w:sz="0" w:space="0" w:color="auto"/>
        <w:left w:val="none" w:sz="0" w:space="0" w:color="auto"/>
        <w:bottom w:val="none" w:sz="0" w:space="0" w:color="auto"/>
        <w:right w:val="none" w:sz="0" w:space="0" w:color="auto"/>
      </w:divBdr>
    </w:div>
    <w:div w:id="1100759149">
      <w:bodyDiv w:val="1"/>
      <w:marLeft w:val="0"/>
      <w:marRight w:val="0"/>
      <w:marTop w:val="0"/>
      <w:marBottom w:val="0"/>
      <w:divBdr>
        <w:top w:val="none" w:sz="0" w:space="0" w:color="auto"/>
        <w:left w:val="none" w:sz="0" w:space="0" w:color="auto"/>
        <w:bottom w:val="none" w:sz="0" w:space="0" w:color="auto"/>
        <w:right w:val="none" w:sz="0" w:space="0" w:color="auto"/>
      </w:divBdr>
    </w:div>
    <w:div w:id="1111826380">
      <w:bodyDiv w:val="1"/>
      <w:marLeft w:val="0"/>
      <w:marRight w:val="0"/>
      <w:marTop w:val="0"/>
      <w:marBottom w:val="0"/>
      <w:divBdr>
        <w:top w:val="none" w:sz="0" w:space="0" w:color="auto"/>
        <w:left w:val="none" w:sz="0" w:space="0" w:color="auto"/>
        <w:bottom w:val="none" w:sz="0" w:space="0" w:color="auto"/>
        <w:right w:val="none" w:sz="0" w:space="0" w:color="auto"/>
      </w:divBdr>
      <w:divsChild>
        <w:div w:id="369845006">
          <w:marLeft w:val="0"/>
          <w:marRight w:val="0"/>
          <w:marTop w:val="0"/>
          <w:marBottom w:val="0"/>
          <w:divBdr>
            <w:top w:val="none" w:sz="0" w:space="0" w:color="auto"/>
            <w:left w:val="none" w:sz="0" w:space="0" w:color="auto"/>
            <w:bottom w:val="none" w:sz="0" w:space="0" w:color="auto"/>
            <w:right w:val="none" w:sz="0" w:space="0" w:color="auto"/>
          </w:divBdr>
        </w:div>
      </w:divsChild>
    </w:div>
    <w:div w:id="1117023986">
      <w:bodyDiv w:val="1"/>
      <w:marLeft w:val="0"/>
      <w:marRight w:val="0"/>
      <w:marTop w:val="0"/>
      <w:marBottom w:val="0"/>
      <w:divBdr>
        <w:top w:val="none" w:sz="0" w:space="0" w:color="auto"/>
        <w:left w:val="none" w:sz="0" w:space="0" w:color="auto"/>
        <w:bottom w:val="none" w:sz="0" w:space="0" w:color="auto"/>
        <w:right w:val="none" w:sz="0" w:space="0" w:color="auto"/>
      </w:divBdr>
    </w:div>
    <w:div w:id="1118526983">
      <w:bodyDiv w:val="1"/>
      <w:marLeft w:val="0"/>
      <w:marRight w:val="0"/>
      <w:marTop w:val="0"/>
      <w:marBottom w:val="0"/>
      <w:divBdr>
        <w:top w:val="none" w:sz="0" w:space="0" w:color="auto"/>
        <w:left w:val="none" w:sz="0" w:space="0" w:color="auto"/>
        <w:bottom w:val="none" w:sz="0" w:space="0" w:color="auto"/>
        <w:right w:val="none" w:sz="0" w:space="0" w:color="auto"/>
      </w:divBdr>
    </w:div>
    <w:div w:id="1133907089">
      <w:bodyDiv w:val="1"/>
      <w:marLeft w:val="0"/>
      <w:marRight w:val="0"/>
      <w:marTop w:val="0"/>
      <w:marBottom w:val="0"/>
      <w:divBdr>
        <w:top w:val="none" w:sz="0" w:space="0" w:color="auto"/>
        <w:left w:val="none" w:sz="0" w:space="0" w:color="auto"/>
        <w:bottom w:val="none" w:sz="0" w:space="0" w:color="auto"/>
        <w:right w:val="none" w:sz="0" w:space="0" w:color="auto"/>
      </w:divBdr>
    </w:div>
    <w:div w:id="1140222321">
      <w:bodyDiv w:val="1"/>
      <w:marLeft w:val="0"/>
      <w:marRight w:val="0"/>
      <w:marTop w:val="0"/>
      <w:marBottom w:val="0"/>
      <w:divBdr>
        <w:top w:val="none" w:sz="0" w:space="0" w:color="auto"/>
        <w:left w:val="none" w:sz="0" w:space="0" w:color="auto"/>
        <w:bottom w:val="none" w:sz="0" w:space="0" w:color="auto"/>
        <w:right w:val="none" w:sz="0" w:space="0" w:color="auto"/>
      </w:divBdr>
    </w:div>
    <w:div w:id="1140879991">
      <w:bodyDiv w:val="1"/>
      <w:marLeft w:val="0"/>
      <w:marRight w:val="0"/>
      <w:marTop w:val="0"/>
      <w:marBottom w:val="0"/>
      <w:divBdr>
        <w:top w:val="none" w:sz="0" w:space="0" w:color="auto"/>
        <w:left w:val="none" w:sz="0" w:space="0" w:color="auto"/>
        <w:bottom w:val="none" w:sz="0" w:space="0" w:color="auto"/>
        <w:right w:val="none" w:sz="0" w:space="0" w:color="auto"/>
      </w:divBdr>
    </w:div>
    <w:div w:id="1143428929">
      <w:bodyDiv w:val="1"/>
      <w:marLeft w:val="0"/>
      <w:marRight w:val="0"/>
      <w:marTop w:val="0"/>
      <w:marBottom w:val="0"/>
      <w:divBdr>
        <w:top w:val="none" w:sz="0" w:space="0" w:color="auto"/>
        <w:left w:val="none" w:sz="0" w:space="0" w:color="auto"/>
        <w:bottom w:val="none" w:sz="0" w:space="0" w:color="auto"/>
        <w:right w:val="none" w:sz="0" w:space="0" w:color="auto"/>
      </w:divBdr>
      <w:divsChild>
        <w:div w:id="1379939966">
          <w:marLeft w:val="0"/>
          <w:marRight w:val="0"/>
          <w:marTop w:val="0"/>
          <w:marBottom w:val="0"/>
          <w:divBdr>
            <w:top w:val="none" w:sz="0" w:space="0" w:color="auto"/>
            <w:left w:val="none" w:sz="0" w:space="0" w:color="auto"/>
            <w:bottom w:val="none" w:sz="0" w:space="0" w:color="auto"/>
            <w:right w:val="none" w:sz="0" w:space="0" w:color="auto"/>
          </w:divBdr>
        </w:div>
        <w:div w:id="1393117421">
          <w:marLeft w:val="0"/>
          <w:marRight w:val="0"/>
          <w:marTop w:val="0"/>
          <w:marBottom w:val="0"/>
          <w:divBdr>
            <w:top w:val="none" w:sz="0" w:space="0" w:color="auto"/>
            <w:left w:val="none" w:sz="0" w:space="0" w:color="auto"/>
            <w:bottom w:val="none" w:sz="0" w:space="0" w:color="auto"/>
            <w:right w:val="none" w:sz="0" w:space="0" w:color="auto"/>
          </w:divBdr>
        </w:div>
      </w:divsChild>
    </w:div>
    <w:div w:id="1145271705">
      <w:bodyDiv w:val="1"/>
      <w:marLeft w:val="0"/>
      <w:marRight w:val="0"/>
      <w:marTop w:val="0"/>
      <w:marBottom w:val="0"/>
      <w:divBdr>
        <w:top w:val="none" w:sz="0" w:space="0" w:color="auto"/>
        <w:left w:val="none" w:sz="0" w:space="0" w:color="auto"/>
        <w:bottom w:val="none" w:sz="0" w:space="0" w:color="auto"/>
        <w:right w:val="none" w:sz="0" w:space="0" w:color="auto"/>
      </w:divBdr>
      <w:divsChild>
        <w:div w:id="1413433094">
          <w:marLeft w:val="0"/>
          <w:marRight w:val="0"/>
          <w:marTop w:val="0"/>
          <w:marBottom w:val="0"/>
          <w:divBdr>
            <w:top w:val="none" w:sz="0" w:space="0" w:color="auto"/>
            <w:left w:val="none" w:sz="0" w:space="0" w:color="auto"/>
            <w:bottom w:val="none" w:sz="0" w:space="0" w:color="auto"/>
            <w:right w:val="none" w:sz="0" w:space="0" w:color="auto"/>
          </w:divBdr>
        </w:div>
      </w:divsChild>
    </w:div>
    <w:div w:id="1147553949">
      <w:bodyDiv w:val="1"/>
      <w:marLeft w:val="0"/>
      <w:marRight w:val="0"/>
      <w:marTop w:val="0"/>
      <w:marBottom w:val="0"/>
      <w:divBdr>
        <w:top w:val="none" w:sz="0" w:space="0" w:color="auto"/>
        <w:left w:val="none" w:sz="0" w:space="0" w:color="auto"/>
        <w:bottom w:val="none" w:sz="0" w:space="0" w:color="auto"/>
        <w:right w:val="none" w:sz="0" w:space="0" w:color="auto"/>
      </w:divBdr>
    </w:div>
    <w:div w:id="1161002815">
      <w:bodyDiv w:val="1"/>
      <w:marLeft w:val="0"/>
      <w:marRight w:val="0"/>
      <w:marTop w:val="0"/>
      <w:marBottom w:val="0"/>
      <w:divBdr>
        <w:top w:val="none" w:sz="0" w:space="0" w:color="auto"/>
        <w:left w:val="none" w:sz="0" w:space="0" w:color="auto"/>
        <w:bottom w:val="none" w:sz="0" w:space="0" w:color="auto"/>
        <w:right w:val="none" w:sz="0" w:space="0" w:color="auto"/>
      </w:divBdr>
    </w:div>
    <w:div w:id="1187059755">
      <w:bodyDiv w:val="1"/>
      <w:marLeft w:val="0"/>
      <w:marRight w:val="0"/>
      <w:marTop w:val="0"/>
      <w:marBottom w:val="0"/>
      <w:divBdr>
        <w:top w:val="none" w:sz="0" w:space="0" w:color="auto"/>
        <w:left w:val="none" w:sz="0" w:space="0" w:color="auto"/>
        <w:bottom w:val="none" w:sz="0" w:space="0" w:color="auto"/>
        <w:right w:val="none" w:sz="0" w:space="0" w:color="auto"/>
      </w:divBdr>
    </w:div>
    <w:div w:id="1194688329">
      <w:bodyDiv w:val="1"/>
      <w:marLeft w:val="0"/>
      <w:marRight w:val="0"/>
      <w:marTop w:val="0"/>
      <w:marBottom w:val="0"/>
      <w:divBdr>
        <w:top w:val="none" w:sz="0" w:space="0" w:color="auto"/>
        <w:left w:val="none" w:sz="0" w:space="0" w:color="auto"/>
        <w:bottom w:val="none" w:sz="0" w:space="0" w:color="auto"/>
        <w:right w:val="none" w:sz="0" w:space="0" w:color="auto"/>
      </w:divBdr>
    </w:div>
    <w:div w:id="1202748485">
      <w:bodyDiv w:val="1"/>
      <w:marLeft w:val="0"/>
      <w:marRight w:val="0"/>
      <w:marTop w:val="0"/>
      <w:marBottom w:val="0"/>
      <w:divBdr>
        <w:top w:val="none" w:sz="0" w:space="0" w:color="auto"/>
        <w:left w:val="none" w:sz="0" w:space="0" w:color="auto"/>
        <w:bottom w:val="none" w:sz="0" w:space="0" w:color="auto"/>
        <w:right w:val="none" w:sz="0" w:space="0" w:color="auto"/>
      </w:divBdr>
    </w:div>
    <w:div w:id="1204369706">
      <w:bodyDiv w:val="1"/>
      <w:marLeft w:val="0"/>
      <w:marRight w:val="0"/>
      <w:marTop w:val="0"/>
      <w:marBottom w:val="0"/>
      <w:divBdr>
        <w:top w:val="none" w:sz="0" w:space="0" w:color="auto"/>
        <w:left w:val="none" w:sz="0" w:space="0" w:color="auto"/>
        <w:bottom w:val="none" w:sz="0" w:space="0" w:color="auto"/>
        <w:right w:val="none" w:sz="0" w:space="0" w:color="auto"/>
      </w:divBdr>
      <w:divsChild>
        <w:div w:id="1108238942">
          <w:marLeft w:val="0"/>
          <w:marRight w:val="0"/>
          <w:marTop w:val="0"/>
          <w:marBottom w:val="0"/>
          <w:divBdr>
            <w:top w:val="none" w:sz="0" w:space="0" w:color="auto"/>
            <w:left w:val="none" w:sz="0" w:space="0" w:color="auto"/>
            <w:bottom w:val="none" w:sz="0" w:space="0" w:color="auto"/>
            <w:right w:val="none" w:sz="0" w:space="0" w:color="auto"/>
          </w:divBdr>
        </w:div>
      </w:divsChild>
    </w:div>
    <w:div w:id="1206675337">
      <w:bodyDiv w:val="1"/>
      <w:marLeft w:val="0"/>
      <w:marRight w:val="0"/>
      <w:marTop w:val="0"/>
      <w:marBottom w:val="0"/>
      <w:divBdr>
        <w:top w:val="none" w:sz="0" w:space="0" w:color="auto"/>
        <w:left w:val="none" w:sz="0" w:space="0" w:color="auto"/>
        <w:bottom w:val="none" w:sz="0" w:space="0" w:color="auto"/>
        <w:right w:val="none" w:sz="0" w:space="0" w:color="auto"/>
      </w:divBdr>
    </w:div>
    <w:div w:id="1215585258">
      <w:bodyDiv w:val="1"/>
      <w:marLeft w:val="0"/>
      <w:marRight w:val="0"/>
      <w:marTop w:val="0"/>
      <w:marBottom w:val="0"/>
      <w:divBdr>
        <w:top w:val="none" w:sz="0" w:space="0" w:color="auto"/>
        <w:left w:val="none" w:sz="0" w:space="0" w:color="auto"/>
        <w:bottom w:val="none" w:sz="0" w:space="0" w:color="auto"/>
        <w:right w:val="none" w:sz="0" w:space="0" w:color="auto"/>
      </w:divBdr>
      <w:divsChild>
        <w:div w:id="511187518">
          <w:marLeft w:val="0"/>
          <w:marRight w:val="0"/>
          <w:marTop w:val="0"/>
          <w:marBottom w:val="0"/>
          <w:divBdr>
            <w:top w:val="none" w:sz="0" w:space="0" w:color="auto"/>
            <w:left w:val="none" w:sz="0" w:space="0" w:color="auto"/>
            <w:bottom w:val="none" w:sz="0" w:space="0" w:color="auto"/>
            <w:right w:val="none" w:sz="0" w:space="0" w:color="auto"/>
          </w:divBdr>
        </w:div>
      </w:divsChild>
    </w:div>
    <w:div w:id="1218781725">
      <w:bodyDiv w:val="1"/>
      <w:marLeft w:val="0"/>
      <w:marRight w:val="0"/>
      <w:marTop w:val="0"/>
      <w:marBottom w:val="0"/>
      <w:divBdr>
        <w:top w:val="none" w:sz="0" w:space="0" w:color="auto"/>
        <w:left w:val="none" w:sz="0" w:space="0" w:color="auto"/>
        <w:bottom w:val="none" w:sz="0" w:space="0" w:color="auto"/>
        <w:right w:val="none" w:sz="0" w:space="0" w:color="auto"/>
      </w:divBdr>
    </w:div>
    <w:div w:id="1241671191">
      <w:bodyDiv w:val="1"/>
      <w:marLeft w:val="0"/>
      <w:marRight w:val="0"/>
      <w:marTop w:val="0"/>
      <w:marBottom w:val="0"/>
      <w:divBdr>
        <w:top w:val="none" w:sz="0" w:space="0" w:color="auto"/>
        <w:left w:val="none" w:sz="0" w:space="0" w:color="auto"/>
        <w:bottom w:val="none" w:sz="0" w:space="0" w:color="auto"/>
        <w:right w:val="none" w:sz="0" w:space="0" w:color="auto"/>
      </w:divBdr>
    </w:div>
    <w:div w:id="1242134830">
      <w:bodyDiv w:val="1"/>
      <w:marLeft w:val="0"/>
      <w:marRight w:val="0"/>
      <w:marTop w:val="0"/>
      <w:marBottom w:val="0"/>
      <w:divBdr>
        <w:top w:val="none" w:sz="0" w:space="0" w:color="auto"/>
        <w:left w:val="none" w:sz="0" w:space="0" w:color="auto"/>
        <w:bottom w:val="none" w:sz="0" w:space="0" w:color="auto"/>
        <w:right w:val="none" w:sz="0" w:space="0" w:color="auto"/>
      </w:divBdr>
    </w:div>
    <w:div w:id="1270435452">
      <w:bodyDiv w:val="1"/>
      <w:marLeft w:val="0"/>
      <w:marRight w:val="0"/>
      <w:marTop w:val="0"/>
      <w:marBottom w:val="0"/>
      <w:divBdr>
        <w:top w:val="none" w:sz="0" w:space="0" w:color="auto"/>
        <w:left w:val="none" w:sz="0" w:space="0" w:color="auto"/>
        <w:bottom w:val="none" w:sz="0" w:space="0" w:color="auto"/>
        <w:right w:val="none" w:sz="0" w:space="0" w:color="auto"/>
      </w:divBdr>
    </w:div>
    <w:div w:id="1288509228">
      <w:bodyDiv w:val="1"/>
      <w:marLeft w:val="0"/>
      <w:marRight w:val="0"/>
      <w:marTop w:val="0"/>
      <w:marBottom w:val="0"/>
      <w:divBdr>
        <w:top w:val="none" w:sz="0" w:space="0" w:color="auto"/>
        <w:left w:val="none" w:sz="0" w:space="0" w:color="auto"/>
        <w:bottom w:val="none" w:sz="0" w:space="0" w:color="auto"/>
        <w:right w:val="none" w:sz="0" w:space="0" w:color="auto"/>
      </w:divBdr>
      <w:divsChild>
        <w:div w:id="1444113407">
          <w:marLeft w:val="0"/>
          <w:marRight w:val="0"/>
          <w:marTop w:val="0"/>
          <w:marBottom w:val="0"/>
          <w:divBdr>
            <w:top w:val="none" w:sz="0" w:space="0" w:color="auto"/>
            <w:left w:val="none" w:sz="0" w:space="0" w:color="auto"/>
            <w:bottom w:val="none" w:sz="0" w:space="0" w:color="auto"/>
            <w:right w:val="none" w:sz="0" w:space="0" w:color="auto"/>
          </w:divBdr>
        </w:div>
      </w:divsChild>
    </w:div>
    <w:div w:id="1291284667">
      <w:bodyDiv w:val="1"/>
      <w:marLeft w:val="0"/>
      <w:marRight w:val="0"/>
      <w:marTop w:val="0"/>
      <w:marBottom w:val="0"/>
      <w:divBdr>
        <w:top w:val="none" w:sz="0" w:space="0" w:color="auto"/>
        <w:left w:val="none" w:sz="0" w:space="0" w:color="auto"/>
        <w:bottom w:val="none" w:sz="0" w:space="0" w:color="auto"/>
        <w:right w:val="none" w:sz="0" w:space="0" w:color="auto"/>
      </w:divBdr>
    </w:div>
    <w:div w:id="1303190203">
      <w:bodyDiv w:val="1"/>
      <w:marLeft w:val="0"/>
      <w:marRight w:val="0"/>
      <w:marTop w:val="0"/>
      <w:marBottom w:val="0"/>
      <w:divBdr>
        <w:top w:val="none" w:sz="0" w:space="0" w:color="auto"/>
        <w:left w:val="none" w:sz="0" w:space="0" w:color="auto"/>
        <w:bottom w:val="none" w:sz="0" w:space="0" w:color="auto"/>
        <w:right w:val="none" w:sz="0" w:space="0" w:color="auto"/>
      </w:divBdr>
      <w:divsChild>
        <w:div w:id="2109496138">
          <w:marLeft w:val="0"/>
          <w:marRight w:val="0"/>
          <w:marTop w:val="0"/>
          <w:marBottom w:val="0"/>
          <w:divBdr>
            <w:top w:val="none" w:sz="0" w:space="0" w:color="auto"/>
            <w:left w:val="none" w:sz="0" w:space="0" w:color="auto"/>
            <w:bottom w:val="none" w:sz="0" w:space="0" w:color="auto"/>
            <w:right w:val="none" w:sz="0" w:space="0" w:color="auto"/>
          </w:divBdr>
        </w:div>
      </w:divsChild>
    </w:div>
    <w:div w:id="1306543237">
      <w:bodyDiv w:val="1"/>
      <w:marLeft w:val="0"/>
      <w:marRight w:val="0"/>
      <w:marTop w:val="0"/>
      <w:marBottom w:val="0"/>
      <w:divBdr>
        <w:top w:val="none" w:sz="0" w:space="0" w:color="auto"/>
        <w:left w:val="none" w:sz="0" w:space="0" w:color="auto"/>
        <w:bottom w:val="none" w:sz="0" w:space="0" w:color="auto"/>
        <w:right w:val="none" w:sz="0" w:space="0" w:color="auto"/>
      </w:divBdr>
    </w:div>
    <w:div w:id="1314067334">
      <w:bodyDiv w:val="1"/>
      <w:marLeft w:val="0"/>
      <w:marRight w:val="0"/>
      <w:marTop w:val="0"/>
      <w:marBottom w:val="0"/>
      <w:divBdr>
        <w:top w:val="none" w:sz="0" w:space="0" w:color="auto"/>
        <w:left w:val="none" w:sz="0" w:space="0" w:color="auto"/>
        <w:bottom w:val="none" w:sz="0" w:space="0" w:color="auto"/>
        <w:right w:val="none" w:sz="0" w:space="0" w:color="auto"/>
      </w:divBdr>
    </w:div>
    <w:div w:id="1317688136">
      <w:bodyDiv w:val="1"/>
      <w:marLeft w:val="0"/>
      <w:marRight w:val="0"/>
      <w:marTop w:val="0"/>
      <w:marBottom w:val="0"/>
      <w:divBdr>
        <w:top w:val="none" w:sz="0" w:space="0" w:color="auto"/>
        <w:left w:val="none" w:sz="0" w:space="0" w:color="auto"/>
        <w:bottom w:val="none" w:sz="0" w:space="0" w:color="auto"/>
        <w:right w:val="none" w:sz="0" w:space="0" w:color="auto"/>
      </w:divBdr>
    </w:div>
    <w:div w:id="1319067845">
      <w:bodyDiv w:val="1"/>
      <w:marLeft w:val="0"/>
      <w:marRight w:val="0"/>
      <w:marTop w:val="0"/>
      <w:marBottom w:val="0"/>
      <w:divBdr>
        <w:top w:val="none" w:sz="0" w:space="0" w:color="auto"/>
        <w:left w:val="none" w:sz="0" w:space="0" w:color="auto"/>
        <w:bottom w:val="none" w:sz="0" w:space="0" w:color="auto"/>
        <w:right w:val="none" w:sz="0" w:space="0" w:color="auto"/>
      </w:divBdr>
    </w:div>
    <w:div w:id="1329017688">
      <w:bodyDiv w:val="1"/>
      <w:marLeft w:val="0"/>
      <w:marRight w:val="0"/>
      <w:marTop w:val="0"/>
      <w:marBottom w:val="0"/>
      <w:divBdr>
        <w:top w:val="none" w:sz="0" w:space="0" w:color="auto"/>
        <w:left w:val="none" w:sz="0" w:space="0" w:color="auto"/>
        <w:bottom w:val="none" w:sz="0" w:space="0" w:color="auto"/>
        <w:right w:val="none" w:sz="0" w:space="0" w:color="auto"/>
      </w:divBdr>
      <w:divsChild>
        <w:div w:id="1106728845">
          <w:marLeft w:val="0"/>
          <w:marRight w:val="0"/>
          <w:marTop w:val="0"/>
          <w:marBottom w:val="0"/>
          <w:divBdr>
            <w:top w:val="none" w:sz="0" w:space="0" w:color="auto"/>
            <w:left w:val="none" w:sz="0" w:space="0" w:color="auto"/>
            <w:bottom w:val="none" w:sz="0" w:space="0" w:color="auto"/>
            <w:right w:val="none" w:sz="0" w:space="0" w:color="auto"/>
          </w:divBdr>
        </w:div>
        <w:div w:id="2039818381">
          <w:marLeft w:val="0"/>
          <w:marRight w:val="0"/>
          <w:marTop w:val="0"/>
          <w:marBottom w:val="0"/>
          <w:divBdr>
            <w:top w:val="none" w:sz="0" w:space="0" w:color="auto"/>
            <w:left w:val="none" w:sz="0" w:space="0" w:color="auto"/>
            <w:bottom w:val="none" w:sz="0" w:space="0" w:color="auto"/>
            <w:right w:val="none" w:sz="0" w:space="0" w:color="auto"/>
          </w:divBdr>
        </w:div>
      </w:divsChild>
    </w:div>
    <w:div w:id="1345480193">
      <w:bodyDiv w:val="1"/>
      <w:marLeft w:val="0"/>
      <w:marRight w:val="0"/>
      <w:marTop w:val="0"/>
      <w:marBottom w:val="0"/>
      <w:divBdr>
        <w:top w:val="none" w:sz="0" w:space="0" w:color="auto"/>
        <w:left w:val="none" w:sz="0" w:space="0" w:color="auto"/>
        <w:bottom w:val="none" w:sz="0" w:space="0" w:color="auto"/>
        <w:right w:val="none" w:sz="0" w:space="0" w:color="auto"/>
      </w:divBdr>
    </w:div>
    <w:div w:id="1345862233">
      <w:bodyDiv w:val="1"/>
      <w:marLeft w:val="0"/>
      <w:marRight w:val="0"/>
      <w:marTop w:val="0"/>
      <w:marBottom w:val="0"/>
      <w:divBdr>
        <w:top w:val="none" w:sz="0" w:space="0" w:color="auto"/>
        <w:left w:val="none" w:sz="0" w:space="0" w:color="auto"/>
        <w:bottom w:val="none" w:sz="0" w:space="0" w:color="auto"/>
        <w:right w:val="none" w:sz="0" w:space="0" w:color="auto"/>
      </w:divBdr>
    </w:div>
    <w:div w:id="1350178023">
      <w:bodyDiv w:val="1"/>
      <w:marLeft w:val="0"/>
      <w:marRight w:val="0"/>
      <w:marTop w:val="0"/>
      <w:marBottom w:val="0"/>
      <w:divBdr>
        <w:top w:val="none" w:sz="0" w:space="0" w:color="auto"/>
        <w:left w:val="none" w:sz="0" w:space="0" w:color="auto"/>
        <w:bottom w:val="none" w:sz="0" w:space="0" w:color="auto"/>
        <w:right w:val="none" w:sz="0" w:space="0" w:color="auto"/>
      </w:divBdr>
    </w:div>
    <w:div w:id="1353609104">
      <w:bodyDiv w:val="1"/>
      <w:marLeft w:val="0"/>
      <w:marRight w:val="0"/>
      <w:marTop w:val="0"/>
      <w:marBottom w:val="0"/>
      <w:divBdr>
        <w:top w:val="none" w:sz="0" w:space="0" w:color="auto"/>
        <w:left w:val="none" w:sz="0" w:space="0" w:color="auto"/>
        <w:bottom w:val="none" w:sz="0" w:space="0" w:color="auto"/>
        <w:right w:val="none" w:sz="0" w:space="0" w:color="auto"/>
      </w:divBdr>
    </w:div>
    <w:div w:id="1362778122">
      <w:bodyDiv w:val="1"/>
      <w:marLeft w:val="0"/>
      <w:marRight w:val="0"/>
      <w:marTop w:val="0"/>
      <w:marBottom w:val="0"/>
      <w:divBdr>
        <w:top w:val="none" w:sz="0" w:space="0" w:color="auto"/>
        <w:left w:val="none" w:sz="0" w:space="0" w:color="auto"/>
        <w:bottom w:val="none" w:sz="0" w:space="0" w:color="auto"/>
        <w:right w:val="none" w:sz="0" w:space="0" w:color="auto"/>
      </w:divBdr>
    </w:div>
    <w:div w:id="1404063093">
      <w:bodyDiv w:val="1"/>
      <w:marLeft w:val="0"/>
      <w:marRight w:val="0"/>
      <w:marTop w:val="0"/>
      <w:marBottom w:val="0"/>
      <w:divBdr>
        <w:top w:val="none" w:sz="0" w:space="0" w:color="auto"/>
        <w:left w:val="none" w:sz="0" w:space="0" w:color="auto"/>
        <w:bottom w:val="none" w:sz="0" w:space="0" w:color="auto"/>
        <w:right w:val="none" w:sz="0" w:space="0" w:color="auto"/>
      </w:divBdr>
    </w:div>
    <w:div w:id="1408767606">
      <w:bodyDiv w:val="1"/>
      <w:marLeft w:val="0"/>
      <w:marRight w:val="0"/>
      <w:marTop w:val="0"/>
      <w:marBottom w:val="0"/>
      <w:divBdr>
        <w:top w:val="none" w:sz="0" w:space="0" w:color="auto"/>
        <w:left w:val="none" w:sz="0" w:space="0" w:color="auto"/>
        <w:bottom w:val="none" w:sz="0" w:space="0" w:color="auto"/>
        <w:right w:val="none" w:sz="0" w:space="0" w:color="auto"/>
      </w:divBdr>
    </w:div>
    <w:div w:id="1412003045">
      <w:bodyDiv w:val="1"/>
      <w:marLeft w:val="0"/>
      <w:marRight w:val="0"/>
      <w:marTop w:val="0"/>
      <w:marBottom w:val="0"/>
      <w:divBdr>
        <w:top w:val="none" w:sz="0" w:space="0" w:color="auto"/>
        <w:left w:val="none" w:sz="0" w:space="0" w:color="auto"/>
        <w:bottom w:val="none" w:sz="0" w:space="0" w:color="auto"/>
        <w:right w:val="none" w:sz="0" w:space="0" w:color="auto"/>
      </w:divBdr>
    </w:div>
    <w:div w:id="1412658986">
      <w:bodyDiv w:val="1"/>
      <w:marLeft w:val="0"/>
      <w:marRight w:val="0"/>
      <w:marTop w:val="0"/>
      <w:marBottom w:val="0"/>
      <w:divBdr>
        <w:top w:val="none" w:sz="0" w:space="0" w:color="auto"/>
        <w:left w:val="none" w:sz="0" w:space="0" w:color="auto"/>
        <w:bottom w:val="none" w:sz="0" w:space="0" w:color="auto"/>
        <w:right w:val="none" w:sz="0" w:space="0" w:color="auto"/>
      </w:divBdr>
    </w:div>
    <w:div w:id="1413161487">
      <w:bodyDiv w:val="1"/>
      <w:marLeft w:val="0"/>
      <w:marRight w:val="0"/>
      <w:marTop w:val="0"/>
      <w:marBottom w:val="0"/>
      <w:divBdr>
        <w:top w:val="none" w:sz="0" w:space="0" w:color="auto"/>
        <w:left w:val="none" w:sz="0" w:space="0" w:color="auto"/>
        <w:bottom w:val="none" w:sz="0" w:space="0" w:color="auto"/>
        <w:right w:val="none" w:sz="0" w:space="0" w:color="auto"/>
      </w:divBdr>
      <w:divsChild>
        <w:div w:id="239799749">
          <w:marLeft w:val="0"/>
          <w:marRight w:val="0"/>
          <w:marTop w:val="0"/>
          <w:marBottom w:val="0"/>
          <w:divBdr>
            <w:top w:val="none" w:sz="0" w:space="0" w:color="auto"/>
            <w:left w:val="none" w:sz="0" w:space="0" w:color="auto"/>
            <w:bottom w:val="none" w:sz="0" w:space="0" w:color="auto"/>
            <w:right w:val="none" w:sz="0" w:space="0" w:color="auto"/>
          </w:divBdr>
        </w:div>
      </w:divsChild>
    </w:div>
    <w:div w:id="1415937206">
      <w:bodyDiv w:val="1"/>
      <w:marLeft w:val="0"/>
      <w:marRight w:val="0"/>
      <w:marTop w:val="0"/>
      <w:marBottom w:val="0"/>
      <w:divBdr>
        <w:top w:val="none" w:sz="0" w:space="0" w:color="auto"/>
        <w:left w:val="none" w:sz="0" w:space="0" w:color="auto"/>
        <w:bottom w:val="none" w:sz="0" w:space="0" w:color="auto"/>
        <w:right w:val="none" w:sz="0" w:space="0" w:color="auto"/>
      </w:divBdr>
      <w:divsChild>
        <w:div w:id="351415898">
          <w:marLeft w:val="0"/>
          <w:marRight w:val="0"/>
          <w:marTop w:val="0"/>
          <w:marBottom w:val="0"/>
          <w:divBdr>
            <w:top w:val="none" w:sz="0" w:space="0" w:color="auto"/>
            <w:left w:val="none" w:sz="0" w:space="0" w:color="auto"/>
            <w:bottom w:val="none" w:sz="0" w:space="0" w:color="auto"/>
            <w:right w:val="none" w:sz="0" w:space="0" w:color="auto"/>
          </w:divBdr>
        </w:div>
      </w:divsChild>
    </w:div>
    <w:div w:id="1417096892">
      <w:bodyDiv w:val="1"/>
      <w:marLeft w:val="0"/>
      <w:marRight w:val="0"/>
      <w:marTop w:val="0"/>
      <w:marBottom w:val="0"/>
      <w:divBdr>
        <w:top w:val="none" w:sz="0" w:space="0" w:color="auto"/>
        <w:left w:val="none" w:sz="0" w:space="0" w:color="auto"/>
        <w:bottom w:val="none" w:sz="0" w:space="0" w:color="auto"/>
        <w:right w:val="none" w:sz="0" w:space="0" w:color="auto"/>
      </w:divBdr>
    </w:div>
    <w:div w:id="1421488161">
      <w:bodyDiv w:val="1"/>
      <w:marLeft w:val="0"/>
      <w:marRight w:val="0"/>
      <w:marTop w:val="0"/>
      <w:marBottom w:val="0"/>
      <w:divBdr>
        <w:top w:val="none" w:sz="0" w:space="0" w:color="auto"/>
        <w:left w:val="none" w:sz="0" w:space="0" w:color="auto"/>
        <w:bottom w:val="none" w:sz="0" w:space="0" w:color="auto"/>
        <w:right w:val="none" w:sz="0" w:space="0" w:color="auto"/>
      </w:divBdr>
      <w:divsChild>
        <w:div w:id="131095707">
          <w:marLeft w:val="0"/>
          <w:marRight w:val="0"/>
          <w:marTop w:val="0"/>
          <w:marBottom w:val="0"/>
          <w:divBdr>
            <w:top w:val="none" w:sz="0" w:space="0" w:color="auto"/>
            <w:left w:val="none" w:sz="0" w:space="0" w:color="auto"/>
            <w:bottom w:val="none" w:sz="0" w:space="0" w:color="auto"/>
            <w:right w:val="none" w:sz="0" w:space="0" w:color="auto"/>
          </w:divBdr>
        </w:div>
      </w:divsChild>
    </w:div>
    <w:div w:id="1429041483">
      <w:bodyDiv w:val="1"/>
      <w:marLeft w:val="0"/>
      <w:marRight w:val="0"/>
      <w:marTop w:val="0"/>
      <w:marBottom w:val="0"/>
      <w:divBdr>
        <w:top w:val="none" w:sz="0" w:space="0" w:color="auto"/>
        <w:left w:val="none" w:sz="0" w:space="0" w:color="auto"/>
        <w:bottom w:val="none" w:sz="0" w:space="0" w:color="auto"/>
        <w:right w:val="none" w:sz="0" w:space="0" w:color="auto"/>
      </w:divBdr>
    </w:div>
    <w:div w:id="1436905350">
      <w:bodyDiv w:val="1"/>
      <w:marLeft w:val="0"/>
      <w:marRight w:val="0"/>
      <w:marTop w:val="0"/>
      <w:marBottom w:val="0"/>
      <w:divBdr>
        <w:top w:val="none" w:sz="0" w:space="0" w:color="auto"/>
        <w:left w:val="none" w:sz="0" w:space="0" w:color="auto"/>
        <w:bottom w:val="none" w:sz="0" w:space="0" w:color="auto"/>
        <w:right w:val="none" w:sz="0" w:space="0" w:color="auto"/>
      </w:divBdr>
    </w:div>
    <w:div w:id="1438598790">
      <w:bodyDiv w:val="1"/>
      <w:marLeft w:val="0"/>
      <w:marRight w:val="0"/>
      <w:marTop w:val="0"/>
      <w:marBottom w:val="0"/>
      <w:divBdr>
        <w:top w:val="none" w:sz="0" w:space="0" w:color="auto"/>
        <w:left w:val="none" w:sz="0" w:space="0" w:color="auto"/>
        <w:bottom w:val="none" w:sz="0" w:space="0" w:color="auto"/>
        <w:right w:val="none" w:sz="0" w:space="0" w:color="auto"/>
      </w:divBdr>
    </w:div>
    <w:div w:id="1447651809">
      <w:bodyDiv w:val="1"/>
      <w:marLeft w:val="0"/>
      <w:marRight w:val="0"/>
      <w:marTop w:val="0"/>
      <w:marBottom w:val="0"/>
      <w:divBdr>
        <w:top w:val="none" w:sz="0" w:space="0" w:color="auto"/>
        <w:left w:val="none" w:sz="0" w:space="0" w:color="auto"/>
        <w:bottom w:val="none" w:sz="0" w:space="0" w:color="auto"/>
        <w:right w:val="none" w:sz="0" w:space="0" w:color="auto"/>
      </w:divBdr>
    </w:div>
    <w:div w:id="1464426666">
      <w:bodyDiv w:val="1"/>
      <w:marLeft w:val="0"/>
      <w:marRight w:val="0"/>
      <w:marTop w:val="0"/>
      <w:marBottom w:val="0"/>
      <w:divBdr>
        <w:top w:val="none" w:sz="0" w:space="0" w:color="auto"/>
        <w:left w:val="none" w:sz="0" w:space="0" w:color="auto"/>
        <w:bottom w:val="none" w:sz="0" w:space="0" w:color="auto"/>
        <w:right w:val="none" w:sz="0" w:space="0" w:color="auto"/>
      </w:divBdr>
    </w:div>
    <w:div w:id="1465392587">
      <w:bodyDiv w:val="1"/>
      <w:marLeft w:val="0"/>
      <w:marRight w:val="0"/>
      <w:marTop w:val="0"/>
      <w:marBottom w:val="0"/>
      <w:divBdr>
        <w:top w:val="none" w:sz="0" w:space="0" w:color="auto"/>
        <w:left w:val="none" w:sz="0" w:space="0" w:color="auto"/>
        <w:bottom w:val="none" w:sz="0" w:space="0" w:color="auto"/>
        <w:right w:val="none" w:sz="0" w:space="0" w:color="auto"/>
      </w:divBdr>
    </w:div>
    <w:div w:id="1467821281">
      <w:bodyDiv w:val="1"/>
      <w:marLeft w:val="0"/>
      <w:marRight w:val="0"/>
      <w:marTop w:val="0"/>
      <w:marBottom w:val="0"/>
      <w:divBdr>
        <w:top w:val="none" w:sz="0" w:space="0" w:color="auto"/>
        <w:left w:val="none" w:sz="0" w:space="0" w:color="auto"/>
        <w:bottom w:val="none" w:sz="0" w:space="0" w:color="auto"/>
        <w:right w:val="none" w:sz="0" w:space="0" w:color="auto"/>
      </w:divBdr>
    </w:div>
    <w:div w:id="1480731536">
      <w:bodyDiv w:val="1"/>
      <w:marLeft w:val="0"/>
      <w:marRight w:val="0"/>
      <w:marTop w:val="0"/>
      <w:marBottom w:val="0"/>
      <w:divBdr>
        <w:top w:val="none" w:sz="0" w:space="0" w:color="auto"/>
        <w:left w:val="none" w:sz="0" w:space="0" w:color="auto"/>
        <w:bottom w:val="none" w:sz="0" w:space="0" w:color="auto"/>
        <w:right w:val="none" w:sz="0" w:space="0" w:color="auto"/>
      </w:divBdr>
    </w:div>
    <w:div w:id="1495341793">
      <w:bodyDiv w:val="1"/>
      <w:marLeft w:val="0"/>
      <w:marRight w:val="0"/>
      <w:marTop w:val="0"/>
      <w:marBottom w:val="0"/>
      <w:divBdr>
        <w:top w:val="none" w:sz="0" w:space="0" w:color="auto"/>
        <w:left w:val="none" w:sz="0" w:space="0" w:color="auto"/>
        <w:bottom w:val="none" w:sz="0" w:space="0" w:color="auto"/>
        <w:right w:val="none" w:sz="0" w:space="0" w:color="auto"/>
      </w:divBdr>
    </w:div>
    <w:div w:id="1507745873">
      <w:bodyDiv w:val="1"/>
      <w:marLeft w:val="0"/>
      <w:marRight w:val="0"/>
      <w:marTop w:val="0"/>
      <w:marBottom w:val="0"/>
      <w:divBdr>
        <w:top w:val="none" w:sz="0" w:space="0" w:color="auto"/>
        <w:left w:val="none" w:sz="0" w:space="0" w:color="auto"/>
        <w:bottom w:val="none" w:sz="0" w:space="0" w:color="auto"/>
        <w:right w:val="none" w:sz="0" w:space="0" w:color="auto"/>
      </w:divBdr>
    </w:div>
    <w:div w:id="1509906064">
      <w:bodyDiv w:val="1"/>
      <w:marLeft w:val="0"/>
      <w:marRight w:val="0"/>
      <w:marTop w:val="0"/>
      <w:marBottom w:val="0"/>
      <w:divBdr>
        <w:top w:val="none" w:sz="0" w:space="0" w:color="auto"/>
        <w:left w:val="none" w:sz="0" w:space="0" w:color="auto"/>
        <w:bottom w:val="none" w:sz="0" w:space="0" w:color="auto"/>
        <w:right w:val="none" w:sz="0" w:space="0" w:color="auto"/>
      </w:divBdr>
    </w:div>
    <w:div w:id="1517159890">
      <w:bodyDiv w:val="1"/>
      <w:marLeft w:val="0"/>
      <w:marRight w:val="0"/>
      <w:marTop w:val="0"/>
      <w:marBottom w:val="0"/>
      <w:divBdr>
        <w:top w:val="none" w:sz="0" w:space="0" w:color="auto"/>
        <w:left w:val="none" w:sz="0" w:space="0" w:color="auto"/>
        <w:bottom w:val="none" w:sz="0" w:space="0" w:color="auto"/>
        <w:right w:val="none" w:sz="0" w:space="0" w:color="auto"/>
      </w:divBdr>
    </w:div>
    <w:div w:id="1525093348">
      <w:bodyDiv w:val="1"/>
      <w:marLeft w:val="0"/>
      <w:marRight w:val="0"/>
      <w:marTop w:val="0"/>
      <w:marBottom w:val="0"/>
      <w:divBdr>
        <w:top w:val="none" w:sz="0" w:space="0" w:color="auto"/>
        <w:left w:val="none" w:sz="0" w:space="0" w:color="auto"/>
        <w:bottom w:val="none" w:sz="0" w:space="0" w:color="auto"/>
        <w:right w:val="none" w:sz="0" w:space="0" w:color="auto"/>
      </w:divBdr>
    </w:div>
    <w:div w:id="1545750518">
      <w:bodyDiv w:val="1"/>
      <w:marLeft w:val="0"/>
      <w:marRight w:val="0"/>
      <w:marTop w:val="0"/>
      <w:marBottom w:val="0"/>
      <w:divBdr>
        <w:top w:val="none" w:sz="0" w:space="0" w:color="auto"/>
        <w:left w:val="none" w:sz="0" w:space="0" w:color="auto"/>
        <w:bottom w:val="none" w:sz="0" w:space="0" w:color="auto"/>
        <w:right w:val="none" w:sz="0" w:space="0" w:color="auto"/>
      </w:divBdr>
      <w:divsChild>
        <w:div w:id="897739740">
          <w:marLeft w:val="0"/>
          <w:marRight w:val="0"/>
          <w:marTop w:val="0"/>
          <w:marBottom w:val="0"/>
          <w:divBdr>
            <w:top w:val="none" w:sz="0" w:space="0" w:color="auto"/>
            <w:left w:val="none" w:sz="0" w:space="0" w:color="auto"/>
            <w:bottom w:val="none" w:sz="0" w:space="0" w:color="auto"/>
            <w:right w:val="none" w:sz="0" w:space="0" w:color="auto"/>
          </w:divBdr>
          <w:divsChild>
            <w:div w:id="1789615952">
              <w:marLeft w:val="0"/>
              <w:marRight w:val="0"/>
              <w:marTop w:val="0"/>
              <w:marBottom w:val="0"/>
              <w:divBdr>
                <w:top w:val="none" w:sz="0" w:space="0" w:color="auto"/>
                <w:left w:val="none" w:sz="0" w:space="0" w:color="auto"/>
                <w:bottom w:val="none" w:sz="0" w:space="0" w:color="auto"/>
                <w:right w:val="none" w:sz="0" w:space="0" w:color="auto"/>
              </w:divBdr>
            </w:div>
            <w:div w:id="868837757">
              <w:marLeft w:val="0"/>
              <w:marRight w:val="0"/>
              <w:marTop w:val="0"/>
              <w:marBottom w:val="0"/>
              <w:divBdr>
                <w:top w:val="none" w:sz="0" w:space="0" w:color="auto"/>
                <w:left w:val="none" w:sz="0" w:space="0" w:color="auto"/>
                <w:bottom w:val="none" w:sz="0" w:space="0" w:color="auto"/>
                <w:right w:val="none" w:sz="0" w:space="0" w:color="auto"/>
              </w:divBdr>
            </w:div>
            <w:div w:id="34892998">
              <w:marLeft w:val="0"/>
              <w:marRight w:val="0"/>
              <w:marTop w:val="0"/>
              <w:marBottom w:val="0"/>
              <w:divBdr>
                <w:top w:val="none" w:sz="0" w:space="0" w:color="auto"/>
                <w:left w:val="none" w:sz="0" w:space="0" w:color="auto"/>
                <w:bottom w:val="none" w:sz="0" w:space="0" w:color="auto"/>
                <w:right w:val="none" w:sz="0" w:space="0" w:color="auto"/>
              </w:divBdr>
            </w:div>
            <w:div w:id="272633386">
              <w:marLeft w:val="0"/>
              <w:marRight w:val="0"/>
              <w:marTop w:val="0"/>
              <w:marBottom w:val="0"/>
              <w:divBdr>
                <w:top w:val="none" w:sz="0" w:space="0" w:color="auto"/>
                <w:left w:val="none" w:sz="0" w:space="0" w:color="auto"/>
                <w:bottom w:val="none" w:sz="0" w:space="0" w:color="auto"/>
                <w:right w:val="none" w:sz="0" w:space="0" w:color="auto"/>
              </w:divBdr>
            </w:div>
            <w:div w:id="1659647382">
              <w:marLeft w:val="0"/>
              <w:marRight w:val="0"/>
              <w:marTop w:val="0"/>
              <w:marBottom w:val="0"/>
              <w:divBdr>
                <w:top w:val="none" w:sz="0" w:space="0" w:color="auto"/>
                <w:left w:val="none" w:sz="0" w:space="0" w:color="auto"/>
                <w:bottom w:val="none" w:sz="0" w:space="0" w:color="auto"/>
                <w:right w:val="none" w:sz="0" w:space="0" w:color="auto"/>
              </w:divBdr>
            </w:div>
            <w:div w:id="1397633122">
              <w:marLeft w:val="0"/>
              <w:marRight w:val="0"/>
              <w:marTop w:val="0"/>
              <w:marBottom w:val="0"/>
              <w:divBdr>
                <w:top w:val="none" w:sz="0" w:space="0" w:color="auto"/>
                <w:left w:val="none" w:sz="0" w:space="0" w:color="auto"/>
                <w:bottom w:val="none" w:sz="0" w:space="0" w:color="auto"/>
                <w:right w:val="none" w:sz="0" w:space="0" w:color="auto"/>
              </w:divBdr>
            </w:div>
            <w:div w:id="1015378537">
              <w:marLeft w:val="0"/>
              <w:marRight w:val="0"/>
              <w:marTop w:val="0"/>
              <w:marBottom w:val="0"/>
              <w:divBdr>
                <w:top w:val="none" w:sz="0" w:space="0" w:color="auto"/>
                <w:left w:val="none" w:sz="0" w:space="0" w:color="auto"/>
                <w:bottom w:val="none" w:sz="0" w:space="0" w:color="auto"/>
                <w:right w:val="none" w:sz="0" w:space="0" w:color="auto"/>
              </w:divBdr>
            </w:div>
            <w:div w:id="1354651986">
              <w:marLeft w:val="0"/>
              <w:marRight w:val="0"/>
              <w:marTop w:val="0"/>
              <w:marBottom w:val="0"/>
              <w:divBdr>
                <w:top w:val="none" w:sz="0" w:space="0" w:color="auto"/>
                <w:left w:val="none" w:sz="0" w:space="0" w:color="auto"/>
                <w:bottom w:val="none" w:sz="0" w:space="0" w:color="auto"/>
                <w:right w:val="none" w:sz="0" w:space="0" w:color="auto"/>
              </w:divBdr>
            </w:div>
            <w:div w:id="1376352043">
              <w:marLeft w:val="0"/>
              <w:marRight w:val="0"/>
              <w:marTop w:val="0"/>
              <w:marBottom w:val="0"/>
              <w:divBdr>
                <w:top w:val="none" w:sz="0" w:space="0" w:color="auto"/>
                <w:left w:val="none" w:sz="0" w:space="0" w:color="auto"/>
                <w:bottom w:val="none" w:sz="0" w:space="0" w:color="auto"/>
                <w:right w:val="none" w:sz="0" w:space="0" w:color="auto"/>
              </w:divBdr>
            </w:div>
            <w:div w:id="1759210653">
              <w:marLeft w:val="0"/>
              <w:marRight w:val="0"/>
              <w:marTop w:val="0"/>
              <w:marBottom w:val="0"/>
              <w:divBdr>
                <w:top w:val="none" w:sz="0" w:space="0" w:color="auto"/>
                <w:left w:val="none" w:sz="0" w:space="0" w:color="auto"/>
                <w:bottom w:val="none" w:sz="0" w:space="0" w:color="auto"/>
                <w:right w:val="none" w:sz="0" w:space="0" w:color="auto"/>
              </w:divBdr>
            </w:div>
            <w:div w:id="700253051">
              <w:marLeft w:val="0"/>
              <w:marRight w:val="0"/>
              <w:marTop w:val="0"/>
              <w:marBottom w:val="0"/>
              <w:divBdr>
                <w:top w:val="none" w:sz="0" w:space="0" w:color="auto"/>
                <w:left w:val="none" w:sz="0" w:space="0" w:color="auto"/>
                <w:bottom w:val="none" w:sz="0" w:space="0" w:color="auto"/>
                <w:right w:val="none" w:sz="0" w:space="0" w:color="auto"/>
              </w:divBdr>
            </w:div>
            <w:div w:id="256643611">
              <w:marLeft w:val="0"/>
              <w:marRight w:val="0"/>
              <w:marTop w:val="0"/>
              <w:marBottom w:val="0"/>
              <w:divBdr>
                <w:top w:val="none" w:sz="0" w:space="0" w:color="auto"/>
                <w:left w:val="none" w:sz="0" w:space="0" w:color="auto"/>
                <w:bottom w:val="none" w:sz="0" w:space="0" w:color="auto"/>
                <w:right w:val="none" w:sz="0" w:space="0" w:color="auto"/>
              </w:divBdr>
            </w:div>
          </w:divsChild>
        </w:div>
        <w:div w:id="1185900122">
          <w:marLeft w:val="0"/>
          <w:marRight w:val="0"/>
          <w:marTop w:val="0"/>
          <w:marBottom w:val="0"/>
          <w:divBdr>
            <w:top w:val="none" w:sz="0" w:space="0" w:color="auto"/>
            <w:left w:val="none" w:sz="0" w:space="0" w:color="auto"/>
            <w:bottom w:val="none" w:sz="0" w:space="0" w:color="auto"/>
            <w:right w:val="none" w:sz="0" w:space="0" w:color="auto"/>
          </w:divBdr>
        </w:div>
        <w:div w:id="1913856650">
          <w:marLeft w:val="0"/>
          <w:marRight w:val="0"/>
          <w:marTop w:val="0"/>
          <w:marBottom w:val="0"/>
          <w:divBdr>
            <w:top w:val="none" w:sz="0" w:space="0" w:color="auto"/>
            <w:left w:val="none" w:sz="0" w:space="0" w:color="auto"/>
            <w:bottom w:val="none" w:sz="0" w:space="0" w:color="auto"/>
            <w:right w:val="none" w:sz="0" w:space="0" w:color="auto"/>
          </w:divBdr>
        </w:div>
        <w:div w:id="1373992271">
          <w:marLeft w:val="0"/>
          <w:marRight w:val="0"/>
          <w:marTop w:val="0"/>
          <w:marBottom w:val="0"/>
          <w:divBdr>
            <w:top w:val="none" w:sz="0" w:space="0" w:color="auto"/>
            <w:left w:val="none" w:sz="0" w:space="0" w:color="auto"/>
            <w:bottom w:val="none" w:sz="0" w:space="0" w:color="auto"/>
            <w:right w:val="none" w:sz="0" w:space="0" w:color="auto"/>
          </w:divBdr>
        </w:div>
        <w:div w:id="54932655">
          <w:marLeft w:val="0"/>
          <w:marRight w:val="0"/>
          <w:marTop w:val="0"/>
          <w:marBottom w:val="0"/>
          <w:divBdr>
            <w:top w:val="none" w:sz="0" w:space="0" w:color="auto"/>
            <w:left w:val="none" w:sz="0" w:space="0" w:color="auto"/>
            <w:bottom w:val="none" w:sz="0" w:space="0" w:color="auto"/>
            <w:right w:val="none" w:sz="0" w:space="0" w:color="auto"/>
          </w:divBdr>
        </w:div>
        <w:div w:id="1798452203">
          <w:marLeft w:val="0"/>
          <w:marRight w:val="0"/>
          <w:marTop w:val="0"/>
          <w:marBottom w:val="0"/>
          <w:divBdr>
            <w:top w:val="none" w:sz="0" w:space="0" w:color="auto"/>
            <w:left w:val="none" w:sz="0" w:space="0" w:color="auto"/>
            <w:bottom w:val="none" w:sz="0" w:space="0" w:color="auto"/>
            <w:right w:val="none" w:sz="0" w:space="0" w:color="auto"/>
          </w:divBdr>
        </w:div>
        <w:div w:id="324094033">
          <w:marLeft w:val="0"/>
          <w:marRight w:val="0"/>
          <w:marTop w:val="0"/>
          <w:marBottom w:val="0"/>
          <w:divBdr>
            <w:top w:val="none" w:sz="0" w:space="0" w:color="auto"/>
            <w:left w:val="none" w:sz="0" w:space="0" w:color="auto"/>
            <w:bottom w:val="none" w:sz="0" w:space="0" w:color="auto"/>
            <w:right w:val="none" w:sz="0" w:space="0" w:color="auto"/>
          </w:divBdr>
        </w:div>
        <w:div w:id="999424847">
          <w:marLeft w:val="0"/>
          <w:marRight w:val="0"/>
          <w:marTop w:val="0"/>
          <w:marBottom w:val="0"/>
          <w:divBdr>
            <w:top w:val="none" w:sz="0" w:space="0" w:color="auto"/>
            <w:left w:val="none" w:sz="0" w:space="0" w:color="auto"/>
            <w:bottom w:val="none" w:sz="0" w:space="0" w:color="auto"/>
            <w:right w:val="none" w:sz="0" w:space="0" w:color="auto"/>
          </w:divBdr>
        </w:div>
        <w:div w:id="58938792">
          <w:marLeft w:val="0"/>
          <w:marRight w:val="0"/>
          <w:marTop w:val="0"/>
          <w:marBottom w:val="0"/>
          <w:divBdr>
            <w:top w:val="none" w:sz="0" w:space="0" w:color="auto"/>
            <w:left w:val="none" w:sz="0" w:space="0" w:color="auto"/>
            <w:bottom w:val="none" w:sz="0" w:space="0" w:color="auto"/>
            <w:right w:val="none" w:sz="0" w:space="0" w:color="auto"/>
          </w:divBdr>
        </w:div>
        <w:div w:id="1971591890">
          <w:marLeft w:val="0"/>
          <w:marRight w:val="0"/>
          <w:marTop w:val="0"/>
          <w:marBottom w:val="0"/>
          <w:divBdr>
            <w:top w:val="none" w:sz="0" w:space="0" w:color="auto"/>
            <w:left w:val="none" w:sz="0" w:space="0" w:color="auto"/>
            <w:bottom w:val="none" w:sz="0" w:space="0" w:color="auto"/>
            <w:right w:val="none" w:sz="0" w:space="0" w:color="auto"/>
          </w:divBdr>
        </w:div>
        <w:div w:id="755705954">
          <w:marLeft w:val="0"/>
          <w:marRight w:val="0"/>
          <w:marTop w:val="0"/>
          <w:marBottom w:val="0"/>
          <w:divBdr>
            <w:top w:val="none" w:sz="0" w:space="0" w:color="auto"/>
            <w:left w:val="none" w:sz="0" w:space="0" w:color="auto"/>
            <w:bottom w:val="none" w:sz="0" w:space="0" w:color="auto"/>
            <w:right w:val="none" w:sz="0" w:space="0" w:color="auto"/>
          </w:divBdr>
        </w:div>
        <w:div w:id="1416971101">
          <w:marLeft w:val="0"/>
          <w:marRight w:val="0"/>
          <w:marTop w:val="0"/>
          <w:marBottom w:val="0"/>
          <w:divBdr>
            <w:top w:val="none" w:sz="0" w:space="0" w:color="auto"/>
            <w:left w:val="none" w:sz="0" w:space="0" w:color="auto"/>
            <w:bottom w:val="none" w:sz="0" w:space="0" w:color="auto"/>
            <w:right w:val="none" w:sz="0" w:space="0" w:color="auto"/>
          </w:divBdr>
        </w:div>
      </w:divsChild>
    </w:div>
    <w:div w:id="1553691541">
      <w:bodyDiv w:val="1"/>
      <w:marLeft w:val="0"/>
      <w:marRight w:val="0"/>
      <w:marTop w:val="0"/>
      <w:marBottom w:val="0"/>
      <w:divBdr>
        <w:top w:val="none" w:sz="0" w:space="0" w:color="auto"/>
        <w:left w:val="none" w:sz="0" w:space="0" w:color="auto"/>
        <w:bottom w:val="none" w:sz="0" w:space="0" w:color="auto"/>
        <w:right w:val="none" w:sz="0" w:space="0" w:color="auto"/>
      </w:divBdr>
      <w:divsChild>
        <w:div w:id="1504469557">
          <w:marLeft w:val="0"/>
          <w:marRight w:val="0"/>
          <w:marTop w:val="0"/>
          <w:marBottom w:val="0"/>
          <w:divBdr>
            <w:top w:val="none" w:sz="0" w:space="0" w:color="auto"/>
            <w:left w:val="none" w:sz="0" w:space="0" w:color="auto"/>
            <w:bottom w:val="none" w:sz="0" w:space="0" w:color="auto"/>
            <w:right w:val="none" w:sz="0" w:space="0" w:color="auto"/>
          </w:divBdr>
        </w:div>
        <w:div w:id="674066632">
          <w:marLeft w:val="0"/>
          <w:marRight w:val="0"/>
          <w:marTop w:val="0"/>
          <w:marBottom w:val="0"/>
          <w:divBdr>
            <w:top w:val="none" w:sz="0" w:space="0" w:color="auto"/>
            <w:left w:val="none" w:sz="0" w:space="0" w:color="auto"/>
            <w:bottom w:val="none" w:sz="0" w:space="0" w:color="auto"/>
            <w:right w:val="none" w:sz="0" w:space="0" w:color="auto"/>
          </w:divBdr>
        </w:div>
        <w:div w:id="1325089639">
          <w:marLeft w:val="0"/>
          <w:marRight w:val="0"/>
          <w:marTop w:val="0"/>
          <w:marBottom w:val="0"/>
          <w:divBdr>
            <w:top w:val="none" w:sz="0" w:space="0" w:color="auto"/>
            <w:left w:val="none" w:sz="0" w:space="0" w:color="auto"/>
            <w:bottom w:val="none" w:sz="0" w:space="0" w:color="auto"/>
            <w:right w:val="none" w:sz="0" w:space="0" w:color="auto"/>
          </w:divBdr>
        </w:div>
      </w:divsChild>
    </w:div>
    <w:div w:id="1556309237">
      <w:bodyDiv w:val="1"/>
      <w:marLeft w:val="0"/>
      <w:marRight w:val="0"/>
      <w:marTop w:val="0"/>
      <w:marBottom w:val="0"/>
      <w:divBdr>
        <w:top w:val="none" w:sz="0" w:space="0" w:color="auto"/>
        <w:left w:val="none" w:sz="0" w:space="0" w:color="auto"/>
        <w:bottom w:val="none" w:sz="0" w:space="0" w:color="auto"/>
        <w:right w:val="none" w:sz="0" w:space="0" w:color="auto"/>
      </w:divBdr>
    </w:div>
    <w:div w:id="1572350277">
      <w:bodyDiv w:val="1"/>
      <w:marLeft w:val="0"/>
      <w:marRight w:val="0"/>
      <w:marTop w:val="0"/>
      <w:marBottom w:val="0"/>
      <w:divBdr>
        <w:top w:val="none" w:sz="0" w:space="0" w:color="auto"/>
        <w:left w:val="none" w:sz="0" w:space="0" w:color="auto"/>
        <w:bottom w:val="none" w:sz="0" w:space="0" w:color="auto"/>
        <w:right w:val="none" w:sz="0" w:space="0" w:color="auto"/>
      </w:divBdr>
    </w:div>
    <w:div w:id="1602058560">
      <w:bodyDiv w:val="1"/>
      <w:marLeft w:val="0"/>
      <w:marRight w:val="0"/>
      <w:marTop w:val="0"/>
      <w:marBottom w:val="0"/>
      <w:divBdr>
        <w:top w:val="none" w:sz="0" w:space="0" w:color="auto"/>
        <w:left w:val="none" w:sz="0" w:space="0" w:color="auto"/>
        <w:bottom w:val="none" w:sz="0" w:space="0" w:color="auto"/>
        <w:right w:val="none" w:sz="0" w:space="0" w:color="auto"/>
      </w:divBdr>
    </w:div>
    <w:div w:id="1604335210">
      <w:bodyDiv w:val="1"/>
      <w:marLeft w:val="0"/>
      <w:marRight w:val="0"/>
      <w:marTop w:val="0"/>
      <w:marBottom w:val="0"/>
      <w:divBdr>
        <w:top w:val="none" w:sz="0" w:space="0" w:color="auto"/>
        <w:left w:val="none" w:sz="0" w:space="0" w:color="auto"/>
        <w:bottom w:val="none" w:sz="0" w:space="0" w:color="auto"/>
        <w:right w:val="none" w:sz="0" w:space="0" w:color="auto"/>
      </w:divBdr>
    </w:div>
    <w:div w:id="1619413588">
      <w:bodyDiv w:val="1"/>
      <w:marLeft w:val="0"/>
      <w:marRight w:val="0"/>
      <w:marTop w:val="0"/>
      <w:marBottom w:val="0"/>
      <w:divBdr>
        <w:top w:val="none" w:sz="0" w:space="0" w:color="auto"/>
        <w:left w:val="none" w:sz="0" w:space="0" w:color="auto"/>
        <w:bottom w:val="none" w:sz="0" w:space="0" w:color="auto"/>
        <w:right w:val="none" w:sz="0" w:space="0" w:color="auto"/>
      </w:divBdr>
    </w:div>
    <w:div w:id="1640182488">
      <w:bodyDiv w:val="1"/>
      <w:marLeft w:val="0"/>
      <w:marRight w:val="0"/>
      <w:marTop w:val="0"/>
      <w:marBottom w:val="0"/>
      <w:divBdr>
        <w:top w:val="none" w:sz="0" w:space="0" w:color="auto"/>
        <w:left w:val="none" w:sz="0" w:space="0" w:color="auto"/>
        <w:bottom w:val="none" w:sz="0" w:space="0" w:color="auto"/>
        <w:right w:val="none" w:sz="0" w:space="0" w:color="auto"/>
      </w:divBdr>
    </w:div>
    <w:div w:id="1641306092">
      <w:bodyDiv w:val="1"/>
      <w:marLeft w:val="0"/>
      <w:marRight w:val="0"/>
      <w:marTop w:val="0"/>
      <w:marBottom w:val="0"/>
      <w:divBdr>
        <w:top w:val="none" w:sz="0" w:space="0" w:color="auto"/>
        <w:left w:val="none" w:sz="0" w:space="0" w:color="auto"/>
        <w:bottom w:val="none" w:sz="0" w:space="0" w:color="auto"/>
        <w:right w:val="none" w:sz="0" w:space="0" w:color="auto"/>
      </w:divBdr>
      <w:divsChild>
        <w:div w:id="1753509481">
          <w:marLeft w:val="0"/>
          <w:marRight w:val="0"/>
          <w:marTop w:val="0"/>
          <w:marBottom w:val="0"/>
          <w:divBdr>
            <w:top w:val="none" w:sz="0" w:space="0" w:color="auto"/>
            <w:left w:val="none" w:sz="0" w:space="0" w:color="auto"/>
            <w:bottom w:val="none" w:sz="0" w:space="0" w:color="auto"/>
            <w:right w:val="none" w:sz="0" w:space="0" w:color="auto"/>
          </w:divBdr>
        </w:div>
      </w:divsChild>
    </w:div>
    <w:div w:id="1642881502">
      <w:bodyDiv w:val="1"/>
      <w:marLeft w:val="0"/>
      <w:marRight w:val="0"/>
      <w:marTop w:val="0"/>
      <w:marBottom w:val="0"/>
      <w:divBdr>
        <w:top w:val="none" w:sz="0" w:space="0" w:color="auto"/>
        <w:left w:val="none" w:sz="0" w:space="0" w:color="auto"/>
        <w:bottom w:val="none" w:sz="0" w:space="0" w:color="auto"/>
        <w:right w:val="none" w:sz="0" w:space="0" w:color="auto"/>
      </w:divBdr>
    </w:div>
    <w:div w:id="1648700782">
      <w:bodyDiv w:val="1"/>
      <w:marLeft w:val="0"/>
      <w:marRight w:val="0"/>
      <w:marTop w:val="0"/>
      <w:marBottom w:val="0"/>
      <w:divBdr>
        <w:top w:val="none" w:sz="0" w:space="0" w:color="auto"/>
        <w:left w:val="none" w:sz="0" w:space="0" w:color="auto"/>
        <w:bottom w:val="none" w:sz="0" w:space="0" w:color="auto"/>
        <w:right w:val="none" w:sz="0" w:space="0" w:color="auto"/>
      </w:divBdr>
      <w:divsChild>
        <w:div w:id="295722113">
          <w:marLeft w:val="0"/>
          <w:marRight w:val="0"/>
          <w:marTop w:val="0"/>
          <w:marBottom w:val="0"/>
          <w:divBdr>
            <w:top w:val="none" w:sz="0" w:space="0" w:color="auto"/>
            <w:left w:val="none" w:sz="0" w:space="0" w:color="auto"/>
            <w:bottom w:val="none" w:sz="0" w:space="0" w:color="auto"/>
            <w:right w:val="none" w:sz="0" w:space="0" w:color="auto"/>
          </w:divBdr>
        </w:div>
      </w:divsChild>
    </w:div>
    <w:div w:id="1655260305">
      <w:bodyDiv w:val="1"/>
      <w:marLeft w:val="0"/>
      <w:marRight w:val="0"/>
      <w:marTop w:val="0"/>
      <w:marBottom w:val="0"/>
      <w:divBdr>
        <w:top w:val="none" w:sz="0" w:space="0" w:color="auto"/>
        <w:left w:val="none" w:sz="0" w:space="0" w:color="auto"/>
        <w:bottom w:val="none" w:sz="0" w:space="0" w:color="auto"/>
        <w:right w:val="none" w:sz="0" w:space="0" w:color="auto"/>
      </w:divBdr>
    </w:div>
    <w:div w:id="1657491284">
      <w:bodyDiv w:val="1"/>
      <w:marLeft w:val="0"/>
      <w:marRight w:val="0"/>
      <w:marTop w:val="0"/>
      <w:marBottom w:val="0"/>
      <w:divBdr>
        <w:top w:val="none" w:sz="0" w:space="0" w:color="auto"/>
        <w:left w:val="none" w:sz="0" w:space="0" w:color="auto"/>
        <w:bottom w:val="none" w:sz="0" w:space="0" w:color="auto"/>
        <w:right w:val="none" w:sz="0" w:space="0" w:color="auto"/>
      </w:divBdr>
    </w:div>
    <w:div w:id="1687557172">
      <w:bodyDiv w:val="1"/>
      <w:marLeft w:val="0"/>
      <w:marRight w:val="0"/>
      <w:marTop w:val="0"/>
      <w:marBottom w:val="0"/>
      <w:divBdr>
        <w:top w:val="none" w:sz="0" w:space="0" w:color="auto"/>
        <w:left w:val="none" w:sz="0" w:space="0" w:color="auto"/>
        <w:bottom w:val="none" w:sz="0" w:space="0" w:color="auto"/>
        <w:right w:val="none" w:sz="0" w:space="0" w:color="auto"/>
      </w:divBdr>
    </w:div>
    <w:div w:id="1698117709">
      <w:bodyDiv w:val="1"/>
      <w:marLeft w:val="0"/>
      <w:marRight w:val="0"/>
      <w:marTop w:val="0"/>
      <w:marBottom w:val="0"/>
      <w:divBdr>
        <w:top w:val="none" w:sz="0" w:space="0" w:color="auto"/>
        <w:left w:val="none" w:sz="0" w:space="0" w:color="auto"/>
        <w:bottom w:val="none" w:sz="0" w:space="0" w:color="auto"/>
        <w:right w:val="none" w:sz="0" w:space="0" w:color="auto"/>
      </w:divBdr>
    </w:div>
    <w:div w:id="1703242801">
      <w:bodyDiv w:val="1"/>
      <w:marLeft w:val="0"/>
      <w:marRight w:val="0"/>
      <w:marTop w:val="0"/>
      <w:marBottom w:val="0"/>
      <w:divBdr>
        <w:top w:val="none" w:sz="0" w:space="0" w:color="auto"/>
        <w:left w:val="none" w:sz="0" w:space="0" w:color="auto"/>
        <w:bottom w:val="none" w:sz="0" w:space="0" w:color="auto"/>
        <w:right w:val="none" w:sz="0" w:space="0" w:color="auto"/>
      </w:divBdr>
    </w:div>
    <w:div w:id="1735002361">
      <w:bodyDiv w:val="1"/>
      <w:marLeft w:val="0"/>
      <w:marRight w:val="0"/>
      <w:marTop w:val="0"/>
      <w:marBottom w:val="0"/>
      <w:divBdr>
        <w:top w:val="none" w:sz="0" w:space="0" w:color="auto"/>
        <w:left w:val="none" w:sz="0" w:space="0" w:color="auto"/>
        <w:bottom w:val="none" w:sz="0" w:space="0" w:color="auto"/>
        <w:right w:val="none" w:sz="0" w:space="0" w:color="auto"/>
      </w:divBdr>
    </w:div>
    <w:div w:id="1739815359">
      <w:bodyDiv w:val="1"/>
      <w:marLeft w:val="0"/>
      <w:marRight w:val="0"/>
      <w:marTop w:val="0"/>
      <w:marBottom w:val="0"/>
      <w:divBdr>
        <w:top w:val="none" w:sz="0" w:space="0" w:color="auto"/>
        <w:left w:val="none" w:sz="0" w:space="0" w:color="auto"/>
        <w:bottom w:val="none" w:sz="0" w:space="0" w:color="auto"/>
        <w:right w:val="none" w:sz="0" w:space="0" w:color="auto"/>
      </w:divBdr>
    </w:div>
    <w:div w:id="1757826530">
      <w:bodyDiv w:val="1"/>
      <w:marLeft w:val="0"/>
      <w:marRight w:val="0"/>
      <w:marTop w:val="0"/>
      <w:marBottom w:val="0"/>
      <w:divBdr>
        <w:top w:val="none" w:sz="0" w:space="0" w:color="auto"/>
        <w:left w:val="none" w:sz="0" w:space="0" w:color="auto"/>
        <w:bottom w:val="none" w:sz="0" w:space="0" w:color="auto"/>
        <w:right w:val="none" w:sz="0" w:space="0" w:color="auto"/>
      </w:divBdr>
    </w:div>
    <w:div w:id="1760712327">
      <w:bodyDiv w:val="1"/>
      <w:marLeft w:val="0"/>
      <w:marRight w:val="0"/>
      <w:marTop w:val="0"/>
      <w:marBottom w:val="0"/>
      <w:divBdr>
        <w:top w:val="none" w:sz="0" w:space="0" w:color="auto"/>
        <w:left w:val="none" w:sz="0" w:space="0" w:color="auto"/>
        <w:bottom w:val="none" w:sz="0" w:space="0" w:color="auto"/>
        <w:right w:val="none" w:sz="0" w:space="0" w:color="auto"/>
      </w:divBdr>
    </w:div>
    <w:div w:id="1766879942">
      <w:bodyDiv w:val="1"/>
      <w:marLeft w:val="0"/>
      <w:marRight w:val="0"/>
      <w:marTop w:val="0"/>
      <w:marBottom w:val="0"/>
      <w:divBdr>
        <w:top w:val="none" w:sz="0" w:space="0" w:color="auto"/>
        <w:left w:val="none" w:sz="0" w:space="0" w:color="auto"/>
        <w:bottom w:val="none" w:sz="0" w:space="0" w:color="auto"/>
        <w:right w:val="none" w:sz="0" w:space="0" w:color="auto"/>
      </w:divBdr>
    </w:div>
    <w:div w:id="1767262482">
      <w:bodyDiv w:val="1"/>
      <w:marLeft w:val="0"/>
      <w:marRight w:val="0"/>
      <w:marTop w:val="0"/>
      <w:marBottom w:val="0"/>
      <w:divBdr>
        <w:top w:val="none" w:sz="0" w:space="0" w:color="auto"/>
        <w:left w:val="none" w:sz="0" w:space="0" w:color="auto"/>
        <w:bottom w:val="none" w:sz="0" w:space="0" w:color="auto"/>
        <w:right w:val="none" w:sz="0" w:space="0" w:color="auto"/>
      </w:divBdr>
      <w:divsChild>
        <w:div w:id="607389149">
          <w:marLeft w:val="0"/>
          <w:marRight w:val="0"/>
          <w:marTop w:val="0"/>
          <w:marBottom w:val="0"/>
          <w:divBdr>
            <w:top w:val="none" w:sz="0" w:space="0" w:color="auto"/>
            <w:left w:val="none" w:sz="0" w:space="0" w:color="auto"/>
            <w:bottom w:val="none" w:sz="0" w:space="0" w:color="auto"/>
            <w:right w:val="none" w:sz="0" w:space="0" w:color="auto"/>
          </w:divBdr>
        </w:div>
      </w:divsChild>
    </w:div>
    <w:div w:id="1777212049">
      <w:bodyDiv w:val="1"/>
      <w:marLeft w:val="0"/>
      <w:marRight w:val="0"/>
      <w:marTop w:val="0"/>
      <w:marBottom w:val="0"/>
      <w:divBdr>
        <w:top w:val="none" w:sz="0" w:space="0" w:color="auto"/>
        <w:left w:val="none" w:sz="0" w:space="0" w:color="auto"/>
        <w:bottom w:val="none" w:sz="0" w:space="0" w:color="auto"/>
        <w:right w:val="none" w:sz="0" w:space="0" w:color="auto"/>
      </w:divBdr>
    </w:div>
    <w:div w:id="1778520623">
      <w:bodyDiv w:val="1"/>
      <w:marLeft w:val="0"/>
      <w:marRight w:val="0"/>
      <w:marTop w:val="0"/>
      <w:marBottom w:val="0"/>
      <w:divBdr>
        <w:top w:val="none" w:sz="0" w:space="0" w:color="auto"/>
        <w:left w:val="none" w:sz="0" w:space="0" w:color="auto"/>
        <w:bottom w:val="none" w:sz="0" w:space="0" w:color="auto"/>
        <w:right w:val="none" w:sz="0" w:space="0" w:color="auto"/>
      </w:divBdr>
    </w:div>
    <w:div w:id="1812282802">
      <w:bodyDiv w:val="1"/>
      <w:marLeft w:val="0"/>
      <w:marRight w:val="0"/>
      <w:marTop w:val="0"/>
      <w:marBottom w:val="0"/>
      <w:divBdr>
        <w:top w:val="none" w:sz="0" w:space="0" w:color="auto"/>
        <w:left w:val="none" w:sz="0" w:space="0" w:color="auto"/>
        <w:bottom w:val="none" w:sz="0" w:space="0" w:color="auto"/>
        <w:right w:val="none" w:sz="0" w:space="0" w:color="auto"/>
      </w:divBdr>
    </w:div>
    <w:div w:id="1817604334">
      <w:bodyDiv w:val="1"/>
      <w:marLeft w:val="0"/>
      <w:marRight w:val="0"/>
      <w:marTop w:val="0"/>
      <w:marBottom w:val="0"/>
      <w:divBdr>
        <w:top w:val="none" w:sz="0" w:space="0" w:color="auto"/>
        <w:left w:val="none" w:sz="0" w:space="0" w:color="auto"/>
        <w:bottom w:val="none" w:sz="0" w:space="0" w:color="auto"/>
        <w:right w:val="none" w:sz="0" w:space="0" w:color="auto"/>
      </w:divBdr>
    </w:div>
    <w:div w:id="1825198655">
      <w:bodyDiv w:val="1"/>
      <w:marLeft w:val="0"/>
      <w:marRight w:val="0"/>
      <w:marTop w:val="0"/>
      <w:marBottom w:val="0"/>
      <w:divBdr>
        <w:top w:val="none" w:sz="0" w:space="0" w:color="auto"/>
        <w:left w:val="none" w:sz="0" w:space="0" w:color="auto"/>
        <w:bottom w:val="none" w:sz="0" w:space="0" w:color="auto"/>
        <w:right w:val="none" w:sz="0" w:space="0" w:color="auto"/>
      </w:divBdr>
    </w:div>
    <w:div w:id="1825507785">
      <w:bodyDiv w:val="1"/>
      <w:marLeft w:val="0"/>
      <w:marRight w:val="0"/>
      <w:marTop w:val="0"/>
      <w:marBottom w:val="0"/>
      <w:divBdr>
        <w:top w:val="none" w:sz="0" w:space="0" w:color="auto"/>
        <w:left w:val="none" w:sz="0" w:space="0" w:color="auto"/>
        <w:bottom w:val="none" w:sz="0" w:space="0" w:color="auto"/>
        <w:right w:val="none" w:sz="0" w:space="0" w:color="auto"/>
      </w:divBdr>
    </w:div>
    <w:div w:id="1832520206">
      <w:bodyDiv w:val="1"/>
      <w:marLeft w:val="0"/>
      <w:marRight w:val="0"/>
      <w:marTop w:val="0"/>
      <w:marBottom w:val="0"/>
      <w:divBdr>
        <w:top w:val="none" w:sz="0" w:space="0" w:color="auto"/>
        <w:left w:val="none" w:sz="0" w:space="0" w:color="auto"/>
        <w:bottom w:val="none" w:sz="0" w:space="0" w:color="auto"/>
        <w:right w:val="none" w:sz="0" w:space="0" w:color="auto"/>
      </w:divBdr>
    </w:div>
    <w:div w:id="1837921704">
      <w:bodyDiv w:val="1"/>
      <w:marLeft w:val="0"/>
      <w:marRight w:val="0"/>
      <w:marTop w:val="0"/>
      <w:marBottom w:val="0"/>
      <w:divBdr>
        <w:top w:val="none" w:sz="0" w:space="0" w:color="auto"/>
        <w:left w:val="none" w:sz="0" w:space="0" w:color="auto"/>
        <w:bottom w:val="none" w:sz="0" w:space="0" w:color="auto"/>
        <w:right w:val="none" w:sz="0" w:space="0" w:color="auto"/>
      </w:divBdr>
    </w:div>
    <w:div w:id="1841193463">
      <w:bodyDiv w:val="1"/>
      <w:marLeft w:val="0"/>
      <w:marRight w:val="0"/>
      <w:marTop w:val="0"/>
      <w:marBottom w:val="0"/>
      <w:divBdr>
        <w:top w:val="none" w:sz="0" w:space="0" w:color="auto"/>
        <w:left w:val="none" w:sz="0" w:space="0" w:color="auto"/>
        <w:bottom w:val="none" w:sz="0" w:space="0" w:color="auto"/>
        <w:right w:val="none" w:sz="0" w:space="0" w:color="auto"/>
      </w:divBdr>
    </w:div>
    <w:div w:id="1842042979">
      <w:bodyDiv w:val="1"/>
      <w:marLeft w:val="0"/>
      <w:marRight w:val="0"/>
      <w:marTop w:val="0"/>
      <w:marBottom w:val="0"/>
      <w:divBdr>
        <w:top w:val="none" w:sz="0" w:space="0" w:color="auto"/>
        <w:left w:val="none" w:sz="0" w:space="0" w:color="auto"/>
        <w:bottom w:val="none" w:sz="0" w:space="0" w:color="auto"/>
        <w:right w:val="none" w:sz="0" w:space="0" w:color="auto"/>
      </w:divBdr>
    </w:div>
    <w:div w:id="1851486084">
      <w:bodyDiv w:val="1"/>
      <w:marLeft w:val="0"/>
      <w:marRight w:val="0"/>
      <w:marTop w:val="0"/>
      <w:marBottom w:val="0"/>
      <w:divBdr>
        <w:top w:val="none" w:sz="0" w:space="0" w:color="auto"/>
        <w:left w:val="none" w:sz="0" w:space="0" w:color="auto"/>
        <w:bottom w:val="none" w:sz="0" w:space="0" w:color="auto"/>
        <w:right w:val="none" w:sz="0" w:space="0" w:color="auto"/>
      </w:divBdr>
    </w:div>
    <w:div w:id="1858230227">
      <w:bodyDiv w:val="1"/>
      <w:marLeft w:val="0"/>
      <w:marRight w:val="0"/>
      <w:marTop w:val="0"/>
      <w:marBottom w:val="0"/>
      <w:divBdr>
        <w:top w:val="none" w:sz="0" w:space="0" w:color="auto"/>
        <w:left w:val="none" w:sz="0" w:space="0" w:color="auto"/>
        <w:bottom w:val="none" w:sz="0" w:space="0" w:color="auto"/>
        <w:right w:val="none" w:sz="0" w:space="0" w:color="auto"/>
      </w:divBdr>
    </w:div>
    <w:div w:id="1868981347">
      <w:bodyDiv w:val="1"/>
      <w:marLeft w:val="0"/>
      <w:marRight w:val="0"/>
      <w:marTop w:val="0"/>
      <w:marBottom w:val="0"/>
      <w:divBdr>
        <w:top w:val="none" w:sz="0" w:space="0" w:color="auto"/>
        <w:left w:val="none" w:sz="0" w:space="0" w:color="auto"/>
        <w:bottom w:val="none" w:sz="0" w:space="0" w:color="auto"/>
        <w:right w:val="none" w:sz="0" w:space="0" w:color="auto"/>
      </w:divBdr>
    </w:div>
    <w:div w:id="1881821959">
      <w:bodyDiv w:val="1"/>
      <w:marLeft w:val="0"/>
      <w:marRight w:val="0"/>
      <w:marTop w:val="0"/>
      <w:marBottom w:val="0"/>
      <w:divBdr>
        <w:top w:val="none" w:sz="0" w:space="0" w:color="auto"/>
        <w:left w:val="none" w:sz="0" w:space="0" w:color="auto"/>
        <w:bottom w:val="none" w:sz="0" w:space="0" w:color="auto"/>
        <w:right w:val="none" w:sz="0" w:space="0" w:color="auto"/>
      </w:divBdr>
    </w:div>
    <w:div w:id="1900827316">
      <w:bodyDiv w:val="1"/>
      <w:marLeft w:val="0"/>
      <w:marRight w:val="0"/>
      <w:marTop w:val="0"/>
      <w:marBottom w:val="0"/>
      <w:divBdr>
        <w:top w:val="none" w:sz="0" w:space="0" w:color="auto"/>
        <w:left w:val="none" w:sz="0" w:space="0" w:color="auto"/>
        <w:bottom w:val="none" w:sz="0" w:space="0" w:color="auto"/>
        <w:right w:val="none" w:sz="0" w:space="0" w:color="auto"/>
      </w:divBdr>
    </w:div>
    <w:div w:id="1904220576">
      <w:bodyDiv w:val="1"/>
      <w:marLeft w:val="0"/>
      <w:marRight w:val="0"/>
      <w:marTop w:val="0"/>
      <w:marBottom w:val="0"/>
      <w:divBdr>
        <w:top w:val="none" w:sz="0" w:space="0" w:color="auto"/>
        <w:left w:val="none" w:sz="0" w:space="0" w:color="auto"/>
        <w:bottom w:val="none" w:sz="0" w:space="0" w:color="auto"/>
        <w:right w:val="none" w:sz="0" w:space="0" w:color="auto"/>
      </w:divBdr>
      <w:divsChild>
        <w:div w:id="1297297040">
          <w:marLeft w:val="0"/>
          <w:marRight w:val="0"/>
          <w:marTop w:val="0"/>
          <w:marBottom w:val="0"/>
          <w:divBdr>
            <w:top w:val="none" w:sz="0" w:space="0" w:color="auto"/>
            <w:left w:val="none" w:sz="0" w:space="0" w:color="auto"/>
            <w:bottom w:val="none" w:sz="0" w:space="0" w:color="auto"/>
            <w:right w:val="none" w:sz="0" w:space="0" w:color="auto"/>
          </w:divBdr>
        </w:div>
      </w:divsChild>
    </w:div>
    <w:div w:id="1910192093">
      <w:bodyDiv w:val="1"/>
      <w:marLeft w:val="0"/>
      <w:marRight w:val="0"/>
      <w:marTop w:val="0"/>
      <w:marBottom w:val="0"/>
      <w:divBdr>
        <w:top w:val="none" w:sz="0" w:space="0" w:color="auto"/>
        <w:left w:val="none" w:sz="0" w:space="0" w:color="auto"/>
        <w:bottom w:val="none" w:sz="0" w:space="0" w:color="auto"/>
        <w:right w:val="none" w:sz="0" w:space="0" w:color="auto"/>
      </w:divBdr>
      <w:divsChild>
        <w:div w:id="994533989">
          <w:marLeft w:val="0"/>
          <w:marRight w:val="0"/>
          <w:marTop w:val="0"/>
          <w:marBottom w:val="0"/>
          <w:divBdr>
            <w:top w:val="none" w:sz="0" w:space="0" w:color="auto"/>
            <w:left w:val="none" w:sz="0" w:space="0" w:color="auto"/>
            <w:bottom w:val="none" w:sz="0" w:space="0" w:color="auto"/>
            <w:right w:val="none" w:sz="0" w:space="0" w:color="auto"/>
          </w:divBdr>
        </w:div>
      </w:divsChild>
    </w:div>
    <w:div w:id="1914008204">
      <w:bodyDiv w:val="1"/>
      <w:marLeft w:val="0"/>
      <w:marRight w:val="0"/>
      <w:marTop w:val="0"/>
      <w:marBottom w:val="0"/>
      <w:divBdr>
        <w:top w:val="none" w:sz="0" w:space="0" w:color="auto"/>
        <w:left w:val="none" w:sz="0" w:space="0" w:color="auto"/>
        <w:bottom w:val="none" w:sz="0" w:space="0" w:color="auto"/>
        <w:right w:val="none" w:sz="0" w:space="0" w:color="auto"/>
      </w:divBdr>
    </w:div>
    <w:div w:id="1916086223">
      <w:bodyDiv w:val="1"/>
      <w:marLeft w:val="0"/>
      <w:marRight w:val="0"/>
      <w:marTop w:val="0"/>
      <w:marBottom w:val="0"/>
      <w:divBdr>
        <w:top w:val="none" w:sz="0" w:space="0" w:color="auto"/>
        <w:left w:val="none" w:sz="0" w:space="0" w:color="auto"/>
        <w:bottom w:val="none" w:sz="0" w:space="0" w:color="auto"/>
        <w:right w:val="none" w:sz="0" w:space="0" w:color="auto"/>
      </w:divBdr>
    </w:div>
    <w:div w:id="1924025236">
      <w:bodyDiv w:val="1"/>
      <w:marLeft w:val="0"/>
      <w:marRight w:val="0"/>
      <w:marTop w:val="0"/>
      <w:marBottom w:val="0"/>
      <w:divBdr>
        <w:top w:val="none" w:sz="0" w:space="0" w:color="auto"/>
        <w:left w:val="none" w:sz="0" w:space="0" w:color="auto"/>
        <w:bottom w:val="none" w:sz="0" w:space="0" w:color="auto"/>
        <w:right w:val="none" w:sz="0" w:space="0" w:color="auto"/>
      </w:divBdr>
    </w:div>
    <w:div w:id="1958172853">
      <w:bodyDiv w:val="1"/>
      <w:marLeft w:val="0"/>
      <w:marRight w:val="0"/>
      <w:marTop w:val="0"/>
      <w:marBottom w:val="0"/>
      <w:divBdr>
        <w:top w:val="none" w:sz="0" w:space="0" w:color="auto"/>
        <w:left w:val="none" w:sz="0" w:space="0" w:color="auto"/>
        <w:bottom w:val="none" w:sz="0" w:space="0" w:color="auto"/>
        <w:right w:val="none" w:sz="0" w:space="0" w:color="auto"/>
      </w:divBdr>
    </w:div>
    <w:div w:id="1974291801">
      <w:bodyDiv w:val="1"/>
      <w:marLeft w:val="0"/>
      <w:marRight w:val="0"/>
      <w:marTop w:val="0"/>
      <w:marBottom w:val="0"/>
      <w:divBdr>
        <w:top w:val="none" w:sz="0" w:space="0" w:color="auto"/>
        <w:left w:val="none" w:sz="0" w:space="0" w:color="auto"/>
        <w:bottom w:val="none" w:sz="0" w:space="0" w:color="auto"/>
        <w:right w:val="none" w:sz="0" w:space="0" w:color="auto"/>
      </w:divBdr>
    </w:div>
    <w:div w:id="2004159372">
      <w:bodyDiv w:val="1"/>
      <w:marLeft w:val="0"/>
      <w:marRight w:val="0"/>
      <w:marTop w:val="0"/>
      <w:marBottom w:val="0"/>
      <w:divBdr>
        <w:top w:val="none" w:sz="0" w:space="0" w:color="auto"/>
        <w:left w:val="none" w:sz="0" w:space="0" w:color="auto"/>
        <w:bottom w:val="none" w:sz="0" w:space="0" w:color="auto"/>
        <w:right w:val="none" w:sz="0" w:space="0" w:color="auto"/>
      </w:divBdr>
    </w:div>
    <w:div w:id="2015835677">
      <w:bodyDiv w:val="1"/>
      <w:marLeft w:val="0"/>
      <w:marRight w:val="0"/>
      <w:marTop w:val="0"/>
      <w:marBottom w:val="0"/>
      <w:divBdr>
        <w:top w:val="none" w:sz="0" w:space="0" w:color="auto"/>
        <w:left w:val="none" w:sz="0" w:space="0" w:color="auto"/>
        <w:bottom w:val="none" w:sz="0" w:space="0" w:color="auto"/>
        <w:right w:val="none" w:sz="0" w:space="0" w:color="auto"/>
      </w:divBdr>
    </w:div>
    <w:div w:id="2020690866">
      <w:bodyDiv w:val="1"/>
      <w:marLeft w:val="0"/>
      <w:marRight w:val="0"/>
      <w:marTop w:val="0"/>
      <w:marBottom w:val="0"/>
      <w:divBdr>
        <w:top w:val="none" w:sz="0" w:space="0" w:color="auto"/>
        <w:left w:val="none" w:sz="0" w:space="0" w:color="auto"/>
        <w:bottom w:val="none" w:sz="0" w:space="0" w:color="auto"/>
        <w:right w:val="none" w:sz="0" w:space="0" w:color="auto"/>
      </w:divBdr>
    </w:div>
    <w:div w:id="2034914766">
      <w:bodyDiv w:val="1"/>
      <w:marLeft w:val="0"/>
      <w:marRight w:val="0"/>
      <w:marTop w:val="0"/>
      <w:marBottom w:val="0"/>
      <w:divBdr>
        <w:top w:val="none" w:sz="0" w:space="0" w:color="auto"/>
        <w:left w:val="none" w:sz="0" w:space="0" w:color="auto"/>
        <w:bottom w:val="none" w:sz="0" w:space="0" w:color="auto"/>
        <w:right w:val="none" w:sz="0" w:space="0" w:color="auto"/>
      </w:divBdr>
    </w:div>
    <w:div w:id="2044594590">
      <w:bodyDiv w:val="1"/>
      <w:marLeft w:val="0"/>
      <w:marRight w:val="0"/>
      <w:marTop w:val="0"/>
      <w:marBottom w:val="0"/>
      <w:divBdr>
        <w:top w:val="none" w:sz="0" w:space="0" w:color="auto"/>
        <w:left w:val="none" w:sz="0" w:space="0" w:color="auto"/>
        <w:bottom w:val="none" w:sz="0" w:space="0" w:color="auto"/>
        <w:right w:val="none" w:sz="0" w:space="0" w:color="auto"/>
      </w:divBdr>
    </w:div>
    <w:div w:id="2070808028">
      <w:bodyDiv w:val="1"/>
      <w:marLeft w:val="0"/>
      <w:marRight w:val="0"/>
      <w:marTop w:val="0"/>
      <w:marBottom w:val="0"/>
      <w:divBdr>
        <w:top w:val="none" w:sz="0" w:space="0" w:color="auto"/>
        <w:left w:val="none" w:sz="0" w:space="0" w:color="auto"/>
        <w:bottom w:val="none" w:sz="0" w:space="0" w:color="auto"/>
        <w:right w:val="none" w:sz="0" w:space="0" w:color="auto"/>
      </w:divBdr>
    </w:div>
    <w:div w:id="2072341542">
      <w:bodyDiv w:val="1"/>
      <w:marLeft w:val="0"/>
      <w:marRight w:val="0"/>
      <w:marTop w:val="0"/>
      <w:marBottom w:val="0"/>
      <w:divBdr>
        <w:top w:val="none" w:sz="0" w:space="0" w:color="auto"/>
        <w:left w:val="none" w:sz="0" w:space="0" w:color="auto"/>
        <w:bottom w:val="none" w:sz="0" w:space="0" w:color="auto"/>
        <w:right w:val="none" w:sz="0" w:space="0" w:color="auto"/>
      </w:divBdr>
    </w:div>
    <w:div w:id="2076466910">
      <w:bodyDiv w:val="1"/>
      <w:marLeft w:val="0"/>
      <w:marRight w:val="0"/>
      <w:marTop w:val="0"/>
      <w:marBottom w:val="0"/>
      <w:divBdr>
        <w:top w:val="none" w:sz="0" w:space="0" w:color="auto"/>
        <w:left w:val="none" w:sz="0" w:space="0" w:color="auto"/>
        <w:bottom w:val="none" w:sz="0" w:space="0" w:color="auto"/>
        <w:right w:val="none" w:sz="0" w:space="0" w:color="auto"/>
      </w:divBdr>
    </w:div>
    <w:div w:id="2091656295">
      <w:bodyDiv w:val="1"/>
      <w:marLeft w:val="0"/>
      <w:marRight w:val="0"/>
      <w:marTop w:val="0"/>
      <w:marBottom w:val="0"/>
      <w:divBdr>
        <w:top w:val="none" w:sz="0" w:space="0" w:color="auto"/>
        <w:left w:val="none" w:sz="0" w:space="0" w:color="auto"/>
        <w:bottom w:val="none" w:sz="0" w:space="0" w:color="auto"/>
        <w:right w:val="none" w:sz="0" w:space="0" w:color="auto"/>
      </w:divBdr>
    </w:div>
    <w:div w:id="2092578841">
      <w:bodyDiv w:val="1"/>
      <w:marLeft w:val="0"/>
      <w:marRight w:val="0"/>
      <w:marTop w:val="0"/>
      <w:marBottom w:val="0"/>
      <w:divBdr>
        <w:top w:val="none" w:sz="0" w:space="0" w:color="auto"/>
        <w:left w:val="none" w:sz="0" w:space="0" w:color="auto"/>
        <w:bottom w:val="none" w:sz="0" w:space="0" w:color="auto"/>
        <w:right w:val="none" w:sz="0" w:space="0" w:color="auto"/>
      </w:divBdr>
    </w:div>
    <w:div w:id="2121680670">
      <w:bodyDiv w:val="1"/>
      <w:marLeft w:val="0"/>
      <w:marRight w:val="0"/>
      <w:marTop w:val="0"/>
      <w:marBottom w:val="0"/>
      <w:divBdr>
        <w:top w:val="none" w:sz="0" w:space="0" w:color="auto"/>
        <w:left w:val="none" w:sz="0" w:space="0" w:color="auto"/>
        <w:bottom w:val="none" w:sz="0" w:space="0" w:color="auto"/>
        <w:right w:val="none" w:sz="0" w:space="0" w:color="auto"/>
      </w:divBdr>
    </w:div>
    <w:div w:id="2125884620">
      <w:bodyDiv w:val="1"/>
      <w:marLeft w:val="0"/>
      <w:marRight w:val="0"/>
      <w:marTop w:val="0"/>
      <w:marBottom w:val="0"/>
      <w:divBdr>
        <w:top w:val="none" w:sz="0" w:space="0" w:color="auto"/>
        <w:left w:val="none" w:sz="0" w:space="0" w:color="auto"/>
        <w:bottom w:val="none" w:sz="0" w:space="0" w:color="auto"/>
        <w:right w:val="none" w:sz="0" w:space="0" w:color="auto"/>
      </w:divBdr>
      <w:divsChild>
        <w:div w:id="320736016">
          <w:marLeft w:val="0"/>
          <w:marRight w:val="0"/>
          <w:marTop w:val="0"/>
          <w:marBottom w:val="0"/>
          <w:divBdr>
            <w:top w:val="none" w:sz="0" w:space="0" w:color="auto"/>
            <w:left w:val="none" w:sz="0" w:space="0" w:color="auto"/>
            <w:bottom w:val="none" w:sz="0" w:space="0" w:color="auto"/>
            <w:right w:val="none" w:sz="0" w:space="0" w:color="auto"/>
          </w:divBdr>
        </w:div>
        <w:div w:id="1152137667">
          <w:marLeft w:val="0"/>
          <w:marRight w:val="0"/>
          <w:marTop w:val="0"/>
          <w:marBottom w:val="0"/>
          <w:divBdr>
            <w:top w:val="none" w:sz="0" w:space="0" w:color="auto"/>
            <w:left w:val="none" w:sz="0" w:space="0" w:color="auto"/>
            <w:bottom w:val="none" w:sz="0" w:space="0" w:color="auto"/>
            <w:right w:val="none" w:sz="0" w:space="0" w:color="auto"/>
          </w:divBdr>
        </w:div>
      </w:divsChild>
    </w:div>
    <w:div w:id="2130008987">
      <w:bodyDiv w:val="1"/>
      <w:marLeft w:val="0"/>
      <w:marRight w:val="0"/>
      <w:marTop w:val="0"/>
      <w:marBottom w:val="0"/>
      <w:divBdr>
        <w:top w:val="none" w:sz="0" w:space="0" w:color="auto"/>
        <w:left w:val="none" w:sz="0" w:space="0" w:color="auto"/>
        <w:bottom w:val="none" w:sz="0" w:space="0" w:color="auto"/>
        <w:right w:val="none" w:sz="0" w:space="0" w:color="auto"/>
      </w:divBdr>
    </w:div>
    <w:div w:id="2131120093">
      <w:bodyDiv w:val="1"/>
      <w:marLeft w:val="0"/>
      <w:marRight w:val="0"/>
      <w:marTop w:val="0"/>
      <w:marBottom w:val="0"/>
      <w:divBdr>
        <w:top w:val="none" w:sz="0" w:space="0" w:color="auto"/>
        <w:left w:val="none" w:sz="0" w:space="0" w:color="auto"/>
        <w:bottom w:val="none" w:sz="0" w:space="0" w:color="auto"/>
        <w:right w:val="none" w:sz="0" w:space="0" w:color="auto"/>
      </w:divBdr>
    </w:div>
    <w:div w:id="2139180517">
      <w:bodyDiv w:val="1"/>
      <w:marLeft w:val="0"/>
      <w:marRight w:val="0"/>
      <w:marTop w:val="0"/>
      <w:marBottom w:val="0"/>
      <w:divBdr>
        <w:top w:val="none" w:sz="0" w:space="0" w:color="auto"/>
        <w:left w:val="none" w:sz="0" w:space="0" w:color="auto"/>
        <w:bottom w:val="none" w:sz="0" w:space="0" w:color="auto"/>
        <w:right w:val="none" w:sz="0" w:space="0" w:color="auto"/>
      </w:divBdr>
    </w:div>
    <w:div w:id="21431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40d9007-a1fb-482a-96da-a02b62c046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2A0166CDDC494A97954A231935641B" ma:contentTypeVersion="13" ma:contentTypeDescription="Create a new document." ma:contentTypeScope="" ma:versionID="c3d19ebebc2992bab255171358259a31">
  <xsd:schema xmlns:xsd="http://www.w3.org/2001/XMLSchema" xmlns:xs="http://www.w3.org/2001/XMLSchema" xmlns:p="http://schemas.microsoft.com/office/2006/metadata/properties" xmlns:ns3="240d9007-a1fb-482a-96da-a02b62c04690" targetNamespace="http://schemas.microsoft.com/office/2006/metadata/properties" ma:root="true" ma:fieldsID="f539a5008bc6e821f4d34d4f9d77e990" ns3:_="">
    <xsd:import namespace="240d9007-a1fb-482a-96da-a02b62c0469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_activity"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d9007-a1fb-482a-96da-a02b62c04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27DA10-7D8E-4F20-82A7-4CF6A9E2D891}">
  <ds:schemaRefs>
    <ds:schemaRef ds:uri="http://schemas.openxmlformats.org/officeDocument/2006/bibliography"/>
  </ds:schemaRefs>
</ds:datastoreItem>
</file>

<file path=customXml/itemProps2.xml><?xml version="1.0" encoding="utf-8"?>
<ds:datastoreItem xmlns:ds="http://schemas.openxmlformats.org/officeDocument/2006/customXml" ds:itemID="{C5EA9D05-736E-4640-A230-B82B493A710C}">
  <ds:schemaRefs>
    <ds:schemaRef ds:uri="http://schemas.microsoft.com/sharepoint/v3/contenttype/forms"/>
  </ds:schemaRefs>
</ds:datastoreItem>
</file>

<file path=customXml/itemProps3.xml><?xml version="1.0" encoding="utf-8"?>
<ds:datastoreItem xmlns:ds="http://schemas.openxmlformats.org/officeDocument/2006/customXml" ds:itemID="{54CC7308-B6BD-4BBA-8377-DE70EF76F367}">
  <ds:schemaRefs>
    <ds:schemaRef ds:uri="http://schemas.microsoft.com/office/2006/metadata/properties"/>
    <ds:schemaRef ds:uri="http://schemas.microsoft.com/office/infopath/2007/PartnerControls"/>
    <ds:schemaRef ds:uri="240d9007-a1fb-482a-96da-a02b62c04690"/>
  </ds:schemaRefs>
</ds:datastoreItem>
</file>

<file path=customXml/itemProps4.xml><?xml version="1.0" encoding="utf-8"?>
<ds:datastoreItem xmlns:ds="http://schemas.openxmlformats.org/officeDocument/2006/customXml" ds:itemID="{B2FEED44-A682-48E6-BA7F-4C2132162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d9007-a1fb-482a-96da-a02b62c04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1</Pages>
  <Words>42354</Words>
  <Characters>241420</Characters>
  <Application>Microsoft Office Word</Application>
  <DocSecurity>0</DocSecurity>
  <Lines>2011</Lines>
  <Paragraphs>566</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283208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Platon</dc:creator>
  <cp:keywords/>
  <dc:description/>
  <cp:lastModifiedBy>Author</cp:lastModifiedBy>
  <cp:revision>13</cp:revision>
  <cp:lastPrinted>2025-12-13T13:46:00Z</cp:lastPrinted>
  <dcterms:created xsi:type="dcterms:W3CDTF">2026-10-01T08:38:00Z</dcterms:created>
  <dcterms:modified xsi:type="dcterms:W3CDTF">2026-10-02T10:54:00Z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y fmtid="{D5CDD505-2E9C-101B-9397-08002B2CF9AE}" pid="3" name="GrammarlyDocumentId">
    <vt:lpwstr>8d66c448c9a8ccf0542fc1f71bc71b21afa20b061ba38a6c3d2fdf5bd1ea55cc</vt:lpwstr>
  </property>
</Properties>
</file>